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8"/>
        <w:gridCol w:w="151"/>
        <w:gridCol w:w="540"/>
        <w:gridCol w:w="3402"/>
        <w:gridCol w:w="67"/>
        <w:gridCol w:w="17"/>
        <w:gridCol w:w="4017"/>
        <w:gridCol w:w="9"/>
      </w:tblGrid>
      <w:tr w:rsidR="004F32AF" w:rsidRPr="004F32AF" w14:paraId="1B2494AD" w14:textId="77777777" w:rsidTr="004F32AF">
        <w:trPr>
          <w:cantSplit/>
        </w:trPr>
        <w:tc>
          <w:tcPr>
            <w:tcW w:w="1132" w:type="dxa"/>
            <w:vMerge w:val="restart"/>
            <w:vAlign w:val="center"/>
          </w:tcPr>
          <w:p w14:paraId="7ED2FA94" w14:textId="77777777" w:rsidR="004F32AF" w:rsidRPr="004F32AF" w:rsidRDefault="004F32AF" w:rsidP="004F32AF">
            <w:pPr>
              <w:spacing w:before="0"/>
              <w:jc w:val="center"/>
              <w:rPr>
                <w:sz w:val="20"/>
                <w:szCs w:val="20"/>
              </w:rPr>
            </w:pPr>
            <w:bookmarkStart w:id="0" w:name="dnum" w:colFirst="2" w:colLast="2"/>
            <w:bookmarkStart w:id="1" w:name="dtableau"/>
            <w:r w:rsidRPr="004F32AF">
              <w:rPr>
                <w:noProof/>
              </w:rPr>
              <w:drawing>
                <wp:inline distT="0" distB="0" distL="0" distR="0" wp14:anchorId="3304FCE0" wp14:editId="6165E5E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7"/>
            <w:vMerge w:val="restart"/>
          </w:tcPr>
          <w:p w14:paraId="7EE3F16E" w14:textId="77777777" w:rsidR="004F32AF" w:rsidRPr="004F32AF" w:rsidRDefault="004F32AF" w:rsidP="004F32AF">
            <w:pPr>
              <w:rPr>
                <w:sz w:val="16"/>
                <w:szCs w:val="16"/>
              </w:rPr>
            </w:pPr>
            <w:r w:rsidRPr="004F32AF">
              <w:rPr>
                <w:sz w:val="16"/>
                <w:szCs w:val="16"/>
              </w:rPr>
              <w:t>INTERNATIONAL TELECOMMUNICATION UNION</w:t>
            </w:r>
          </w:p>
          <w:p w14:paraId="09B1F7EF" w14:textId="77777777" w:rsidR="004F32AF" w:rsidRPr="004F32AF" w:rsidRDefault="004F32AF" w:rsidP="004F32AF">
            <w:pPr>
              <w:rPr>
                <w:b/>
                <w:bCs/>
                <w:sz w:val="26"/>
                <w:szCs w:val="26"/>
              </w:rPr>
            </w:pPr>
            <w:r w:rsidRPr="004F32AF">
              <w:rPr>
                <w:b/>
                <w:bCs/>
                <w:sz w:val="26"/>
                <w:szCs w:val="26"/>
              </w:rPr>
              <w:t>TELECOMMUNICATION</w:t>
            </w:r>
            <w:r w:rsidRPr="004F32AF">
              <w:rPr>
                <w:b/>
                <w:bCs/>
                <w:sz w:val="26"/>
                <w:szCs w:val="26"/>
              </w:rPr>
              <w:br/>
              <w:t>STANDARDIZATION SECTOR</w:t>
            </w:r>
          </w:p>
          <w:p w14:paraId="0B813FC1" w14:textId="3CB763B6" w:rsidR="004F32AF" w:rsidRPr="004F32AF" w:rsidRDefault="004F32AF" w:rsidP="004F32AF">
            <w:pPr>
              <w:rPr>
                <w:sz w:val="20"/>
                <w:szCs w:val="20"/>
              </w:rPr>
            </w:pPr>
            <w:r w:rsidRPr="004F32AF">
              <w:rPr>
                <w:sz w:val="20"/>
                <w:szCs w:val="20"/>
              </w:rPr>
              <w:t xml:space="preserve">STUDY PERIOD </w:t>
            </w:r>
            <w:r>
              <w:rPr>
                <w:sz w:val="20"/>
              </w:rPr>
              <w:t>2025-2028</w:t>
            </w:r>
          </w:p>
        </w:tc>
        <w:tc>
          <w:tcPr>
            <w:tcW w:w="4026" w:type="dxa"/>
            <w:gridSpan w:val="2"/>
            <w:vAlign w:val="center"/>
          </w:tcPr>
          <w:p w14:paraId="78777DDE" w14:textId="568AD5E3" w:rsidR="004F32AF" w:rsidRPr="004F32AF" w:rsidRDefault="004F32AF" w:rsidP="004F32AF">
            <w:pPr>
              <w:pStyle w:val="Docnumber"/>
              <w:rPr>
                <w:sz w:val="32"/>
              </w:rPr>
            </w:pPr>
            <w:r>
              <w:rPr>
                <w:sz w:val="32"/>
              </w:rPr>
              <w:t>TSAG-TD221</w:t>
            </w:r>
          </w:p>
        </w:tc>
      </w:tr>
      <w:tr w:rsidR="004F32AF" w:rsidRPr="004F32AF" w14:paraId="73AA97F7" w14:textId="77777777" w:rsidTr="004F32AF">
        <w:trPr>
          <w:cantSplit/>
        </w:trPr>
        <w:tc>
          <w:tcPr>
            <w:tcW w:w="1132" w:type="dxa"/>
            <w:vMerge/>
          </w:tcPr>
          <w:p w14:paraId="65688165" w14:textId="77777777" w:rsidR="004F32AF" w:rsidRPr="004F32AF" w:rsidRDefault="004F32AF" w:rsidP="004F32AF">
            <w:pPr>
              <w:rPr>
                <w:smallCaps/>
                <w:sz w:val="20"/>
              </w:rPr>
            </w:pPr>
            <w:bookmarkStart w:id="2" w:name="dsg" w:colFirst="2" w:colLast="2"/>
            <w:bookmarkEnd w:id="0"/>
          </w:p>
        </w:tc>
        <w:tc>
          <w:tcPr>
            <w:tcW w:w="4481" w:type="dxa"/>
            <w:gridSpan w:val="7"/>
            <w:vMerge/>
          </w:tcPr>
          <w:p w14:paraId="7538E3A5" w14:textId="77777777" w:rsidR="004F32AF" w:rsidRPr="004F32AF" w:rsidRDefault="004F32AF" w:rsidP="004F32AF">
            <w:pPr>
              <w:rPr>
                <w:smallCaps/>
                <w:sz w:val="20"/>
              </w:rPr>
            </w:pPr>
          </w:p>
        </w:tc>
        <w:tc>
          <w:tcPr>
            <w:tcW w:w="4026" w:type="dxa"/>
            <w:gridSpan w:val="2"/>
          </w:tcPr>
          <w:p w14:paraId="2282169F" w14:textId="6FB03915" w:rsidR="004F32AF" w:rsidRPr="004F32AF" w:rsidRDefault="004F32AF" w:rsidP="004F32AF">
            <w:pPr>
              <w:pStyle w:val="TSBHeaderRight14"/>
              <w:rPr>
                <w:smallCaps/>
              </w:rPr>
            </w:pPr>
            <w:r>
              <w:rPr>
                <w:smallCaps/>
              </w:rPr>
              <w:t>TSAG</w:t>
            </w:r>
          </w:p>
        </w:tc>
      </w:tr>
      <w:bookmarkEnd w:id="2"/>
      <w:tr w:rsidR="004F32AF" w:rsidRPr="004F32AF" w14:paraId="215BD29F" w14:textId="77777777" w:rsidTr="004F32AF">
        <w:trPr>
          <w:cantSplit/>
        </w:trPr>
        <w:tc>
          <w:tcPr>
            <w:tcW w:w="1132" w:type="dxa"/>
            <w:vMerge/>
            <w:tcBorders>
              <w:bottom w:val="single" w:sz="12" w:space="0" w:color="auto"/>
            </w:tcBorders>
          </w:tcPr>
          <w:p w14:paraId="7294E67F" w14:textId="77777777" w:rsidR="004F32AF" w:rsidRPr="004F32AF" w:rsidRDefault="004F32AF" w:rsidP="004F32AF">
            <w:pPr>
              <w:rPr>
                <w:b/>
                <w:bCs/>
                <w:sz w:val="26"/>
              </w:rPr>
            </w:pPr>
          </w:p>
        </w:tc>
        <w:tc>
          <w:tcPr>
            <w:tcW w:w="4481" w:type="dxa"/>
            <w:gridSpan w:val="7"/>
            <w:vMerge/>
            <w:tcBorders>
              <w:bottom w:val="single" w:sz="12" w:space="0" w:color="auto"/>
            </w:tcBorders>
          </w:tcPr>
          <w:p w14:paraId="555B9B6F" w14:textId="77777777" w:rsidR="004F32AF" w:rsidRPr="004F32AF" w:rsidRDefault="004F32AF" w:rsidP="004F32AF">
            <w:pPr>
              <w:rPr>
                <w:b/>
                <w:bCs/>
                <w:sz w:val="26"/>
              </w:rPr>
            </w:pPr>
          </w:p>
        </w:tc>
        <w:tc>
          <w:tcPr>
            <w:tcW w:w="4026" w:type="dxa"/>
            <w:gridSpan w:val="2"/>
            <w:tcBorders>
              <w:bottom w:val="single" w:sz="12" w:space="0" w:color="auto"/>
            </w:tcBorders>
            <w:vAlign w:val="center"/>
          </w:tcPr>
          <w:p w14:paraId="3666D08F" w14:textId="77777777" w:rsidR="004F32AF" w:rsidRPr="004F32AF" w:rsidRDefault="004F32AF" w:rsidP="004F32AF">
            <w:pPr>
              <w:pStyle w:val="TSBHeaderRight14"/>
            </w:pPr>
            <w:r w:rsidRPr="004F32AF">
              <w:t>Original: English</w:t>
            </w:r>
          </w:p>
        </w:tc>
      </w:tr>
      <w:tr w:rsidR="004F32AF" w:rsidRPr="004F32AF" w14:paraId="5507B426" w14:textId="77777777" w:rsidTr="004F32AF">
        <w:trPr>
          <w:cantSplit/>
        </w:trPr>
        <w:tc>
          <w:tcPr>
            <w:tcW w:w="1587" w:type="dxa"/>
            <w:gridSpan w:val="4"/>
          </w:tcPr>
          <w:p w14:paraId="5AABDAFA" w14:textId="3D4E64AD" w:rsidR="004F32AF" w:rsidRPr="004F32AF" w:rsidRDefault="004F32AF" w:rsidP="004F32AF">
            <w:pPr>
              <w:rPr>
                <w:b/>
                <w:bCs/>
              </w:rPr>
            </w:pPr>
            <w:bookmarkStart w:id="3" w:name="dbluepink" w:colFirst="1" w:colLast="1"/>
            <w:bookmarkStart w:id="4" w:name="dmeeting" w:colFirst="2" w:colLast="2"/>
          </w:p>
        </w:tc>
        <w:tc>
          <w:tcPr>
            <w:tcW w:w="4026" w:type="dxa"/>
            <w:gridSpan w:val="4"/>
          </w:tcPr>
          <w:p w14:paraId="0DFC9206" w14:textId="210E5137" w:rsidR="004F32AF" w:rsidRPr="004F32AF" w:rsidRDefault="004F32AF" w:rsidP="004F32AF">
            <w:pPr>
              <w:pStyle w:val="TSBHeaderQuestion"/>
            </w:pPr>
          </w:p>
        </w:tc>
        <w:tc>
          <w:tcPr>
            <w:tcW w:w="4026" w:type="dxa"/>
            <w:gridSpan w:val="2"/>
          </w:tcPr>
          <w:p w14:paraId="2D7AA48E" w14:textId="4C303233" w:rsidR="004F32AF" w:rsidRPr="004F32AF" w:rsidRDefault="004F32AF" w:rsidP="004F32AF">
            <w:pPr>
              <w:pStyle w:val="VenueDate"/>
            </w:pPr>
            <w:r w:rsidRPr="004F32AF">
              <w:t>Geneva, 26-30 January 2026</w:t>
            </w:r>
          </w:p>
        </w:tc>
      </w:tr>
      <w:tr w:rsidR="004F32AF" w:rsidRPr="004F32AF" w14:paraId="74797050" w14:textId="77777777" w:rsidTr="004F32AF">
        <w:trPr>
          <w:cantSplit/>
        </w:trPr>
        <w:tc>
          <w:tcPr>
            <w:tcW w:w="9639" w:type="dxa"/>
            <w:gridSpan w:val="10"/>
          </w:tcPr>
          <w:p w14:paraId="6AEAEF7F" w14:textId="77777777" w:rsidR="004F32AF" w:rsidRPr="004F32AF" w:rsidRDefault="004F32AF" w:rsidP="004F32AF">
            <w:pPr>
              <w:jc w:val="center"/>
              <w:rPr>
                <w:b/>
                <w:bCs/>
              </w:rPr>
            </w:pPr>
            <w:bookmarkStart w:id="5" w:name="ddoctype"/>
            <w:bookmarkEnd w:id="3"/>
            <w:bookmarkEnd w:id="4"/>
            <w:r w:rsidRPr="004F32AF">
              <w:rPr>
                <w:b/>
                <w:bCs/>
              </w:rPr>
              <w:t>TD</w:t>
            </w:r>
          </w:p>
          <w:p w14:paraId="23970A78" w14:textId="0C06A1F5" w:rsidR="004F32AF" w:rsidRPr="004F32AF" w:rsidRDefault="004F32AF" w:rsidP="0074689D">
            <w:pPr>
              <w:spacing w:before="0"/>
              <w:jc w:val="center"/>
              <w:rPr>
                <w:b/>
                <w:bCs/>
              </w:rPr>
            </w:pPr>
            <w:r w:rsidRPr="004F32AF">
              <w:rPr>
                <w:b/>
                <w:bCs/>
              </w:rPr>
              <w:t xml:space="preserve">(Ref.: </w:t>
            </w:r>
            <w:hyperlink r:id="rId12" w:history="1">
              <w:r w:rsidR="0074689D" w:rsidRPr="0074689D">
                <w:rPr>
                  <w:rStyle w:val="Hyperlink"/>
                  <w:rFonts w:ascii="Times New Roman" w:hAnsi="Times New Roman"/>
                  <w:b/>
                  <w:bCs/>
                </w:rPr>
                <w:t>SG2-LS69</w:t>
              </w:r>
            </w:hyperlink>
            <w:r w:rsidRPr="004F32AF">
              <w:rPr>
                <w:b/>
                <w:bCs/>
              </w:rPr>
              <w:t>)</w:t>
            </w:r>
          </w:p>
        </w:tc>
      </w:tr>
      <w:tr w:rsidR="004F32AF" w:rsidRPr="004F32AF" w14:paraId="6D096573" w14:textId="77777777" w:rsidTr="004F32AF">
        <w:trPr>
          <w:cantSplit/>
        </w:trPr>
        <w:tc>
          <w:tcPr>
            <w:tcW w:w="1587" w:type="dxa"/>
            <w:gridSpan w:val="4"/>
          </w:tcPr>
          <w:p w14:paraId="71D69B48" w14:textId="77777777" w:rsidR="004F32AF" w:rsidRPr="004F32AF" w:rsidRDefault="004F32AF" w:rsidP="004F32AF">
            <w:pPr>
              <w:rPr>
                <w:b/>
                <w:bCs/>
              </w:rPr>
            </w:pPr>
            <w:bookmarkStart w:id="6" w:name="dsource" w:colFirst="1" w:colLast="1"/>
            <w:bookmarkEnd w:id="5"/>
            <w:r w:rsidRPr="004F32AF">
              <w:rPr>
                <w:b/>
                <w:bCs/>
              </w:rPr>
              <w:t>Source:</w:t>
            </w:r>
          </w:p>
        </w:tc>
        <w:tc>
          <w:tcPr>
            <w:tcW w:w="8052" w:type="dxa"/>
            <w:gridSpan w:val="6"/>
          </w:tcPr>
          <w:p w14:paraId="510FFA7D" w14:textId="7002A644" w:rsidR="004F32AF" w:rsidRPr="004F32AF" w:rsidRDefault="004F32AF" w:rsidP="004F32AF">
            <w:pPr>
              <w:pStyle w:val="TSBHeaderSource"/>
            </w:pPr>
            <w:r w:rsidRPr="004F32AF">
              <w:t>ITU-T Study Group 2</w:t>
            </w:r>
          </w:p>
        </w:tc>
      </w:tr>
      <w:tr w:rsidR="004F32AF" w:rsidRPr="004F32AF" w14:paraId="1AA47ABA" w14:textId="77777777" w:rsidTr="004F32AF">
        <w:trPr>
          <w:cantSplit/>
        </w:trPr>
        <w:tc>
          <w:tcPr>
            <w:tcW w:w="1587" w:type="dxa"/>
            <w:gridSpan w:val="4"/>
            <w:tcBorders>
              <w:bottom w:val="single" w:sz="8" w:space="0" w:color="auto"/>
            </w:tcBorders>
          </w:tcPr>
          <w:p w14:paraId="1C85D707" w14:textId="77777777" w:rsidR="004F32AF" w:rsidRPr="004F32AF" w:rsidRDefault="004F32AF" w:rsidP="004F32AF">
            <w:pPr>
              <w:rPr>
                <w:b/>
                <w:bCs/>
              </w:rPr>
            </w:pPr>
            <w:bookmarkStart w:id="7" w:name="dtitle1" w:colFirst="1" w:colLast="1"/>
            <w:bookmarkEnd w:id="6"/>
            <w:r w:rsidRPr="004F32AF">
              <w:rPr>
                <w:b/>
                <w:bCs/>
              </w:rPr>
              <w:t>Title:</w:t>
            </w:r>
          </w:p>
        </w:tc>
        <w:tc>
          <w:tcPr>
            <w:tcW w:w="8052" w:type="dxa"/>
            <w:gridSpan w:val="6"/>
            <w:tcBorders>
              <w:bottom w:val="single" w:sz="8" w:space="0" w:color="auto"/>
            </w:tcBorders>
          </w:tcPr>
          <w:p w14:paraId="5596F0E6" w14:textId="2FBEFD15" w:rsidR="004F32AF" w:rsidRPr="004F32AF" w:rsidRDefault="004F32AF" w:rsidP="004F32AF">
            <w:pPr>
              <w:pStyle w:val="TSBHeaderTitle"/>
            </w:pPr>
            <w:r w:rsidRPr="004F32AF">
              <w:t>LS</w:t>
            </w:r>
            <w:r w:rsidR="0074689D">
              <w:t>/</w:t>
            </w:r>
            <w:proofErr w:type="spellStart"/>
            <w:r w:rsidR="0074689D">
              <w:t>i</w:t>
            </w:r>
            <w:proofErr w:type="spellEnd"/>
            <w:r w:rsidRPr="004F32AF">
              <w:t xml:space="preserve"> on SCV activity in SG2</w:t>
            </w:r>
            <w:r w:rsidR="0074689D">
              <w:t xml:space="preserve"> [from ITU-T SG2]</w:t>
            </w:r>
          </w:p>
        </w:tc>
      </w:tr>
      <w:bookmarkEnd w:id="1"/>
      <w:bookmarkEnd w:id="7"/>
      <w:tr w:rsidR="006E5BCA" w:rsidRPr="00593041" w14:paraId="0292FED8" w14:textId="77777777" w:rsidTr="0074689D">
        <w:tblPrEx>
          <w:tblLook w:val="04A0" w:firstRow="1" w:lastRow="0" w:firstColumn="1" w:lastColumn="0" w:noHBand="0" w:noVBand="1"/>
        </w:tblPrEx>
        <w:trPr>
          <w:gridAfter w:val="1"/>
          <w:wAfter w:w="9" w:type="dxa"/>
          <w:cantSplit/>
          <w:trHeight w:val="357"/>
        </w:trPr>
        <w:tc>
          <w:tcPr>
            <w:tcW w:w="9630" w:type="dxa"/>
            <w:gridSpan w:val="9"/>
            <w:tcBorders>
              <w:top w:val="single" w:sz="12" w:space="0" w:color="auto"/>
            </w:tcBorders>
          </w:tcPr>
          <w:p w14:paraId="1CEB1BB7" w14:textId="77777777" w:rsidR="00064C08" w:rsidRPr="00593041" w:rsidRDefault="00064C08" w:rsidP="00064C08">
            <w:pPr>
              <w:jc w:val="center"/>
              <w:rPr>
                <w:b/>
              </w:rPr>
            </w:pPr>
            <w:r w:rsidRPr="00593041">
              <w:rPr>
                <w:b/>
              </w:rPr>
              <w:t>LIAISON STATEMENT</w:t>
            </w:r>
          </w:p>
        </w:tc>
      </w:tr>
      <w:tr w:rsidR="006E5BCA" w:rsidRPr="00593041" w14:paraId="58DCD060" w14:textId="77777777" w:rsidTr="0074689D">
        <w:tblPrEx>
          <w:tblLook w:val="04A0" w:firstRow="1" w:lastRow="0" w:firstColumn="1" w:lastColumn="0" w:noHBand="0" w:noVBand="1"/>
        </w:tblPrEx>
        <w:trPr>
          <w:gridAfter w:val="1"/>
          <w:wAfter w:w="9" w:type="dxa"/>
          <w:cantSplit/>
          <w:trHeight w:val="357"/>
        </w:trPr>
        <w:tc>
          <w:tcPr>
            <w:tcW w:w="2127" w:type="dxa"/>
            <w:gridSpan w:val="5"/>
          </w:tcPr>
          <w:p w14:paraId="5C476342" w14:textId="77777777" w:rsidR="00064C08" w:rsidRPr="00593041" w:rsidRDefault="00064C08" w:rsidP="00064C08">
            <w:pPr>
              <w:rPr>
                <w:b/>
                <w:bCs/>
              </w:rPr>
            </w:pPr>
            <w:r w:rsidRPr="00593041">
              <w:rPr>
                <w:b/>
                <w:bCs/>
              </w:rPr>
              <w:t>For action to:</w:t>
            </w:r>
          </w:p>
        </w:tc>
        <w:tc>
          <w:tcPr>
            <w:tcW w:w="7503" w:type="dxa"/>
            <w:gridSpan w:val="4"/>
          </w:tcPr>
          <w:p w14:paraId="39B7BD10" w14:textId="0A045D59" w:rsidR="00064C08" w:rsidRPr="00593041" w:rsidRDefault="00064C08" w:rsidP="00064C08">
            <w:pPr>
              <w:pStyle w:val="LSForAction"/>
            </w:pPr>
            <w:r w:rsidRPr="00593041">
              <w:t xml:space="preserve">SCV, </w:t>
            </w:r>
            <w:r w:rsidR="00287D07" w:rsidRPr="00593041">
              <w:t xml:space="preserve">TSAG, </w:t>
            </w:r>
            <w:r w:rsidRPr="00593041">
              <w:t xml:space="preserve">ITU-T SG3, SG5, </w:t>
            </w:r>
            <w:r w:rsidR="00287D07" w:rsidRPr="00593041">
              <w:t xml:space="preserve">SG11, </w:t>
            </w:r>
            <w:r w:rsidR="00DB1FB6" w:rsidRPr="00593041">
              <w:t xml:space="preserve">SG12, </w:t>
            </w:r>
            <w:r w:rsidRPr="00593041">
              <w:t>SG13, SG15, SG17, SG20</w:t>
            </w:r>
            <w:r w:rsidR="00287D07" w:rsidRPr="00593041">
              <w:t xml:space="preserve">, </w:t>
            </w:r>
            <w:r w:rsidR="0031120D" w:rsidRPr="00593041">
              <w:t>SG21</w:t>
            </w:r>
          </w:p>
        </w:tc>
      </w:tr>
      <w:tr w:rsidR="006E5BCA" w:rsidRPr="00593041" w14:paraId="114FBD2B" w14:textId="77777777" w:rsidTr="0074689D">
        <w:tblPrEx>
          <w:tblLook w:val="04A0" w:firstRow="1" w:lastRow="0" w:firstColumn="1" w:lastColumn="0" w:noHBand="0" w:noVBand="1"/>
        </w:tblPrEx>
        <w:trPr>
          <w:gridAfter w:val="1"/>
          <w:wAfter w:w="9" w:type="dxa"/>
          <w:cantSplit/>
          <w:trHeight w:val="357"/>
        </w:trPr>
        <w:tc>
          <w:tcPr>
            <w:tcW w:w="2127" w:type="dxa"/>
            <w:gridSpan w:val="5"/>
          </w:tcPr>
          <w:p w14:paraId="2A32CA3E" w14:textId="77777777" w:rsidR="00064C08" w:rsidRPr="00593041" w:rsidRDefault="00064C08" w:rsidP="00064C08">
            <w:pPr>
              <w:rPr>
                <w:b/>
                <w:bCs/>
              </w:rPr>
            </w:pPr>
            <w:r w:rsidRPr="00593041">
              <w:rPr>
                <w:b/>
                <w:bCs/>
              </w:rPr>
              <w:t>For information to:</w:t>
            </w:r>
          </w:p>
        </w:tc>
        <w:tc>
          <w:tcPr>
            <w:tcW w:w="7503" w:type="dxa"/>
            <w:gridSpan w:val="4"/>
          </w:tcPr>
          <w:p w14:paraId="79857E6B" w14:textId="6A329099" w:rsidR="00064C08" w:rsidRPr="00593041" w:rsidRDefault="00936122" w:rsidP="00064C08">
            <w:pPr>
              <w:pStyle w:val="LSForInfo"/>
            </w:pPr>
            <w:r w:rsidRPr="00593041">
              <w:t>-</w:t>
            </w:r>
          </w:p>
        </w:tc>
      </w:tr>
      <w:tr w:rsidR="006E5BCA" w:rsidRPr="00593041" w14:paraId="02ED3E84" w14:textId="77777777" w:rsidTr="0074689D">
        <w:tblPrEx>
          <w:tblLook w:val="04A0" w:firstRow="1" w:lastRow="0" w:firstColumn="1" w:lastColumn="0" w:noHBand="0" w:noVBand="1"/>
        </w:tblPrEx>
        <w:trPr>
          <w:gridAfter w:val="1"/>
          <w:wAfter w:w="9" w:type="dxa"/>
          <w:cantSplit/>
          <w:trHeight w:val="357"/>
        </w:trPr>
        <w:tc>
          <w:tcPr>
            <w:tcW w:w="2127" w:type="dxa"/>
            <w:gridSpan w:val="5"/>
          </w:tcPr>
          <w:p w14:paraId="3B18DC7C" w14:textId="77777777" w:rsidR="00064C08" w:rsidRPr="00593041" w:rsidRDefault="00064C08" w:rsidP="00064C08">
            <w:pPr>
              <w:rPr>
                <w:b/>
                <w:bCs/>
              </w:rPr>
            </w:pPr>
            <w:r w:rsidRPr="00593041">
              <w:rPr>
                <w:b/>
                <w:bCs/>
              </w:rPr>
              <w:t>Approval:</w:t>
            </w:r>
          </w:p>
        </w:tc>
        <w:tc>
          <w:tcPr>
            <w:tcW w:w="7503" w:type="dxa"/>
            <w:gridSpan w:val="4"/>
          </w:tcPr>
          <w:p w14:paraId="43CF4DEC" w14:textId="087B2CAF" w:rsidR="00064C08" w:rsidRPr="00593041" w:rsidRDefault="00064C08" w:rsidP="0052589E">
            <w:r w:rsidRPr="00593041">
              <w:t>ITU-T Study Group 2 meeting (</w:t>
            </w:r>
            <w:r w:rsidR="00D22C80">
              <w:t>Geneva</w:t>
            </w:r>
            <w:r w:rsidR="00D22C80" w:rsidRPr="000B6D5D">
              <w:t xml:space="preserve">, </w:t>
            </w:r>
            <w:r w:rsidR="00D22C80">
              <w:t>5 September 2025</w:t>
            </w:r>
            <w:r w:rsidRPr="00593041">
              <w:t>)</w:t>
            </w:r>
          </w:p>
        </w:tc>
      </w:tr>
      <w:tr w:rsidR="006E5BCA" w:rsidRPr="00593041" w14:paraId="055D6331" w14:textId="77777777" w:rsidTr="0074689D">
        <w:tblPrEx>
          <w:tblLook w:val="04A0" w:firstRow="1" w:lastRow="0" w:firstColumn="1" w:lastColumn="0" w:noHBand="0" w:noVBand="1"/>
        </w:tblPrEx>
        <w:trPr>
          <w:gridAfter w:val="1"/>
          <w:wAfter w:w="9" w:type="dxa"/>
          <w:cantSplit/>
          <w:trHeight w:val="357"/>
        </w:trPr>
        <w:tc>
          <w:tcPr>
            <w:tcW w:w="2127" w:type="dxa"/>
            <w:gridSpan w:val="5"/>
            <w:tcBorders>
              <w:bottom w:val="single" w:sz="12" w:space="0" w:color="auto"/>
            </w:tcBorders>
          </w:tcPr>
          <w:p w14:paraId="6283F105" w14:textId="77777777" w:rsidR="00064C08" w:rsidRPr="00593041" w:rsidRDefault="00064C08" w:rsidP="00064C08">
            <w:pPr>
              <w:rPr>
                <w:b/>
                <w:bCs/>
              </w:rPr>
            </w:pPr>
            <w:r w:rsidRPr="00593041">
              <w:rPr>
                <w:b/>
                <w:bCs/>
              </w:rPr>
              <w:t>Deadline:</w:t>
            </w:r>
          </w:p>
        </w:tc>
        <w:tc>
          <w:tcPr>
            <w:tcW w:w="7503" w:type="dxa"/>
            <w:gridSpan w:val="4"/>
            <w:tcBorders>
              <w:bottom w:val="single" w:sz="12" w:space="0" w:color="auto"/>
            </w:tcBorders>
          </w:tcPr>
          <w:p w14:paraId="7AC226F4" w14:textId="11716361" w:rsidR="00064C08" w:rsidRPr="00593041" w:rsidRDefault="00064C08" w:rsidP="00064C08">
            <w:pPr>
              <w:pStyle w:val="LSDeadline"/>
            </w:pPr>
          </w:p>
        </w:tc>
      </w:tr>
      <w:tr w:rsidR="00D22C80" w:rsidRPr="009C6407" w14:paraId="1A3FF4C1" w14:textId="77777777" w:rsidTr="0074689D">
        <w:tblPrEx>
          <w:tblLook w:val="04A0" w:firstRow="1" w:lastRow="0" w:firstColumn="1" w:lastColumn="0" w:noHBand="0" w:noVBand="1"/>
        </w:tblPrEx>
        <w:trPr>
          <w:gridAfter w:val="1"/>
          <w:wAfter w:w="9" w:type="dxa"/>
          <w:cantSplit/>
          <w:trHeight w:val="357"/>
        </w:trPr>
        <w:tc>
          <w:tcPr>
            <w:tcW w:w="1436" w:type="dxa"/>
            <w:gridSpan w:val="3"/>
            <w:tcBorders>
              <w:top w:val="single" w:sz="4" w:space="0" w:color="auto"/>
              <w:bottom w:val="single" w:sz="4" w:space="0" w:color="auto"/>
            </w:tcBorders>
          </w:tcPr>
          <w:p w14:paraId="591D79B7" w14:textId="77777777" w:rsidR="00D22C80" w:rsidRDefault="00D22C80" w:rsidP="004F3DA5">
            <w:pPr>
              <w:rPr>
                <w:b/>
                <w:bCs/>
              </w:rPr>
            </w:pPr>
            <w:r>
              <w:rPr>
                <w:b/>
                <w:bCs/>
              </w:rPr>
              <w:t>Contact:</w:t>
            </w:r>
          </w:p>
        </w:tc>
        <w:tc>
          <w:tcPr>
            <w:tcW w:w="4160" w:type="dxa"/>
            <w:gridSpan w:val="4"/>
            <w:tcBorders>
              <w:top w:val="single" w:sz="4" w:space="0" w:color="auto"/>
              <w:bottom w:val="single" w:sz="4" w:space="0" w:color="auto"/>
            </w:tcBorders>
          </w:tcPr>
          <w:p w14:paraId="5AD33420" w14:textId="77777777" w:rsidR="00D22C80" w:rsidRPr="00526676" w:rsidRDefault="00D22C80" w:rsidP="004F3DA5">
            <w:pPr>
              <w:pStyle w:val="LSDeadline"/>
              <w:rPr>
                <w:rFonts w:eastAsiaTheme="minorEastAsia"/>
                <w:szCs w:val="24"/>
                <w:lang w:eastAsia="ja-JP"/>
              </w:rPr>
            </w:pPr>
            <w:r w:rsidRPr="007154A7">
              <w:rPr>
                <w:rFonts w:asciiTheme="majorBidi" w:hAnsiTheme="majorBidi" w:cstheme="majorBidi"/>
              </w:rPr>
              <w:t>Ena Dekanic</w:t>
            </w:r>
            <w:r w:rsidRPr="007154A7">
              <w:rPr>
                <w:rFonts w:asciiTheme="majorBidi" w:hAnsiTheme="majorBidi" w:cstheme="majorBidi"/>
              </w:rPr>
              <w:br/>
              <w:t>SG2 Chair</w:t>
            </w:r>
            <w:r w:rsidRPr="007154A7">
              <w:rPr>
                <w:rFonts w:asciiTheme="majorBidi" w:hAnsiTheme="majorBidi" w:cstheme="majorBidi"/>
              </w:rPr>
              <w:br/>
              <w:t>United States</w:t>
            </w:r>
          </w:p>
        </w:tc>
        <w:tc>
          <w:tcPr>
            <w:tcW w:w="4034" w:type="dxa"/>
            <w:gridSpan w:val="2"/>
            <w:tcBorders>
              <w:top w:val="single" w:sz="4" w:space="0" w:color="auto"/>
              <w:bottom w:val="single" w:sz="4" w:space="0" w:color="auto"/>
            </w:tcBorders>
          </w:tcPr>
          <w:p w14:paraId="738396E0" w14:textId="77777777" w:rsidR="00D22C80" w:rsidRPr="0098039A" w:rsidRDefault="00D22C80" w:rsidP="004F3DA5">
            <w:pPr>
              <w:pStyle w:val="LSDeadline"/>
              <w:rPr>
                <w:rFonts w:eastAsiaTheme="minorEastAsia"/>
                <w:szCs w:val="24"/>
                <w:lang w:val="fr-FR" w:eastAsia="ja-JP"/>
              </w:rPr>
            </w:pPr>
            <w:r>
              <w:rPr>
                <w:rFonts w:asciiTheme="majorBidi" w:hAnsiTheme="majorBidi" w:cstheme="majorBidi"/>
                <w:lang w:val="de-AT"/>
              </w:rPr>
              <w:t xml:space="preserve">E-mail: </w:t>
            </w:r>
            <w:r>
              <w:fldChar w:fldCharType="begin"/>
            </w:r>
            <w:r w:rsidRPr="009C6407">
              <w:rPr>
                <w:lang w:val="fr-CH"/>
              </w:rPr>
              <w:instrText>HYPERLINK "mailto:DekanicE@state.gov"</w:instrText>
            </w:r>
            <w:r>
              <w:fldChar w:fldCharType="separate"/>
            </w:r>
            <w:r>
              <w:rPr>
                <w:rStyle w:val="Hyperlink"/>
                <w:lang w:val="fr-CH"/>
              </w:rPr>
              <w:t>DekanicE@state.gov</w:t>
            </w:r>
            <w:r>
              <w:fldChar w:fldCharType="end"/>
            </w:r>
          </w:p>
        </w:tc>
      </w:tr>
      <w:tr w:rsidR="006E5BCA" w:rsidRPr="009C6407" w14:paraId="231242CA" w14:textId="77777777" w:rsidTr="0074689D">
        <w:tblPrEx>
          <w:tblLook w:val="04A0" w:firstRow="1" w:lastRow="0" w:firstColumn="1" w:lastColumn="0" w:noHBand="0" w:noVBand="1"/>
        </w:tblPrEx>
        <w:trPr>
          <w:gridAfter w:val="1"/>
          <w:wAfter w:w="9" w:type="dxa"/>
          <w:cantSplit/>
        </w:trPr>
        <w:tc>
          <w:tcPr>
            <w:tcW w:w="1418" w:type="dxa"/>
            <w:gridSpan w:val="2"/>
            <w:tcBorders>
              <w:top w:val="single" w:sz="8" w:space="0" w:color="auto"/>
              <w:bottom w:val="single" w:sz="8" w:space="0" w:color="auto"/>
            </w:tcBorders>
          </w:tcPr>
          <w:p w14:paraId="6AB30EB6" w14:textId="77777777" w:rsidR="00064C08" w:rsidRPr="00593041" w:rsidRDefault="00064C08" w:rsidP="00064C08">
            <w:pPr>
              <w:rPr>
                <w:b/>
                <w:bCs/>
                <w:highlight w:val="yellow"/>
              </w:rPr>
            </w:pPr>
            <w:r w:rsidRPr="00593041">
              <w:rPr>
                <w:rFonts w:asciiTheme="majorBidi" w:hAnsiTheme="majorBidi" w:cstheme="majorBidi"/>
                <w:b/>
                <w:bCs/>
                <w:kern w:val="2"/>
                <w:lang w:eastAsia="zh-CN"/>
              </w:rPr>
              <w:t>Contact:</w:t>
            </w:r>
          </w:p>
        </w:tc>
        <w:tc>
          <w:tcPr>
            <w:tcW w:w="4111" w:type="dxa"/>
            <w:gridSpan w:val="4"/>
            <w:tcBorders>
              <w:top w:val="single" w:sz="8" w:space="0" w:color="auto"/>
              <w:bottom w:val="single" w:sz="8" w:space="0" w:color="auto"/>
            </w:tcBorders>
            <w:vAlign w:val="center"/>
          </w:tcPr>
          <w:p w14:paraId="5CB16B78" w14:textId="62FC2906" w:rsidR="00064C08" w:rsidRPr="00593041" w:rsidRDefault="0074689D" w:rsidP="00064C08">
            <w:pPr>
              <w:spacing w:before="0"/>
              <w:rPr>
                <w:highlight w:val="yellow"/>
                <w:lang w:eastAsia="en-GB"/>
              </w:rPr>
            </w:pPr>
            <w:sdt>
              <w:sdtPr>
                <w:rPr>
                  <w:rFonts w:eastAsia="DengXian"/>
                  <w:lang w:val="en-US" w:eastAsia="zh-CN" w:bidi="ar"/>
                </w:rPr>
                <w:alias w:val="ContactNameOrgCountry"/>
                <w:id w:val="2063201545"/>
                <w:text/>
              </w:sdtPr>
              <w:sdtEndPr/>
              <w:sdtContent>
                <w:r w:rsidR="00D22C80" w:rsidRPr="00D22C80">
                  <w:rPr>
                    <w:rFonts w:eastAsia="DengXian"/>
                    <w:lang w:val="en-US" w:eastAsia="zh-CN" w:bidi="ar"/>
                  </w:rPr>
                  <w:t>Dmitry Cherkesov</w:t>
                </w:r>
                <w:r w:rsidR="00D22C80" w:rsidRPr="00D22C80">
                  <w:rPr>
                    <w:rFonts w:eastAsia="DengXian"/>
                    <w:lang w:val="en-US" w:eastAsia="zh-CN" w:bidi="ar"/>
                  </w:rPr>
                  <w:br/>
                  <w:t>SCV rapporteur of ITU-T Study Group 2</w:t>
                </w:r>
              </w:sdtContent>
            </w:sdt>
          </w:p>
        </w:tc>
        <w:tc>
          <w:tcPr>
            <w:tcW w:w="4101" w:type="dxa"/>
            <w:gridSpan w:val="3"/>
            <w:tcBorders>
              <w:top w:val="single" w:sz="8" w:space="0" w:color="auto"/>
              <w:bottom w:val="single" w:sz="8" w:space="0" w:color="auto"/>
            </w:tcBorders>
            <w:vAlign w:val="center"/>
          </w:tcPr>
          <w:p w14:paraId="1D74C0B9" w14:textId="5EC64D48" w:rsidR="00064C08" w:rsidRPr="00D22C80" w:rsidRDefault="00064C08" w:rsidP="00C70663">
            <w:pPr>
              <w:rPr>
                <w:rFonts w:asciiTheme="majorBidi" w:hAnsiTheme="majorBidi" w:cstheme="majorBidi"/>
                <w:kern w:val="2"/>
                <w:lang w:val="fr-FR" w:eastAsia="zh-CN"/>
              </w:rPr>
            </w:pPr>
            <w:proofErr w:type="gramStart"/>
            <w:r w:rsidRPr="00D22C80">
              <w:rPr>
                <w:lang w:val="fr-FR"/>
              </w:rPr>
              <w:t>Tel:</w:t>
            </w:r>
            <w:proofErr w:type="gramEnd"/>
            <w:r w:rsidRPr="00D22C80">
              <w:rPr>
                <w:lang w:val="fr-FR"/>
              </w:rPr>
              <w:t xml:space="preserve"> </w:t>
            </w:r>
            <w:r w:rsidRPr="00D22C80">
              <w:rPr>
                <w:lang w:val="fr-FR"/>
              </w:rPr>
              <w:tab/>
              <w:t>+7 985 239 06 00</w:t>
            </w:r>
            <w:r w:rsidRPr="00D22C80">
              <w:rPr>
                <w:lang w:val="fr-FR"/>
              </w:rPr>
              <w:br/>
            </w:r>
            <w:proofErr w:type="gramStart"/>
            <w:r w:rsidRPr="00D22C80">
              <w:rPr>
                <w:lang w:val="fr-FR"/>
              </w:rPr>
              <w:t>E-mail:</w:t>
            </w:r>
            <w:proofErr w:type="gramEnd"/>
            <w:r w:rsidR="00D22C80">
              <w:rPr>
                <w:lang w:val="fr-FR"/>
              </w:rPr>
              <w:t xml:space="preserve"> </w:t>
            </w:r>
            <w:hyperlink r:id="rId13" w:history="1">
              <w:r w:rsidR="00D22C80" w:rsidRPr="00B216AD">
                <w:rPr>
                  <w:rStyle w:val="Hyperlink"/>
                  <w:rFonts w:ascii="Times New Roman" w:hAnsi="Times New Roman"/>
                  <w:lang w:val="fr-FR"/>
                </w:rPr>
                <w:t>dcherkesov@gmail.com</w:t>
              </w:r>
            </w:hyperlink>
          </w:p>
        </w:tc>
      </w:tr>
    </w:tbl>
    <w:p w14:paraId="1690D1BB" w14:textId="77777777" w:rsidR="00FE3BB1" w:rsidRPr="00D22C80" w:rsidRDefault="00FE3BB1">
      <w:pPr>
        <w:rPr>
          <w:lang w:val="fr-FR"/>
        </w:rPr>
      </w:pPr>
    </w:p>
    <w:tbl>
      <w:tblPr>
        <w:tblW w:w="9757" w:type="dxa"/>
        <w:tblCellMar>
          <w:left w:w="57" w:type="dxa"/>
          <w:right w:w="57" w:type="dxa"/>
        </w:tblCellMar>
        <w:tblLook w:val="0000" w:firstRow="0" w:lastRow="0" w:firstColumn="0" w:lastColumn="0" w:noHBand="0" w:noVBand="0"/>
      </w:tblPr>
      <w:tblGrid>
        <w:gridCol w:w="1611"/>
        <w:gridCol w:w="8146"/>
      </w:tblGrid>
      <w:tr w:rsidR="006E5BCA" w:rsidRPr="00593041" w14:paraId="1F2EABDB" w14:textId="77777777" w:rsidTr="0084427D">
        <w:trPr>
          <w:cantSplit/>
          <w:trHeight w:val="467"/>
        </w:trPr>
        <w:tc>
          <w:tcPr>
            <w:tcW w:w="1611" w:type="dxa"/>
          </w:tcPr>
          <w:p w14:paraId="147B8950" w14:textId="77777777" w:rsidR="00FE3BB1" w:rsidRPr="00593041" w:rsidRDefault="001C32D0">
            <w:pPr>
              <w:rPr>
                <w:b/>
                <w:bCs/>
              </w:rPr>
            </w:pPr>
            <w:r w:rsidRPr="00593041">
              <w:rPr>
                <w:b/>
                <w:bCs/>
              </w:rPr>
              <w:t>Abstract:</w:t>
            </w:r>
          </w:p>
        </w:tc>
        <w:tc>
          <w:tcPr>
            <w:tcW w:w="8146" w:type="dxa"/>
          </w:tcPr>
          <w:sdt>
            <w:sdt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14:paraId="624F81AD" w14:textId="77777777" w:rsidR="00FE3BB1" w:rsidRPr="00593041" w:rsidRDefault="001C32D0">
                <w:r w:rsidRPr="00593041">
                  <w:t>Liaison to SCV regarding current terms and definition activities within SG2.</w:t>
                </w:r>
              </w:p>
            </w:sdtContent>
          </w:sdt>
        </w:tc>
      </w:tr>
    </w:tbl>
    <w:p w14:paraId="5C83BA83" w14:textId="79C3D0F2" w:rsidR="00FE3BB1" w:rsidRPr="00593041" w:rsidRDefault="001C32D0">
      <w:pPr>
        <w:spacing w:before="360"/>
        <w:jc w:val="both"/>
      </w:pPr>
      <w:r w:rsidRPr="00593041">
        <w:t xml:space="preserve">ITU-T SG2 thanks </w:t>
      </w:r>
      <w:r w:rsidR="00097B3A" w:rsidRPr="00593041">
        <w:t>CCT/</w:t>
      </w:r>
      <w:r w:rsidRPr="00593041">
        <w:t>SCV/CCV and SGs for the alignment terms and definitions work.</w:t>
      </w:r>
    </w:p>
    <w:p w14:paraId="44971825" w14:textId="7755BA65" w:rsidR="009722EF" w:rsidRPr="00593041" w:rsidRDefault="009722EF" w:rsidP="009722EF">
      <w:pPr>
        <w:rPr>
          <w:bCs/>
          <w:iCs/>
        </w:rPr>
      </w:pPr>
      <w:r w:rsidRPr="00593041">
        <w:t xml:space="preserve">SG2 follows the formal structure of definition to </w:t>
      </w:r>
      <w:r w:rsidRPr="00593041">
        <w:rPr>
          <w:bCs/>
          <w:iCs/>
        </w:rPr>
        <w:t>Author's Guide for drafting ITU-T Recommendations (</w:t>
      </w:r>
      <w:proofErr w:type="gramStart"/>
      <w:r w:rsidR="00097B3A" w:rsidRPr="00593041">
        <w:rPr>
          <w:bCs/>
          <w:iCs/>
        </w:rPr>
        <w:t>June</w:t>
      </w:r>
      <w:r w:rsidRPr="00593041">
        <w:rPr>
          <w:bCs/>
          <w:iCs/>
        </w:rPr>
        <w:t>,</w:t>
      </w:r>
      <w:proofErr w:type="gramEnd"/>
      <w:r w:rsidRPr="00593041">
        <w:rPr>
          <w:bCs/>
          <w:iCs/>
        </w:rPr>
        <w:t xml:space="preserve"> 202</w:t>
      </w:r>
      <w:r w:rsidR="00097B3A" w:rsidRPr="00593041">
        <w:rPr>
          <w:bCs/>
          <w:iCs/>
        </w:rPr>
        <w:t>3</w:t>
      </w:r>
      <w:r w:rsidRPr="00593041">
        <w:rPr>
          <w:bCs/>
          <w:iCs/>
        </w:rPr>
        <w:t>), Annex B, Guidance on the development of definitions.</w:t>
      </w:r>
    </w:p>
    <w:p w14:paraId="73861423" w14:textId="7A4F1390" w:rsidR="009722EF" w:rsidRPr="00593041" w:rsidRDefault="009722EF" w:rsidP="009722EF">
      <w:pPr>
        <w:jc w:val="both"/>
      </w:pPr>
      <w:r w:rsidRPr="00593041">
        <w:t>(extract from Annex B Authors Guide):</w:t>
      </w:r>
    </w:p>
    <w:p w14:paraId="79BF749A" w14:textId="77777777" w:rsidR="009722EF" w:rsidRPr="00593041" w:rsidRDefault="009722EF" w:rsidP="009722EF">
      <w:r w:rsidRPr="00593041">
        <w:t xml:space="preserve">A formal definition is a concise, logical statement that comprises three essential elements: </w:t>
      </w:r>
    </w:p>
    <w:p w14:paraId="40E93BBF" w14:textId="77777777" w:rsidR="009722EF" w:rsidRPr="00593041" w:rsidRDefault="009722EF" w:rsidP="009722EF">
      <w:pPr>
        <w:pStyle w:val="enumlev1"/>
        <w:rPr>
          <w:szCs w:val="24"/>
        </w:rPr>
      </w:pPr>
      <w:proofErr w:type="spellStart"/>
      <w:r w:rsidRPr="00593041">
        <w:rPr>
          <w:szCs w:val="24"/>
        </w:rPr>
        <w:t>i</w:t>
      </w:r>
      <w:proofErr w:type="spellEnd"/>
      <w:r w:rsidRPr="00593041">
        <w:rPr>
          <w:szCs w:val="24"/>
        </w:rPr>
        <w:t>)</w:t>
      </w:r>
      <w:r w:rsidRPr="00593041">
        <w:rPr>
          <w:szCs w:val="24"/>
        </w:rPr>
        <w:tab/>
        <w:t xml:space="preserve">The term (word or phrase) to be </w:t>
      </w:r>
      <w:proofErr w:type="gramStart"/>
      <w:r w:rsidRPr="00593041">
        <w:rPr>
          <w:szCs w:val="24"/>
        </w:rPr>
        <w:t>defined;</w:t>
      </w:r>
      <w:proofErr w:type="gramEnd"/>
    </w:p>
    <w:p w14:paraId="4EA5D558" w14:textId="77777777" w:rsidR="009722EF" w:rsidRPr="00593041" w:rsidRDefault="009722EF" w:rsidP="009722EF">
      <w:pPr>
        <w:pStyle w:val="enumlev1"/>
        <w:rPr>
          <w:szCs w:val="24"/>
        </w:rPr>
      </w:pPr>
      <w:r w:rsidRPr="00593041">
        <w:rPr>
          <w:szCs w:val="24"/>
        </w:rPr>
        <w:t>ii)</w:t>
      </w:r>
      <w:r w:rsidRPr="00593041">
        <w:rPr>
          <w:szCs w:val="24"/>
        </w:rPr>
        <w:tab/>
        <w:t>The class of object or concept to which the term belongs; and</w:t>
      </w:r>
    </w:p>
    <w:p w14:paraId="4AF66B55" w14:textId="77777777" w:rsidR="009722EF" w:rsidRPr="00593041" w:rsidRDefault="009722EF" w:rsidP="009722EF">
      <w:pPr>
        <w:pStyle w:val="enumlev1"/>
        <w:rPr>
          <w:szCs w:val="24"/>
        </w:rPr>
      </w:pPr>
      <w:r w:rsidRPr="00593041">
        <w:rPr>
          <w:szCs w:val="24"/>
        </w:rPr>
        <w:t>iii)</w:t>
      </w:r>
      <w:r w:rsidRPr="00593041">
        <w:rPr>
          <w:szCs w:val="24"/>
        </w:rPr>
        <w:tab/>
        <w:t>The characteristics that distinguish it from all others of its class.</w:t>
      </w:r>
    </w:p>
    <w:p w14:paraId="6A8077F7" w14:textId="77777777" w:rsidR="009722EF" w:rsidRPr="00593041" w:rsidRDefault="009722EF" w:rsidP="009722EF">
      <w:pPr>
        <w:jc w:val="both"/>
      </w:pPr>
      <w:r w:rsidRPr="00593041">
        <w:t>Definitions with more than one explanation should be separated with semicolons.</w:t>
      </w:r>
    </w:p>
    <w:p w14:paraId="751A8712" w14:textId="13E9D2DE" w:rsidR="00287D07" w:rsidRPr="00593041" w:rsidRDefault="00287D07" w:rsidP="009722EF">
      <w:pPr>
        <w:jc w:val="both"/>
      </w:pPr>
      <w:r w:rsidRPr="00593041">
        <w:t xml:space="preserve">Where abbreviations are used within a definition, an explanation or expansion of those abbreviations </w:t>
      </w:r>
      <w:r w:rsidRPr="00593041">
        <w:rPr>
          <w:u w:val="single"/>
        </w:rPr>
        <w:t>must be</w:t>
      </w:r>
      <w:r w:rsidRPr="00593041">
        <w:t xml:space="preserve"> included. Standard symbols for measurement units should not be defined</w:t>
      </w:r>
    </w:p>
    <w:p w14:paraId="5D8721A2" w14:textId="77777777" w:rsidR="009722EF" w:rsidRPr="00593041" w:rsidRDefault="009722EF" w:rsidP="009722EF">
      <w:pPr>
        <w:jc w:val="both"/>
      </w:pPr>
    </w:p>
    <w:p w14:paraId="24223B11" w14:textId="14871DE3" w:rsidR="00816504" w:rsidRDefault="001C32D0" w:rsidP="00325CBA">
      <w:pPr>
        <w:rPr>
          <w:rStyle w:val="rynqvb"/>
        </w:rPr>
      </w:pPr>
      <w:r w:rsidRPr="00593041">
        <w:rPr>
          <w:lang w:eastAsia="zh-CN"/>
        </w:rPr>
        <w:t xml:space="preserve">At </w:t>
      </w:r>
      <w:r w:rsidRPr="00593041">
        <w:t>ITU</w:t>
      </w:r>
      <w:r w:rsidRPr="00593041">
        <w:rPr>
          <w:lang w:eastAsia="zh-CN"/>
        </w:rPr>
        <w:t>-T Study Group 2 meeting (</w:t>
      </w:r>
      <w:r w:rsidR="0031120D" w:rsidRPr="00593041">
        <w:t xml:space="preserve">Geneva, </w:t>
      </w:r>
      <w:r w:rsidR="00D22C80">
        <w:t>5 September</w:t>
      </w:r>
      <w:r w:rsidR="00D22C80" w:rsidRPr="00593041">
        <w:t xml:space="preserve"> </w:t>
      </w:r>
      <w:r w:rsidR="0031120D" w:rsidRPr="00593041">
        <w:t>2025</w:t>
      </w:r>
      <w:r w:rsidRPr="00593041">
        <w:rPr>
          <w:lang w:eastAsia="zh-CN"/>
        </w:rPr>
        <w:t xml:space="preserve">) we discussed </w:t>
      </w:r>
      <w:r w:rsidR="00097B3A" w:rsidRPr="00593041">
        <w:rPr>
          <w:rFonts w:eastAsia="SimSun"/>
        </w:rPr>
        <w:t>new or amended terms and definitions developed in our Recommendations</w:t>
      </w:r>
      <w:r w:rsidR="0052589E" w:rsidRPr="00593041">
        <w:rPr>
          <w:rStyle w:val="rynqvb"/>
        </w:rPr>
        <w:t>.</w:t>
      </w:r>
    </w:p>
    <w:p w14:paraId="71700759" w14:textId="77777777" w:rsidR="00F41487" w:rsidRDefault="00F41487" w:rsidP="0052589E">
      <w:pPr>
        <w:pStyle w:val="ListParagraph"/>
        <w:ind w:left="360" w:firstLine="0"/>
        <w:contextualSpacing/>
        <w:rPr>
          <w:rStyle w:val="rynqvb"/>
        </w:rPr>
      </w:pPr>
    </w:p>
    <w:p w14:paraId="3807B663" w14:textId="4269B884" w:rsidR="00F41487" w:rsidRPr="00F41487" w:rsidRDefault="00F41487" w:rsidP="00325CBA">
      <w:pPr>
        <w:pStyle w:val="ListParagraph"/>
        <w:keepNext/>
        <w:keepLines/>
        <w:numPr>
          <w:ilvl w:val="0"/>
          <w:numId w:val="1"/>
        </w:num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540" w:hanging="540"/>
        <w:rPr>
          <w:b/>
          <w:lang w:val="en-US"/>
        </w:rPr>
      </w:pPr>
      <w:r w:rsidRPr="00F41487">
        <w:rPr>
          <w:b/>
          <w:lang w:val="fr-CH"/>
        </w:rPr>
        <w:lastRenderedPageBreak/>
        <w:t xml:space="preserve">Draft </w:t>
      </w:r>
      <w:r w:rsidRPr="00F41487">
        <w:rPr>
          <w:b/>
          <w:bCs/>
        </w:rPr>
        <w:t>Recommendation</w:t>
      </w:r>
      <w:r w:rsidRPr="00F41487">
        <w:rPr>
          <w:b/>
          <w:lang w:val="fr-CH"/>
        </w:rPr>
        <w:t xml:space="preserve"> ITU-T E.371 (</w:t>
      </w:r>
      <w:proofErr w:type="spellStart"/>
      <w:r w:rsidRPr="00F41487">
        <w:rPr>
          <w:b/>
          <w:lang w:val="fr-CH"/>
        </w:rPr>
        <w:t>E.dit</w:t>
      </w:r>
      <w:proofErr w:type="spellEnd"/>
      <w:proofErr w:type="gramStart"/>
      <w:r w:rsidRPr="00F41487">
        <w:rPr>
          <w:b/>
          <w:lang w:val="fr-CH"/>
        </w:rPr>
        <w:t>)</w:t>
      </w:r>
      <w:r>
        <w:rPr>
          <w:b/>
          <w:lang w:val="fr-CH"/>
        </w:rPr>
        <w:t> </w:t>
      </w:r>
      <w:r w:rsidRPr="00F41487">
        <w:rPr>
          <w:b/>
          <w:lang w:val="fr-FR"/>
        </w:rPr>
        <w:t>,</w:t>
      </w:r>
      <w:proofErr w:type="gramEnd"/>
      <w:r w:rsidRPr="00F41487">
        <w:rPr>
          <w:b/>
          <w:lang w:val="fr-FR"/>
        </w:rPr>
        <w:t xml:space="preserve"> </w:t>
      </w:r>
      <w:r w:rsidRPr="00F41487">
        <w:rPr>
          <w:b/>
          <w:lang w:val="en-US"/>
        </w:rPr>
        <w:t>Deemed impermissible traffic</w:t>
      </w:r>
      <w:r w:rsidR="00CA7B71">
        <w:rPr>
          <w:b/>
          <w:lang w:val="en-US"/>
        </w:rPr>
        <w:t xml:space="preserve"> (Determined)</w:t>
      </w:r>
    </w:p>
    <w:p w14:paraId="0F063D36" w14:textId="77777777" w:rsidR="00EC18B3" w:rsidRPr="00593041" w:rsidRDefault="00EC18B3" w:rsidP="00041C8A">
      <w:pPr>
        <w:pStyle w:val="ListParagraph"/>
        <w:keepNext/>
        <w:keepLines/>
        <w:ind w:left="360" w:firstLine="0"/>
        <w:contextualSpacing/>
        <w:rPr>
          <w:bCs/>
          <w:iCs/>
        </w:rPr>
      </w:pPr>
    </w:p>
    <w:p w14:paraId="2AD4D41C"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lang w:val="en-US" w:eastAsia="en-US"/>
        </w:rPr>
      </w:pPr>
      <w:r w:rsidRPr="00F41487">
        <w:rPr>
          <w:b/>
          <w:bCs/>
        </w:rPr>
        <w:t>artificial</w:t>
      </w:r>
      <w:r>
        <w:rPr>
          <w:rFonts w:asciiTheme="majorBidi" w:hAnsiTheme="majorBidi" w:cstheme="majorBidi"/>
          <w:b/>
          <w:bCs/>
        </w:rPr>
        <w:t xml:space="preserve"> inflation of traffic (AIT)</w:t>
      </w:r>
      <w:r>
        <w:rPr>
          <w:rFonts w:asciiTheme="majorBidi" w:hAnsiTheme="majorBidi" w:cstheme="majorBidi"/>
        </w:rPr>
        <w:t>:</w:t>
      </w:r>
      <w:r>
        <w:rPr>
          <w:rFonts w:asciiTheme="majorBidi" w:hAnsiTheme="majorBidi" w:cstheme="majorBidi"/>
          <w:b/>
          <w:bCs/>
        </w:rPr>
        <w:t xml:space="preserve"> </w:t>
      </w:r>
      <w:r>
        <w:rPr>
          <w:rFonts w:asciiTheme="majorBidi" w:hAnsiTheme="majorBidi" w:cstheme="majorBidi"/>
        </w:rPr>
        <w:t xml:space="preserve">The intentional generation of excessive call or message traffic to artificially increase revenue, often involving premium-rate services. </w:t>
      </w:r>
    </w:p>
    <w:p w14:paraId="41DA1149" w14:textId="77777777" w:rsidR="00F41487" w:rsidRDefault="00F41487" w:rsidP="00325CBA">
      <w:pPr>
        <w:pStyle w:val="ListParagraph"/>
        <w:ind w:firstLine="0"/>
        <w:jc w:val="both"/>
        <w:rPr>
          <w:rFonts w:asciiTheme="majorBidi" w:eastAsia="Times New Roman" w:hAnsiTheme="majorBidi" w:cstheme="majorBidi"/>
        </w:rPr>
      </w:pPr>
      <w:r>
        <w:rPr>
          <w:rFonts w:asciiTheme="majorBidi" w:hAnsiTheme="majorBidi" w:cstheme="majorBidi"/>
        </w:rPr>
        <w:t xml:space="preserve">NOTE - AIT is considered illegal as it disrupts networks, causes financial harm and violates telecom regulations. </w:t>
      </w:r>
    </w:p>
    <w:p w14:paraId="65D5F290"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rPr>
      </w:pPr>
      <w:r>
        <w:rPr>
          <w:rFonts w:asciiTheme="majorBidi" w:eastAsia="Times New Roman" w:hAnsiTheme="majorBidi" w:cstheme="majorBidi"/>
          <w:b/>
          <w:bCs/>
        </w:rPr>
        <w:t xml:space="preserve">call </w:t>
      </w:r>
      <w:r w:rsidRPr="00F41487">
        <w:rPr>
          <w:b/>
          <w:bCs/>
        </w:rPr>
        <w:t>masking</w:t>
      </w:r>
      <w:r>
        <w:rPr>
          <w:rFonts w:asciiTheme="majorBidi" w:eastAsia="Times New Roman" w:hAnsiTheme="majorBidi" w:cstheme="majorBidi"/>
        </w:rPr>
        <w:t>:</w:t>
      </w:r>
      <w:r>
        <w:rPr>
          <w:rFonts w:asciiTheme="majorBidi" w:eastAsia="Times New Roman" w:hAnsiTheme="majorBidi" w:cstheme="majorBidi"/>
          <w:b/>
          <w:bCs/>
        </w:rPr>
        <w:t xml:space="preserve"> </w:t>
      </w:r>
      <w:r>
        <w:rPr>
          <w:rFonts w:asciiTheme="majorBidi" w:eastAsia="Times New Roman" w:hAnsiTheme="majorBidi" w:cstheme="majorBidi"/>
        </w:rPr>
        <w:t xml:space="preserve">The voice-over-Internet-protocol (VoIP) or another feature that hides phone numbers. </w:t>
      </w:r>
    </w:p>
    <w:p w14:paraId="5BC75E5F"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rPr>
      </w:pPr>
      <w:r>
        <w:rPr>
          <w:rFonts w:asciiTheme="majorBidi" w:eastAsia="Times New Roman" w:hAnsiTheme="majorBidi" w:cstheme="majorBidi"/>
          <w:b/>
          <w:bCs/>
        </w:rPr>
        <w:t xml:space="preserve">call </w:t>
      </w:r>
      <w:r w:rsidRPr="00F41487">
        <w:rPr>
          <w:b/>
          <w:bCs/>
        </w:rPr>
        <w:t>refiling</w:t>
      </w:r>
      <w:r>
        <w:rPr>
          <w:rFonts w:asciiTheme="majorBidi" w:eastAsia="Times New Roman" w:hAnsiTheme="majorBidi" w:cstheme="majorBidi"/>
        </w:rPr>
        <w:t>:</w:t>
      </w:r>
      <w:r>
        <w:rPr>
          <w:rFonts w:asciiTheme="majorBidi" w:eastAsia="Times New Roman" w:hAnsiTheme="majorBidi" w:cstheme="majorBidi"/>
          <w:b/>
          <w:bCs/>
        </w:rPr>
        <w:t xml:space="preserve"> </w:t>
      </w:r>
      <w:r>
        <w:rPr>
          <w:rFonts w:asciiTheme="majorBidi" w:eastAsia="Times New Roman" w:hAnsiTheme="majorBidi" w:cstheme="majorBidi"/>
        </w:rPr>
        <w:t xml:space="preserve">The action of terminating an international call as a local number. </w:t>
      </w:r>
    </w:p>
    <w:p w14:paraId="0A7C371C"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rPr>
      </w:pPr>
      <w:r w:rsidRPr="00F41487">
        <w:rPr>
          <w:b/>
          <w:bCs/>
        </w:rPr>
        <w:t>deemed</w:t>
      </w:r>
      <w:r>
        <w:rPr>
          <w:rFonts w:asciiTheme="majorBidi" w:eastAsia="Times New Roman" w:hAnsiTheme="majorBidi" w:cstheme="majorBidi"/>
          <w:b/>
          <w:bCs/>
        </w:rPr>
        <w:t xml:space="preserve"> impermissible traffic</w:t>
      </w:r>
      <w:r>
        <w:rPr>
          <w:rFonts w:asciiTheme="majorBidi" w:eastAsia="Times New Roman" w:hAnsiTheme="majorBidi" w:cstheme="majorBidi"/>
        </w:rPr>
        <w:t>:</w:t>
      </w:r>
      <w:r>
        <w:rPr>
          <w:rFonts w:asciiTheme="majorBidi" w:eastAsia="Times New Roman" w:hAnsiTheme="majorBidi" w:cstheme="majorBidi"/>
          <w:b/>
          <w:bCs/>
        </w:rPr>
        <w:t xml:space="preserve"> </w:t>
      </w:r>
      <w:r>
        <w:rPr>
          <w:rFonts w:asciiTheme="majorBidi" w:eastAsia="Times New Roman" w:hAnsiTheme="majorBidi" w:cstheme="majorBidi"/>
        </w:rPr>
        <w:t xml:space="preserve">International traffic that may be contrary to the legal and regulatory framework of a country </w:t>
      </w:r>
    </w:p>
    <w:p w14:paraId="5A5AE36B"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b/>
          <w:bCs/>
        </w:rPr>
      </w:pPr>
      <w:r w:rsidRPr="00F41487">
        <w:rPr>
          <w:b/>
          <w:bCs/>
        </w:rPr>
        <w:t>flash call</w:t>
      </w:r>
      <w:r>
        <w:rPr>
          <w:rStyle w:val="Strong"/>
          <w:rFonts w:asciiTheme="majorBidi" w:hAnsiTheme="majorBidi" w:cstheme="majorBidi"/>
        </w:rPr>
        <w:t xml:space="preserve">: A </w:t>
      </w:r>
      <w:r>
        <w:rPr>
          <w:rFonts w:asciiTheme="majorBidi" w:hAnsiTheme="majorBidi" w:cstheme="majorBidi"/>
        </w:rPr>
        <w:t xml:space="preserve">type of deemed impermissible traffic call that is disconnected almost immediately after being made, often used to exploit one-time-password (OTP) verification systems or bypass short message service (SMS) authentication services. </w:t>
      </w:r>
    </w:p>
    <w:p w14:paraId="6BD36D30" w14:textId="77777777" w:rsidR="00F41487" w:rsidRDefault="00F41487" w:rsidP="00325CBA">
      <w:pPr>
        <w:pStyle w:val="ListParagraph"/>
        <w:ind w:firstLine="0"/>
        <w:jc w:val="both"/>
        <w:rPr>
          <w:rFonts w:asciiTheme="majorBidi" w:eastAsia="Times New Roman" w:hAnsiTheme="majorBidi" w:cstheme="majorBidi"/>
          <w:b/>
          <w:bCs/>
        </w:rPr>
      </w:pPr>
      <w:r>
        <w:rPr>
          <w:rFonts w:asciiTheme="majorBidi" w:hAnsiTheme="majorBidi" w:cstheme="majorBidi"/>
        </w:rPr>
        <w:t>NOTE - Scammers may use flash call-like tactics to trick users into calling back premium-rate numbers or accessing sensitive data, disguising it as a legitimate verification process.</w:t>
      </w:r>
    </w:p>
    <w:p w14:paraId="2910CB2B"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hAnsiTheme="majorBidi" w:cstheme="majorBidi"/>
        </w:rPr>
      </w:pPr>
      <w:r>
        <w:rPr>
          <w:rFonts w:asciiTheme="majorBidi" w:hAnsiTheme="majorBidi" w:cstheme="majorBidi"/>
          <w:b/>
          <w:bCs/>
        </w:rPr>
        <w:t xml:space="preserve">OTT </w:t>
      </w:r>
      <w:r w:rsidRPr="00F41487">
        <w:rPr>
          <w:b/>
          <w:bCs/>
        </w:rPr>
        <w:t>Bypass</w:t>
      </w:r>
      <w:r>
        <w:rPr>
          <w:rFonts w:asciiTheme="majorBidi" w:hAnsiTheme="majorBidi" w:cstheme="majorBidi"/>
          <w:b/>
          <w:bCs/>
        </w:rPr>
        <w:t xml:space="preserve"> –</w:t>
      </w:r>
      <w:r>
        <w:rPr>
          <w:rFonts w:asciiTheme="majorBidi" w:eastAsia="Times New Roman" w:hAnsiTheme="majorBidi" w:cstheme="majorBidi"/>
        </w:rPr>
        <w:t>redirecting of terminating traffic from PSTN\PLMN onto Over-the-Top applications and in reverse direction</w:t>
      </w:r>
      <w:r>
        <w:rPr>
          <w:rFonts w:asciiTheme="majorBidi" w:eastAsia="Times New Roman" w:hAnsiTheme="majorBidi" w:cstheme="majorBidi"/>
          <w:b/>
          <w:bCs/>
        </w:rPr>
        <w:t>.</w:t>
      </w:r>
    </w:p>
    <w:p w14:paraId="044EE680"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rPr>
      </w:pPr>
      <w:r w:rsidRPr="00F41487">
        <w:rPr>
          <w:b/>
          <w:bCs/>
        </w:rPr>
        <w:t>premium</w:t>
      </w:r>
      <w:r>
        <w:rPr>
          <w:rFonts w:asciiTheme="majorBidi" w:hAnsiTheme="majorBidi" w:cstheme="majorBidi"/>
          <w:b/>
          <w:bCs/>
        </w:rPr>
        <w:t xml:space="preserve"> rate services (PRS) deemed impermissible traffic</w:t>
      </w:r>
      <w:r>
        <w:rPr>
          <w:rFonts w:asciiTheme="majorBidi" w:eastAsia="Times New Roman" w:hAnsiTheme="majorBidi" w:cstheme="majorBidi"/>
        </w:rPr>
        <w:t>: The unauthorized or deceptive</w:t>
      </w:r>
      <w:r>
        <w:rPr>
          <w:rFonts w:eastAsia="Times New Roman"/>
        </w:rPr>
        <w:t xml:space="preserve"> </w:t>
      </w:r>
      <w:r>
        <w:rPr>
          <w:rFonts w:asciiTheme="majorBidi" w:eastAsia="Times New Roman" w:hAnsiTheme="majorBidi" w:cstheme="majorBidi"/>
        </w:rPr>
        <w:t>use of premium rate services to generate illicit revenue. This may involve artificially inflating traffic to premium rate numbers, misrepresenting charges, or tricking users into calling or subscribing to high- cost services</w:t>
      </w:r>
    </w:p>
    <w:p w14:paraId="61ED609D" w14:textId="77777777" w:rsidR="00F41487"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rFonts w:asciiTheme="majorBidi" w:eastAsia="Times New Roman" w:hAnsiTheme="majorBidi" w:cstheme="majorBidi"/>
        </w:rPr>
      </w:pPr>
      <w:r w:rsidRPr="00F41487">
        <w:rPr>
          <w:b/>
          <w:bCs/>
        </w:rPr>
        <w:t>sender</w:t>
      </w:r>
      <w:r>
        <w:rPr>
          <w:rFonts w:asciiTheme="majorBidi" w:hAnsiTheme="majorBidi" w:cstheme="majorBidi"/>
          <w:b/>
          <w:bCs/>
        </w:rPr>
        <w:t xml:space="preserve"> identity spoofing</w:t>
      </w:r>
      <w:r>
        <w:rPr>
          <w:rtl/>
        </w:rPr>
        <w:t>:</w:t>
      </w:r>
      <w:r>
        <w:rPr>
          <w:rFonts w:hint="cs"/>
        </w:rPr>
        <w:t xml:space="preserve"> </w:t>
      </w:r>
      <w:r>
        <w:rPr>
          <w:rFonts w:asciiTheme="majorBidi" w:eastAsia="Times New Roman" w:hAnsiTheme="majorBidi" w:cstheme="majorBidi"/>
        </w:rPr>
        <w:t xml:space="preserve">A cyberattack that consists in impersonating a telecommunication service provider in an established communication with the objective of fraudulently obtaining information from a customer. </w:t>
      </w:r>
    </w:p>
    <w:p w14:paraId="1D1BDE88" w14:textId="742CE912" w:rsidR="00124B95" w:rsidRPr="00593041" w:rsidRDefault="00F41487"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proofErr w:type="spellStart"/>
      <w:r w:rsidRPr="00F41487">
        <w:rPr>
          <w:b/>
          <w:bCs/>
        </w:rPr>
        <w:t>Wangiri</w:t>
      </w:r>
      <w:proofErr w:type="spellEnd"/>
      <w:r>
        <w:rPr>
          <w:rFonts w:asciiTheme="majorBidi" w:eastAsia="Times New Roman" w:hAnsiTheme="majorBidi" w:cstheme="majorBidi"/>
          <w:b/>
          <w:bCs/>
        </w:rPr>
        <w:t xml:space="preserve"> deemed impermissible traffic</w:t>
      </w:r>
      <w:r>
        <w:rPr>
          <w:rFonts w:asciiTheme="majorBidi" w:eastAsia="Times New Roman" w:hAnsiTheme="majorBidi" w:cstheme="majorBidi"/>
        </w:rPr>
        <w:t>:</w:t>
      </w:r>
      <w:r>
        <w:rPr>
          <w:rFonts w:asciiTheme="majorBidi" w:eastAsia="Times New Roman" w:hAnsiTheme="majorBidi" w:cstheme="majorBidi"/>
          <w:b/>
          <w:bCs/>
        </w:rPr>
        <w:t xml:space="preserve"> </w:t>
      </w:r>
      <w:r>
        <w:rPr>
          <w:rFonts w:asciiTheme="majorBidi" w:eastAsia="Times New Roman" w:hAnsiTheme="majorBidi" w:cstheme="majorBidi"/>
        </w:rPr>
        <w:t>A</w:t>
      </w:r>
      <w:r>
        <w:rPr>
          <w:rFonts w:asciiTheme="majorBidi" w:eastAsia="Times New Roman" w:hAnsiTheme="majorBidi" w:cstheme="majorBidi"/>
          <w:b/>
          <w:bCs/>
        </w:rPr>
        <w:t xml:space="preserve"> </w:t>
      </w:r>
      <w:r>
        <w:rPr>
          <w:rFonts w:asciiTheme="majorBidi" w:eastAsia="Times New Roman" w:hAnsiTheme="majorBidi" w:cstheme="majorBidi"/>
        </w:rPr>
        <w:t xml:space="preserve">type of telecom </w:t>
      </w:r>
      <w:r>
        <w:rPr>
          <w:rFonts w:asciiTheme="majorBidi" w:hAnsiTheme="majorBidi" w:cstheme="majorBidi"/>
        </w:rPr>
        <w:t>deemed impermissible traffic</w:t>
      </w:r>
      <w:r>
        <w:rPr>
          <w:rFonts w:asciiTheme="majorBidi" w:eastAsia="Times New Roman" w:hAnsiTheme="majorBidi" w:cstheme="majorBidi"/>
        </w:rPr>
        <w:t xml:space="preserve"> that uses short or one-ring calls ("one ring and drop") to cheat subscribers by prompting them to call back the number, which is a premium rate number (PRN), resulting in the victim incurring very expensive charges/rates.</w:t>
      </w:r>
      <w:r w:rsidRPr="00593041">
        <w:rPr>
          <w:b/>
          <w:bCs/>
        </w:rPr>
        <w:t xml:space="preserve"> </w:t>
      </w:r>
      <w:r w:rsidR="00124B95" w:rsidRPr="00593041">
        <w:rPr>
          <w:b/>
          <w:bCs/>
        </w:rPr>
        <w:t xml:space="preserve">Customer experience indicator (CEI): </w:t>
      </w:r>
      <w:r w:rsidR="00124B95" w:rsidRPr="00593041">
        <w:t>The overall evaluation of customer experience of all services used</w:t>
      </w:r>
    </w:p>
    <w:p w14:paraId="026D24FE" w14:textId="77777777" w:rsidR="00F41487" w:rsidRDefault="00F41487" w:rsidP="00206C14">
      <w:pPr>
        <w:tabs>
          <w:tab w:val="left" w:pos="1560"/>
          <w:tab w:val="left" w:pos="1588"/>
          <w:tab w:val="left" w:pos="1985"/>
        </w:tabs>
        <w:overflowPunct w:val="0"/>
        <w:jc w:val="both"/>
        <w:rPr>
          <w:lang w:val="ru-RU"/>
        </w:rPr>
      </w:pPr>
    </w:p>
    <w:p w14:paraId="5F5E3511" w14:textId="6A3EDCCF" w:rsidR="00F41487" w:rsidRPr="00325CBA" w:rsidRDefault="00D14499" w:rsidP="00325CBA">
      <w:pPr>
        <w:pStyle w:val="ListParagraph"/>
        <w:keepNext/>
        <w:keepLines/>
        <w:numPr>
          <w:ilvl w:val="0"/>
          <w:numId w:val="1"/>
        </w:num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540" w:hanging="540"/>
        <w:rPr>
          <w:b/>
          <w:bCs/>
        </w:rPr>
      </w:pPr>
      <w:r w:rsidRPr="00D14499">
        <w:rPr>
          <w:b/>
          <w:bCs/>
          <w:lang w:val="en-US"/>
        </w:rPr>
        <w:t xml:space="preserve">Draft Recommendation ITU-T E.164.1 </w:t>
      </w:r>
      <w:r w:rsidRPr="00D14499">
        <w:rPr>
          <w:b/>
          <w:bCs/>
        </w:rPr>
        <w:t>Criteria and procedures for the reservation, assignment and reclamation</w:t>
      </w:r>
      <w:r>
        <w:rPr>
          <w:b/>
          <w:bCs/>
        </w:rPr>
        <w:t xml:space="preserve"> </w:t>
      </w:r>
      <w:r w:rsidRPr="00D14499">
        <w:rPr>
          <w:b/>
          <w:bCs/>
        </w:rPr>
        <w:t>of E.164 country codes and associated identification codes (ICs)</w:t>
      </w:r>
      <w:r>
        <w:rPr>
          <w:b/>
          <w:bCs/>
        </w:rPr>
        <w:t xml:space="preserve"> (Determined)</w:t>
      </w:r>
    </w:p>
    <w:p w14:paraId="330D08AD" w14:textId="62EFB116" w:rsidR="00F41487" w:rsidRPr="00D14499" w:rsidRDefault="00D14499"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after="40"/>
        <w:ind w:left="1260" w:hanging="702"/>
        <w:rPr>
          <w:lang w:val="en-US"/>
        </w:rPr>
      </w:pPr>
      <w:r>
        <w:rPr>
          <w:b/>
          <w:bCs/>
        </w:rPr>
        <w:t>Sub-</w:t>
      </w:r>
      <w:r w:rsidRPr="00D14499">
        <w:rPr>
          <w:b/>
          <w:bCs/>
          <w:lang w:val="en-US"/>
        </w:rPr>
        <w:t>assignment</w:t>
      </w:r>
      <w:r>
        <w:rPr>
          <w:b/>
          <w:bCs/>
        </w:rPr>
        <w:t xml:space="preserve">: </w:t>
      </w:r>
      <w:r w:rsidRPr="00990633">
        <w:rPr>
          <w:iCs/>
        </w:rPr>
        <w:t>The assignment of a</w:t>
      </w:r>
      <w:r>
        <w:rPr>
          <w:iCs/>
        </w:rPr>
        <w:t>n international</w:t>
      </w:r>
      <w:r w:rsidRPr="00990633">
        <w:rPr>
          <w:iCs/>
        </w:rPr>
        <w:t xml:space="preserve"> resource by an </w:t>
      </w:r>
      <w:r>
        <w:rPr>
          <w:iCs/>
        </w:rPr>
        <w:t xml:space="preserve">assignee </w:t>
      </w:r>
      <w:r w:rsidRPr="00990633">
        <w:rPr>
          <w:iCs/>
        </w:rPr>
        <w:t xml:space="preserve">(other than a Member State) to an entity that is not an end-user. The assignment conditions for the </w:t>
      </w:r>
      <w:r>
        <w:rPr>
          <w:iCs/>
        </w:rPr>
        <w:t>international</w:t>
      </w:r>
      <w:r w:rsidRPr="00990633">
        <w:rPr>
          <w:iCs/>
        </w:rPr>
        <w:t xml:space="preserve"> resource for the assignee shall also apply for the sub-assignee</w:t>
      </w:r>
      <w:r>
        <w:rPr>
          <w:iCs/>
        </w:rPr>
        <w:t>.</w:t>
      </w:r>
    </w:p>
    <w:p w14:paraId="0AFC494F" w14:textId="77777777" w:rsidR="00D14499" w:rsidRDefault="00D14499" w:rsidP="00D144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US"/>
        </w:rPr>
      </w:pPr>
    </w:p>
    <w:p w14:paraId="77757752" w14:textId="292F9ADD" w:rsidR="00D14499" w:rsidRPr="00883922" w:rsidRDefault="00883922" w:rsidP="00325CBA">
      <w:pPr>
        <w:pStyle w:val="ListParagraph"/>
        <w:keepNext/>
        <w:keepLines/>
        <w:numPr>
          <w:ilvl w:val="0"/>
          <w:numId w:val="1"/>
        </w:num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540" w:hanging="540"/>
        <w:rPr>
          <w:b/>
          <w:bCs/>
          <w:lang w:val="en-US"/>
        </w:rPr>
      </w:pPr>
      <w:r w:rsidRPr="00883922">
        <w:rPr>
          <w:b/>
          <w:bCs/>
          <w:lang w:val="en-US"/>
        </w:rPr>
        <w:t>Draft revised Recommendation ITU-T E.164 The international public telecommunication numbering plan</w:t>
      </w:r>
      <w:r>
        <w:rPr>
          <w:b/>
          <w:bCs/>
          <w:lang w:val="en-US"/>
        </w:rPr>
        <w:t xml:space="preserve"> (Determined)</w:t>
      </w:r>
    </w:p>
    <w:p w14:paraId="0B51AFD3" w14:textId="37E94801" w:rsidR="00041425" w:rsidRPr="0012141B" w:rsidRDefault="00041425" w:rsidP="00325CBA">
      <w:pPr>
        <w:pStyle w:val="ListParagraph"/>
        <w:numPr>
          <w:ilvl w:val="1"/>
          <w:numId w:val="1"/>
        </w:numPr>
        <w:tabs>
          <w:tab w:val="left" w:pos="1260"/>
          <w:tab w:val="left" w:pos="1418"/>
          <w:tab w:val="left" w:pos="1701"/>
          <w:tab w:val="left" w:pos="2552"/>
          <w:tab w:val="left" w:pos="2835"/>
          <w:tab w:val="left" w:pos="3119"/>
          <w:tab w:val="left" w:pos="3402"/>
          <w:tab w:val="left" w:pos="3686"/>
          <w:tab w:val="left" w:pos="3969"/>
        </w:tabs>
        <w:spacing w:after="40"/>
        <w:ind w:left="1268" w:hanging="706"/>
      </w:pPr>
      <w:bookmarkStart w:id="8" w:name="_Toc207814950"/>
      <w:r w:rsidRPr="00041425">
        <w:rPr>
          <w:b/>
          <w:bCs/>
          <w:lang w:val="en-US"/>
        </w:rPr>
        <w:t>country</w:t>
      </w:r>
      <w:r w:rsidRPr="00041425">
        <w:rPr>
          <w:b/>
          <w:bCs/>
        </w:rPr>
        <w:t xml:space="preserve"> code (CC) for geographic areas</w:t>
      </w:r>
      <w:bookmarkEnd w:id="8"/>
      <w:r w:rsidRPr="00041425">
        <w:rPr>
          <w:b/>
          <w:bCs/>
        </w:rPr>
        <w:t xml:space="preserve">: </w:t>
      </w:r>
      <w:r w:rsidRPr="0012141B">
        <w:t>The combination of one, two or three digits identifying a specific country, countries in an integrated numbering plan, or a specific geographic area.</w:t>
      </w:r>
    </w:p>
    <w:p w14:paraId="53EE8F28" w14:textId="1574A861" w:rsidR="00041425" w:rsidRPr="0012141B" w:rsidRDefault="00041425" w:rsidP="00325CBA">
      <w:pPr>
        <w:pStyle w:val="ListParagraph"/>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8" w:hanging="706"/>
      </w:pPr>
      <w:bookmarkStart w:id="9" w:name="_Toc207814951"/>
      <w:r w:rsidRPr="00041425">
        <w:rPr>
          <w:b/>
          <w:bCs/>
          <w:lang w:val="en-US"/>
        </w:rPr>
        <w:t>country</w:t>
      </w:r>
      <w:r w:rsidRPr="00041425">
        <w:rPr>
          <w:b/>
          <w:bCs/>
        </w:rPr>
        <w:t xml:space="preserve"> code (CC) for global services</w:t>
      </w:r>
      <w:bookmarkEnd w:id="9"/>
      <w:r w:rsidRPr="00041425">
        <w:rPr>
          <w:b/>
          <w:bCs/>
        </w:rPr>
        <w:t xml:space="preserve">: </w:t>
      </w:r>
      <w:r w:rsidRPr="0012141B">
        <w:t>A 3-digit country code used to identify the global service.</w:t>
      </w:r>
    </w:p>
    <w:p w14:paraId="72F3580B" w14:textId="597B04A4" w:rsidR="00041425" w:rsidRPr="0012141B" w:rsidRDefault="00041425" w:rsidP="00325CBA">
      <w:pPr>
        <w:pStyle w:val="ListParagraph"/>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8" w:hanging="706"/>
      </w:pPr>
      <w:bookmarkStart w:id="10" w:name="_Toc207814952"/>
      <w:r w:rsidRPr="00041425">
        <w:rPr>
          <w:b/>
          <w:bCs/>
        </w:rPr>
        <w:lastRenderedPageBreak/>
        <w:t>country code (CC) for groups of countries</w:t>
      </w:r>
      <w:bookmarkEnd w:id="10"/>
      <w:r w:rsidRPr="00041425">
        <w:rPr>
          <w:b/>
          <w:bCs/>
        </w:rPr>
        <w:t xml:space="preserve">: </w:t>
      </w:r>
      <w:r w:rsidRPr="0012141B">
        <w:t>A shared 3-digit country code used in combination with a group identification code to identify a group of countries.</w:t>
      </w:r>
    </w:p>
    <w:p w14:paraId="2D24326D" w14:textId="407C3B4C"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1" w:name="_Toc207814953"/>
      <w:r w:rsidRPr="00041425">
        <w:rPr>
          <w:b/>
          <w:bCs/>
        </w:rPr>
        <w:t>country</w:t>
      </w:r>
      <w:r w:rsidRPr="0012141B">
        <w:t xml:space="preserve"> </w:t>
      </w:r>
      <w:r w:rsidRPr="00041425">
        <w:rPr>
          <w:b/>
          <w:bCs/>
        </w:rPr>
        <w:t>code (CC) for global satellite services (GSS</w:t>
      </w:r>
      <w:r w:rsidRPr="0012141B">
        <w:t>)</w:t>
      </w:r>
      <w:bookmarkEnd w:id="11"/>
      <w:r>
        <w:t xml:space="preserve">: </w:t>
      </w:r>
      <w:r w:rsidRPr="0012141B">
        <w:t>A shared 3-digit country code to identify global satellite services.</w:t>
      </w:r>
    </w:p>
    <w:p w14:paraId="42A7E81E" w14:textId="12FCD758"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2" w:name="_Toc207814954"/>
      <w:r w:rsidRPr="00041425">
        <w:rPr>
          <w:b/>
          <w:bCs/>
        </w:rPr>
        <w:t>country</w:t>
      </w:r>
      <w:r w:rsidRPr="0012141B">
        <w:t xml:space="preserve"> </w:t>
      </w:r>
      <w:r w:rsidRPr="00041425">
        <w:rPr>
          <w:b/>
          <w:bCs/>
        </w:rPr>
        <w:t>code (CC) for Networks</w:t>
      </w:r>
      <w:bookmarkEnd w:id="12"/>
      <w:r w:rsidRPr="00041425">
        <w:rPr>
          <w:b/>
          <w:bCs/>
        </w:rPr>
        <w:t xml:space="preserve">: </w:t>
      </w:r>
      <w:r w:rsidRPr="0012141B">
        <w:t>A shared 3-digit country code used in combination with an identification code to identify an international Network.</w:t>
      </w:r>
    </w:p>
    <w:p w14:paraId="677B0624" w14:textId="082CFAB0"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3" w:name="_Toc207814955"/>
      <w:r w:rsidRPr="00041425">
        <w:rPr>
          <w:b/>
          <w:bCs/>
        </w:rPr>
        <w:t>country code (CC) for IoT/M2M services/applications</w:t>
      </w:r>
      <w:bookmarkEnd w:id="13"/>
      <w:r w:rsidRPr="00041425">
        <w:rPr>
          <w:b/>
          <w:bCs/>
        </w:rPr>
        <w:t xml:space="preserve">: </w:t>
      </w:r>
      <w:r w:rsidRPr="0012141B">
        <w:t>A shared 3-digit country code used in combination with an E.164 identification code to identify an international IoT/M2M services/applications.</w:t>
      </w:r>
    </w:p>
    <w:p w14:paraId="35DEA474" w14:textId="7A4B0EA1"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4" w:name="_Toc207814956"/>
      <w:r w:rsidRPr="00041425">
        <w:rPr>
          <w:b/>
          <w:bCs/>
        </w:rPr>
        <w:t>country</w:t>
      </w:r>
      <w:r w:rsidRPr="0012141B">
        <w:t xml:space="preserve"> </w:t>
      </w:r>
      <w:r w:rsidRPr="00041425">
        <w:rPr>
          <w:b/>
          <w:bCs/>
        </w:rPr>
        <w:t>code (CC) for trials</w:t>
      </w:r>
      <w:bookmarkEnd w:id="14"/>
      <w:r w:rsidRPr="00041425">
        <w:rPr>
          <w:b/>
          <w:bCs/>
        </w:rPr>
        <w:t xml:space="preserve">: </w:t>
      </w:r>
      <w:r w:rsidRPr="0012141B">
        <w:t>A shared 3-digit country code used in combination with a 3-digit trial identification code to identify a trial.</w:t>
      </w:r>
    </w:p>
    <w:p w14:paraId="785FA706" w14:textId="1FA7BB87"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5" w:name="_Toc207814957"/>
      <w:r w:rsidRPr="00041425">
        <w:rPr>
          <w:b/>
          <w:bCs/>
        </w:rPr>
        <w:t>destination</w:t>
      </w:r>
      <w:r w:rsidRPr="0012141B">
        <w:t xml:space="preserve"> </w:t>
      </w:r>
      <w:r w:rsidRPr="00041425">
        <w:rPr>
          <w:b/>
          <w:bCs/>
        </w:rPr>
        <w:t>network (DN) code</w:t>
      </w:r>
      <w:bookmarkEnd w:id="15"/>
      <w:r w:rsidRPr="00041425">
        <w:rPr>
          <w:b/>
          <w:bCs/>
        </w:rPr>
        <w:t xml:space="preserve">: </w:t>
      </w:r>
      <w:r w:rsidRPr="0012141B">
        <w:t>An optional code field within the international E.164 numbering plan which identifies the destination network serving the destination subscriber. It performs the destination network selection function of the NDC. In some instances, it can be combined with a trunk code to form the NDC. The DN code can be a decimal digit or a combination of decimal digits (not including any prefix).</w:t>
      </w:r>
    </w:p>
    <w:p w14:paraId="3B54DB78" w14:textId="7E3E80DE" w:rsidR="00041425" w:rsidRPr="00041425"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rPr>
          <w:i/>
          <w:iCs/>
          <w:lang w:val="en-US"/>
        </w:rPr>
      </w:pPr>
      <w:bookmarkStart w:id="16" w:name="_Toc207814958"/>
      <w:r w:rsidRPr="00041425">
        <w:rPr>
          <w:b/>
          <w:bCs/>
        </w:rPr>
        <w:t>global satellite service (GSS)</w:t>
      </w:r>
      <w:bookmarkEnd w:id="16"/>
      <w:r w:rsidRPr="00041425">
        <w:rPr>
          <w:b/>
          <w:bCs/>
        </w:rPr>
        <w:t xml:space="preserve">: </w:t>
      </w:r>
      <w:r w:rsidRPr="00041425">
        <w:rPr>
          <w:lang w:val="en-US"/>
        </w:rPr>
        <w:t>A telecommunication/ICT service that is provided via a satellite network in a minimum of two countries</w:t>
      </w:r>
      <w:r w:rsidRPr="00041425">
        <w:rPr>
          <w:i/>
          <w:iCs/>
          <w:lang w:val="en-US"/>
        </w:rPr>
        <w:t>.</w:t>
      </w:r>
    </w:p>
    <w:p w14:paraId="2649CA03" w14:textId="48B09064"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7" w:name="_Toc207814959"/>
      <w:r w:rsidRPr="00041425">
        <w:rPr>
          <w:b/>
          <w:bCs/>
        </w:rPr>
        <w:t>global</w:t>
      </w:r>
      <w:r w:rsidRPr="0012141B">
        <w:t xml:space="preserve"> </w:t>
      </w:r>
      <w:r w:rsidRPr="00041425">
        <w:rPr>
          <w:b/>
          <w:bCs/>
        </w:rPr>
        <w:t>service</w:t>
      </w:r>
      <w:bookmarkEnd w:id="17"/>
      <w:r w:rsidRPr="00041425">
        <w:rPr>
          <w:b/>
          <w:bCs/>
        </w:rPr>
        <w:t xml:space="preserve">: </w:t>
      </w:r>
      <w:r w:rsidRPr="0012141B">
        <w:t>A telecommunication/ICT service specified by ITU-T, provisioned on the public telecommunication network, to which the Director of TSB has assigned a specific country code to enable the provision of that international service between two or more countries and/or integrated numbering plans.</w:t>
      </w:r>
    </w:p>
    <w:p w14:paraId="24008471" w14:textId="0AC35A8A"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8" w:name="_Toc207814960"/>
      <w:r w:rsidRPr="00041425">
        <w:rPr>
          <w:b/>
          <w:bCs/>
        </w:rPr>
        <w:t>global</w:t>
      </w:r>
      <w:r w:rsidRPr="0012141B">
        <w:t xml:space="preserve"> </w:t>
      </w:r>
      <w:r w:rsidRPr="00041425">
        <w:rPr>
          <w:b/>
          <w:bCs/>
        </w:rPr>
        <w:t>subscriber number (GSN)</w:t>
      </w:r>
      <w:bookmarkEnd w:id="18"/>
      <w:r w:rsidRPr="00041425">
        <w:rPr>
          <w:b/>
          <w:bCs/>
        </w:rPr>
        <w:t xml:space="preserve">: </w:t>
      </w:r>
      <w:r w:rsidRPr="0012141B">
        <w:t>The portion of the international E.164 number that identifies a subscriber for a particular global service.</w:t>
      </w:r>
    </w:p>
    <w:p w14:paraId="0144973F" w14:textId="3CC39101"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19" w:name="_Toc207814961"/>
      <w:r w:rsidRPr="00041425">
        <w:rPr>
          <w:b/>
          <w:bCs/>
        </w:rPr>
        <w:t>group</w:t>
      </w:r>
      <w:r w:rsidRPr="0012141B">
        <w:t xml:space="preserve"> </w:t>
      </w:r>
      <w:r w:rsidRPr="00041425">
        <w:rPr>
          <w:b/>
          <w:bCs/>
        </w:rPr>
        <w:t>identification code (GIC)</w:t>
      </w:r>
      <w:bookmarkEnd w:id="19"/>
      <w:r w:rsidRPr="00041425">
        <w:rPr>
          <w:b/>
          <w:bCs/>
        </w:rPr>
        <w:t xml:space="preserve">: </w:t>
      </w:r>
      <w:r w:rsidRPr="0012141B">
        <w:t>A one-digit identification code assigned to a group of countries.</w:t>
      </w:r>
    </w:p>
    <w:p w14:paraId="082C54F1" w14:textId="114C6D37"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0" w:name="_Toc207814962"/>
      <w:r w:rsidRPr="00041425">
        <w:rPr>
          <w:b/>
          <w:bCs/>
        </w:rPr>
        <w:t>group identification code administrator (GICA)</w:t>
      </w:r>
      <w:bookmarkEnd w:id="20"/>
      <w:r w:rsidRPr="00041425">
        <w:rPr>
          <w:b/>
          <w:bCs/>
          <w:lang w:val="en-US"/>
        </w:rPr>
        <w:t xml:space="preserve">: </w:t>
      </w:r>
      <w:r w:rsidRPr="0012141B">
        <w:t>The organization entrusted by the assignee with the administration and management of the numbering resources behind a specific CC+GIC.</w:t>
      </w:r>
    </w:p>
    <w:p w14:paraId="0DE944F7" w14:textId="252C490C"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1" w:name="_Toc207814963"/>
      <w:r w:rsidRPr="00041425">
        <w:rPr>
          <w:b/>
          <w:bCs/>
        </w:rPr>
        <w:t>groups of countries (GoC)</w:t>
      </w:r>
      <w:bookmarkEnd w:id="21"/>
      <w:r w:rsidRPr="00041425">
        <w:rPr>
          <w:b/>
          <w:bCs/>
          <w:lang w:val="en-US"/>
        </w:rPr>
        <w:t xml:space="preserve">: </w:t>
      </w:r>
      <w:r w:rsidRPr="0012141B">
        <w:t>Several ITU- or UN-recognized countries sharing the same CC+GIC.</w:t>
      </w:r>
    </w:p>
    <w:p w14:paraId="3DB3F5E6" w14:textId="1F104F40"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2" w:name="_Toc207814964"/>
      <w:r w:rsidRPr="00041425">
        <w:rPr>
          <w:b/>
          <w:bCs/>
        </w:rPr>
        <w:t>identification code (IC)</w:t>
      </w:r>
      <w:bookmarkEnd w:id="22"/>
      <w:r w:rsidRPr="00041425">
        <w:rPr>
          <w:b/>
          <w:bCs/>
        </w:rPr>
        <w:t xml:space="preserve">: </w:t>
      </w:r>
      <w:r w:rsidRPr="0012141B">
        <w:t xml:space="preserve">The code </w:t>
      </w:r>
      <w:proofErr w:type="gramStart"/>
      <w:r w:rsidRPr="0012141B">
        <w:t>subsequent to</w:t>
      </w:r>
      <w:proofErr w:type="gramEnd"/>
      <w:r w:rsidRPr="0012141B">
        <w:t xml:space="preserve"> an E.164 country code that uniquely identifies the assignee of the sub-part of the international E.164 number for a specific category of a country code.</w:t>
      </w:r>
    </w:p>
    <w:p w14:paraId="1A7BDE7F" w14:textId="36C99714"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3" w:name="_Toc207814965"/>
      <w:r w:rsidRPr="00041425">
        <w:rPr>
          <w:b/>
          <w:bCs/>
          <w:lang w:val="en-US"/>
        </w:rPr>
        <w:t xml:space="preserve">IoT </w:t>
      </w:r>
      <w:r w:rsidRPr="00041425">
        <w:rPr>
          <w:b/>
          <w:bCs/>
        </w:rPr>
        <w:t>identification</w:t>
      </w:r>
      <w:r w:rsidRPr="00041425">
        <w:rPr>
          <w:lang w:val="en-US"/>
        </w:rPr>
        <w:t xml:space="preserve"> </w:t>
      </w:r>
      <w:r w:rsidRPr="00041425">
        <w:rPr>
          <w:b/>
          <w:bCs/>
          <w:lang w:val="en-US"/>
        </w:rPr>
        <w:t>code (IoTIC</w:t>
      </w:r>
      <w:proofErr w:type="gramStart"/>
      <w:r w:rsidRPr="00041425">
        <w:rPr>
          <w:lang w:val="en-US"/>
        </w:rPr>
        <w:t>)</w:t>
      </w:r>
      <w:bookmarkEnd w:id="23"/>
      <w:r w:rsidRPr="00041425">
        <w:rPr>
          <w:lang w:val="en-US"/>
        </w:rPr>
        <w:t> :</w:t>
      </w:r>
      <w:proofErr w:type="gramEnd"/>
      <w:r w:rsidRPr="00041425">
        <w:rPr>
          <w:lang w:val="en-US"/>
        </w:rPr>
        <w:t xml:space="preserve"> </w:t>
      </w:r>
      <w:r w:rsidRPr="0012141B">
        <w:t>A three-digit identification code assigned to an entity for the provision of IoT/M2M services.</w:t>
      </w:r>
    </w:p>
    <w:p w14:paraId="0C216F60" w14:textId="14B0CFB8"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4" w:name="_Toc207814966"/>
      <w:r w:rsidRPr="00041425">
        <w:rPr>
          <w:b/>
          <w:bCs/>
        </w:rPr>
        <w:t>Network</w:t>
      </w:r>
      <w:bookmarkEnd w:id="24"/>
      <w:r w:rsidRPr="00041425">
        <w:rPr>
          <w:b/>
          <w:bCs/>
        </w:rPr>
        <w:t xml:space="preserve">: </w:t>
      </w:r>
      <w:r w:rsidRPr="0012141B">
        <w:t xml:space="preserve">Internationally interconnected physical nodes and operational systems operated and maintained by one or more operators to provide public telecommunications services. Private networks are not included in this definition. </w:t>
      </w:r>
    </w:p>
    <w:p w14:paraId="79BA5EC8" w14:textId="77777777" w:rsidR="00041425" w:rsidRPr="0012141B" w:rsidRDefault="00041425" w:rsidP="00F45CD6">
      <w:r w:rsidRPr="0012141B">
        <w:t>Note that the use of capital "N" in Networks indicates that this definition applies.</w:t>
      </w:r>
    </w:p>
    <w:p w14:paraId="28566408" w14:textId="0A8DCA96"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r w:rsidRPr="00041425">
        <w:rPr>
          <w:b/>
          <w:bCs/>
        </w:rPr>
        <w:lastRenderedPageBreak/>
        <w:t xml:space="preserve">other global services: </w:t>
      </w:r>
      <w:r w:rsidRPr="0012141B">
        <w:t xml:space="preserve">Services </w:t>
      </w:r>
      <w:r w:rsidRPr="00041425">
        <w:rPr>
          <w:rFonts w:eastAsia="Times New Roman"/>
        </w:rPr>
        <w:t xml:space="preserve">not specified within ITU-T Recommendations, </w:t>
      </w:r>
      <w:r w:rsidRPr="0012141B">
        <w:t xml:space="preserve">that are provisioned on the public telecommunications network by one or more operators </w:t>
      </w:r>
      <w:proofErr w:type="spellStart"/>
      <w:r w:rsidRPr="0012141B">
        <w:t>thatuse</w:t>
      </w:r>
      <w:proofErr w:type="spellEnd"/>
      <w:r w:rsidRPr="0012141B">
        <w:t xml:space="preserve"> ubiquitous network identifiers in two or more countries with the agreement of the Director of TSB after advice from the appropriate SG.</w:t>
      </w:r>
    </w:p>
    <w:p w14:paraId="11DA31E9" w14:textId="7A5BF029"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5" w:name="_Toc207814967"/>
      <w:r w:rsidRPr="00041425">
        <w:rPr>
          <w:b/>
          <w:bCs/>
        </w:rPr>
        <w:t>other Global Service Number (OGSN)</w:t>
      </w:r>
      <w:bookmarkEnd w:id="25"/>
      <w:r w:rsidRPr="00041425">
        <w:rPr>
          <w:b/>
          <w:bCs/>
        </w:rPr>
        <w:t xml:space="preserve">: </w:t>
      </w:r>
      <w:r w:rsidRPr="0012141B">
        <w:t>The portion of the international E.164 number that identifies a subscriber for a particular other global service.</w:t>
      </w:r>
    </w:p>
    <w:p w14:paraId="37E1C3D4" w14:textId="4201DB5E"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6" w:name="_Toc207814968"/>
      <w:r w:rsidRPr="00041425">
        <w:rPr>
          <w:b/>
          <w:bCs/>
        </w:rPr>
        <w:t>trial identification codes (TIC)</w:t>
      </w:r>
      <w:bookmarkEnd w:id="26"/>
      <w:r w:rsidRPr="00041425">
        <w:rPr>
          <w:b/>
          <w:bCs/>
        </w:rPr>
        <w:t xml:space="preserve">: </w:t>
      </w:r>
      <w:r w:rsidRPr="0012141B">
        <w:t>Three-digit identification codes that uniquely identify international public correspondence service trial participants.</w:t>
      </w:r>
    </w:p>
    <w:p w14:paraId="23CB2756" w14:textId="0310156E" w:rsidR="00041425" w:rsidRPr="0012141B" w:rsidRDefault="00041425" w:rsidP="00325CBA">
      <w:pPr>
        <w:pStyle w:val="ListParagraph"/>
        <w:keepNext/>
        <w:keepLines/>
        <w:numPr>
          <w:ilvl w:val="1"/>
          <w:numId w:val="1"/>
        </w:numPr>
        <w:tabs>
          <w:tab w:val="left" w:pos="1260"/>
          <w:tab w:val="left" w:pos="1418"/>
          <w:tab w:val="left" w:pos="1701"/>
          <w:tab w:val="left" w:pos="2552"/>
          <w:tab w:val="left" w:pos="2835"/>
          <w:tab w:val="left" w:pos="3119"/>
          <w:tab w:val="left" w:pos="3402"/>
          <w:tab w:val="left" w:pos="3686"/>
          <w:tab w:val="left" w:pos="3969"/>
        </w:tabs>
        <w:spacing w:before="40" w:after="40"/>
        <w:ind w:left="1260" w:hanging="702"/>
      </w:pPr>
      <w:bookmarkStart w:id="27" w:name="_Toc207814969"/>
      <w:r w:rsidRPr="00041425">
        <w:rPr>
          <w:b/>
          <w:bCs/>
        </w:rPr>
        <w:t>trials</w:t>
      </w:r>
      <w:bookmarkEnd w:id="27"/>
      <w:r w:rsidRPr="00041425">
        <w:rPr>
          <w:b/>
          <w:bCs/>
        </w:rPr>
        <w:t xml:space="preserve">: </w:t>
      </w:r>
      <w:r w:rsidRPr="0012141B">
        <w:t>The temporary implementation of a proposed new international public correspondence service for the purpose of determining its technical, operational, and business viability.</w:t>
      </w:r>
    </w:p>
    <w:p w14:paraId="33FD82E9" w14:textId="77777777" w:rsidR="00041425" w:rsidRPr="00D14499" w:rsidRDefault="00041425" w:rsidP="00D144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US"/>
        </w:rPr>
      </w:pPr>
    </w:p>
    <w:p w14:paraId="56063521" w14:textId="3C26AECF" w:rsidR="00206C14" w:rsidRPr="00593041" w:rsidRDefault="005C232B" w:rsidP="00206C14">
      <w:pPr>
        <w:tabs>
          <w:tab w:val="left" w:pos="1560"/>
          <w:tab w:val="left" w:pos="1588"/>
          <w:tab w:val="left" w:pos="1985"/>
        </w:tabs>
        <w:overflowPunct w:val="0"/>
        <w:jc w:val="both"/>
      </w:pPr>
      <w:r w:rsidRPr="00593041">
        <w:t>SG2 looks forward to collaborating closely with all the relevant parties.</w:t>
      </w:r>
    </w:p>
    <w:p w14:paraId="47310D47" w14:textId="77777777" w:rsidR="003B7D26" w:rsidRPr="00593041" w:rsidRDefault="003B7D26" w:rsidP="00817F0C">
      <w:pPr>
        <w:jc w:val="center"/>
      </w:pPr>
    </w:p>
    <w:p w14:paraId="3FD731E9" w14:textId="77777777" w:rsidR="00FE3BB1" w:rsidRPr="00593041" w:rsidRDefault="001C32D0" w:rsidP="004E557A">
      <w:pPr>
        <w:jc w:val="center"/>
      </w:pPr>
      <w:r w:rsidRPr="00593041">
        <w:t>_______________________</w:t>
      </w:r>
    </w:p>
    <w:sectPr w:rsidR="00FE3BB1" w:rsidRPr="00593041" w:rsidSect="004F32AF">
      <w:headerReference w:type="default" r:id="rId14"/>
      <w:pgSz w:w="11906" w:h="16838"/>
      <w:pgMar w:top="1134"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0C920" w14:textId="77777777" w:rsidR="004009BA" w:rsidRDefault="004009BA">
      <w:pPr>
        <w:spacing w:before="0"/>
      </w:pPr>
      <w:r>
        <w:separator/>
      </w:r>
    </w:p>
  </w:endnote>
  <w:endnote w:type="continuationSeparator" w:id="0">
    <w:p w14:paraId="4C90055B" w14:textId="77777777" w:rsidR="004009BA" w:rsidRDefault="004009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B027" w14:textId="77777777" w:rsidR="004009BA" w:rsidRDefault="004009BA">
      <w:pPr>
        <w:spacing w:before="0"/>
      </w:pPr>
      <w:r>
        <w:separator/>
      </w:r>
    </w:p>
  </w:footnote>
  <w:footnote w:type="continuationSeparator" w:id="0">
    <w:p w14:paraId="3F4901C4" w14:textId="77777777" w:rsidR="004009BA" w:rsidRDefault="004009B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C11A" w14:textId="166F7BD2" w:rsidR="008F1FE2" w:rsidRPr="004F32AF" w:rsidRDefault="004F32AF" w:rsidP="004F32AF">
    <w:pPr>
      <w:pStyle w:val="Header"/>
      <w:rPr>
        <w:sz w:val="18"/>
      </w:rPr>
    </w:pPr>
    <w:r w:rsidRPr="004F32AF">
      <w:rPr>
        <w:sz w:val="18"/>
      </w:rPr>
      <w:t xml:space="preserve">- </w:t>
    </w:r>
    <w:r w:rsidRPr="004F32AF">
      <w:rPr>
        <w:sz w:val="18"/>
      </w:rPr>
      <w:fldChar w:fldCharType="begin"/>
    </w:r>
    <w:r w:rsidRPr="004F32AF">
      <w:rPr>
        <w:sz w:val="18"/>
      </w:rPr>
      <w:instrText xml:space="preserve"> PAGE  \* MERGEFORMAT </w:instrText>
    </w:r>
    <w:r w:rsidRPr="004F32AF">
      <w:rPr>
        <w:sz w:val="18"/>
      </w:rPr>
      <w:fldChar w:fldCharType="separate"/>
    </w:r>
    <w:r w:rsidRPr="004F32AF">
      <w:rPr>
        <w:noProof/>
        <w:sz w:val="18"/>
      </w:rPr>
      <w:t>1</w:t>
    </w:r>
    <w:r w:rsidRPr="004F32AF">
      <w:rPr>
        <w:sz w:val="18"/>
      </w:rPr>
      <w:fldChar w:fldCharType="end"/>
    </w:r>
    <w:r w:rsidRPr="004F32AF">
      <w:rPr>
        <w:sz w:val="18"/>
      </w:rPr>
      <w:t xml:space="preserve"> -</w:t>
    </w:r>
  </w:p>
  <w:p w14:paraId="37B510F9" w14:textId="0BBC9E7F" w:rsidR="004F32AF" w:rsidRPr="004F32AF" w:rsidRDefault="004F32AF" w:rsidP="004F32AF">
    <w:pPr>
      <w:pStyle w:val="Header"/>
      <w:spacing w:after="240"/>
      <w:rPr>
        <w:sz w:val="18"/>
      </w:rPr>
    </w:pPr>
    <w:r w:rsidRPr="004F32AF">
      <w:rPr>
        <w:sz w:val="18"/>
      </w:rPr>
      <w:fldChar w:fldCharType="begin"/>
    </w:r>
    <w:r w:rsidRPr="004F32AF">
      <w:rPr>
        <w:sz w:val="18"/>
      </w:rPr>
      <w:instrText xml:space="preserve"> STYLEREF  Docnumber  </w:instrText>
    </w:r>
    <w:r>
      <w:rPr>
        <w:sz w:val="18"/>
      </w:rPr>
      <w:fldChar w:fldCharType="separate"/>
    </w:r>
    <w:r w:rsidR="0074689D">
      <w:rPr>
        <w:noProof/>
        <w:sz w:val="18"/>
      </w:rPr>
      <w:t>TSAG-TD221</w:t>
    </w:r>
    <w:r w:rsidRPr="004F32AF">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A980141"/>
    <w:multiLevelType w:val="multilevel"/>
    <w:tmpl w:val="1A980141"/>
    <w:lvl w:ilvl="0">
      <w:start w:val="3"/>
      <w:numFmt w:val="decimal"/>
      <w:lvlText w:val="%1"/>
      <w:lvlJc w:val="left"/>
      <w:pPr>
        <w:ind w:left="480" w:hanging="480"/>
      </w:pPr>
      <w:rPr>
        <w:b/>
      </w:rPr>
    </w:lvl>
    <w:lvl w:ilvl="1">
      <w:start w:val="2"/>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B6075E2"/>
    <w:multiLevelType w:val="multilevel"/>
    <w:tmpl w:val="4DA4E9EE"/>
    <w:lvl w:ilvl="0">
      <w:start w:val="3"/>
      <w:numFmt w:val="decimal"/>
      <w:lvlText w:val="%1"/>
      <w:lvlJc w:val="left"/>
      <w:pPr>
        <w:ind w:left="480" w:hanging="480"/>
      </w:pPr>
      <w:rPr>
        <w:rFonts w:eastAsia="Times New Roman"/>
        <w:b/>
      </w:rPr>
    </w:lvl>
    <w:lvl w:ilvl="1">
      <w:start w:val="2"/>
      <w:numFmt w:val="decimal"/>
      <w:lvlText w:val="%1.%2"/>
      <w:lvlJc w:val="left"/>
      <w:pPr>
        <w:ind w:left="660" w:hanging="480"/>
      </w:pPr>
      <w:rPr>
        <w:rFonts w:eastAsia="Times New Roman"/>
        <w:b/>
      </w:rPr>
    </w:lvl>
    <w:lvl w:ilvl="2">
      <w:start w:val="1"/>
      <w:numFmt w:val="decimal"/>
      <w:lvlText w:val="%1.%2.%3"/>
      <w:lvlJc w:val="left"/>
      <w:pPr>
        <w:ind w:left="1080" w:hanging="720"/>
      </w:pPr>
      <w:rPr>
        <w:rFonts w:asciiTheme="majorBidi" w:eastAsia="Times New Roman" w:hAnsiTheme="majorBidi" w:cstheme="majorBidi" w:hint="default"/>
        <w:b/>
        <w:sz w:val="24"/>
        <w:szCs w:val="24"/>
      </w:rPr>
    </w:lvl>
    <w:lvl w:ilvl="3">
      <w:start w:val="1"/>
      <w:numFmt w:val="decimal"/>
      <w:lvlText w:val="%1.%2.%3.%4"/>
      <w:lvlJc w:val="left"/>
      <w:pPr>
        <w:ind w:left="1260" w:hanging="720"/>
      </w:pPr>
      <w:rPr>
        <w:rFonts w:eastAsia="Times New Roman"/>
        <w:b/>
      </w:rPr>
    </w:lvl>
    <w:lvl w:ilvl="4">
      <w:start w:val="1"/>
      <w:numFmt w:val="decimal"/>
      <w:lvlText w:val="%1.%2.%3.%4.%5"/>
      <w:lvlJc w:val="left"/>
      <w:pPr>
        <w:ind w:left="1800" w:hanging="1080"/>
      </w:pPr>
      <w:rPr>
        <w:rFonts w:eastAsia="Times New Roman"/>
        <w:b/>
      </w:rPr>
    </w:lvl>
    <w:lvl w:ilvl="5">
      <w:start w:val="1"/>
      <w:numFmt w:val="decimal"/>
      <w:lvlText w:val="%1.%2.%3.%4.%5.%6"/>
      <w:lvlJc w:val="left"/>
      <w:pPr>
        <w:ind w:left="1980" w:hanging="1080"/>
      </w:pPr>
      <w:rPr>
        <w:rFonts w:eastAsia="Times New Roman"/>
        <w:b/>
      </w:rPr>
    </w:lvl>
    <w:lvl w:ilvl="6">
      <w:start w:val="1"/>
      <w:numFmt w:val="decimal"/>
      <w:lvlText w:val="%1.%2.%3.%4.%5.%6.%7"/>
      <w:lvlJc w:val="left"/>
      <w:pPr>
        <w:ind w:left="2520" w:hanging="1440"/>
      </w:pPr>
      <w:rPr>
        <w:rFonts w:eastAsia="Times New Roman"/>
        <w:b/>
      </w:rPr>
    </w:lvl>
    <w:lvl w:ilvl="7">
      <w:start w:val="1"/>
      <w:numFmt w:val="decimal"/>
      <w:lvlText w:val="%1.%2.%3.%4.%5.%6.%7.%8"/>
      <w:lvlJc w:val="left"/>
      <w:pPr>
        <w:ind w:left="2700" w:hanging="1440"/>
      </w:pPr>
      <w:rPr>
        <w:rFonts w:eastAsia="Times New Roman"/>
        <w:b/>
      </w:rPr>
    </w:lvl>
    <w:lvl w:ilvl="8">
      <w:start w:val="1"/>
      <w:numFmt w:val="decimal"/>
      <w:lvlText w:val="%1.%2.%3.%4.%5.%6.%7.%8.%9"/>
      <w:lvlJc w:val="left"/>
      <w:pPr>
        <w:ind w:left="3240" w:hanging="1800"/>
      </w:pPr>
      <w:rPr>
        <w:rFonts w:eastAsia="Times New Roman"/>
        <w:b/>
      </w:rPr>
    </w:lvl>
  </w:abstractNum>
  <w:abstractNum w:abstractNumId="6"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27F59"/>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A206FC"/>
    <w:multiLevelType w:val="multilevel"/>
    <w:tmpl w:val="B7EC85E4"/>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0FA19F6"/>
    <w:multiLevelType w:val="multilevel"/>
    <w:tmpl w:val="60FA19F6"/>
    <w:lvl w:ilvl="0">
      <w:start w:val="1"/>
      <w:numFmt w:val="decimal"/>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6E11B38"/>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B664A4D"/>
    <w:multiLevelType w:val="multilevel"/>
    <w:tmpl w:val="533CABD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C842E1C"/>
    <w:multiLevelType w:val="multilevel"/>
    <w:tmpl w:val="48FC6096"/>
    <w:lvl w:ilvl="0">
      <w:start w:val="1"/>
      <w:numFmt w:val="decimal"/>
      <w:lvlText w:val="%1."/>
      <w:lvlJc w:val="left"/>
      <w:pPr>
        <w:ind w:left="360" w:hanging="360"/>
      </w:pPr>
      <w:rPr>
        <w:rFonts w:ascii="Times New Roman" w:eastAsiaTheme="minorEastAsia" w:hAnsi="Times New Roman" w:cs="Times New Roman"/>
        <w:lang w:val="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3686335">
    <w:abstractNumId w:val="8"/>
  </w:num>
  <w:num w:numId="2" w16cid:durableId="1399400260">
    <w:abstractNumId w:val="15"/>
  </w:num>
  <w:num w:numId="3" w16cid:durableId="1550921122">
    <w:abstractNumId w:val="11"/>
  </w:num>
  <w:num w:numId="4" w16cid:durableId="742459375">
    <w:abstractNumId w:val="2"/>
  </w:num>
  <w:num w:numId="5" w16cid:durableId="1163157114">
    <w:abstractNumId w:val="1"/>
  </w:num>
  <w:num w:numId="6" w16cid:durableId="1150097482">
    <w:abstractNumId w:val="0"/>
  </w:num>
  <w:num w:numId="7" w16cid:durableId="662781547">
    <w:abstractNumId w:val="10"/>
  </w:num>
  <w:num w:numId="8" w16cid:durableId="32317014">
    <w:abstractNumId w:val="13"/>
  </w:num>
  <w:num w:numId="9" w16cid:durableId="1141113793">
    <w:abstractNumId w:val="6"/>
  </w:num>
  <w:num w:numId="10" w16cid:durableId="1809123746">
    <w:abstractNumId w:val="3"/>
  </w:num>
  <w:num w:numId="11" w16cid:durableId="306279264">
    <w:abstractNumId w:val="9"/>
  </w:num>
  <w:num w:numId="12" w16cid:durableId="463038081">
    <w:abstractNumId w:val="12"/>
  </w:num>
  <w:num w:numId="13" w16cid:durableId="1774012778">
    <w:abstractNumId w:val="4"/>
  </w:num>
  <w:num w:numId="14" w16cid:durableId="28340422">
    <w:abstractNumId w:val="16"/>
  </w:num>
  <w:num w:numId="15" w16cid:durableId="1347361969">
    <w:abstractNumId w:val="7"/>
  </w:num>
  <w:num w:numId="16" w16cid:durableId="1476949393">
    <w:abstractNumId w:val="14"/>
  </w:num>
  <w:num w:numId="17" w16cid:durableId="882013623">
    <w:abstractNumId w:val="17"/>
  </w:num>
  <w:num w:numId="18" w16cid:durableId="63841336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6161"/>
    <w:rsid w:val="000178E5"/>
    <w:rsid w:val="00041425"/>
    <w:rsid w:val="00041C8A"/>
    <w:rsid w:val="00042096"/>
    <w:rsid w:val="00062148"/>
    <w:rsid w:val="00064C08"/>
    <w:rsid w:val="000843EE"/>
    <w:rsid w:val="00097B3A"/>
    <w:rsid w:val="000A4878"/>
    <w:rsid w:val="000B11F8"/>
    <w:rsid w:val="000B2BDA"/>
    <w:rsid w:val="000C3267"/>
    <w:rsid w:val="00124B95"/>
    <w:rsid w:val="00153A39"/>
    <w:rsid w:val="00163E8D"/>
    <w:rsid w:val="00164489"/>
    <w:rsid w:val="001A5C52"/>
    <w:rsid w:val="001C10D5"/>
    <w:rsid w:val="001C32D0"/>
    <w:rsid w:val="001E23D2"/>
    <w:rsid w:val="00206C14"/>
    <w:rsid w:val="00243391"/>
    <w:rsid w:val="00265C8A"/>
    <w:rsid w:val="00287D07"/>
    <w:rsid w:val="00293348"/>
    <w:rsid w:val="002B1912"/>
    <w:rsid w:val="00300E8B"/>
    <w:rsid w:val="0031120D"/>
    <w:rsid w:val="00325CBA"/>
    <w:rsid w:val="00332914"/>
    <w:rsid w:val="0036615F"/>
    <w:rsid w:val="00385723"/>
    <w:rsid w:val="003B61C7"/>
    <w:rsid w:val="003B7D26"/>
    <w:rsid w:val="003C0801"/>
    <w:rsid w:val="003C16C2"/>
    <w:rsid w:val="003C7CFC"/>
    <w:rsid w:val="003D5BCF"/>
    <w:rsid w:val="003D65CF"/>
    <w:rsid w:val="003F0E60"/>
    <w:rsid w:val="004009BA"/>
    <w:rsid w:val="00405F7F"/>
    <w:rsid w:val="00447A3F"/>
    <w:rsid w:val="00477E0B"/>
    <w:rsid w:val="0048111D"/>
    <w:rsid w:val="004A0968"/>
    <w:rsid w:val="004E557A"/>
    <w:rsid w:val="004F32AF"/>
    <w:rsid w:val="005213A0"/>
    <w:rsid w:val="0052589E"/>
    <w:rsid w:val="0053279E"/>
    <w:rsid w:val="00551CDB"/>
    <w:rsid w:val="0057678C"/>
    <w:rsid w:val="00593041"/>
    <w:rsid w:val="005B4BBD"/>
    <w:rsid w:val="005B6D37"/>
    <w:rsid w:val="005C232B"/>
    <w:rsid w:val="005D3272"/>
    <w:rsid w:val="005E1030"/>
    <w:rsid w:val="005F1EBA"/>
    <w:rsid w:val="006152AE"/>
    <w:rsid w:val="00623465"/>
    <w:rsid w:val="00697B33"/>
    <w:rsid w:val="006B1D4D"/>
    <w:rsid w:val="006B4BA1"/>
    <w:rsid w:val="006B626C"/>
    <w:rsid w:val="006C7CA4"/>
    <w:rsid w:val="006D6898"/>
    <w:rsid w:val="006E5BCA"/>
    <w:rsid w:val="006F5A22"/>
    <w:rsid w:val="006F71F3"/>
    <w:rsid w:val="007416CF"/>
    <w:rsid w:val="00743BC3"/>
    <w:rsid w:val="0074689D"/>
    <w:rsid w:val="00765E1E"/>
    <w:rsid w:val="0077283B"/>
    <w:rsid w:val="0078151A"/>
    <w:rsid w:val="00786D7D"/>
    <w:rsid w:val="00793D87"/>
    <w:rsid w:val="007A470B"/>
    <w:rsid w:val="007B1376"/>
    <w:rsid w:val="007B78E6"/>
    <w:rsid w:val="007C39CD"/>
    <w:rsid w:val="007E377A"/>
    <w:rsid w:val="007E4840"/>
    <w:rsid w:val="00800D0F"/>
    <w:rsid w:val="00807976"/>
    <w:rsid w:val="008112C6"/>
    <w:rsid w:val="00816504"/>
    <w:rsid w:val="00817F0C"/>
    <w:rsid w:val="00823351"/>
    <w:rsid w:val="0084111C"/>
    <w:rsid w:val="0084427D"/>
    <w:rsid w:val="008475C7"/>
    <w:rsid w:val="008513AA"/>
    <w:rsid w:val="00857A01"/>
    <w:rsid w:val="00864455"/>
    <w:rsid w:val="00864BFE"/>
    <w:rsid w:val="00882950"/>
    <w:rsid w:val="00883922"/>
    <w:rsid w:val="008B1FAD"/>
    <w:rsid w:val="008C6570"/>
    <w:rsid w:val="008C7B4A"/>
    <w:rsid w:val="008D3BC6"/>
    <w:rsid w:val="008E7D25"/>
    <w:rsid w:val="008F1FE2"/>
    <w:rsid w:val="00904CA3"/>
    <w:rsid w:val="0091254D"/>
    <w:rsid w:val="00931011"/>
    <w:rsid w:val="00936122"/>
    <w:rsid w:val="0094479A"/>
    <w:rsid w:val="009505B4"/>
    <w:rsid w:val="00966451"/>
    <w:rsid w:val="009722EF"/>
    <w:rsid w:val="0099486F"/>
    <w:rsid w:val="009B62B4"/>
    <w:rsid w:val="009C6407"/>
    <w:rsid w:val="009E171B"/>
    <w:rsid w:val="009E18DF"/>
    <w:rsid w:val="00A31ACF"/>
    <w:rsid w:val="00A344D6"/>
    <w:rsid w:val="00A4451D"/>
    <w:rsid w:val="00A95B17"/>
    <w:rsid w:val="00AA0E1F"/>
    <w:rsid w:val="00AA1AF3"/>
    <w:rsid w:val="00AA578A"/>
    <w:rsid w:val="00AB074D"/>
    <w:rsid w:val="00AC41D7"/>
    <w:rsid w:val="00AF54CE"/>
    <w:rsid w:val="00B06023"/>
    <w:rsid w:val="00B4539D"/>
    <w:rsid w:val="00B7377B"/>
    <w:rsid w:val="00B83A26"/>
    <w:rsid w:val="00BC5378"/>
    <w:rsid w:val="00C04A67"/>
    <w:rsid w:val="00C0640F"/>
    <w:rsid w:val="00C112CD"/>
    <w:rsid w:val="00C16800"/>
    <w:rsid w:val="00C21C0C"/>
    <w:rsid w:val="00C54AD2"/>
    <w:rsid w:val="00C70663"/>
    <w:rsid w:val="00C7734B"/>
    <w:rsid w:val="00C95E02"/>
    <w:rsid w:val="00CA7B71"/>
    <w:rsid w:val="00CB247E"/>
    <w:rsid w:val="00CB4F2C"/>
    <w:rsid w:val="00CC1EF7"/>
    <w:rsid w:val="00CE5801"/>
    <w:rsid w:val="00D11776"/>
    <w:rsid w:val="00D13BA2"/>
    <w:rsid w:val="00D14499"/>
    <w:rsid w:val="00D20464"/>
    <w:rsid w:val="00D22C80"/>
    <w:rsid w:val="00D3606D"/>
    <w:rsid w:val="00D433B4"/>
    <w:rsid w:val="00D47306"/>
    <w:rsid w:val="00D81E67"/>
    <w:rsid w:val="00D84F2F"/>
    <w:rsid w:val="00DB1FB6"/>
    <w:rsid w:val="00DC0669"/>
    <w:rsid w:val="00DD469B"/>
    <w:rsid w:val="00E126ED"/>
    <w:rsid w:val="00E14AC2"/>
    <w:rsid w:val="00E1749B"/>
    <w:rsid w:val="00E37586"/>
    <w:rsid w:val="00E742F6"/>
    <w:rsid w:val="00EC18B3"/>
    <w:rsid w:val="00ED7318"/>
    <w:rsid w:val="00EE1EF2"/>
    <w:rsid w:val="00EE5A5D"/>
    <w:rsid w:val="00EF53E8"/>
    <w:rsid w:val="00F1527F"/>
    <w:rsid w:val="00F25755"/>
    <w:rsid w:val="00F41487"/>
    <w:rsid w:val="00F45CD6"/>
    <w:rsid w:val="00F67ACB"/>
    <w:rsid w:val="00F75BAF"/>
    <w:rsid w:val="00FA79AA"/>
    <w:rsid w:val="00FE2DB7"/>
    <w:rsid w:val="00FE2F53"/>
    <w:rsid w:val="00FE3BB1"/>
    <w:rsid w:val="00FE42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10">
    <w:name w:val="Заголовок1"/>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1">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6">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uiPriority w:val="99"/>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7">
    <w:name w:val="Содержимое таблицы"/>
    <w:basedOn w:val="Normal"/>
    <w:qFormat/>
    <w:rsid w:val="00D81E67"/>
    <w:pPr>
      <w:suppressLineNumbers/>
    </w:pPr>
  </w:style>
  <w:style w:type="paragraph" w:customStyle="1" w:styleId="a8">
    <w:name w:val="Заголовок таблицы"/>
    <w:basedOn w:val="a7"/>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aliases w:val="CEO_Hyperlink,超级链接,超?级链,Style 58,超????,超链接1,하이퍼링크2,하이퍼링크21,超??级链Ú,fL????,fL?级,超??级链,超?级链Ú,’´?级链,’´????,’´??级链Ú,’´??级"/>
    <w:basedOn w:val="DefaultParagraphFont"/>
    <w:uiPriority w:val="99"/>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customStyle="1" w:styleId="rynqvb">
    <w:name w:val="rynqvb"/>
    <w:basedOn w:val="DefaultParagraphFont"/>
    <w:rsid w:val="0052589E"/>
  </w:style>
  <w:style w:type="paragraph" w:customStyle="1" w:styleId="Note">
    <w:name w:val="Note"/>
    <w:basedOn w:val="Normal"/>
    <w:qFormat/>
    <w:rsid w:val="007E4840"/>
    <w:pPr>
      <w:tabs>
        <w:tab w:val="left" w:pos="794"/>
        <w:tab w:val="left" w:pos="1191"/>
        <w:tab w:val="left" w:pos="1588"/>
        <w:tab w:val="left" w:pos="1985"/>
      </w:tabs>
      <w:overflowPunct w:val="0"/>
      <w:autoSpaceDE w:val="0"/>
      <w:autoSpaceDN w:val="0"/>
      <w:adjustRightInd w:val="0"/>
      <w:spacing w:before="80"/>
      <w:jc w:val="both"/>
    </w:pPr>
    <w:rPr>
      <w:rFonts w:eastAsia="Times New Roman"/>
      <w:sz w:val="22"/>
      <w:szCs w:val="20"/>
      <w:lang w:eastAsia="en-US"/>
    </w:rPr>
  </w:style>
  <w:style w:type="character" w:customStyle="1" w:styleId="Bold">
    <w:name w:val="Bold"/>
    <w:basedOn w:val="DefaultParagraphFont"/>
    <w:qFormat/>
    <w:rsid w:val="000843EE"/>
    <w:rPr>
      <w:b/>
    </w:rPr>
  </w:style>
  <w:style w:type="paragraph" w:styleId="BodyTextIndent2">
    <w:name w:val="Body Text Indent 2"/>
    <w:basedOn w:val="Normal"/>
    <w:link w:val="BodyTextIndent2Char"/>
    <w:uiPriority w:val="99"/>
    <w:semiHidden/>
    <w:unhideWhenUsed/>
    <w:rsid w:val="00097B3A"/>
    <w:pPr>
      <w:spacing w:after="120" w:line="480" w:lineRule="auto"/>
      <w:ind w:left="283"/>
    </w:pPr>
  </w:style>
  <w:style w:type="character" w:customStyle="1" w:styleId="BodyTextIndent2Char">
    <w:name w:val="Body Text Indent 2 Char"/>
    <w:basedOn w:val="DefaultParagraphFont"/>
    <w:link w:val="BodyTextIndent2"/>
    <w:uiPriority w:val="99"/>
    <w:semiHidden/>
    <w:rsid w:val="00097B3A"/>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097B3A"/>
    <w:rPr>
      <w:sz w:val="16"/>
      <w:szCs w:val="16"/>
    </w:rPr>
  </w:style>
  <w:style w:type="paragraph" w:styleId="CommentText">
    <w:name w:val="annotation text"/>
    <w:basedOn w:val="Normal"/>
    <w:link w:val="CommentTextChar"/>
    <w:uiPriority w:val="99"/>
    <w:unhideWhenUsed/>
    <w:rsid w:val="00097B3A"/>
    <w:rPr>
      <w:sz w:val="20"/>
      <w:szCs w:val="20"/>
    </w:rPr>
  </w:style>
  <w:style w:type="character" w:customStyle="1" w:styleId="CommentTextChar">
    <w:name w:val="Comment Text Char"/>
    <w:basedOn w:val="DefaultParagraphFont"/>
    <w:link w:val="CommentText"/>
    <w:uiPriority w:val="99"/>
    <w:rsid w:val="00097B3A"/>
    <w:rPr>
      <w:rFonts w:ascii="Times New Roman" w:hAnsi="Times New Roman" w:cs="Times New Roman"/>
      <w:szCs w:val="20"/>
      <w:lang w:val="en-GB" w:eastAsia="ja-JP"/>
    </w:rPr>
  </w:style>
  <w:style w:type="character" w:styleId="UnresolvedMention">
    <w:name w:val="Unresolved Mention"/>
    <w:basedOn w:val="DefaultParagraphFont"/>
    <w:uiPriority w:val="99"/>
    <w:semiHidden/>
    <w:unhideWhenUsed/>
    <w:rsid w:val="00124B95"/>
    <w:rPr>
      <w:color w:val="605E5C"/>
      <w:shd w:val="clear" w:color="auto" w:fill="E1DFDD"/>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locked/>
    <w:rsid w:val="00F41487"/>
    <w:rPr>
      <w:rFonts w:ascii="Times New Roman" w:hAnsi="Times New Roman" w:cs="Times New Roman"/>
      <w:sz w:val="24"/>
      <w:szCs w:val="24"/>
      <w:lang w:val="en-GB" w:eastAsia="ja-JP"/>
    </w:rPr>
  </w:style>
  <w:style w:type="paragraph" w:customStyle="1" w:styleId="TSBHeaderQuestion">
    <w:name w:val="TSBHeaderQuestion"/>
    <w:basedOn w:val="Normal"/>
    <w:qFormat/>
    <w:rsid w:val="004F32AF"/>
  </w:style>
  <w:style w:type="paragraph" w:customStyle="1" w:styleId="TSBHeaderSource">
    <w:name w:val="TSBHeaderSource"/>
    <w:basedOn w:val="Normal"/>
    <w:qFormat/>
    <w:rsid w:val="004F32AF"/>
  </w:style>
  <w:style w:type="paragraph" w:customStyle="1" w:styleId="TSBHeaderTitle">
    <w:name w:val="TSBHeaderTitle"/>
    <w:basedOn w:val="Normal"/>
    <w:qFormat/>
    <w:rsid w:val="004F32AF"/>
  </w:style>
  <w:style w:type="paragraph" w:customStyle="1" w:styleId="TSBHeaderRight14">
    <w:name w:val="TSBHeaderRight14"/>
    <w:basedOn w:val="Normal"/>
    <w:qFormat/>
    <w:rsid w:val="004F32AF"/>
    <w:pPr>
      <w:jc w:val="right"/>
    </w:pPr>
    <w:rPr>
      <w:b/>
      <w:bCs/>
      <w:sz w:val="28"/>
      <w:szCs w:val="28"/>
    </w:rPr>
  </w:style>
  <w:style w:type="paragraph" w:customStyle="1" w:styleId="VenueDate">
    <w:name w:val="VenueDate"/>
    <w:basedOn w:val="Normal"/>
    <w:qFormat/>
    <w:rsid w:val="004F32A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34698">
      <w:bodyDiv w:val="1"/>
      <w:marLeft w:val="0"/>
      <w:marRight w:val="0"/>
      <w:marTop w:val="0"/>
      <w:marBottom w:val="0"/>
      <w:divBdr>
        <w:top w:val="none" w:sz="0" w:space="0" w:color="auto"/>
        <w:left w:val="none" w:sz="0" w:space="0" w:color="auto"/>
        <w:bottom w:val="none" w:sz="0" w:space="0" w:color="auto"/>
        <w:right w:val="none" w:sz="0" w:space="0" w:color="auto"/>
      </w:divBdr>
    </w:div>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herkesov@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ifa/t/2025/ls/sg2/sp18-sg2-00069.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819A7-D0FA-4F84-829F-8CE4B53ACE9C}">
  <ds:schemaRefs>
    <ds:schemaRef ds:uri="http://schemas.openxmlformats.org/officeDocument/2006/bibliography"/>
  </ds:schemaRefs>
</ds:datastoreItem>
</file>

<file path=customXml/itemProps2.xml><?xml version="1.0" encoding="utf-8"?>
<ds:datastoreItem xmlns:ds="http://schemas.openxmlformats.org/officeDocument/2006/customXml" ds:itemID="{60C093C6-1E82-4794-8515-78EC80758FA6}"/>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7353</Characters>
  <Application>Microsoft Office Word</Application>
  <DocSecurity>0</DocSecurity>
  <Lines>163</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 to SG20 regarding SG2 work on certain aspects of IoT naming, numbering and identification [to ITU-T SG20]</vt:lpstr>
      <vt:lpstr>LS/o to SG20 regarding SG2 work on certain aspects of IoT naming, numbering and identification [to ITU-T SG20]</vt:lpstr>
    </vt:vector>
  </TitlesOfParts>
  <Manager>ITU-T</Manager>
  <Company>International Telecommunication Union (ITU)</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SCV activity in SG2</dc:title>
  <dc:creator>ITU-T Study Group 2</dc:creator>
  <cp:keywords>SCV; terms; definitions</cp:keywords>
  <dc:description>TSAG-TD221  For: Geneva, 26-30 January 2026_x000d_Document date: _x000d_Saved by ITU51017913 at 12:00:43 PM on 10/22/2025</dc:description>
  <cp:lastModifiedBy>TSB</cp:lastModifiedBy>
  <cp:revision>4</cp:revision>
  <cp:lastPrinted>2016-12-23T12:52:00Z</cp:lastPrinted>
  <dcterms:created xsi:type="dcterms:W3CDTF">2025-10-22T10:00:00Z</dcterms:created>
  <dcterms:modified xsi:type="dcterms:W3CDTF">2025-10-22T10:01:00Z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ITU-T Study Group 2</vt:lpwstr>
  </property>
  <property fmtid="{D5CDD505-2E9C-101B-9397-08002B2CF9AE}" pid="6" name="Docbluepink">
    <vt:lpwstr>All/2</vt:lpwstr>
  </property>
  <property fmtid="{D5CDD505-2E9C-101B-9397-08002B2CF9AE}" pid="7" name="Docdate">
    <vt:lpwstr/>
  </property>
  <property fmtid="{D5CDD505-2E9C-101B-9397-08002B2CF9AE}" pid="8" name="Docdest">
    <vt:lpwstr>Geneva, 26-30 January 2026</vt:lpwstr>
  </property>
  <property fmtid="{D5CDD505-2E9C-101B-9397-08002B2CF9AE}" pid="9" name="Docnum">
    <vt:lpwstr>TSAG-TD221</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0x010100A77651819BF4BD4A99FFF36FD7E4E96D</vt:lpwstr>
  </property>
  <property fmtid="{D5CDD505-2E9C-101B-9397-08002B2CF9AE}" pid="16" name="MediaServiceImageTags">
    <vt:lpwstr/>
  </property>
</Properties>
</file>