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32"/>
        <w:gridCol w:w="398"/>
        <w:gridCol w:w="3709"/>
        <w:gridCol w:w="374"/>
        <w:gridCol w:w="4287"/>
        <w:gridCol w:w="23"/>
      </w:tblGrid>
      <w:tr w:rsidR="00D875CB" w:rsidRPr="00D875CB" w14:paraId="2F1A12D8" w14:textId="77777777" w:rsidTr="00D875CB">
        <w:trPr>
          <w:gridAfter w:val="1"/>
          <w:wAfter w:w="23" w:type="dxa"/>
          <w:cantSplit/>
        </w:trPr>
        <w:tc>
          <w:tcPr>
            <w:tcW w:w="1132" w:type="dxa"/>
            <w:vMerge w:val="restart"/>
            <w:vAlign w:val="center"/>
          </w:tcPr>
          <w:p w14:paraId="5F17C036" w14:textId="77777777" w:rsidR="00D875CB" w:rsidRPr="00D875CB" w:rsidRDefault="00D875CB" w:rsidP="00D875CB">
            <w:pPr>
              <w:jc w:val="center"/>
              <w:rPr>
                <w:rFonts w:ascii="Times New Roman" w:hAnsi="Times New Roman" w:cs="Times New Roman"/>
                <w:sz w:val="20"/>
                <w:szCs w:val="20"/>
              </w:rPr>
            </w:pPr>
            <w:bookmarkStart w:id="0" w:name="dtableau"/>
            <w:bookmarkStart w:id="1" w:name="dnum" w:colFirst="2" w:colLast="2"/>
            <w:r w:rsidRPr="00D875CB">
              <w:rPr>
                <w:rFonts w:ascii="Times New Roman" w:hAnsi="Times New Roman" w:cs="Times New Roman"/>
                <w:noProof/>
              </w:rPr>
              <w:drawing>
                <wp:inline distT="0" distB="0" distL="0" distR="0" wp14:anchorId="7B8DA840" wp14:editId="047CAC45">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2D35CBFB" w14:textId="77777777" w:rsidR="00D875CB" w:rsidRPr="00D875CB" w:rsidRDefault="00D875CB" w:rsidP="00D875CB">
            <w:pPr>
              <w:spacing w:before="120"/>
              <w:rPr>
                <w:rFonts w:ascii="Times New Roman" w:hAnsi="Times New Roman" w:cs="Times New Roman"/>
                <w:sz w:val="16"/>
                <w:szCs w:val="16"/>
              </w:rPr>
            </w:pPr>
            <w:r w:rsidRPr="00D875CB">
              <w:rPr>
                <w:rFonts w:ascii="Times New Roman" w:hAnsi="Times New Roman" w:cs="Times New Roman"/>
                <w:sz w:val="16"/>
                <w:szCs w:val="16"/>
              </w:rPr>
              <w:t>INTERNATIONAL TELECOMMUNICATION UNION</w:t>
            </w:r>
          </w:p>
          <w:p w14:paraId="03DF3966" w14:textId="77777777" w:rsidR="00D875CB" w:rsidRPr="00D875CB" w:rsidRDefault="00D875CB" w:rsidP="00D875CB">
            <w:pPr>
              <w:spacing w:before="120"/>
              <w:rPr>
                <w:rFonts w:ascii="Times New Roman" w:hAnsi="Times New Roman" w:cs="Times New Roman"/>
                <w:b/>
                <w:bCs/>
                <w:sz w:val="26"/>
                <w:szCs w:val="26"/>
              </w:rPr>
            </w:pPr>
            <w:r w:rsidRPr="00D875CB">
              <w:rPr>
                <w:rFonts w:ascii="Times New Roman" w:hAnsi="Times New Roman" w:cs="Times New Roman"/>
                <w:b/>
                <w:bCs/>
                <w:sz w:val="26"/>
                <w:szCs w:val="26"/>
              </w:rPr>
              <w:t>TELECOMMUNICATION</w:t>
            </w:r>
            <w:r w:rsidRPr="00D875CB">
              <w:rPr>
                <w:rFonts w:ascii="Times New Roman" w:hAnsi="Times New Roman" w:cs="Times New Roman"/>
                <w:b/>
                <w:bCs/>
                <w:sz w:val="26"/>
                <w:szCs w:val="26"/>
              </w:rPr>
              <w:br/>
              <w:t>STANDARDIZATION SECTOR</w:t>
            </w:r>
          </w:p>
          <w:p w14:paraId="25A9B009" w14:textId="3ED08986" w:rsidR="00D875CB" w:rsidRPr="00D875CB" w:rsidRDefault="00D875CB" w:rsidP="00D875CB">
            <w:pPr>
              <w:spacing w:before="120"/>
              <w:rPr>
                <w:rFonts w:ascii="Times New Roman" w:hAnsi="Times New Roman" w:cs="Times New Roman"/>
                <w:sz w:val="20"/>
                <w:szCs w:val="20"/>
              </w:rPr>
            </w:pPr>
            <w:r w:rsidRPr="00D875CB">
              <w:rPr>
                <w:rFonts w:ascii="Times New Roman" w:hAnsi="Times New Roman" w:cs="Times New Roman"/>
                <w:sz w:val="20"/>
                <w:szCs w:val="20"/>
              </w:rPr>
              <w:t xml:space="preserve">STUDY PERIOD </w:t>
            </w:r>
            <w:r>
              <w:rPr>
                <w:rFonts w:ascii="Times New Roman" w:hAnsi="Times New Roman" w:cs="Times New Roman"/>
                <w:sz w:val="20"/>
              </w:rPr>
              <w:t>2025-2028</w:t>
            </w:r>
          </w:p>
        </w:tc>
        <w:tc>
          <w:tcPr>
            <w:tcW w:w="4287" w:type="dxa"/>
            <w:vAlign w:val="center"/>
          </w:tcPr>
          <w:p w14:paraId="79D302A9" w14:textId="3EEA5B76" w:rsidR="00D875CB" w:rsidRPr="00D875CB" w:rsidRDefault="00D875CB" w:rsidP="00D875CB">
            <w:pPr>
              <w:pStyle w:val="Docnumber"/>
              <w:rPr>
                <w:sz w:val="32"/>
              </w:rPr>
            </w:pPr>
            <w:r>
              <w:rPr>
                <w:sz w:val="32"/>
              </w:rPr>
              <w:t>TSAG-TD32</w:t>
            </w:r>
            <w:r w:rsidR="00555C20">
              <w:rPr>
                <w:sz w:val="32"/>
              </w:rPr>
              <w:t>5</w:t>
            </w:r>
          </w:p>
        </w:tc>
      </w:tr>
      <w:tr w:rsidR="00D875CB" w:rsidRPr="00D875CB" w14:paraId="3AF92BA4" w14:textId="77777777" w:rsidTr="00D875CB">
        <w:trPr>
          <w:gridAfter w:val="1"/>
          <w:wAfter w:w="23" w:type="dxa"/>
          <w:cantSplit/>
        </w:trPr>
        <w:tc>
          <w:tcPr>
            <w:tcW w:w="1132" w:type="dxa"/>
            <w:vMerge/>
          </w:tcPr>
          <w:p w14:paraId="1651AF47" w14:textId="77777777" w:rsidR="00D875CB" w:rsidRPr="00D875CB" w:rsidRDefault="00D875CB" w:rsidP="00D875CB">
            <w:pPr>
              <w:spacing w:before="120"/>
              <w:rPr>
                <w:rFonts w:ascii="Times New Roman" w:hAnsi="Times New Roman" w:cs="Times New Roman"/>
                <w:smallCaps/>
                <w:sz w:val="20"/>
              </w:rPr>
            </w:pPr>
            <w:bookmarkStart w:id="2" w:name="dsg" w:colFirst="2" w:colLast="2"/>
            <w:bookmarkEnd w:id="1"/>
          </w:p>
        </w:tc>
        <w:tc>
          <w:tcPr>
            <w:tcW w:w="4481" w:type="dxa"/>
            <w:gridSpan w:val="3"/>
            <w:vMerge/>
          </w:tcPr>
          <w:p w14:paraId="56BE0338" w14:textId="77777777" w:rsidR="00D875CB" w:rsidRPr="00D875CB" w:rsidRDefault="00D875CB" w:rsidP="00D875CB">
            <w:pPr>
              <w:spacing w:before="120"/>
              <w:rPr>
                <w:rFonts w:ascii="Times New Roman" w:hAnsi="Times New Roman" w:cs="Times New Roman"/>
                <w:smallCaps/>
                <w:sz w:val="20"/>
              </w:rPr>
            </w:pPr>
          </w:p>
        </w:tc>
        <w:tc>
          <w:tcPr>
            <w:tcW w:w="4287" w:type="dxa"/>
          </w:tcPr>
          <w:p w14:paraId="528E5FAC" w14:textId="54D32C3B" w:rsidR="00D875CB" w:rsidRPr="00D875CB" w:rsidRDefault="00D875CB" w:rsidP="00D875CB">
            <w:pPr>
              <w:pStyle w:val="TSBHeaderRight14"/>
              <w:rPr>
                <w:smallCaps/>
              </w:rPr>
            </w:pPr>
            <w:r>
              <w:rPr>
                <w:smallCaps/>
              </w:rPr>
              <w:t>TSAG</w:t>
            </w:r>
          </w:p>
        </w:tc>
      </w:tr>
      <w:bookmarkEnd w:id="2"/>
      <w:tr w:rsidR="00D875CB" w:rsidRPr="00D875CB" w14:paraId="3E8DEC6B" w14:textId="77777777" w:rsidTr="00D875CB">
        <w:trPr>
          <w:gridAfter w:val="1"/>
          <w:wAfter w:w="23" w:type="dxa"/>
          <w:cantSplit/>
        </w:trPr>
        <w:tc>
          <w:tcPr>
            <w:tcW w:w="1132" w:type="dxa"/>
            <w:vMerge/>
            <w:tcBorders>
              <w:bottom w:val="single" w:sz="12" w:space="0" w:color="auto"/>
            </w:tcBorders>
          </w:tcPr>
          <w:p w14:paraId="040C0A79" w14:textId="77777777" w:rsidR="00D875CB" w:rsidRPr="00D875CB" w:rsidRDefault="00D875CB" w:rsidP="00D875CB">
            <w:pPr>
              <w:spacing w:before="120"/>
              <w:rPr>
                <w:rFonts w:ascii="Times New Roman" w:hAnsi="Times New Roman" w:cs="Times New Roman"/>
                <w:b/>
                <w:bCs/>
                <w:sz w:val="26"/>
              </w:rPr>
            </w:pPr>
          </w:p>
        </w:tc>
        <w:tc>
          <w:tcPr>
            <w:tcW w:w="4481" w:type="dxa"/>
            <w:gridSpan w:val="3"/>
            <w:vMerge/>
            <w:tcBorders>
              <w:bottom w:val="single" w:sz="12" w:space="0" w:color="auto"/>
            </w:tcBorders>
          </w:tcPr>
          <w:p w14:paraId="5CFA79E7" w14:textId="77777777" w:rsidR="00D875CB" w:rsidRPr="00D875CB" w:rsidRDefault="00D875CB" w:rsidP="00D875CB">
            <w:pPr>
              <w:spacing w:before="120"/>
              <w:rPr>
                <w:rFonts w:ascii="Times New Roman" w:hAnsi="Times New Roman" w:cs="Times New Roman"/>
                <w:b/>
                <w:bCs/>
                <w:sz w:val="26"/>
              </w:rPr>
            </w:pPr>
          </w:p>
        </w:tc>
        <w:tc>
          <w:tcPr>
            <w:tcW w:w="4287" w:type="dxa"/>
            <w:tcBorders>
              <w:bottom w:val="single" w:sz="12" w:space="0" w:color="auto"/>
            </w:tcBorders>
            <w:vAlign w:val="center"/>
          </w:tcPr>
          <w:p w14:paraId="10238ABB" w14:textId="77777777" w:rsidR="00D875CB" w:rsidRPr="00D875CB" w:rsidRDefault="00D875CB" w:rsidP="00D875CB">
            <w:pPr>
              <w:pStyle w:val="TSBHeaderRight14"/>
            </w:pPr>
            <w:r w:rsidRPr="00D875CB">
              <w:t>Original: English</w:t>
            </w:r>
          </w:p>
        </w:tc>
      </w:tr>
      <w:tr w:rsidR="00D875CB" w:rsidRPr="00D875CB" w14:paraId="1FAAA72F" w14:textId="77777777" w:rsidTr="00870621">
        <w:trPr>
          <w:gridAfter w:val="1"/>
          <w:wAfter w:w="23" w:type="dxa"/>
          <w:cantSplit/>
        </w:trPr>
        <w:tc>
          <w:tcPr>
            <w:tcW w:w="1530" w:type="dxa"/>
            <w:gridSpan w:val="2"/>
          </w:tcPr>
          <w:p w14:paraId="65B39F75" w14:textId="77777777" w:rsidR="00D875CB" w:rsidRPr="00D875CB" w:rsidRDefault="00D875CB" w:rsidP="00D875CB">
            <w:pPr>
              <w:spacing w:before="120"/>
              <w:rPr>
                <w:rFonts w:ascii="Times New Roman" w:hAnsi="Times New Roman" w:cs="Times New Roman"/>
                <w:b/>
                <w:bCs/>
                <w:sz w:val="24"/>
                <w:szCs w:val="24"/>
              </w:rPr>
            </w:pPr>
            <w:bookmarkStart w:id="3" w:name="dbluepink" w:colFirst="1" w:colLast="1"/>
            <w:bookmarkStart w:id="4" w:name="dmeeting" w:colFirst="2" w:colLast="2"/>
            <w:r w:rsidRPr="00D875CB">
              <w:rPr>
                <w:rFonts w:ascii="Times New Roman" w:hAnsi="Times New Roman" w:cs="Times New Roman"/>
                <w:b/>
                <w:bCs/>
                <w:sz w:val="24"/>
                <w:szCs w:val="24"/>
              </w:rPr>
              <w:t>Question(s):</w:t>
            </w:r>
          </w:p>
        </w:tc>
        <w:tc>
          <w:tcPr>
            <w:tcW w:w="4083" w:type="dxa"/>
            <w:gridSpan w:val="2"/>
          </w:tcPr>
          <w:p w14:paraId="36F93C7F" w14:textId="5A080A09" w:rsidR="00D875CB" w:rsidRPr="00D875CB" w:rsidRDefault="00D875CB" w:rsidP="00D875CB">
            <w:pPr>
              <w:pStyle w:val="TSBHeaderQuestion"/>
            </w:pPr>
            <w:r>
              <w:t>-</w:t>
            </w:r>
          </w:p>
        </w:tc>
        <w:tc>
          <w:tcPr>
            <w:tcW w:w="4287" w:type="dxa"/>
          </w:tcPr>
          <w:p w14:paraId="1292AAAF" w14:textId="6C322398" w:rsidR="00D875CB" w:rsidRPr="00D875CB" w:rsidRDefault="00D875CB" w:rsidP="00D875CB">
            <w:pPr>
              <w:pStyle w:val="VenueDate"/>
            </w:pPr>
            <w:r w:rsidRPr="00D875CB">
              <w:t>Geneva, 26-30 January 2026</w:t>
            </w:r>
          </w:p>
        </w:tc>
      </w:tr>
      <w:tr w:rsidR="00D875CB" w:rsidRPr="00D875CB" w14:paraId="56E6288F" w14:textId="77777777" w:rsidTr="00D875CB">
        <w:trPr>
          <w:gridAfter w:val="1"/>
          <w:wAfter w:w="23" w:type="dxa"/>
          <w:cantSplit/>
        </w:trPr>
        <w:tc>
          <w:tcPr>
            <w:tcW w:w="9900" w:type="dxa"/>
            <w:gridSpan w:val="5"/>
          </w:tcPr>
          <w:p w14:paraId="6CE241E4" w14:textId="77777777" w:rsidR="00D875CB" w:rsidRPr="00D875CB" w:rsidRDefault="00D875CB" w:rsidP="00D875CB">
            <w:pPr>
              <w:spacing w:before="120"/>
              <w:jc w:val="center"/>
              <w:rPr>
                <w:rFonts w:ascii="Times New Roman" w:hAnsi="Times New Roman" w:cs="Times New Roman"/>
                <w:b/>
                <w:bCs/>
                <w:sz w:val="24"/>
                <w:szCs w:val="24"/>
              </w:rPr>
            </w:pPr>
            <w:bookmarkStart w:id="5" w:name="ddoctype"/>
            <w:bookmarkEnd w:id="3"/>
            <w:bookmarkEnd w:id="4"/>
            <w:r w:rsidRPr="00D875CB">
              <w:rPr>
                <w:rFonts w:ascii="Times New Roman" w:hAnsi="Times New Roman" w:cs="Times New Roman"/>
                <w:b/>
                <w:bCs/>
                <w:sz w:val="24"/>
                <w:szCs w:val="24"/>
              </w:rPr>
              <w:t>TD</w:t>
            </w:r>
          </w:p>
          <w:p w14:paraId="70DC84F9" w14:textId="0175F2EF" w:rsidR="00D875CB" w:rsidRPr="00D875CB" w:rsidRDefault="00D875CB" w:rsidP="00D875CB">
            <w:pPr>
              <w:spacing w:before="120"/>
              <w:jc w:val="center"/>
              <w:rPr>
                <w:rFonts w:ascii="Times New Roman" w:hAnsi="Times New Roman" w:cs="Times New Roman"/>
                <w:b/>
                <w:bCs/>
                <w:sz w:val="24"/>
                <w:szCs w:val="24"/>
              </w:rPr>
            </w:pPr>
          </w:p>
        </w:tc>
      </w:tr>
      <w:tr w:rsidR="00D875CB" w:rsidRPr="00D875CB" w14:paraId="1CD21EDE" w14:textId="77777777" w:rsidTr="00870621">
        <w:trPr>
          <w:gridAfter w:val="1"/>
          <w:wAfter w:w="23" w:type="dxa"/>
          <w:cantSplit/>
        </w:trPr>
        <w:tc>
          <w:tcPr>
            <w:tcW w:w="1530" w:type="dxa"/>
            <w:gridSpan w:val="2"/>
          </w:tcPr>
          <w:p w14:paraId="56AEE990" w14:textId="77777777" w:rsidR="00D875CB" w:rsidRPr="00D875CB" w:rsidRDefault="00D875CB" w:rsidP="00D875CB">
            <w:pPr>
              <w:spacing w:before="120"/>
              <w:rPr>
                <w:rFonts w:ascii="Times New Roman" w:hAnsi="Times New Roman" w:cs="Times New Roman"/>
                <w:b/>
                <w:bCs/>
                <w:sz w:val="24"/>
                <w:szCs w:val="24"/>
              </w:rPr>
            </w:pPr>
            <w:bookmarkStart w:id="6" w:name="dsource" w:colFirst="1" w:colLast="1"/>
            <w:bookmarkEnd w:id="5"/>
            <w:r w:rsidRPr="00D875CB">
              <w:rPr>
                <w:rFonts w:ascii="Times New Roman" w:hAnsi="Times New Roman" w:cs="Times New Roman"/>
                <w:b/>
                <w:bCs/>
                <w:sz w:val="24"/>
                <w:szCs w:val="24"/>
              </w:rPr>
              <w:t>Source:</w:t>
            </w:r>
          </w:p>
        </w:tc>
        <w:tc>
          <w:tcPr>
            <w:tcW w:w="8370" w:type="dxa"/>
            <w:gridSpan w:val="3"/>
          </w:tcPr>
          <w:p w14:paraId="0F431D92" w14:textId="5A8C6F6F" w:rsidR="00D875CB" w:rsidRPr="00D875CB" w:rsidRDefault="00D875CB" w:rsidP="00D875CB">
            <w:pPr>
              <w:pStyle w:val="TSBHeaderSource"/>
            </w:pPr>
            <w:r w:rsidRPr="00D875CB">
              <w:t>TSB</w:t>
            </w:r>
          </w:p>
        </w:tc>
      </w:tr>
      <w:tr w:rsidR="00D875CB" w:rsidRPr="00D875CB" w14:paraId="4C8092D4" w14:textId="77777777" w:rsidTr="00870621">
        <w:trPr>
          <w:gridAfter w:val="1"/>
          <w:wAfter w:w="23" w:type="dxa"/>
          <w:cantSplit/>
        </w:trPr>
        <w:tc>
          <w:tcPr>
            <w:tcW w:w="1530" w:type="dxa"/>
            <w:gridSpan w:val="2"/>
            <w:tcBorders>
              <w:bottom w:val="single" w:sz="8" w:space="0" w:color="auto"/>
            </w:tcBorders>
          </w:tcPr>
          <w:p w14:paraId="43F6E04C" w14:textId="77777777" w:rsidR="00D875CB" w:rsidRPr="00D875CB" w:rsidRDefault="00D875CB" w:rsidP="00D875CB">
            <w:pPr>
              <w:spacing w:before="120"/>
              <w:rPr>
                <w:rFonts w:ascii="Times New Roman" w:hAnsi="Times New Roman" w:cs="Times New Roman"/>
                <w:b/>
                <w:bCs/>
                <w:sz w:val="24"/>
                <w:szCs w:val="24"/>
              </w:rPr>
            </w:pPr>
            <w:bookmarkStart w:id="7" w:name="dtitle1" w:colFirst="1" w:colLast="1"/>
            <w:bookmarkEnd w:id="6"/>
            <w:r w:rsidRPr="00D875CB">
              <w:rPr>
                <w:rFonts w:ascii="Times New Roman" w:hAnsi="Times New Roman" w:cs="Times New Roman"/>
                <w:b/>
                <w:bCs/>
                <w:sz w:val="24"/>
                <w:szCs w:val="24"/>
              </w:rPr>
              <w:t>Title:</w:t>
            </w:r>
          </w:p>
        </w:tc>
        <w:tc>
          <w:tcPr>
            <w:tcW w:w="8370" w:type="dxa"/>
            <w:gridSpan w:val="3"/>
            <w:tcBorders>
              <w:bottom w:val="single" w:sz="8" w:space="0" w:color="auto"/>
            </w:tcBorders>
          </w:tcPr>
          <w:p w14:paraId="71079F8B" w14:textId="553BBAC9" w:rsidR="00D875CB" w:rsidRPr="00D875CB" w:rsidRDefault="00D875CB" w:rsidP="00D875CB">
            <w:pPr>
              <w:pStyle w:val="TSBHeaderTitle"/>
            </w:pPr>
            <w:r w:rsidRPr="00D875CB">
              <w:t>Opening Remarks of the Director of the Radiocommunication Bureau at TSAG Meeting, 2</w:t>
            </w:r>
            <w:r w:rsidR="00870621">
              <w:t>6</w:t>
            </w:r>
            <w:r w:rsidRPr="00D875CB">
              <w:t xml:space="preserve"> January 202</w:t>
            </w:r>
            <w:r w:rsidR="00870621">
              <w:t>6</w:t>
            </w:r>
          </w:p>
        </w:tc>
      </w:tr>
      <w:bookmarkEnd w:id="0"/>
      <w:bookmarkEnd w:id="7"/>
      <w:tr w:rsidR="00A851B2" w:rsidRPr="008A5A66" w14:paraId="1BBEA22C" w14:textId="77777777" w:rsidTr="00870621">
        <w:trPr>
          <w:cantSplit/>
        </w:trPr>
        <w:tc>
          <w:tcPr>
            <w:tcW w:w="1530" w:type="dxa"/>
            <w:gridSpan w:val="2"/>
            <w:tcBorders>
              <w:top w:val="single" w:sz="8" w:space="0" w:color="auto"/>
              <w:bottom w:val="single" w:sz="8" w:space="0" w:color="auto"/>
            </w:tcBorders>
          </w:tcPr>
          <w:p w14:paraId="08A302A2" w14:textId="2670FC2C" w:rsidR="00A851B2" w:rsidRPr="00BB0371" w:rsidRDefault="00A851B2" w:rsidP="00491A67">
            <w:pPr>
              <w:spacing w:before="120"/>
              <w:rPr>
                <w:rFonts w:asciiTheme="majorBidi" w:hAnsiTheme="majorBidi" w:cstheme="majorBidi"/>
                <w:b/>
                <w:bCs/>
                <w:sz w:val="24"/>
                <w:szCs w:val="24"/>
                <w:lang w:eastAsia="ja-JP"/>
              </w:rPr>
            </w:pPr>
            <w:r w:rsidRPr="00BB0371">
              <w:rPr>
                <w:rFonts w:asciiTheme="majorBidi" w:hAnsiTheme="majorBidi" w:cstheme="majorBidi"/>
                <w:b/>
                <w:bCs/>
                <w:sz w:val="24"/>
                <w:szCs w:val="24"/>
                <w:lang w:eastAsia="ja-JP"/>
              </w:rPr>
              <w:t>Contact:</w:t>
            </w:r>
          </w:p>
        </w:tc>
        <w:tc>
          <w:tcPr>
            <w:tcW w:w="3709" w:type="dxa"/>
            <w:tcBorders>
              <w:top w:val="single" w:sz="8" w:space="0" w:color="auto"/>
              <w:bottom w:val="single" w:sz="8" w:space="0" w:color="auto"/>
            </w:tcBorders>
          </w:tcPr>
          <w:p w14:paraId="70A8B4C6" w14:textId="075854F7" w:rsidR="00A851B2" w:rsidRPr="00BB0371" w:rsidRDefault="00A851B2" w:rsidP="00491A67">
            <w:pPr>
              <w:tabs>
                <w:tab w:val="left" w:pos="794"/>
                <w:tab w:val="left" w:pos="1191"/>
                <w:tab w:val="left" w:pos="1588"/>
                <w:tab w:val="left" w:pos="1985"/>
              </w:tabs>
              <w:overflowPunct w:val="0"/>
              <w:adjustRightInd w:val="0"/>
              <w:spacing w:before="120"/>
              <w:textAlignment w:val="baseline"/>
              <w:rPr>
                <w:rFonts w:asciiTheme="majorBidi" w:eastAsia="Times New Roman" w:hAnsiTheme="majorBidi" w:cstheme="majorBidi"/>
                <w:sz w:val="24"/>
                <w:szCs w:val="24"/>
              </w:rPr>
            </w:pPr>
            <w:r w:rsidRPr="00BB0371">
              <w:rPr>
                <w:rFonts w:asciiTheme="majorBidi" w:hAnsiTheme="majorBidi" w:cstheme="majorBidi"/>
                <w:sz w:val="24"/>
                <w:szCs w:val="24"/>
              </w:rPr>
              <w:t>TSB</w:t>
            </w:r>
          </w:p>
        </w:tc>
        <w:tc>
          <w:tcPr>
            <w:tcW w:w="4684" w:type="dxa"/>
            <w:gridSpan w:val="3"/>
            <w:tcBorders>
              <w:top w:val="single" w:sz="8" w:space="0" w:color="auto"/>
              <w:bottom w:val="single" w:sz="8" w:space="0" w:color="auto"/>
            </w:tcBorders>
          </w:tcPr>
          <w:p w14:paraId="132C0B6A" w14:textId="086C10E9" w:rsidR="00A851B2" w:rsidRPr="00BB0371" w:rsidRDefault="00A851B2" w:rsidP="00491A67">
            <w:pPr>
              <w:spacing w:before="120"/>
              <w:rPr>
                <w:rFonts w:asciiTheme="majorBidi" w:eastAsia="Times New Roman" w:hAnsiTheme="majorBidi" w:cstheme="majorBidi"/>
                <w:sz w:val="24"/>
                <w:szCs w:val="24"/>
              </w:rPr>
            </w:pPr>
            <w:r w:rsidRPr="00BB0371">
              <w:rPr>
                <w:rFonts w:asciiTheme="majorBidi" w:hAnsiTheme="majorBidi" w:cstheme="majorBidi"/>
                <w:sz w:val="24"/>
                <w:szCs w:val="24"/>
              </w:rPr>
              <w:t xml:space="preserve">Email: </w:t>
            </w:r>
            <w:hyperlink r:id="rId11" w:history="1">
              <w:r w:rsidR="00346C73" w:rsidRPr="00870621">
                <w:rPr>
                  <w:rStyle w:val="Hyperlink"/>
                  <w:rFonts w:eastAsiaTheme="minorEastAsia"/>
                  <w:color w:val="0000FF"/>
                  <w:sz w:val="24"/>
                  <w:szCs w:val="24"/>
                  <w:lang w:val="pt-BR" w:eastAsia="ja-JP"/>
                </w:rPr>
                <w:t>tsbtsag@itu.int</w:t>
              </w:r>
            </w:hyperlink>
            <w:r w:rsidR="00346C73">
              <w:rPr>
                <w:rStyle w:val="Hyperlink"/>
                <w:rFonts w:asciiTheme="majorBidi" w:hAnsiTheme="majorBidi" w:cstheme="majorBidi"/>
                <w:color w:val="2F5496" w:themeColor="accent1" w:themeShade="BF"/>
                <w:sz w:val="24"/>
                <w:szCs w:val="24"/>
              </w:rPr>
              <w:t xml:space="preserve"> </w:t>
            </w:r>
            <w:r w:rsidRPr="00BB0371">
              <w:rPr>
                <w:rFonts w:asciiTheme="majorBidi" w:hAnsiTheme="majorBidi" w:cstheme="majorBidi"/>
                <w:sz w:val="24"/>
                <w:szCs w:val="24"/>
              </w:rPr>
              <w:t xml:space="preserve"> </w:t>
            </w:r>
            <w:r w:rsidRPr="00BB0371">
              <w:rPr>
                <w:rFonts w:asciiTheme="majorBidi" w:hAnsiTheme="majorBidi" w:cstheme="majorBidi"/>
                <w:color w:val="000000"/>
                <w:sz w:val="24"/>
                <w:szCs w:val="24"/>
                <w:u w:val="single"/>
              </w:rPr>
              <w:t xml:space="preserve"> </w:t>
            </w:r>
          </w:p>
        </w:tc>
      </w:tr>
    </w:tbl>
    <w:p w14:paraId="671C6DCC" w14:textId="77777777" w:rsidR="00A851B2" w:rsidRDefault="00A851B2" w:rsidP="00F22C39">
      <w:pPr>
        <w:pStyle w:val="Default"/>
        <w:jc w:val="center"/>
        <w:rPr>
          <w:b/>
          <w:bCs/>
          <w:color w:val="1F3863"/>
          <w:sz w:val="28"/>
          <w:szCs w:val="28"/>
        </w:rPr>
      </w:pPr>
    </w:p>
    <w:p w14:paraId="4DEB2F5B" w14:textId="77777777" w:rsidR="000E1A47" w:rsidRPr="000E1A47" w:rsidRDefault="000E1A47" w:rsidP="000E1A47">
      <w:pPr>
        <w:jc w:val="center"/>
        <w:rPr>
          <w:b/>
          <w:bCs/>
          <w:sz w:val="28"/>
          <w:szCs w:val="28"/>
        </w:rPr>
      </w:pPr>
      <w:r w:rsidRPr="000E1A47">
        <w:rPr>
          <w:b/>
          <w:bCs/>
          <w:sz w:val="28"/>
          <w:szCs w:val="28"/>
        </w:rPr>
        <w:t>TSAG Meeting</w:t>
      </w:r>
    </w:p>
    <w:p w14:paraId="42E4987A" w14:textId="47E559DC" w:rsidR="000E1A47" w:rsidRPr="000E1A47" w:rsidRDefault="000E1A47" w:rsidP="000E1A47">
      <w:pPr>
        <w:jc w:val="center"/>
        <w:rPr>
          <w:b/>
          <w:sz w:val="28"/>
          <w:szCs w:val="28"/>
        </w:rPr>
      </w:pPr>
      <w:r>
        <w:rPr>
          <w:b/>
          <w:sz w:val="28"/>
          <w:szCs w:val="28"/>
        </w:rPr>
        <w:br/>
      </w:r>
      <w:r w:rsidRPr="000E1A47">
        <w:rPr>
          <w:b/>
          <w:sz w:val="28"/>
          <w:szCs w:val="28"/>
        </w:rPr>
        <w:t>Opening Remarks</w:t>
      </w:r>
    </w:p>
    <w:p w14:paraId="56BA554A" w14:textId="77777777" w:rsidR="000E1A47" w:rsidRPr="000E1A47" w:rsidRDefault="000E1A47" w:rsidP="000E1A47">
      <w:pPr>
        <w:rPr>
          <w:sz w:val="28"/>
          <w:szCs w:val="28"/>
        </w:rPr>
      </w:pPr>
    </w:p>
    <w:p w14:paraId="4566D0F9" w14:textId="77777777" w:rsidR="000E1A47" w:rsidRPr="000E1A47" w:rsidRDefault="000E1A47" w:rsidP="000E1A47">
      <w:pPr>
        <w:jc w:val="center"/>
        <w:rPr>
          <w:bCs/>
          <w:sz w:val="28"/>
          <w:szCs w:val="28"/>
        </w:rPr>
      </w:pPr>
      <w:r w:rsidRPr="000E1A47">
        <w:rPr>
          <w:bCs/>
          <w:sz w:val="28"/>
          <w:szCs w:val="28"/>
        </w:rPr>
        <w:t>26 January 2026</w:t>
      </w:r>
    </w:p>
    <w:p w14:paraId="146BB92D" w14:textId="77777777" w:rsidR="000E1A47" w:rsidRPr="000E1A47" w:rsidRDefault="000E1A47" w:rsidP="000E1A47">
      <w:pPr>
        <w:rPr>
          <w:bCs/>
          <w:sz w:val="28"/>
          <w:szCs w:val="28"/>
        </w:rPr>
      </w:pPr>
    </w:p>
    <w:p w14:paraId="03ABA93A" w14:textId="77777777" w:rsidR="000E1A47" w:rsidRPr="000E1A47" w:rsidRDefault="000E1A47" w:rsidP="000E1A47">
      <w:pPr>
        <w:jc w:val="center"/>
        <w:rPr>
          <w:b/>
          <w:sz w:val="28"/>
          <w:szCs w:val="28"/>
        </w:rPr>
      </w:pPr>
      <w:r w:rsidRPr="000E1A47">
        <w:rPr>
          <w:b/>
          <w:sz w:val="28"/>
          <w:szCs w:val="28"/>
        </w:rPr>
        <w:t>Mario Maniewicz</w:t>
      </w:r>
    </w:p>
    <w:p w14:paraId="6B87BA2F" w14:textId="77777777" w:rsidR="000E1A47" w:rsidRPr="000E1A47" w:rsidRDefault="000E1A47" w:rsidP="000E1A47">
      <w:pPr>
        <w:pBdr>
          <w:bottom w:val="single" w:sz="6" w:space="1" w:color="auto"/>
        </w:pBdr>
        <w:jc w:val="center"/>
        <w:rPr>
          <w:b/>
          <w:sz w:val="28"/>
          <w:szCs w:val="28"/>
        </w:rPr>
      </w:pPr>
      <w:r w:rsidRPr="000E1A47">
        <w:rPr>
          <w:b/>
          <w:sz w:val="28"/>
          <w:szCs w:val="28"/>
        </w:rPr>
        <w:t>Director, Radiocommunication Bureau</w:t>
      </w:r>
    </w:p>
    <w:p w14:paraId="50FE8C0B" w14:textId="77777777" w:rsidR="000E1A47" w:rsidRPr="000E1A47" w:rsidRDefault="000E1A47" w:rsidP="000E1A47">
      <w:pPr>
        <w:pBdr>
          <w:bottom w:val="single" w:sz="6" w:space="1" w:color="auto"/>
        </w:pBdr>
        <w:jc w:val="center"/>
        <w:rPr>
          <w:b/>
          <w:sz w:val="28"/>
          <w:szCs w:val="28"/>
        </w:rPr>
      </w:pPr>
    </w:p>
    <w:p w14:paraId="504F5C49" w14:textId="77777777" w:rsidR="000E1A47" w:rsidRPr="000E1A47" w:rsidRDefault="000E1A47" w:rsidP="000E1A47">
      <w:pPr>
        <w:spacing w:line="276" w:lineRule="auto"/>
        <w:jc w:val="both"/>
        <w:rPr>
          <w:rFonts w:asciiTheme="majorBidi" w:hAnsiTheme="majorBidi" w:cstheme="majorBidi"/>
          <w:sz w:val="24"/>
          <w:szCs w:val="24"/>
        </w:rPr>
      </w:pPr>
    </w:p>
    <w:p w14:paraId="0F9431A4" w14:textId="77777777" w:rsidR="000E1A47" w:rsidRPr="000E1A47" w:rsidRDefault="000E1A47" w:rsidP="000E1A47">
      <w:pPr>
        <w:spacing w:line="276" w:lineRule="auto"/>
        <w:jc w:val="both"/>
        <w:rPr>
          <w:rFonts w:asciiTheme="majorBidi" w:hAnsiTheme="majorBidi" w:cstheme="majorBidi"/>
          <w:sz w:val="24"/>
          <w:szCs w:val="24"/>
        </w:rPr>
      </w:pPr>
      <w:r w:rsidRPr="000E1A47">
        <w:rPr>
          <w:rFonts w:asciiTheme="majorBidi" w:hAnsiTheme="majorBidi" w:cstheme="majorBidi"/>
          <w:sz w:val="24"/>
          <w:szCs w:val="24"/>
        </w:rPr>
        <w:t>Chair,</w:t>
      </w:r>
    </w:p>
    <w:p w14:paraId="4341213E" w14:textId="77777777" w:rsidR="000E1A47" w:rsidRPr="000E1A47" w:rsidRDefault="000E1A47" w:rsidP="000E1A47">
      <w:pPr>
        <w:spacing w:line="276" w:lineRule="auto"/>
        <w:jc w:val="both"/>
        <w:rPr>
          <w:rFonts w:asciiTheme="majorBidi" w:hAnsiTheme="majorBidi" w:cstheme="majorBidi"/>
          <w:sz w:val="24"/>
          <w:szCs w:val="24"/>
        </w:rPr>
      </w:pPr>
      <w:r w:rsidRPr="000E1A47">
        <w:rPr>
          <w:rFonts w:asciiTheme="majorBidi" w:hAnsiTheme="majorBidi" w:cstheme="majorBidi"/>
          <w:sz w:val="24"/>
          <w:szCs w:val="24"/>
        </w:rPr>
        <w:t>Vice-Chairs,</w:t>
      </w:r>
    </w:p>
    <w:p w14:paraId="34A517FF" w14:textId="77777777" w:rsidR="000E1A47" w:rsidRPr="000E1A47" w:rsidRDefault="000E1A47" w:rsidP="000E1A47">
      <w:pPr>
        <w:spacing w:line="276" w:lineRule="auto"/>
        <w:jc w:val="both"/>
        <w:rPr>
          <w:rFonts w:asciiTheme="majorBidi" w:hAnsiTheme="majorBidi" w:cstheme="majorBidi"/>
          <w:sz w:val="24"/>
          <w:szCs w:val="24"/>
        </w:rPr>
      </w:pPr>
      <w:r w:rsidRPr="000E1A47">
        <w:rPr>
          <w:rFonts w:asciiTheme="majorBidi" w:hAnsiTheme="majorBidi" w:cstheme="majorBidi"/>
          <w:sz w:val="24"/>
          <w:szCs w:val="24"/>
        </w:rPr>
        <w:t>Distinguished delegates,</w:t>
      </w:r>
    </w:p>
    <w:p w14:paraId="3C966EA0" w14:textId="77777777" w:rsidR="000E1A47" w:rsidRPr="000E1A47" w:rsidRDefault="000E1A47" w:rsidP="000E1A47">
      <w:pPr>
        <w:spacing w:line="276" w:lineRule="auto"/>
        <w:jc w:val="both"/>
        <w:rPr>
          <w:rFonts w:asciiTheme="majorBidi" w:hAnsiTheme="majorBidi" w:cstheme="majorBidi"/>
          <w:sz w:val="24"/>
          <w:szCs w:val="24"/>
        </w:rPr>
      </w:pPr>
      <w:r w:rsidRPr="000E1A47">
        <w:rPr>
          <w:rFonts w:asciiTheme="majorBidi" w:hAnsiTheme="majorBidi" w:cstheme="majorBidi"/>
          <w:sz w:val="24"/>
          <w:szCs w:val="24"/>
        </w:rPr>
        <w:t>Colleagues,</w:t>
      </w:r>
    </w:p>
    <w:p w14:paraId="721EB38F" w14:textId="77777777" w:rsidR="000E1A47" w:rsidRPr="000E1A47" w:rsidRDefault="000E1A47" w:rsidP="00FB3A66">
      <w:pPr>
        <w:spacing w:before="120" w:line="276" w:lineRule="auto"/>
        <w:jc w:val="both"/>
        <w:rPr>
          <w:rFonts w:asciiTheme="majorBidi" w:hAnsiTheme="majorBidi" w:cstheme="majorBidi"/>
          <w:sz w:val="24"/>
          <w:szCs w:val="24"/>
        </w:rPr>
      </w:pPr>
      <w:r w:rsidRPr="000E1A47">
        <w:rPr>
          <w:rFonts w:asciiTheme="majorBidi" w:hAnsiTheme="majorBidi" w:cstheme="majorBidi"/>
          <w:sz w:val="24"/>
          <w:szCs w:val="24"/>
        </w:rPr>
        <w:t xml:space="preserve">It is a pleasure to address TSAG at the opening of this meeting, and I thank the Telecommunication </w:t>
      </w:r>
      <w:proofErr w:type="spellStart"/>
      <w:r w:rsidRPr="000E1A47">
        <w:rPr>
          <w:rFonts w:asciiTheme="majorBidi" w:hAnsiTheme="majorBidi" w:cstheme="majorBidi"/>
          <w:sz w:val="24"/>
          <w:szCs w:val="24"/>
        </w:rPr>
        <w:t>Standardisation</w:t>
      </w:r>
      <w:proofErr w:type="spellEnd"/>
      <w:r w:rsidRPr="000E1A47">
        <w:rPr>
          <w:rFonts w:asciiTheme="majorBidi" w:hAnsiTheme="majorBidi" w:cstheme="majorBidi"/>
          <w:sz w:val="24"/>
          <w:szCs w:val="24"/>
        </w:rPr>
        <w:t xml:space="preserve"> Bureau for the invitation to be here today.</w:t>
      </w:r>
    </w:p>
    <w:p w14:paraId="1EDB6113" w14:textId="77777777" w:rsidR="000E1A47" w:rsidRPr="000E1A47" w:rsidRDefault="000E1A47" w:rsidP="000E1A47">
      <w:pPr>
        <w:spacing w:before="240" w:line="276" w:lineRule="auto"/>
        <w:jc w:val="both"/>
        <w:rPr>
          <w:rFonts w:asciiTheme="majorBidi" w:hAnsiTheme="majorBidi" w:cstheme="majorBidi"/>
          <w:sz w:val="24"/>
          <w:szCs w:val="24"/>
        </w:rPr>
      </w:pPr>
      <w:r w:rsidRPr="000E1A47">
        <w:rPr>
          <w:rFonts w:asciiTheme="majorBidi" w:hAnsiTheme="majorBidi" w:cstheme="majorBidi"/>
          <w:sz w:val="24"/>
          <w:szCs w:val="24"/>
        </w:rPr>
        <w:t>There is something reassuring about starting the year with TSAG. Before the year becomes fully occupied with meetings, deadlines, and deliverables, we begin with a group that is focused on structure, priorities, and coordination. While this year CWG met even earlier, TSAG traditionally benefits from this timing, and I hope this smooth start will set a positive tone for the rest of the meetings in 2026.</w:t>
      </w:r>
    </w:p>
    <w:p w14:paraId="6127CD93" w14:textId="77777777" w:rsidR="000E1A47" w:rsidRPr="000E1A47" w:rsidRDefault="000E1A47" w:rsidP="00FB3A66">
      <w:pPr>
        <w:spacing w:before="120" w:line="276" w:lineRule="auto"/>
        <w:jc w:val="both"/>
        <w:rPr>
          <w:rFonts w:asciiTheme="majorBidi" w:hAnsiTheme="majorBidi" w:cstheme="majorBidi"/>
          <w:sz w:val="24"/>
          <w:szCs w:val="24"/>
        </w:rPr>
      </w:pPr>
      <w:r w:rsidRPr="000E1A47">
        <w:rPr>
          <w:rFonts w:asciiTheme="majorBidi" w:hAnsiTheme="majorBidi" w:cstheme="majorBidi"/>
          <w:sz w:val="24"/>
          <w:szCs w:val="24"/>
        </w:rPr>
        <w:t xml:space="preserve">As mentioned by the Secretary General, in the broader context of UN80 and the ongoing reforms affecting the United Nations </w:t>
      </w:r>
      <w:proofErr w:type="gramStart"/>
      <w:r w:rsidRPr="000E1A47">
        <w:rPr>
          <w:rFonts w:asciiTheme="majorBidi" w:hAnsiTheme="majorBidi" w:cstheme="majorBidi"/>
          <w:sz w:val="24"/>
          <w:szCs w:val="24"/>
        </w:rPr>
        <w:t>system as a whole, ITU</w:t>
      </w:r>
      <w:proofErr w:type="gramEnd"/>
      <w:r w:rsidRPr="000E1A47">
        <w:rPr>
          <w:rFonts w:asciiTheme="majorBidi" w:hAnsiTheme="majorBidi" w:cstheme="majorBidi"/>
          <w:sz w:val="24"/>
          <w:szCs w:val="24"/>
        </w:rPr>
        <w:t xml:space="preserve"> is expected to become more efficient while continuing to deliver on its mandate. This is essential to our ability to serve our Membership in a more targeted and effective manner, ensuring coherence, avoiding duplication, and addressing issues that span Sector mandates.</w:t>
      </w:r>
    </w:p>
    <w:p w14:paraId="4F0658AB" w14:textId="77777777" w:rsidR="000E1A47" w:rsidRPr="000E1A47" w:rsidRDefault="000E1A47" w:rsidP="00FB3A66">
      <w:pPr>
        <w:spacing w:before="120" w:line="276" w:lineRule="auto"/>
        <w:jc w:val="both"/>
        <w:rPr>
          <w:rFonts w:asciiTheme="majorBidi" w:hAnsiTheme="majorBidi" w:cstheme="majorBidi"/>
          <w:sz w:val="24"/>
          <w:szCs w:val="24"/>
        </w:rPr>
      </w:pPr>
      <w:r w:rsidRPr="000E1A47">
        <w:rPr>
          <w:rFonts w:asciiTheme="majorBidi" w:hAnsiTheme="majorBidi" w:cstheme="majorBidi"/>
          <w:sz w:val="24"/>
          <w:szCs w:val="24"/>
        </w:rPr>
        <w:t xml:space="preserve">Allow me to share a few areas where we can find synergies between ITU-R and ITU-T, adapt the way we work, and </w:t>
      </w:r>
      <w:proofErr w:type="spellStart"/>
      <w:r w:rsidRPr="000E1A47">
        <w:rPr>
          <w:rFonts w:asciiTheme="majorBidi" w:hAnsiTheme="majorBidi" w:cstheme="majorBidi"/>
          <w:sz w:val="24"/>
          <w:szCs w:val="24"/>
        </w:rPr>
        <w:t>prioritise</w:t>
      </w:r>
      <w:proofErr w:type="spellEnd"/>
      <w:r w:rsidRPr="000E1A47">
        <w:rPr>
          <w:rFonts w:asciiTheme="majorBidi" w:hAnsiTheme="majorBidi" w:cstheme="majorBidi"/>
          <w:sz w:val="24"/>
          <w:szCs w:val="24"/>
        </w:rPr>
        <w:t xml:space="preserve"> more clearly.</w:t>
      </w:r>
    </w:p>
    <w:p w14:paraId="418470E9" w14:textId="77777777" w:rsidR="000E1A47" w:rsidRPr="000E1A47" w:rsidRDefault="000E1A47" w:rsidP="000E1A47">
      <w:pPr>
        <w:autoSpaceDE/>
        <w:autoSpaceDN/>
        <w:spacing w:after="160" w:line="259" w:lineRule="auto"/>
        <w:rPr>
          <w:rFonts w:asciiTheme="majorBidi" w:hAnsiTheme="majorBidi" w:cstheme="majorBidi"/>
          <w:sz w:val="24"/>
          <w:szCs w:val="24"/>
        </w:rPr>
      </w:pPr>
      <w:r w:rsidRPr="000E1A47">
        <w:rPr>
          <w:rFonts w:asciiTheme="majorBidi" w:hAnsiTheme="majorBidi" w:cstheme="majorBidi"/>
          <w:sz w:val="24"/>
          <w:szCs w:val="24"/>
        </w:rPr>
        <w:br w:type="page"/>
      </w:r>
    </w:p>
    <w:p w14:paraId="10EC7DDA" w14:textId="77777777" w:rsidR="000E1A47" w:rsidRPr="000E1A47" w:rsidRDefault="000E1A47" w:rsidP="000E1A47">
      <w:pPr>
        <w:spacing w:before="240" w:line="276" w:lineRule="auto"/>
        <w:jc w:val="both"/>
        <w:rPr>
          <w:rFonts w:asciiTheme="majorBidi" w:hAnsiTheme="majorBidi" w:cstheme="majorBidi"/>
          <w:sz w:val="24"/>
          <w:szCs w:val="24"/>
        </w:rPr>
      </w:pPr>
      <w:r w:rsidRPr="000E1A47">
        <w:rPr>
          <w:rFonts w:asciiTheme="majorBidi" w:hAnsiTheme="majorBidi" w:cstheme="majorBidi"/>
          <w:sz w:val="24"/>
          <w:szCs w:val="24"/>
        </w:rPr>
        <w:lastRenderedPageBreak/>
        <w:t xml:space="preserve">I will start by highlighting the ongoing and complementary activities of ITU-R and ITU-T </w:t>
      </w:r>
      <w:proofErr w:type="gramStart"/>
      <w:r w:rsidRPr="000E1A47">
        <w:rPr>
          <w:rFonts w:asciiTheme="majorBidi" w:hAnsiTheme="majorBidi" w:cstheme="majorBidi"/>
          <w:sz w:val="24"/>
          <w:szCs w:val="24"/>
        </w:rPr>
        <w:t>in the area of</w:t>
      </w:r>
      <w:proofErr w:type="gramEnd"/>
      <w:r w:rsidRPr="000E1A47">
        <w:rPr>
          <w:rFonts w:asciiTheme="majorBidi" w:hAnsiTheme="majorBidi" w:cstheme="majorBidi"/>
          <w:sz w:val="24"/>
          <w:szCs w:val="24"/>
        </w:rPr>
        <w:t xml:space="preserve"> satellite communications. </w:t>
      </w:r>
    </w:p>
    <w:p w14:paraId="5BA4DA8D" w14:textId="77777777" w:rsidR="000E1A47" w:rsidRPr="000E1A47" w:rsidRDefault="000E1A47" w:rsidP="000E1A47">
      <w:pPr>
        <w:spacing w:before="240" w:line="276" w:lineRule="auto"/>
        <w:jc w:val="both"/>
        <w:rPr>
          <w:rFonts w:asciiTheme="majorBidi" w:hAnsiTheme="majorBidi" w:cstheme="majorBidi"/>
          <w:sz w:val="24"/>
          <w:szCs w:val="24"/>
        </w:rPr>
      </w:pPr>
      <w:r w:rsidRPr="000E1A47">
        <w:rPr>
          <w:rFonts w:asciiTheme="majorBidi" w:hAnsiTheme="majorBidi" w:cstheme="majorBidi"/>
          <w:sz w:val="24"/>
          <w:szCs w:val="24"/>
        </w:rPr>
        <w:t xml:space="preserve">Within ITU-R, extensive work is underway in preparation for the World Radiocommunication Conference 2027, addressing a wide range of regulatory, spectrum, and technical issues relevant to radiocommunication services. The WRC-27 agenda consists largely of items related to or affecting satellite and science services, some with unique technical and regulatory complexities. To give you some examples, Agenda item 1.13 addresses regulatory provisions and possible new allocations to support direct-to-device (D2D) connectivity between space stations and IMT User Equipment, while Agenda Item AI 1.12 considers Mobile Satellite Service allocations for the development of Satellite based Internet of Things. </w:t>
      </w:r>
    </w:p>
    <w:p w14:paraId="5E614291" w14:textId="77777777" w:rsidR="000E1A47" w:rsidRPr="000E1A47" w:rsidRDefault="000E1A47" w:rsidP="000E1A47">
      <w:pPr>
        <w:spacing w:before="240" w:line="276" w:lineRule="auto"/>
        <w:jc w:val="both"/>
        <w:rPr>
          <w:rFonts w:asciiTheme="majorBidi" w:hAnsiTheme="majorBidi" w:cstheme="majorBidi"/>
          <w:sz w:val="24"/>
          <w:szCs w:val="24"/>
        </w:rPr>
      </w:pPr>
      <w:r w:rsidRPr="000E1A47">
        <w:rPr>
          <w:rFonts w:asciiTheme="majorBidi" w:hAnsiTheme="majorBidi" w:cstheme="majorBidi"/>
          <w:sz w:val="24"/>
          <w:szCs w:val="24"/>
        </w:rPr>
        <w:t>Alongside the conference-related work, ITU-R is developing a handbook on best practices for the sustainable use of radio frequencies and associated orbits, as well as a comprehensive handbook on satellite communications and technologies covering regulatory procedures, technical aspects, international cooperation, and emerging trends across satellite services. In addition, the ITU Handbook on Small Satellites has improved the dissemination of knowledge on regulatory procedures applicable to small satellites, including nanosatellites and picosatellites, and to serve as a standalone resource supporting their effective development.</w:t>
      </w:r>
    </w:p>
    <w:p w14:paraId="54438B5E" w14:textId="77777777" w:rsidR="000E1A47" w:rsidRPr="000E1A47" w:rsidRDefault="000E1A47" w:rsidP="000E1A47">
      <w:pPr>
        <w:spacing w:before="240" w:line="276" w:lineRule="auto"/>
        <w:jc w:val="both"/>
        <w:rPr>
          <w:rFonts w:asciiTheme="majorBidi" w:hAnsiTheme="majorBidi" w:cstheme="majorBidi"/>
          <w:sz w:val="24"/>
          <w:szCs w:val="24"/>
        </w:rPr>
      </w:pPr>
      <w:r w:rsidRPr="000E1A47">
        <w:rPr>
          <w:rFonts w:asciiTheme="majorBidi" w:hAnsiTheme="majorBidi" w:cstheme="majorBidi"/>
          <w:sz w:val="24"/>
          <w:szCs w:val="24"/>
        </w:rPr>
        <w:t xml:space="preserve">In parallel, ITU-T continues its work on standards related to satellite networks, including numbering structures and country codes, cost models, economic and policy aspects, quality of service, and architectures and protocols supporting the convergence of fixed and mobile networks. </w:t>
      </w:r>
    </w:p>
    <w:p w14:paraId="3E46750F" w14:textId="77777777" w:rsidR="000E1A47" w:rsidRPr="000E1A47" w:rsidRDefault="000E1A47" w:rsidP="000E1A47">
      <w:pPr>
        <w:spacing w:before="240" w:line="276" w:lineRule="auto"/>
        <w:jc w:val="both"/>
        <w:rPr>
          <w:rFonts w:asciiTheme="majorBidi" w:hAnsiTheme="majorBidi" w:cstheme="majorBidi"/>
          <w:sz w:val="24"/>
          <w:szCs w:val="24"/>
        </w:rPr>
      </w:pPr>
      <w:r w:rsidRPr="000E1A47">
        <w:rPr>
          <w:rFonts w:asciiTheme="majorBidi" w:hAnsiTheme="majorBidi" w:cstheme="majorBidi"/>
          <w:sz w:val="24"/>
          <w:szCs w:val="24"/>
        </w:rPr>
        <w:t>As you can see, the activities of the ITU-R and ITU-T are clearly complementary, illustrating the value of concerted efforts of the Sectors.</w:t>
      </w:r>
    </w:p>
    <w:p w14:paraId="3005871C" w14:textId="77777777" w:rsidR="000E1A47" w:rsidRPr="000E1A47" w:rsidRDefault="000E1A47" w:rsidP="000E1A47">
      <w:pPr>
        <w:autoSpaceDE/>
        <w:autoSpaceDN/>
        <w:spacing w:after="160" w:line="259" w:lineRule="auto"/>
        <w:rPr>
          <w:rFonts w:asciiTheme="majorBidi" w:hAnsiTheme="majorBidi" w:cstheme="majorBidi"/>
          <w:sz w:val="24"/>
          <w:szCs w:val="24"/>
        </w:rPr>
      </w:pPr>
      <w:r w:rsidRPr="000E1A47">
        <w:rPr>
          <w:rFonts w:asciiTheme="majorBidi" w:hAnsiTheme="majorBidi" w:cstheme="majorBidi"/>
          <w:sz w:val="24"/>
          <w:szCs w:val="24"/>
        </w:rPr>
        <w:br w:type="page"/>
      </w:r>
    </w:p>
    <w:p w14:paraId="5F1CFBA9" w14:textId="77777777" w:rsidR="000E1A47" w:rsidRPr="000E1A47" w:rsidRDefault="000E1A47" w:rsidP="000E1A47">
      <w:pPr>
        <w:spacing w:before="240" w:line="276" w:lineRule="auto"/>
        <w:jc w:val="both"/>
        <w:rPr>
          <w:rFonts w:asciiTheme="majorBidi" w:hAnsiTheme="majorBidi" w:cstheme="majorBidi"/>
          <w:sz w:val="24"/>
          <w:szCs w:val="24"/>
        </w:rPr>
      </w:pPr>
      <w:r w:rsidRPr="000E1A47">
        <w:rPr>
          <w:rFonts w:asciiTheme="majorBidi" w:hAnsiTheme="majorBidi" w:cstheme="majorBidi"/>
          <w:sz w:val="24"/>
          <w:szCs w:val="24"/>
        </w:rPr>
        <w:lastRenderedPageBreak/>
        <w:t xml:space="preserve">Beyond technical collaboration, an additional area of interest is the electronic working methods developed within ITU-T. I would like to </w:t>
      </w:r>
      <w:proofErr w:type="spellStart"/>
      <w:r w:rsidRPr="000E1A47">
        <w:rPr>
          <w:rFonts w:asciiTheme="majorBidi" w:hAnsiTheme="majorBidi" w:cstheme="majorBidi"/>
          <w:sz w:val="24"/>
          <w:szCs w:val="24"/>
        </w:rPr>
        <w:t>recognise</w:t>
      </w:r>
      <w:proofErr w:type="spellEnd"/>
      <w:r w:rsidRPr="000E1A47">
        <w:rPr>
          <w:rFonts w:asciiTheme="majorBidi" w:hAnsiTheme="majorBidi" w:cstheme="majorBidi"/>
          <w:sz w:val="24"/>
          <w:szCs w:val="24"/>
        </w:rPr>
        <w:t xml:space="preserve"> the work of the Telecommunication </w:t>
      </w:r>
      <w:proofErr w:type="spellStart"/>
      <w:r w:rsidRPr="000E1A47">
        <w:rPr>
          <w:rFonts w:asciiTheme="majorBidi" w:hAnsiTheme="majorBidi" w:cstheme="majorBidi"/>
          <w:sz w:val="24"/>
          <w:szCs w:val="24"/>
        </w:rPr>
        <w:t>Standardisation</w:t>
      </w:r>
      <w:proofErr w:type="spellEnd"/>
      <w:r w:rsidRPr="000E1A47">
        <w:rPr>
          <w:rFonts w:asciiTheme="majorBidi" w:hAnsiTheme="majorBidi" w:cstheme="majorBidi"/>
          <w:sz w:val="24"/>
          <w:szCs w:val="24"/>
        </w:rPr>
        <w:t xml:space="preserve"> Bureau in developing tools and processes to support the work of ITU-T Study Groups. The Radiocommunication Bureau would welcome the opportunity to draw on this experience and, where appropriate, adopt similar tools to improve our own internal processes and efficiency.</w:t>
      </w:r>
    </w:p>
    <w:p w14:paraId="75EF6EF6" w14:textId="77777777" w:rsidR="000E1A47" w:rsidRPr="000E1A47" w:rsidRDefault="000E1A47" w:rsidP="000E1A47">
      <w:pPr>
        <w:spacing w:before="240" w:line="276" w:lineRule="auto"/>
        <w:jc w:val="both"/>
        <w:rPr>
          <w:rFonts w:asciiTheme="majorBidi" w:hAnsiTheme="majorBidi" w:cstheme="majorBidi"/>
          <w:sz w:val="24"/>
          <w:szCs w:val="24"/>
        </w:rPr>
      </w:pPr>
      <w:r w:rsidRPr="000E1A47">
        <w:rPr>
          <w:rFonts w:asciiTheme="majorBidi" w:hAnsiTheme="majorBidi" w:cstheme="majorBidi"/>
          <w:sz w:val="24"/>
          <w:szCs w:val="24"/>
        </w:rPr>
        <w:t xml:space="preserve">In this context, the work of the AI for Good team has also demonstrated that the use of artificial intelligence is an important driver of transformation. AI offers practical opportunities to enhance how we work across </w:t>
      </w:r>
      <w:proofErr w:type="spellStart"/>
      <w:r w:rsidRPr="000E1A47">
        <w:rPr>
          <w:rFonts w:asciiTheme="majorBidi" w:hAnsiTheme="majorBidi" w:cstheme="majorBidi"/>
          <w:sz w:val="24"/>
          <w:szCs w:val="24"/>
        </w:rPr>
        <w:t>Bureaux</w:t>
      </w:r>
      <w:proofErr w:type="spellEnd"/>
      <w:r w:rsidRPr="000E1A47">
        <w:rPr>
          <w:rFonts w:asciiTheme="majorBidi" w:hAnsiTheme="majorBidi" w:cstheme="majorBidi"/>
          <w:sz w:val="24"/>
          <w:szCs w:val="24"/>
        </w:rPr>
        <w:t xml:space="preserve"> and Sectors. We look to TSB not only to continue leading the AI for Good event, but also to play a central role in supporting the adoption of AI within the Union.</w:t>
      </w:r>
    </w:p>
    <w:p w14:paraId="7D80DB22" w14:textId="77777777" w:rsidR="000E1A47" w:rsidRPr="000E1A47" w:rsidRDefault="000E1A47" w:rsidP="000E1A47">
      <w:pPr>
        <w:spacing w:before="240" w:line="276" w:lineRule="auto"/>
        <w:jc w:val="both"/>
        <w:rPr>
          <w:rFonts w:asciiTheme="majorBidi" w:hAnsiTheme="majorBidi" w:cstheme="majorBidi"/>
          <w:sz w:val="24"/>
          <w:szCs w:val="24"/>
        </w:rPr>
      </w:pPr>
      <w:r w:rsidRPr="000E1A47">
        <w:rPr>
          <w:rFonts w:asciiTheme="majorBidi" w:hAnsiTheme="majorBidi" w:cstheme="majorBidi"/>
          <w:sz w:val="24"/>
          <w:szCs w:val="24"/>
        </w:rPr>
        <w:t xml:space="preserve">Turning to </w:t>
      </w:r>
      <w:proofErr w:type="spellStart"/>
      <w:r w:rsidRPr="000E1A47">
        <w:rPr>
          <w:rFonts w:asciiTheme="majorBidi" w:hAnsiTheme="majorBidi" w:cstheme="majorBidi"/>
          <w:sz w:val="24"/>
          <w:szCs w:val="24"/>
        </w:rPr>
        <w:t>prioritisation</w:t>
      </w:r>
      <w:proofErr w:type="spellEnd"/>
      <w:r w:rsidRPr="000E1A47">
        <w:rPr>
          <w:rFonts w:asciiTheme="majorBidi" w:hAnsiTheme="majorBidi" w:cstheme="majorBidi"/>
          <w:sz w:val="24"/>
          <w:szCs w:val="24"/>
        </w:rPr>
        <w:t xml:space="preserve">, I would like to underline the importance of the work currently being undertaken on the ITU Operational Plan. Both ITU-T and the ITU-R are making concrete efforts to implement results-based management more systematically. This includes a clearer definition of </w:t>
      </w:r>
      <w:proofErr w:type="gramStart"/>
      <w:r w:rsidRPr="000E1A47">
        <w:rPr>
          <w:rFonts w:asciiTheme="majorBidi" w:hAnsiTheme="majorBidi" w:cstheme="majorBidi"/>
          <w:sz w:val="24"/>
          <w:szCs w:val="24"/>
        </w:rPr>
        <w:t>outputs</w:t>
      </w:r>
      <w:proofErr w:type="gramEnd"/>
      <w:r w:rsidRPr="000E1A47">
        <w:rPr>
          <w:rFonts w:asciiTheme="majorBidi" w:hAnsiTheme="majorBidi" w:cstheme="majorBidi"/>
          <w:sz w:val="24"/>
          <w:szCs w:val="24"/>
        </w:rPr>
        <w:t xml:space="preserve"> and, importantly, quantifying the resources required to deliver them. This exercise will improve transparency, strengthen accountability, and support clearer </w:t>
      </w:r>
      <w:proofErr w:type="spellStart"/>
      <w:r w:rsidRPr="000E1A47">
        <w:rPr>
          <w:rFonts w:asciiTheme="majorBidi" w:hAnsiTheme="majorBidi" w:cstheme="majorBidi"/>
          <w:sz w:val="24"/>
          <w:szCs w:val="24"/>
        </w:rPr>
        <w:t>prioritisation</w:t>
      </w:r>
      <w:proofErr w:type="spellEnd"/>
      <w:r w:rsidRPr="000E1A47">
        <w:rPr>
          <w:rFonts w:asciiTheme="majorBidi" w:hAnsiTheme="majorBidi" w:cstheme="majorBidi"/>
          <w:sz w:val="24"/>
          <w:szCs w:val="24"/>
        </w:rPr>
        <w:t xml:space="preserve"> of our activities.</w:t>
      </w:r>
    </w:p>
    <w:p w14:paraId="5363ACA6" w14:textId="77777777" w:rsidR="000E1A47" w:rsidRPr="000E1A47" w:rsidRDefault="000E1A47" w:rsidP="000E1A47">
      <w:pPr>
        <w:spacing w:before="240" w:line="276" w:lineRule="auto"/>
        <w:jc w:val="both"/>
        <w:rPr>
          <w:rFonts w:asciiTheme="majorBidi" w:hAnsiTheme="majorBidi" w:cstheme="majorBidi"/>
          <w:sz w:val="24"/>
          <w:szCs w:val="24"/>
        </w:rPr>
      </w:pPr>
      <w:r w:rsidRPr="000E1A47">
        <w:rPr>
          <w:rFonts w:asciiTheme="majorBidi" w:hAnsiTheme="majorBidi" w:cstheme="majorBidi"/>
          <w:sz w:val="24"/>
          <w:szCs w:val="24"/>
        </w:rPr>
        <w:t xml:space="preserve">Finally, let me reassure you that the Radiocommunications Bureau and the Telecommunication Standardization Bureau are working together to deliver on our </w:t>
      </w:r>
      <w:proofErr w:type="gramStart"/>
      <w:r w:rsidRPr="000E1A47">
        <w:rPr>
          <w:rFonts w:asciiTheme="majorBidi" w:hAnsiTheme="majorBidi" w:cstheme="majorBidi"/>
          <w:sz w:val="24"/>
          <w:szCs w:val="24"/>
        </w:rPr>
        <w:t>mandates</w:t>
      </w:r>
      <w:proofErr w:type="gramEnd"/>
      <w:r w:rsidRPr="000E1A47">
        <w:rPr>
          <w:rFonts w:asciiTheme="majorBidi" w:hAnsiTheme="majorBidi" w:cstheme="majorBidi"/>
          <w:sz w:val="24"/>
          <w:szCs w:val="24"/>
        </w:rPr>
        <w:t xml:space="preserve">. I would also like to acknowledge the improved communication between the Radiocommunication Advisory Group and TSAG, as well as between ITU-R and ITU-T Study Group Chairs. </w:t>
      </w:r>
    </w:p>
    <w:p w14:paraId="31E33B8A" w14:textId="77777777" w:rsidR="000E1A47" w:rsidRPr="000E1A47" w:rsidRDefault="000E1A47" w:rsidP="000E1A47">
      <w:pPr>
        <w:spacing w:before="240" w:line="276" w:lineRule="auto"/>
        <w:jc w:val="both"/>
        <w:rPr>
          <w:rFonts w:asciiTheme="majorBidi" w:hAnsiTheme="majorBidi" w:cstheme="majorBidi"/>
          <w:sz w:val="24"/>
          <w:szCs w:val="24"/>
        </w:rPr>
      </w:pPr>
      <w:r w:rsidRPr="000E1A47">
        <w:rPr>
          <w:rFonts w:asciiTheme="majorBidi" w:hAnsiTheme="majorBidi" w:cstheme="majorBidi"/>
          <w:sz w:val="24"/>
          <w:szCs w:val="24"/>
        </w:rPr>
        <w:t xml:space="preserve">With this, Mr. Chairman, I wish TSAG a productive meeting and look forward to continuing close cooperation between our </w:t>
      </w:r>
      <w:proofErr w:type="spellStart"/>
      <w:r w:rsidRPr="000E1A47">
        <w:rPr>
          <w:rFonts w:asciiTheme="majorBidi" w:hAnsiTheme="majorBidi" w:cstheme="majorBidi"/>
          <w:sz w:val="24"/>
          <w:szCs w:val="24"/>
        </w:rPr>
        <w:t>Bureaux</w:t>
      </w:r>
      <w:proofErr w:type="spellEnd"/>
      <w:r w:rsidRPr="000E1A47">
        <w:rPr>
          <w:rFonts w:asciiTheme="majorBidi" w:hAnsiTheme="majorBidi" w:cstheme="majorBidi"/>
          <w:sz w:val="24"/>
          <w:szCs w:val="24"/>
        </w:rPr>
        <w:t xml:space="preserve"> in support of the Union’s objectives and the needs of our </w:t>
      </w:r>
      <w:proofErr w:type="gramStart"/>
      <w:r w:rsidRPr="000E1A47">
        <w:rPr>
          <w:rFonts w:asciiTheme="majorBidi" w:hAnsiTheme="majorBidi" w:cstheme="majorBidi"/>
          <w:sz w:val="24"/>
          <w:szCs w:val="24"/>
        </w:rPr>
        <w:t>Members</w:t>
      </w:r>
      <w:proofErr w:type="gramEnd"/>
      <w:r w:rsidRPr="000E1A47">
        <w:rPr>
          <w:rFonts w:asciiTheme="majorBidi" w:hAnsiTheme="majorBidi" w:cstheme="majorBidi"/>
          <w:sz w:val="24"/>
          <w:szCs w:val="24"/>
        </w:rPr>
        <w:t>.</w:t>
      </w:r>
    </w:p>
    <w:p w14:paraId="54B12DE8" w14:textId="437FCE26" w:rsidR="000E1A47" w:rsidRPr="000E1A47" w:rsidRDefault="000E1A47" w:rsidP="000E1A47">
      <w:pPr>
        <w:spacing w:before="240" w:line="276" w:lineRule="auto"/>
        <w:jc w:val="both"/>
        <w:rPr>
          <w:rFonts w:asciiTheme="majorBidi" w:hAnsiTheme="majorBidi" w:cstheme="majorBidi"/>
          <w:sz w:val="24"/>
          <w:szCs w:val="24"/>
        </w:rPr>
      </w:pPr>
      <w:r w:rsidRPr="000E1A47">
        <w:rPr>
          <w:rFonts w:asciiTheme="majorBidi" w:hAnsiTheme="majorBidi" w:cstheme="majorBidi"/>
          <w:sz w:val="24"/>
          <w:szCs w:val="24"/>
        </w:rPr>
        <w:t>Thank you.</w:t>
      </w:r>
    </w:p>
    <w:p w14:paraId="5B8DA18E" w14:textId="77777777" w:rsidR="00346C73" w:rsidRPr="000E1A47" w:rsidRDefault="00346C73" w:rsidP="00346C73">
      <w:pPr>
        <w:spacing w:line="276" w:lineRule="auto"/>
        <w:rPr>
          <w:rFonts w:asciiTheme="majorBidi" w:eastAsia="SimSun" w:hAnsiTheme="majorBidi" w:cstheme="majorBidi"/>
          <w:sz w:val="24"/>
          <w:szCs w:val="24"/>
          <w:lang w:eastAsia="zh-CN"/>
        </w:rPr>
      </w:pPr>
    </w:p>
    <w:p w14:paraId="47D4363E" w14:textId="44390BFC" w:rsidR="00F22C39" w:rsidRPr="000E1A47" w:rsidRDefault="00346C73" w:rsidP="00346C73">
      <w:pPr>
        <w:spacing w:line="276" w:lineRule="auto"/>
        <w:ind w:left="2160" w:firstLine="720"/>
        <w:rPr>
          <w:rFonts w:asciiTheme="majorBidi" w:eastAsia="SimSun" w:hAnsiTheme="majorBidi" w:cstheme="majorBidi"/>
          <w:sz w:val="24"/>
          <w:szCs w:val="24"/>
          <w:lang w:eastAsia="zh-CN"/>
        </w:rPr>
      </w:pPr>
      <w:r w:rsidRPr="000E1A47">
        <w:rPr>
          <w:rFonts w:asciiTheme="majorBidi" w:eastAsia="SimSun" w:hAnsiTheme="majorBidi" w:cstheme="majorBidi"/>
          <w:sz w:val="24"/>
          <w:szCs w:val="24"/>
          <w:lang w:eastAsia="zh-CN"/>
        </w:rPr>
        <w:t>______________________</w:t>
      </w:r>
    </w:p>
    <w:sectPr w:rsidR="00F22C39" w:rsidRPr="000E1A47" w:rsidSect="00D875CB">
      <w:headerReference w:type="default" r:id="rId12"/>
      <w:pgSz w:w="11906" w:h="16838" w:code="9"/>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A838" w14:textId="77777777" w:rsidR="00E501E0" w:rsidRDefault="00E501E0" w:rsidP="00795AB2">
      <w:r>
        <w:separator/>
      </w:r>
    </w:p>
  </w:endnote>
  <w:endnote w:type="continuationSeparator" w:id="0">
    <w:p w14:paraId="11154FFB" w14:textId="77777777" w:rsidR="00E501E0" w:rsidRDefault="00E501E0" w:rsidP="0079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D308" w14:textId="77777777" w:rsidR="00E501E0" w:rsidRDefault="00E501E0" w:rsidP="00795AB2">
      <w:r>
        <w:separator/>
      </w:r>
    </w:p>
  </w:footnote>
  <w:footnote w:type="continuationSeparator" w:id="0">
    <w:p w14:paraId="064B15CA" w14:textId="77777777" w:rsidR="00E501E0" w:rsidRDefault="00E501E0" w:rsidP="00795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C22C" w14:textId="6E513D24" w:rsidR="00B231F0" w:rsidRPr="00D875CB" w:rsidRDefault="00D875CB" w:rsidP="00D875CB">
    <w:pPr>
      <w:pStyle w:val="Header"/>
      <w:jc w:val="center"/>
      <w:rPr>
        <w:rFonts w:ascii="Times New Roman" w:hAnsi="Times New Roman" w:cs="Times New Roman"/>
        <w:sz w:val="18"/>
      </w:rPr>
    </w:pPr>
    <w:r w:rsidRPr="00D875CB">
      <w:rPr>
        <w:rFonts w:ascii="Times New Roman" w:hAnsi="Times New Roman" w:cs="Times New Roman"/>
        <w:sz w:val="18"/>
      </w:rPr>
      <w:t xml:space="preserve">- </w:t>
    </w:r>
    <w:r w:rsidRPr="00D875CB">
      <w:rPr>
        <w:rFonts w:ascii="Times New Roman" w:hAnsi="Times New Roman" w:cs="Times New Roman"/>
        <w:sz w:val="18"/>
      </w:rPr>
      <w:fldChar w:fldCharType="begin"/>
    </w:r>
    <w:r w:rsidRPr="00D875CB">
      <w:rPr>
        <w:rFonts w:ascii="Times New Roman" w:hAnsi="Times New Roman" w:cs="Times New Roman"/>
        <w:sz w:val="18"/>
      </w:rPr>
      <w:instrText xml:space="preserve"> PAGE  \* MERGEFORMAT </w:instrText>
    </w:r>
    <w:r w:rsidRPr="00D875CB">
      <w:rPr>
        <w:rFonts w:ascii="Times New Roman" w:hAnsi="Times New Roman" w:cs="Times New Roman"/>
        <w:sz w:val="18"/>
      </w:rPr>
      <w:fldChar w:fldCharType="separate"/>
    </w:r>
    <w:r w:rsidRPr="00D875CB">
      <w:rPr>
        <w:rFonts w:ascii="Times New Roman" w:hAnsi="Times New Roman" w:cs="Times New Roman"/>
        <w:noProof/>
        <w:sz w:val="18"/>
      </w:rPr>
      <w:t>1</w:t>
    </w:r>
    <w:r w:rsidRPr="00D875CB">
      <w:rPr>
        <w:rFonts w:ascii="Times New Roman" w:hAnsi="Times New Roman" w:cs="Times New Roman"/>
        <w:sz w:val="18"/>
      </w:rPr>
      <w:fldChar w:fldCharType="end"/>
    </w:r>
    <w:r w:rsidRPr="00D875CB">
      <w:rPr>
        <w:rFonts w:ascii="Times New Roman" w:hAnsi="Times New Roman" w:cs="Times New Roman"/>
        <w:sz w:val="18"/>
      </w:rPr>
      <w:t xml:space="preserve"> -</w:t>
    </w:r>
  </w:p>
  <w:p w14:paraId="46EC6E06" w14:textId="1F47FCB5" w:rsidR="00D875CB" w:rsidRPr="00D875CB" w:rsidRDefault="00D875CB" w:rsidP="00D875CB">
    <w:pPr>
      <w:pStyle w:val="Header"/>
      <w:spacing w:after="240"/>
      <w:jc w:val="center"/>
      <w:rPr>
        <w:rFonts w:ascii="Times New Roman" w:hAnsi="Times New Roman" w:cs="Times New Roman"/>
        <w:sz w:val="18"/>
      </w:rPr>
    </w:pPr>
    <w:r w:rsidRPr="00D875CB">
      <w:rPr>
        <w:rFonts w:ascii="Times New Roman" w:hAnsi="Times New Roman" w:cs="Times New Roman"/>
        <w:sz w:val="18"/>
      </w:rPr>
      <w:fldChar w:fldCharType="begin"/>
    </w:r>
    <w:r w:rsidRPr="00D875CB">
      <w:rPr>
        <w:rFonts w:ascii="Times New Roman" w:hAnsi="Times New Roman" w:cs="Times New Roman"/>
        <w:sz w:val="18"/>
      </w:rPr>
      <w:instrText xml:space="preserve"> STYLEREF  Docnumber  </w:instrText>
    </w:r>
    <w:r>
      <w:rPr>
        <w:rFonts w:ascii="Times New Roman" w:hAnsi="Times New Roman" w:cs="Times New Roman"/>
        <w:sz w:val="18"/>
      </w:rPr>
      <w:fldChar w:fldCharType="separate"/>
    </w:r>
    <w:r w:rsidR="00FB3A66">
      <w:rPr>
        <w:rFonts w:ascii="Times New Roman" w:hAnsi="Times New Roman" w:cs="Times New Roman"/>
        <w:noProof/>
        <w:sz w:val="18"/>
      </w:rPr>
      <w:t>TSAG-TD325</w:t>
    </w:r>
    <w:r w:rsidRPr="00D875CB">
      <w:rPr>
        <w:rFonts w:ascii="Times New Roman" w:hAnsi="Times New Roman" w:cs="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3F68"/>
    <w:multiLevelType w:val="hybridMultilevel"/>
    <w:tmpl w:val="7E50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576FB"/>
    <w:multiLevelType w:val="hybridMultilevel"/>
    <w:tmpl w:val="BB5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B7A06"/>
    <w:multiLevelType w:val="hybridMultilevel"/>
    <w:tmpl w:val="3B70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35985"/>
    <w:multiLevelType w:val="hybridMultilevel"/>
    <w:tmpl w:val="3F446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369EE"/>
    <w:multiLevelType w:val="hybridMultilevel"/>
    <w:tmpl w:val="390C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E11CF8"/>
    <w:multiLevelType w:val="multilevel"/>
    <w:tmpl w:val="3C32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137AD"/>
    <w:multiLevelType w:val="hybridMultilevel"/>
    <w:tmpl w:val="6D9A0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417988">
    <w:abstractNumId w:val="5"/>
  </w:num>
  <w:num w:numId="2" w16cid:durableId="899705231">
    <w:abstractNumId w:val="3"/>
  </w:num>
  <w:num w:numId="3" w16cid:durableId="882012695">
    <w:abstractNumId w:val="0"/>
  </w:num>
  <w:num w:numId="4" w16cid:durableId="485785464">
    <w:abstractNumId w:val="1"/>
  </w:num>
  <w:num w:numId="5" w16cid:durableId="2049337279">
    <w:abstractNumId w:val="4"/>
  </w:num>
  <w:num w:numId="6" w16cid:durableId="1656643394">
    <w:abstractNumId w:val="6"/>
  </w:num>
  <w:num w:numId="7" w16cid:durableId="2144957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39"/>
    <w:rsid w:val="00000F93"/>
    <w:rsid w:val="0000322E"/>
    <w:rsid w:val="0001123F"/>
    <w:rsid w:val="0001151F"/>
    <w:rsid w:val="0002509D"/>
    <w:rsid w:val="00032C3F"/>
    <w:rsid w:val="0003544C"/>
    <w:rsid w:val="00073034"/>
    <w:rsid w:val="00076213"/>
    <w:rsid w:val="00082657"/>
    <w:rsid w:val="00090CA1"/>
    <w:rsid w:val="000B129E"/>
    <w:rsid w:val="000D2700"/>
    <w:rsid w:val="000D3493"/>
    <w:rsid w:val="000E1A47"/>
    <w:rsid w:val="000E6BEB"/>
    <w:rsid w:val="000F44CD"/>
    <w:rsid w:val="00114C87"/>
    <w:rsid w:val="001260D6"/>
    <w:rsid w:val="00126B71"/>
    <w:rsid w:val="00164332"/>
    <w:rsid w:val="001715D1"/>
    <w:rsid w:val="001840F7"/>
    <w:rsid w:val="001F1A12"/>
    <w:rsid w:val="001F51E6"/>
    <w:rsid w:val="00227A2C"/>
    <w:rsid w:val="00253C23"/>
    <w:rsid w:val="00282486"/>
    <w:rsid w:val="002851DC"/>
    <w:rsid w:val="00296DCA"/>
    <w:rsid w:val="002C04D7"/>
    <w:rsid w:val="002F42BE"/>
    <w:rsid w:val="00332F0A"/>
    <w:rsid w:val="00346C73"/>
    <w:rsid w:val="0034748A"/>
    <w:rsid w:val="00374BD1"/>
    <w:rsid w:val="0038048A"/>
    <w:rsid w:val="003836FE"/>
    <w:rsid w:val="00387D5A"/>
    <w:rsid w:val="00427C83"/>
    <w:rsid w:val="00462B8E"/>
    <w:rsid w:val="00480E6C"/>
    <w:rsid w:val="00482F79"/>
    <w:rsid w:val="00495167"/>
    <w:rsid w:val="004B4FA5"/>
    <w:rsid w:val="004B5CCF"/>
    <w:rsid w:val="004E4CAA"/>
    <w:rsid w:val="00502254"/>
    <w:rsid w:val="00513E72"/>
    <w:rsid w:val="005400C3"/>
    <w:rsid w:val="005547C2"/>
    <w:rsid w:val="00555C20"/>
    <w:rsid w:val="00580759"/>
    <w:rsid w:val="00592E6E"/>
    <w:rsid w:val="005A0259"/>
    <w:rsid w:val="005B2670"/>
    <w:rsid w:val="005C0949"/>
    <w:rsid w:val="006244A6"/>
    <w:rsid w:val="00647442"/>
    <w:rsid w:val="00655118"/>
    <w:rsid w:val="0067190A"/>
    <w:rsid w:val="00673BFC"/>
    <w:rsid w:val="00675D34"/>
    <w:rsid w:val="00687213"/>
    <w:rsid w:val="006A4A24"/>
    <w:rsid w:val="006B492A"/>
    <w:rsid w:val="006B54F8"/>
    <w:rsid w:val="006C150B"/>
    <w:rsid w:val="006C29FD"/>
    <w:rsid w:val="006C78A5"/>
    <w:rsid w:val="006E2EDB"/>
    <w:rsid w:val="00710ABB"/>
    <w:rsid w:val="00712BE3"/>
    <w:rsid w:val="00721AA7"/>
    <w:rsid w:val="00761BB5"/>
    <w:rsid w:val="007769AB"/>
    <w:rsid w:val="00777ADD"/>
    <w:rsid w:val="00795AB2"/>
    <w:rsid w:val="007C7D83"/>
    <w:rsid w:val="007F3152"/>
    <w:rsid w:val="00805844"/>
    <w:rsid w:val="00860C50"/>
    <w:rsid w:val="00870621"/>
    <w:rsid w:val="008A2E72"/>
    <w:rsid w:val="008D649D"/>
    <w:rsid w:val="008E024C"/>
    <w:rsid w:val="008F2B97"/>
    <w:rsid w:val="009007A2"/>
    <w:rsid w:val="009175B4"/>
    <w:rsid w:val="00924CB9"/>
    <w:rsid w:val="00925AD8"/>
    <w:rsid w:val="0095153A"/>
    <w:rsid w:val="0096040A"/>
    <w:rsid w:val="00965F8C"/>
    <w:rsid w:val="00970340"/>
    <w:rsid w:val="00981D23"/>
    <w:rsid w:val="00984734"/>
    <w:rsid w:val="0099316A"/>
    <w:rsid w:val="009931A3"/>
    <w:rsid w:val="00994203"/>
    <w:rsid w:val="009B611C"/>
    <w:rsid w:val="009C6D4A"/>
    <w:rsid w:val="009D4BD8"/>
    <w:rsid w:val="00A16CB0"/>
    <w:rsid w:val="00A4286B"/>
    <w:rsid w:val="00A61C4B"/>
    <w:rsid w:val="00A620CE"/>
    <w:rsid w:val="00A76D68"/>
    <w:rsid w:val="00A8398F"/>
    <w:rsid w:val="00A851B2"/>
    <w:rsid w:val="00A90FFC"/>
    <w:rsid w:val="00AF2B00"/>
    <w:rsid w:val="00B01579"/>
    <w:rsid w:val="00B231F0"/>
    <w:rsid w:val="00B51823"/>
    <w:rsid w:val="00B6704D"/>
    <w:rsid w:val="00B869D4"/>
    <w:rsid w:val="00BA2DCE"/>
    <w:rsid w:val="00BA7809"/>
    <w:rsid w:val="00BB1DB4"/>
    <w:rsid w:val="00BD691B"/>
    <w:rsid w:val="00BD73B2"/>
    <w:rsid w:val="00BF1717"/>
    <w:rsid w:val="00C04D09"/>
    <w:rsid w:val="00C226D4"/>
    <w:rsid w:val="00C24847"/>
    <w:rsid w:val="00C66B5C"/>
    <w:rsid w:val="00C81B6F"/>
    <w:rsid w:val="00CB19D9"/>
    <w:rsid w:val="00CC7442"/>
    <w:rsid w:val="00CC7B60"/>
    <w:rsid w:val="00CD4225"/>
    <w:rsid w:val="00CF51DD"/>
    <w:rsid w:val="00CF642D"/>
    <w:rsid w:val="00D42E44"/>
    <w:rsid w:val="00D4374D"/>
    <w:rsid w:val="00D65715"/>
    <w:rsid w:val="00D7278A"/>
    <w:rsid w:val="00D73AA1"/>
    <w:rsid w:val="00D761F1"/>
    <w:rsid w:val="00D875CB"/>
    <w:rsid w:val="00D876DF"/>
    <w:rsid w:val="00DC737B"/>
    <w:rsid w:val="00DE3A75"/>
    <w:rsid w:val="00DE5079"/>
    <w:rsid w:val="00DE7643"/>
    <w:rsid w:val="00DF4825"/>
    <w:rsid w:val="00E11E39"/>
    <w:rsid w:val="00E12A5F"/>
    <w:rsid w:val="00E17D4F"/>
    <w:rsid w:val="00E17D90"/>
    <w:rsid w:val="00E501E0"/>
    <w:rsid w:val="00E7502C"/>
    <w:rsid w:val="00E7652D"/>
    <w:rsid w:val="00E77319"/>
    <w:rsid w:val="00EC5E55"/>
    <w:rsid w:val="00EF0523"/>
    <w:rsid w:val="00EF4007"/>
    <w:rsid w:val="00F22C39"/>
    <w:rsid w:val="00F25F28"/>
    <w:rsid w:val="00F354BB"/>
    <w:rsid w:val="00F53BE0"/>
    <w:rsid w:val="00FA0BF1"/>
    <w:rsid w:val="00FB3A66"/>
    <w:rsid w:val="00FB4107"/>
    <w:rsid w:val="00FD2756"/>
    <w:rsid w:val="00FD3B2C"/>
    <w:rsid w:val="00FF2E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6A4BC"/>
  <w15:chartTrackingRefBased/>
  <w15:docId w15:val="{4D102F3A-A0BD-CA4B-9372-878C4BED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C39"/>
    <w:pPr>
      <w:widowControl w:val="0"/>
      <w:autoSpaceDE w:val="0"/>
      <w:autoSpaceDN w:val="0"/>
    </w:pPr>
    <w:rPr>
      <w:rFonts w:ascii="Calibri" w:eastAsia="Calibri" w:hAnsi="Calibri" w:cs="Calibri"/>
      <w:sz w:val="22"/>
      <w:szCs w:val="22"/>
      <w:lang w:val="en-US"/>
    </w:rPr>
  </w:style>
  <w:style w:type="paragraph" w:styleId="Heading1">
    <w:name w:val="heading 1"/>
    <w:basedOn w:val="Normal"/>
    <w:link w:val="Heading1Char"/>
    <w:uiPriority w:val="9"/>
    <w:qFormat/>
    <w:rsid w:val="00F22C39"/>
    <w:pPr>
      <w:ind w:left="237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C39"/>
    <w:rPr>
      <w:rFonts w:ascii="Calibri" w:eastAsia="Calibri" w:hAnsi="Calibri" w:cs="Calibri"/>
      <w:b/>
      <w:bCs/>
      <w:sz w:val="28"/>
      <w:szCs w:val="28"/>
      <w:lang w:val="en-US"/>
    </w:rPr>
  </w:style>
  <w:style w:type="paragraph" w:styleId="BodyText">
    <w:name w:val="Body Text"/>
    <w:basedOn w:val="Normal"/>
    <w:link w:val="BodyTextChar"/>
    <w:uiPriority w:val="1"/>
    <w:qFormat/>
    <w:rsid w:val="00F22C39"/>
    <w:pPr>
      <w:ind w:left="102"/>
      <w:jc w:val="both"/>
    </w:pPr>
    <w:rPr>
      <w:sz w:val="28"/>
      <w:szCs w:val="28"/>
    </w:rPr>
  </w:style>
  <w:style w:type="character" w:customStyle="1" w:styleId="BodyTextChar">
    <w:name w:val="Body Text Char"/>
    <w:basedOn w:val="DefaultParagraphFont"/>
    <w:link w:val="BodyText"/>
    <w:uiPriority w:val="1"/>
    <w:rsid w:val="00F22C39"/>
    <w:rPr>
      <w:rFonts w:ascii="Calibri" w:eastAsia="Calibri" w:hAnsi="Calibri" w:cs="Calibri"/>
      <w:sz w:val="28"/>
      <w:szCs w:val="28"/>
      <w:lang w:val="en-US"/>
    </w:rPr>
  </w:style>
  <w:style w:type="paragraph" w:customStyle="1" w:styleId="Default">
    <w:name w:val="Default"/>
    <w:rsid w:val="00F22C39"/>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3836F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836FE"/>
  </w:style>
  <w:style w:type="paragraph" w:styleId="Header">
    <w:name w:val="header"/>
    <w:basedOn w:val="Normal"/>
    <w:link w:val="HeaderChar"/>
    <w:uiPriority w:val="99"/>
    <w:unhideWhenUsed/>
    <w:rsid w:val="00795AB2"/>
    <w:pPr>
      <w:tabs>
        <w:tab w:val="center" w:pos="4513"/>
        <w:tab w:val="right" w:pos="9026"/>
      </w:tabs>
    </w:pPr>
  </w:style>
  <w:style w:type="character" w:customStyle="1" w:styleId="HeaderChar">
    <w:name w:val="Header Char"/>
    <w:basedOn w:val="DefaultParagraphFont"/>
    <w:link w:val="Header"/>
    <w:uiPriority w:val="99"/>
    <w:rsid w:val="00795AB2"/>
    <w:rPr>
      <w:rFonts w:ascii="Calibri" w:eastAsia="Calibri" w:hAnsi="Calibri" w:cs="Calibri"/>
      <w:sz w:val="22"/>
      <w:szCs w:val="22"/>
      <w:lang w:val="en-US"/>
    </w:rPr>
  </w:style>
  <w:style w:type="paragraph" w:styleId="Footer">
    <w:name w:val="footer"/>
    <w:basedOn w:val="Normal"/>
    <w:link w:val="FooterChar"/>
    <w:uiPriority w:val="99"/>
    <w:unhideWhenUsed/>
    <w:rsid w:val="00795AB2"/>
    <w:pPr>
      <w:tabs>
        <w:tab w:val="center" w:pos="4513"/>
        <w:tab w:val="right" w:pos="9026"/>
      </w:tabs>
    </w:pPr>
  </w:style>
  <w:style w:type="character" w:customStyle="1" w:styleId="FooterChar">
    <w:name w:val="Footer Char"/>
    <w:basedOn w:val="DefaultParagraphFont"/>
    <w:link w:val="Footer"/>
    <w:uiPriority w:val="99"/>
    <w:rsid w:val="00795AB2"/>
    <w:rPr>
      <w:rFonts w:ascii="Calibri" w:eastAsia="Calibri" w:hAnsi="Calibri" w:cs="Calibri"/>
      <w:sz w:val="22"/>
      <w:szCs w:val="22"/>
      <w:lang w:val="en-US"/>
    </w:rPr>
  </w:style>
  <w:style w:type="character" w:styleId="Hyperlink">
    <w:name w:val="Hyperlink"/>
    <w:basedOn w:val="DefaultParagraphFont"/>
    <w:unhideWhenUsed/>
    <w:rsid w:val="00A851B2"/>
    <w:rPr>
      <w:rFonts w:ascii="Times New Roman" w:hAnsi="Times New Roman" w:cs="Times New Roman" w:hint="default"/>
      <w:color w:val="000000"/>
      <w:u w:val="single"/>
    </w:rPr>
  </w:style>
  <w:style w:type="paragraph" w:customStyle="1" w:styleId="Docnumber">
    <w:name w:val="Docnumber"/>
    <w:basedOn w:val="Normal"/>
    <w:link w:val="DocnumberChar"/>
    <w:qFormat/>
    <w:rsid w:val="00A851B2"/>
    <w:pPr>
      <w:widowControl/>
      <w:tabs>
        <w:tab w:val="left" w:pos="794"/>
        <w:tab w:val="left" w:pos="1191"/>
        <w:tab w:val="left" w:pos="1588"/>
        <w:tab w:val="left" w:pos="1985"/>
      </w:tabs>
      <w:overflowPunct w:val="0"/>
      <w:adjustRightInd w:val="0"/>
      <w:spacing w:before="120"/>
      <w:jc w:val="right"/>
      <w:textAlignment w:val="baseline"/>
    </w:pPr>
    <w:rPr>
      <w:rFonts w:ascii="Times New Roman" w:eastAsia="Times New Roman" w:hAnsi="Times New Roman" w:cs="Times New Roman"/>
      <w:b/>
      <w:bCs/>
      <w:sz w:val="40"/>
      <w:szCs w:val="20"/>
      <w:lang w:val="en-GB"/>
    </w:rPr>
  </w:style>
  <w:style w:type="character" w:customStyle="1" w:styleId="DocnumberChar">
    <w:name w:val="Docnumber Char"/>
    <w:basedOn w:val="DefaultParagraphFont"/>
    <w:link w:val="Docnumber"/>
    <w:rsid w:val="00A851B2"/>
    <w:rPr>
      <w:rFonts w:ascii="Times New Roman" w:eastAsia="Times New Roman" w:hAnsi="Times New Roman" w:cs="Times New Roman"/>
      <w:b/>
      <w:bCs/>
      <w:sz w:val="40"/>
      <w:szCs w:val="20"/>
    </w:rPr>
  </w:style>
  <w:style w:type="paragraph" w:customStyle="1" w:styleId="TSBHeaderQuestion">
    <w:name w:val="TSBHeaderQuestion"/>
    <w:basedOn w:val="Normal"/>
    <w:qFormat/>
    <w:rsid w:val="00A851B2"/>
    <w:pPr>
      <w:widowControl/>
      <w:tabs>
        <w:tab w:val="left" w:pos="794"/>
        <w:tab w:val="left" w:pos="1191"/>
        <w:tab w:val="left" w:pos="1588"/>
        <w:tab w:val="left" w:pos="1985"/>
      </w:tabs>
      <w:overflowPunct w:val="0"/>
      <w:adjustRightInd w:val="0"/>
      <w:spacing w:before="120"/>
      <w:textAlignment w:val="baseline"/>
    </w:pPr>
    <w:rPr>
      <w:rFonts w:ascii="Times New Roman" w:eastAsia="Times New Roman" w:hAnsi="Times New Roman" w:cs="Times New Roman"/>
      <w:sz w:val="24"/>
      <w:szCs w:val="24"/>
      <w:lang w:val="en-GB"/>
    </w:rPr>
  </w:style>
  <w:style w:type="paragraph" w:customStyle="1" w:styleId="TSBHeaderSource">
    <w:name w:val="TSBHeaderSource"/>
    <w:basedOn w:val="Normal"/>
    <w:qFormat/>
    <w:rsid w:val="00A851B2"/>
    <w:pPr>
      <w:widowControl/>
      <w:tabs>
        <w:tab w:val="left" w:pos="794"/>
        <w:tab w:val="left" w:pos="1191"/>
        <w:tab w:val="left" w:pos="1588"/>
        <w:tab w:val="left" w:pos="1985"/>
      </w:tabs>
      <w:overflowPunct w:val="0"/>
      <w:adjustRightInd w:val="0"/>
      <w:spacing w:before="120"/>
      <w:textAlignment w:val="baseline"/>
    </w:pPr>
    <w:rPr>
      <w:rFonts w:ascii="Times New Roman" w:eastAsia="Times New Roman" w:hAnsi="Times New Roman" w:cs="Times New Roman"/>
      <w:sz w:val="24"/>
      <w:szCs w:val="24"/>
      <w:lang w:val="en-GB"/>
    </w:rPr>
  </w:style>
  <w:style w:type="paragraph" w:customStyle="1" w:styleId="TSBHeaderTitle">
    <w:name w:val="TSBHeaderTitle"/>
    <w:basedOn w:val="Normal"/>
    <w:qFormat/>
    <w:rsid w:val="00A851B2"/>
    <w:pPr>
      <w:widowControl/>
      <w:tabs>
        <w:tab w:val="left" w:pos="794"/>
        <w:tab w:val="left" w:pos="1191"/>
        <w:tab w:val="left" w:pos="1588"/>
        <w:tab w:val="left" w:pos="1985"/>
      </w:tabs>
      <w:overflowPunct w:val="0"/>
      <w:adjustRightInd w:val="0"/>
      <w:spacing w:before="120"/>
      <w:textAlignment w:val="baseline"/>
    </w:pPr>
    <w:rPr>
      <w:rFonts w:ascii="Times New Roman" w:eastAsia="Times New Roman" w:hAnsi="Times New Roman" w:cs="Times New Roman"/>
      <w:sz w:val="24"/>
      <w:szCs w:val="24"/>
      <w:lang w:val="en-GB"/>
    </w:rPr>
  </w:style>
  <w:style w:type="paragraph" w:customStyle="1" w:styleId="TSBHeaderRight14">
    <w:name w:val="TSBHeaderRight14"/>
    <w:basedOn w:val="Normal"/>
    <w:qFormat/>
    <w:rsid w:val="00A851B2"/>
    <w:pPr>
      <w:widowControl/>
      <w:tabs>
        <w:tab w:val="left" w:pos="794"/>
        <w:tab w:val="left" w:pos="1191"/>
        <w:tab w:val="left" w:pos="1588"/>
        <w:tab w:val="left" w:pos="1985"/>
      </w:tabs>
      <w:overflowPunct w:val="0"/>
      <w:adjustRightInd w:val="0"/>
      <w:spacing w:before="120"/>
      <w:jc w:val="right"/>
      <w:textAlignment w:val="baseline"/>
    </w:pPr>
    <w:rPr>
      <w:rFonts w:ascii="Times New Roman" w:eastAsia="Times New Roman" w:hAnsi="Times New Roman" w:cs="Times New Roman"/>
      <w:b/>
      <w:bCs/>
      <w:sz w:val="28"/>
      <w:szCs w:val="28"/>
      <w:lang w:val="en-GB"/>
    </w:rPr>
  </w:style>
  <w:style w:type="paragraph" w:customStyle="1" w:styleId="VenueDate">
    <w:name w:val="VenueDate"/>
    <w:basedOn w:val="Normal"/>
    <w:qFormat/>
    <w:rsid w:val="00A851B2"/>
    <w:pPr>
      <w:widowControl/>
      <w:tabs>
        <w:tab w:val="left" w:pos="794"/>
        <w:tab w:val="left" w:pos="1191"/>
        <w:tab w:val="left" w:pos="1588"/>
        <w:tab w:val="left" w:pos="1985"/>
      </w:tabs>
      <w:overflowPunct w:val="0"/>
      <w:adjustRightInd w:val="0"/>
      <w:spacing w:before="120"/>
      <w:jc w:val="right"/>
      <w:textAlignment w:val="baseline"/>
    </w:pPr>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346C73"/>
    <w:rPr>
      <w:color w:val="605E5C"/>
      <w:shd w:val="clear" w:color="auto" w:fill="E1DFDD"/>
    </w:rPr>
  </w:style>
  <w:style w:type="paragraph" w:customStyle="1" w:styleId="TSBHeaderSummary">
    <w:name w:val="TSBHeaderSummary"/>
    <w:basedOn w:val="Normal"/>
    <w:rsid w:val="00D875CB"/>
    <w:pPr>
      <w:widowControl/>
      <w:autoSpaceDE/>
      <w:autoSpaceDN/>
      <w:spacing w:before="120"/>
    </w:pPr>
    <w:rPr>
      <w:rFonts w:ascii="Times New Roman" w:eastAsiaTheme="minorEastAsia" w:hAnsi="Times New Roman" w:cs="Times New Roman"/>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3334">
      <w:bodyDiv w:val="1"/>
      <w:marLeft w:val="0"/>
      <w:marRight w:val="0"/>
      <w:marTop w:val="0"/>
      <w:marBottom w:val="0"/>
      <w:divBdr>
        <w:top w:val="none" w:sz="0" w:space="0" w:color="auto"/>
        <w:left w:val="none" w:sz="0" w:space="0" w:color="auto"/>
        <w:bottom w:val="none" w:sz="0" w:space="0" w:color="auto"/>
        <w:right w:val="none" w:sz="0" w:space="0" w:color="auto"/>
      </w:divBdr>
    </w:div>
    <w:div w:id="609707179">
      <w:bodyDiv w:val="1"/>
      <w:marLeft w:val="0"/>
      <w:marRight w:val="0"/>
      <w:marTop w:val="0"/>
      <w:marBottom w:val="0"/>
      <w:divBdr>
        <w:top w:val="none" w:sz="0" w:space="0" w:color="auto"/>
        <w:left w:val="none" w:sz="0" w:space="0" w:color="auto"/>
        <w:bottom w:val="none" w:sz="0" w:space="0" w:color="auto"/>
        <w:right w:val="none" w:sz="0" w:space="0" w:color="auto"/>
      </w:divBdr>
    </w:div>
    <w:div w:id="177257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tsag@itu.in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355D6-9F57-4AE8-9EF8-E8FC92E0C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03F008-4C83-4708-8594-628D6132ABA0}">
  <ds:schemaRefs>
    <ds:schemaRef ds:uri="http://schemas.microsoft.com/sharepoint/v3/contenttype/forms"/>
  </ds:schemaRefs>
</ds:datastoreItem>
</file>

<file path=customXml/itemProps3.xml><?xml version="1.0" encoding="utf-8"?>
<ds:datastoreItem xmlns:ds="http://schemas.openxmlformats.org/officeDocument/2006/customXml" ds:itemID="{AA73EA82-AB6A-4A03-BFDA-C3CA70AAF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789</Words>
  <Characters>4683</Characters>
  <Application>Microsoft Office Word</Application>
  <DocSecurity>0</DocSecurity>
  <Lines>126</Lines>
  <Paragraphs>56</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Remarks of the Director of the Radiocommunication Bureau at TSAG Meeting, 22 January 2024</dc:title>
  <dc:subject/>
  <dc:creator>TSB</dc:creator>
  <cp:keywords/>
  <dc:description>TSAG-TD324  For: Geneva, 26-30 January 2026_x000d_Document date: _x000d_Saved by ITU51017913 at 9:24:30 AM on 1/28/2026</dc:description>
  <cp:lastModifiedBy>TSB</cp:lastModifiedBy>
  <cp:revision>5</cp:revision>
  <cp:lastPrinted>2024-01-22T07:58:00Z</cp:lastPrinted>
  <dcterms:created xsi:type="dcterms:W3CDTF">2026-01-28T08:26:00Z</dcterms:created>
  <dcterms:modified xsi:type="dcterms:W3CDTF">2026-01-28T08:45:00Z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TSAG-TD324</vt:lpwstr>
  </property>
  <property fmtid="{D5CDD505-2E9C-101B-9397-08002B2CF9AE}" pid="3" name="Docdate">
    <vt:lpwstr/>
  </property>
  <property fmtid="{D5CDD505-2E9C-101B-9397-08002B2CF9AE}" pid="4" name="Docorlang">
    <vt:lpwstr/>
  </property>
  <property fmtid="{D5CDD505-2E9C-101B-9397-08002B2CF9AE}" pid="5" name="Docbluepink">
    <vt:lpwstr>N/A</vt:lpwstr>
  </property>
  <property fmtid="{D5CDD505-2E9C-101B-9397-08002B2CF9AE}" pid="6" name="Docdest">
    <vt:lpwstr>Geneva, 26-30 January 2026</vt:lpwstr>
  </property>
  <property fmtid="{D5CDD505-2E9C-101B-9397-08002B2CF9AE}" pid="7" name="Docauthor">
    <vt:lpwstr>TSB</vt:lpwstr>
  </property>
  <property fmtid="{D5CDD505-2E9C-101B-9397-08002B2CF9AE}" pid="8" name="ContentTypeId">
    <vt:lpwstr>0x010100A77651819BF4BD4A99FFF36FD7E4E96D</vt:lpwstr>
  </property>
</Properties>
</file>