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jc w:val="center"/>
        <w:tblLayout w:type="fixed"/>
        <w:tblCellMar>
          <w:left w:w="57" w:type="dxa"/>
          <w:right w:w="57" w:type="dxa"/>
        </w:tblCellMar>
        <w:tblLook w:val="0000" w:firstRow="0" w:lastRow="0" w:firstColumn="0" w:lastColumn="0" w:noHBand="0" w:noVBand="0"/>
      </w:tblPr>
      <w:tblGrid>
        <w:gridCol w:w="1134"/>
        <w:gridCol w:w="284"/>
        <w:gridCol w:w="3685"/>
        <w:gridCol w:w="142"/>
        <w:gridCol w:w="284"/>
        <w:gridCol w:w="4111"/>
      </w:tblGrid>
      <w:tr w:rsidR="009E6045" w:rsidRPr="0037415F" w14:paraId="1D01AF9E" w14:textId="77777777" w:rsidTr="009E6045">
        <w:trPr>
          <w:cantSplit/>
          <w:jc w:val="center"/>
        </w:trPr>
        <w:tc>
          <w:tcPr>
            <w:tcW w:w="1134" w:type="dxa"/>
            <w:vMerge w:val="restart"/>
            <w:vAlign w:val="center"/>
          </w:tcPr>
          <w:p w14:paraId="07E0063E" w14:textId="77777777" w:rsidR="009E6045" w:rsidRPr="007F664D" w:rsidRDefault="007F1869" w:rsidP="007F1869">
            <w:pPr>
              <w:spacing w:before="0"/>
              <w:jc w:val="center"/>
              <w:rPr>
                <w:sz w:val="20"/>
                <w:szCs w:val="20"/>
              </w:rPr>
            </w:pPr>
            <w:bookmarkStart w:id="0" w:name="dtitle1" w:colFirst="1" w:colLast="1"/>
            <w:r>
              <w:rPr>
                <w:noProof/>
              </w:rPr>
              <w:drawing>
                <wp:inline distT="0" distB="0" distL="0" distR="0" wp14:anchorId="615D8A86" wp14:editId="5C981251">
                  <wp:extent cx="6477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969" w:type="dxa"/>
            <w:gridSpan w:val="2"/>
            <w:vMerge w:val="restart"/>
          </w:tcPr>
          <w:p w14:paraId="385C1A51" w14:textId="77777777" w:rsidR="009E6045" w:rsidRPr="00F70513" w:rsidRDefault="009E6045" w:rsidP="009E6045">
            <w:pPr>
              <w:rPr>
                <w:sz w:val="16"/>
                <w:szCs w:val="16"/>
              </w:rPr>
            </w:pPr>
            <w:r w:rsidRPr="00F70513">
              <w:rPr>
                <w:sz w:val="16"/>
                <w:szCs w:val="16"/>
              </w:rPr>
              <w:t>INTERNATIONAL TELECOMMUNICATION UNION</w:t>
            </w:r>
          </w:p>
          <w:p w14:paraId="406A6C31" w14:textId="77777777" w:rsidR="009E6045" w:rsidRPr="006264C9" w:rsidRDefault="009E6045" w:rsidP="009E6045">
            <w:pPr>
              <w:rPr>
                <w:b/>
                <w:bCs/>
                <w:sz w:val="26"/>
                <w:szCs w:val="26"/>
              </w:rPr>
            </w:pPr>
            <w:r w:rsidRPr="006264C9">
              <w:rPr>
                <w:b/>
                <w:bCs/>
                <w:sz w:val="26"/>
                <w:szCs w:val="26"/>
              </w:rPr>
              <w:t>TELECOMMUNICATION</w:t>
            </w:r>
            <w:r w:rsidRPr="006264C9">
              <w:rPr>
                <w:b/>
                <w:bCs/>
                <w:sz w:val="26"/>
                <w:szCs w:val="26"/>
              </w:rPr>
              <w:br/>
              <w:t>STANDARDIZATION SECTOR</w:t>
            </w:r>
          </w:p>
          <w:p w14:paraId="4DC57AAD" w14:textId="77777777" w:rsidR="009E6045" w:rsidRPr="007F664D" w:rsidRDefault="009E6045" w:rsidP="009E6045">
            <w:pPr>
              <w:rPr>
                <w:sz w:val="20"/>
                <w:szCs w:val="20"/>
              </w:rPr>
            </w:pPr>
            <w:r w:rsidRPr="006264C9">
              <w:rPr>
                <w:sz w:val="20"/>
                <w:szCs w:val="20"/>
              </w:rPr>
              <w:t xml:space="preserve">STUDY PERIOD </w:t>
            </w:r>
            <w:r w:rsidR="00852536">
              <w:rPr>
                <w:sz w:val="20"/>
                <w:szCs w:val="20"/>
              </w:rPr>
              <w:t>2025-2028</w:t>
            </w:r>
          </w:p>
        </w:tc>
        <w:tc>
          <w:tcPr>
            <w:tcW w:w="4537" w:type="dxa"/>
            <w:gridSpan w:val="3"/>
            <w:vAlign w:val="center"/>
          </w:tcPr>
          <w:p w14:paraId="2C0027C0" w14:textId="79B60B32" w:rsidR="009E6045" w:rsidRPr="00314630" w:rsidRDefault="00F80845" w:rsidP="009E6045">
            <w:pPr>
              <w:pStyle w:val="Docnumber"/>
            </w:pPr>
            <w:sdt>
              <w:sdtPr>
                <w:alias w:val="ShortName"/>
                <w:tag w:val="ShortName"/>
                <w:id w:val="1668290677"/>
                <w:placeholder>
                  <w:docPart w:val="2DE7B1EF165F4377B4030236F4A51B2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ShortName[1]" w:storeItemID="{EF8523CC-DEB2-463D-9A27-DF0B8D2CAEC3}"/>
                <w:text/>
              </w:sdtPr>
              <w:sdtEndPr/>
              <w:sdtContent>
                <w:r>
                  <w:t>TSAG-</w:t>
                </w:r>
                <w:r w:rsidR="00DF2009">
                  <w:t>TD</w:t>
                </w:r>
                <w:r>
                  <w:t>302</w:t>
                </w:r>
              </w:sdtContent>
            </w:sdt>
          </w:p>
        </w:tc>
      </w:tr>
      <w:tr w:rsidR="009E6045" w:rsidRPr="0037415F" w14:paraId="7B7E9822" w14:textId="77777777" w:rsidTr="009E6045">
        <w:trPr>
          <w:cantSplit/>
          <w:jc w:val="center"/>
        </w:trPr>
        <w:tc>
          <w:tcPr>
            <w:tcW w:w="1134" w:type="dxa"/>
            <w:vMerge/>
          </w:tcPr>
          <w:p w14:paraId="64BB0315" w14:textId="77777777" w:rsidR="009E6045" w:rsidRPr="00072A4E" w:rsidRDefault="009E6045" w:rsidP="009E6045">
            <w:pPr>
              <w:rPr>
                <w:smallCaps/>
                <w:sz w:val="20"/>
              </w:rPr>
            </w:pPr>
          </w:p>
        </w:tc>
        <w:tc>
          <w:tcPr>
            <w:tcW w:w="3969" w:type="dxa"/>
            <w:gridSpan w:val="2"/>
            <w:vMerge/>
          </w:tcPr>
          <w:p w14:paraId="75722FCA" w14:textId="77777777" w:rsidR="009E6045" w:rsidRPr="00072A4E" w:rsidRDefault="009E6045" w:rsidP="009E6045">
            <w:pPr>
              <w:rPr>
                <w:smallCaps/>
                <w:sz w:val="20"/>
              </w:rPr>
            </w:pPr>
          </w:p>
        </w:tc>
        <w:sdt>
          <w:sdtPr>
            <w:alias w:val="SgText"/>
            <w:tag w:val="SgText"/>
            <w:id w:val="-1696836303"/>
            <w:placeholder>
              <w:docPart w:val="055CEACD457B4D86A6BEC988BDADCC8C"/>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SgText[1]" w:storeItemID="{EF8523CC-DEB2-463D-9A27-DF0B8D2CAEC3}"/>
            <w:text/>
          </w:sdtPr>
          <w:sdtEndPr/>
          <w:sdtContent>
            <w:tc>
              <w:tcPr>
                <w:tcW w:w="4537" w:type="dxa"/>
                <w:gridSpan w:val="3"/>
              </w:tcPr>
              <w:p w14:paraId="38A05F8E" w14:textId="3223241A" w:rsidR="009E6045" w:rsidRPr="00715CA6" w:rsidRDefault="00601B16" w:rsidP="007F1869">
                <w:pPr>
                  <w:pStyle w:val="TSBHeaderRight14"/>
                </w:pPr>
                <w:r>
                  <w:t>TSAG</w:t>
                </w:r>
              </w:p>
            </w:tc>
          </w:sdtContent>
        </w:sdt>
      </w:tr>
      <w:tr w:rsidR="009E6045" w:rsidRPr="0037415F" w14:paraId="0083421B" w14:textId="77777777" w:rsidTr="009E6045">
        <w:trPr>
          <w:cantSplit/>
          <w:jc w:val="center"/>
        </w:trPr>
        <w:tc>
          <w:tcPr>
            <w:tcW w:w="1134" w:type="dxa"/>
            <w:vMerge/>
            <w:tcBorders>
              <w:bottom w:val="single" w:sz="12" w:space="0" w:color="auto"/>
            </w:tcBorders>
          </w:tcPr>
          <w:p w14:paraId="429F507B" w14:textId="77777777" w:rsidR="009E6045" w:rsidRPr="0037415F" w:rsidRDefault="009E6045" w:rsidP="009E6045">
            <w:pPr>
              <w:rPr>
                <w:b/>
                <w:bCs/>
                <w:sz w:val="26"/>
              </w:rPr>
            </w:pPr>
          </w:p>
        </w:tc>
        <w:tc>
          <w:tcPr>
            <w:tcW w:w="3969" w:type="dxa"/>
            <w:gridSpan w:val="2"/>
            <w:vMerge/>
            <w:tcBorders>
              <w:bottom w:val="single" w:sz="12" w:space="0" w:color="auto"/>
            </w:tcBorders>
          </w:tcPr>
          <w:p w14:paraId="74DF4989" w14:textId="77777777" w:rsidR="009E6045" w:rsidRPr="0037415F" w:rsidRDefault="009E6045" w:rsidP="009E6045">
            <w:pPr>
              <w:rPr>
                <w:b/>
                <w:bCs/>
                <w:sz w:val="26"/>
              </w:rPr>
            </w:pPr>
          </w:p>
        </w:tc>
        <w:tc>
          <w:tcPr>
            <w:tcW w:w="4537" w:type="dxa"/>
            <w:gridSpan w:val="3"/>
            <w:tcBorders>
              <w:bottom w:val="single" w:sz="12" w:space="0" w:color="auto"/>
            </w:tcBorders>
            <w:vAlign w:val="center"/>
          </w:tcPr>
          <w:p w14:paraId="3514F838" w14:textId="77777777" w:rsidR="009E6045" w:rsidRPr="00333E15" w:rsidRDefault="009E6045" w:rsidP="007F1869">
            <w:pPr>
              <w:pStyle w:val="TSBHeaderRight14"/>
              <w:rPr>
                <w:b w:val="0"/>
                <w:bCs w:val="0"/>
              </w:rPr>
            </w:pPr>
            <w:r w:rsidRPr="00333E15">
              <w:t>English only</w:t>
            </w:r>
          </w:p>
        </w:tc>
      </w:tr>
      <w:tr w:rsidR="009E6045" w:rsidRPr="0037415F" w14:paraId="39F0E978" w14:textId="77777777" w:rsidTr="009E6045">
        <w:trPr>
          <w:cantSplit/>
          <w:jc w:val="center"/>
        </w:trPr>
        <w:tc>
          <w:tcPr>
            <w:tcW w:w="1418" w:type="dxa"/>
            <w:gridSpan w:val="2"/>
          </w:tcPr>
          <w:p w14:paraId="468BBD68" w14:textId="442BDB53" w:rsidR="009E6045" w:rsidRPr="0037415F" w:rsidRDefault="00C36AFA" w:rsidP="00EB6775">
            <w:pPr>
              <w:rPr>
                <w:b/>
                <w:bCs/>
              </w:rPr>
            </w:pPr>
            <w:bookmarkStart w:id="1" w:name="InsertLogo"/>
            <w:bookmarkStart w:id="2" w:name="dbluepink" w:colFirst="1" w:colLast="1"/>
            <w:bookmarkEnd w:id="1"/>
            <w:r>
              <w:rPr>
                <w:b/>
                <w:bCs/>
              </w:rPr>
              <w:t xml:space="preserve"> </w:t>
            </w:r>
          </w:p>
        </w:tc>
        <w:tc>
          <w:tcPr>
            <w:tcW w:w="3827" w:type="dxa"/>
            <w:gridSpan w:val="2"/>
          </w:tcPr>
          <w:p w14:paraId="79EE1014" w14:textId="020BF773" w:rsidR="009E6045" w:rsidRPr="0037415F" w:rsidRDefault="009E6045" w:rsidP="007F1869">
            <w:pPr>
              <w:pStyle w:val="TSBHeaderQuestion"/>
            </w:pPr>
          </w:p>
        </w:tc>
        <w:tc>
          <w:tcPr>
            <w:tcW w:w="4395" w:type="dxa"/>
            <w:gridSpan w:val="2"/>
          </w:tcPr>
          <w:p w14:paraId="3CEBB7A4" w14:textId="42337B9E" w:rsidR="009E6045" w:rsidRPr="0037415F" w:rsidRDefault="00277CBD" w:rsidP="007F1869">
            <w:pPr>
              <w:pStyle w:val="VenueDate"/>
            </w:pPr>
            <w:r>
              <w:t>Geneva, 26-30 Jan</w:t>
            </w:r>
            <w:r w:rsidR="00F80845">
              <w:t>uary</w:t>
            </w:r>
            <w:r>
              <w:t xml:space="preserve"> 2026</w:t>
            </w:r>
          </w:p>
        </w:tc>
      </w:tr>
      <w:bookmarkEnd w:id="2"/>
      <w:tr w:rsidR="009E6045" w:rsidRPr="0037415F" w14:paraId="3640D25B" w14:textId="77777777" w:rsidTr="009E6045">
        <w:trPr>
          <w:cantSplit/>
          <w:jc w:val="center"/>
        </w:trPr>
        <w:tc>
          <w:tcPr>
            <w:tcW w:w="9640" w:type="dxa"/>
            <w:gridSpan w:val="6"/>
          </w:tcPr>
          <w:p w14:paraId="6A3960BB" w14:textId="7579F2E6" w:rsidR="009E6045" w:rsidRPr="0037415F" w:rsidRDefault="00F80845" w:rsidP="0089088E">
            <w:pPr>
              <w:jc w:val="center"/>
              <w:rPr>
                <w:b/>
                <w:bCs/>
              </w:rPr>
            </w:pPr>
            <w:sdt>
              <w:sdtPr>
                <w:rPr>
                  <w:b/>
                  <w:bCs/>
                </w:rPr>
                <w:alias w:val="DocTypeText"/>
                <w:tag w:val="DocTypeText"/>
                <w:id w:val="365648318"/>
                <w:placeholder>
                  <w:docPart w:val="A8393695E824442C9FFF38895F22E4A1"/>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TypeText[1]" w:storeItemID="{EF8523CC-DEB2-463D-9A27-DF0B8D2CAEC3}"/>
                <w:text/>
              </w:sdtPr>
              <w:sdtEndPr/>
              <w:sdtContent>
                <w:r w:rsidR="00C75772" w:rsidRPr="00283037">
                  <w:rPr>
                    <w:b/>
                    <w:bCs/>
                  </w:rPr>
                  <w:t>TD</w:t>
                </w:r>
              </w:sdtContent>
            </w:sdt>
          </w:p>
        </w:tc>
      </w:tr>
      <w:tr w:rsidR="009E6045" w:rsidRPr="0037415F" w14:paraId="05635CD5" w14:textId="77777777" w:rsidTr="009E6045">
        <w:trPr>
          <w:cantSplit/>
          <w:jc w:val="center"/>
        </w:trPr>
        <w:tc>
          <w:tcPr>
            <w:tcW w:w="1418" w:type="dxa"/>
            <w:gridSpan w:val="2"/>
          </w:tcPr>
          <w:p w14:paraId="6FD2C087" w14:textId="77777777" w:rsidR="009E6045" w:rsidRPr="0037415F" w:rsidRDefault="009E6045" w:rsidP="00394DBF">
            <w:pPr>
              <w:rPr>
                <w:b/>
                <w:bCs/>
              </w:rPr>
            </w:pPr>
            <w:r>
              <w:rPr>
                <w:b/>
                <w:bCs/>
              </w:rPr>
              <w:t>Source:</w:t>
            </w:r>
          </w:p>
        </w:tc>
        <w:tc>
          <w:tcPr>
            <w:tcW w:w="8222" w:type="dxa"/>
            <w:gridSpan w:val="4"/>
          </w:tcPr>
          <w:p w14:paraId="0330E239" w14:textId="33DF5473" w:rsidR="009E6045" w:rsidRDefault="00F80845" w:rsidP="007F1869">
            <w:pPr>
              <w:pStyle w:val="TSBHeaderSource"/>
            </w:pPr>
            <w:sdt>
              <w:sdtPr>
                <w:alias w:val="DocumentSource"/>
                <w:tag w:val="DocumentSource"/>
                <w:id w:val="515811107"/>
                <w:placeholder>
                  <w:docPart w:val="15CFBE6A3D024BFC8C19A5F4F667C0EF"/>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EndPr/>
              <w:sdtContent>
                <w:r>
                  <w:t xml:space="preserve">Chair, </w:t>
                </w:r>
                <w:r w:rsidR="00601B16">
                  <w:t xml:space="preserve">ITU-T </w:t>
                </w:r>
                <w:r>
                  <w:t>Study Group 15</w:t>
                </w:r>
              </w:sdtContent>
            </w:sdt>
          </w:p>
        </w:tc>
      </w:tr>
      <w:tr w:rsidR="009E6045" w:rsidRPr="0037415F" w14:paraId="40AD3560" w14:textId="77777777" w:rsidTr="009E6045">
        <w:trPr>
          <w:cantSplit/>
          <w:jc w:val="center"/>
        </w:trPr>
        <w:tc>
          <w:tcPr>
            <w:tcW w:w="1418" w:type="dxa"/>
            <w:gridSpan w:val="2"/>
          </w:tcPr>
          <w:p w14:paraId="4FED0CBB" w14:textId="77777777" w:rsidR="009E6045" w:rsidRPr="0037415F" w:rsidRDefault="009E6045" w:rsidP="00EB6775">
            <w:r w:rsidRPr="0037415F">
              <w:rPr>
                <w:b/>
                <w:bCs/>
              </w:rPr>
              <w:t>Title:</w:t>
            </w:r>
          </w:p>
        </w:tc>
        <w:tc>
          <w:tcPr>
            <w:tcW w:w="8222" w:type="dxa"/>
            <w:gridSpan w:val="4"/>
          </w:tcPr>
          <w:p w14:paraId="540E38FD" w14:textId="18D87ABC" w:rsidR="009E6045" w:rsidRPr="0037415F" w:rsidRDefault="00F80845" w:rsidP="007F1869">
            <w:pPr>
              <w:pStyle w:val="TSBHeaderTitle"/>
            </w:pPr>
            <w:sdt>
              <w:sdtPr>
                <w:alias w:val="Title"/>
                <w:id w:val="1327473359"/>
                <w:placeholder>
                  <w:docPart w:val="58BE18DAF00E4DC9B65C423C4A16DE4D"/>
                </w:placeholder>
                <w:dataBinding w:prefixMappings="xmlns:ns0='http://purl.org/dc/elements/1.1/' xmlns:ns1='http://schemas.openxmlformats.org/package/2006/metadata/core-properties' " w:xpath="/ns1:coreProperties[1]/ns0:title[1]" w:storeItemID="{6C3C8BC8-F283-45AE-878A-BAB7291924A1}"/>
                <w:text/>
              </w:sdtPr>
              <w:sdtEndPr/>
              <w:sdtContent>
                <w:r w:rsidR="00C72F62">
                  <w:t xml:space="preserve">Considerations on </w:t>
                </w:r>
                <w:r w:rsidR="00522DBD">
                  <w:t xml:space="preserve">correspondence activities in </w:t>
                </w:r>
                <w:r w:rsidR="00C72F62">
                  <w:t>draft revised A.1</w:t>
                </w:r>
              </w:sdtContent>
            </w:sdt>
          </w:p>
        </w:tc>
      </w:tr>
      <w:tr w:rsidR="009E6045" w:rsidRPr="00F80845" w14:paraId="46B1EEA5" w14:textId="77777777" w:rsidTr="009E6045">
        <w:trPr>
          <w:cantSplit/>
          <w:jc w:val="center"/>
        </w:trPr>
        <w:tc>
          <w:tcPr>
            <w:tcW w:w="1418" w:type="dxa"/>
            <w:gridSpan w:val="2"/>
            <w:tcBorders>
              <w:top w:val="single" w:sz="6" w:space="0" w:color="auto"/>
              <w:bottom w:val="single" w:sz="6" w:space="0" w:color="auto"/>
            </w:tcBorders>
          </w:tcPr>
          <w:p w14:paraId="4FE57A31" w14:textId="77777777" w:rsidR="009E6045" w:rsidRPr="008F7104" w:rsidRDefault="009E6045" w:rsidP="00247A50">
            <w:pPr>
              <w:rPr>
                <w:b/>
                <w:bCs/>
              </w:rPr>
            </w:pPr>
            <w:r w:rsidRPr="008F7104">
              <w:rPr>
                <w:b/>
                <w:bCs/>
              </w:rPr>
              <w:t>Contact:</w:t>
            </w:r>
          </w:p>
        </w:tc>
        <w:tc>
          <w:tcPr>
            <w:tcW w:w="4111" w:type="dxa"/>
            <w:gridSpan w:val="3"/>
            <w:tcBorders>
              <w:top w:val="single" w:sz="6" w:space="0" w:color="auto"/>
              <w:bottom w:val="single" w:sz="6" w:space="0" w:color="auto"/>
            </w:tcBorders>
          </w:tcPr>
          <w:p w14:paraId="318D8D3B" w14:textId="539EAA0B" w:rsidR="009E6045" w:rsidRPr="001C79EF" w:rsidRDefault="00F80845" w:rsidP="00247A50">
            <w:pPr>
              <w:rPr>
                <w:lang w:val="en-CA"/>
              </w:rPr>
            </w:pPr>
            <w:sdt>
              <w:sdtPr>
                <w:rPr>
                  <w:lang w:val="en-CA"/>
                </w:rPr>
                <w:alias w:val="ContactNameOrgCountry"/>
                <w:tag w:val="ContactNameOrgCountry"/>
                <w:id w:val="-22015140"/>
                <w:placeholder>
                  <w:docPart w:val="EC1FD2FF5BFF44DE9F39E500C0F48C8E"/>
                </w:placeholder>
                <w:text w:multiLine="1"/>
              </w:sdtPr>
              <w:sdtEndPr/>
              <w:sdtContent>
                <w:r w:rsidR="001C79EF" w:rsidRPr="001C79EF">
                  <w:rPr>
                    <w:lang w:val="en-CA"/>
                  </w:rPr>
                  <w:t>Glenn Parsons</w:t>
                </w:r>
                <w:r w:rsidR="001C79EF" w:rsidRPr="001C79EF">
                  <w:rPr>
                    <w:lang w:val="en-CA"/>
                  </w:rPr>
                  <w:br/>
                  <w:t>Ericsson Canada</w:t>
                </w:r>
                <w:r w:rsidR="001C79EF" w:rsidRPr="001C79EF">
                  <w:rPr>
                    <w:lang w:val="en-CA"/>
                  </w:rPr>
                  <w:br/>
                  <w:t>Can</w:t>
                </w:r>
                <w:r w:rsidR="001C79EF">
                  <w:rPr>
                    <w:lang w:val="en-CA"/>
                  </w:rPr>
                  <w:t>ada</w:t>
                </w:r>
              </w:sdtContent>
            </w:sdt>
          </w:p>
        </w:tc>
        <w:sdt>
          <w:sdtPr>
            <w:alias w:val="ContactTelFaxEmail"/>
            <w:tag w:val="ContactTelFaxEmail"/>
            <w:id w:val="-263381078"/>
            <w:placeholder>
              <w:docPart w:val="70C33D0CDE6D4861907145B4E788341B"/>
            </w:placeholder>
          </w:sdtPr>
          <w:sdtEndPr/>
          <w:sdtContent>
            <w:tc>
              <w:tcPr>
                <w:tcW w:w="4111" w:type="dxa"/>
                <w:tcBorders>
                  <w:top w:val="single" w:sz="6" w:space="0" w:color="auto"/>
                  <w:bottom w:val="single" w:sz="6" w:space="0" w:color="auto"/>
                </w:tcBorders>
              </w:tcPr>
              <w:p w14:paraId="1E6FEBB3" w14:textId="05A70F44" w:rsidR="009E6045" w:rsidRPr="001C79EF" w:rsidRDefault="009E6045" w:rsidP="00F80845">
                <w:pPr>
                  <w:tabs>
                    <w:tab w:val="left" w:pos="794"/>
                  </w:tabs>
                  <w:rPr>
                    <w:lang w:val="fr-CA"/>
                  </w:rPr>
                </w:pPr>
                <w:r w:rsidRPr="001C79EF">
                  <w:rPr>
                    <w:lang w:val="fr-CA"/>
                  </w:rPr>
                  <w:t xml:space="preserve">Tel: </w:t>
                </w:r>
                <w:r w:rsidR="007F1869" w:rsidRPr="001C79EF">
                  <w:rPr>
                    <w:lang w:val="fr-CA"/>
                  </w:rPr>
                  <w:tab/>
                </w:r>
                <w:r w:rsidR="00214508" w:rsidRPr="001C79EF">
                  <w:rPr>
                    <w:lang w:val="fr-CA"/>
                  </w:rPr>
                  <w:t xml:space="preserve">+1 </w:t>
                </w:r>
                <w:r w:rsidR="001C79EF">
                  <w:rPr>
                    <w:lang w:val="fr-CA"/>
                  </w:rPr>
                  <w:t>514</w:t>
                </w:r>
                <w:r w:rsidR="005F3436">
                  <w:rPr>
                    <w:lang w:val="fr-CA"/>
                  </w:rPr>
                  <w:t xml:space="preserve"> 379 9037</w:t>
                </w:r>
                <w:r w:rsidR="00214508" w:rsidRPr="001C79EF">
                  <w:rPr>
                    <w:lang w:val="fr-CA"/>
                  </w:rPr>
                  <w:t xml:space="preserve"> </w:t>
                </w:r>
                <w:r w:rsidRPr="001C79EF">
                  <w:rPr>
                    <w:lang w:val="fr-CA"/>
                  </w:rPr>
                  <w:br/>
                  <w:t>E-mail:</w:t>
                </w:r>
                <w:r w:rsidR="007F1869" w:rsidRPr="001C79EF">
                  <w:rPr>
                    <w:lang w:val="fr-CA"/>
                  </w:rPr>
                  <w:tab/>
                </w:r>
                <w:r w:rsidR="00214508" w:rsidRPr="001C79EF">
                  <w:rPr>
                    <w:lang w:val="fr-CA"/>
                  </w:rPr>
                  <w:t xml:space="preserve"> </w:t>
                </w:r>
                <w:hyperlink r:id="rId12" w:history="1">
                  <w:r w:rsidR="00F80845" w:rsidRPr="008B253F">
                    <w:rPr>
                      <w:rStyle w:val="Hyperlink"/>
                      <w:lang w:val="fr-CA"/>
                    </w:rPr>
                    <w:t>glenn.parsons@ericsson.com</w:t>
                  </w:r>
                </w:hyperlink>
              </w:p>
            </w:tc>
          </w:sdtContent>
        </w:sdt>
      </w:tr>
      <w:tr w:rsidR="00990E13" w:rsidRPr="00F80845" w14:paraId="1C2E372F" w14:textId="77777777" w:rsidTr="009E6045">
        <w:trPr>
          <w:cantSplit/>
          <w:jc w:val="center"/>
        </w:trPr>
        <w:tc>
          <w:tcPr>
            <w:tcW w:w="1418" w:type="dxa"/>
            <w:gridSpan w:val="2"/>
            <w:tcBorders>
              <w:top w:val="single" w:sz="6" w:space="0" w:color="auto"/>
              <w:bottom w:val="single" w:sz="6" w:space="0" w:color="auto"/>
            </w:tcBorders>
          </w:tcPr>
          <w:p w14:paraId="331D07C2" w14:textId="77777777" w:rsidR="00990E13" w:rsidRPr="008F7104" w:rsidRDefault="00990E13" w:rsidP="00990E13">
            <w:pPr>
              <w:rPr>
                <w:b/>
                <w:bCs/>
              </w:rPr>
            </w:pPr>
            <w:r w:rsidRPr="008F7104">
              <w:rPr>
                <w:b/>
                <w:bCs/>
              </w:rPr>
              <w:t>Contact:</w:t>
            </w:r>
          </w:p>
        </w:tc>
        <w:tc>
          <w:tcPr>
            <w:tcW w:w="4111" w:type="dxa"/>
            <w:gridSpan w:val="3"/>
            <w:tcBorders>
              <w:top w:val="single" w:sz="6" w:space="0" w:color="auto"/>
              <w:bottom w:val="single" w:sz="6" w:space="0" w:color="auto"/>
            </w:tcBorders>
          </w:tcPr>
          <w:p w14:paraId="7BBF72D1" w14:textId="4829815A" w:rsidR="00990E13" w:rsidRPr="00990E13" w:rsidRDefault="00F80845" w:rsidP="00990E13">
            <w:pPr>
              <w:rPr>
                <w:lang w:val="sv-SE"/>
              </w:rPr>
            </w:pPr>
            <w:sdt>
              <w:sdtPr>
                <w:rPr>
                  <w:lang w:val="sv-SE"/>
                </w:rPr>
                <w:alias w:val="ContactNameOrgCountry"/>
                <w:tag w:val="ContactNameOrgCountry"/>
                <w:id w:val="-1184591068"/>
                <w:placeholder>
                  <w:docPart w:val="8346FE77F734496882AFFB6FFD0D7EFF"/>
                </w:placeholder>
                <w:text w:multiLine="1"/>
              </w:sdtPr>
              <w:sdtEndPr/>
              <w:sdtContent>
                <w:r w:rsidR="00990E13" w:rsidRPr="00867553">
                  <w:rPr>
                    <w:lang w:val="sv-SE"/>
                  </w:rPr>
                  <w:t xml:space="preserve">Tom Huber </w:t>
                </w:r>
                <w:r w:rsidR="00990E13" w:rsidRPr="00867553">
                  <w:rPr>
                    <w:lang w:val="sv-SE"/>
                  </w:rPr>
                  <w:br/>
                  <w:t>Nokia USA</w:t>
                </w:r>
                <w:r w:rsidR="00990E13" w:rsidRPr="00867553">
                  <w:rPr>
                    <w:lang w:val="sv-SE"/>
                  </w:rPr>
                  <w:br/>
                  <w:t>USA</w:t>
                </w:r>
              </w:sdtContent>
            </w:sdt>
          </w:p>
        </w:tc>
        <w:sdt>
          <w:sdtPr>
            <w:alias w:val="ContactTelFaxEmail"/>
            <w:tag w:val="ContactTelFaxEmail"/>
            <w:id w:val="581580051"/>
            <w:placeholder>
              <w:docPart w:val="C60EA9660151443C9462CFFE78101632"/>
            </w:placeholder>
          </w:sdtPr>
          <w:sdtEndPr/>
          <w:sdtContent>
            <w:tc>
              <w:tcPr>
                <w:tcW w:w="4111" w:type="dxa"/>
                <w:tcBorders>
                  <w:top w:val="single" w:sz="6" w:space="0" w:color="auto"/>
                  <w:bottom w:val="single" w:sz="6" w:space="0" w:color="auto"/>
                </w:tcBorders>
              </w:tcPr>
              <w:p w14:paraId="7AA4B7DB" w14:textId="659E70B9" w:rsidR="00990E13" w:rsidRPr="00990E13" w:rsidRDefault="00990E13" w:rsidP="00F80845">
                <w:pPr>
                  <w:tabs>
                    <w:tab w:val="left" w:pos="794"/>
                  </w:tabs>
                  <w:rPr>
                    <w:lang w:val="fr-CA"/>
                  </w:rPr>
                </w:pPr>
                <w:r w:rsidRPr="00867553">
                  <w:rPr>
                    <w:lang w:val="fr-CA"/>
                  </w:rPr>
                  <w:t xml:space="preserve">Tel: </w:t>
                </w:r>
                <w:r w:rsidRPr="00867553">
                  <w:rPr>
                    <w:lang w:val="fr-CA"/>
                  </w:rPr>
                  <w:tab/>
                  <w:t xml:space="preserve">+1 630 352 9005 </w:t>
                </w:r>
                <w:r w:rsidRPr="00867553">
                  <w:rPr>
                    <w:lang w:val="fr-CA"/>
                  </w:rPr>
                  <w:br/>
                  <w:t>E-mail:</w:t>
                </w:r>
                <w:r w:rsidRPr="00867553">
                  <w:rPr>
                    <w:lang w:val="fr-CA"/>
                  </w:rPr>
                  <w:tab/>
                  <w:t xml:space="preserve"> tom.huber@nokia.com</w:t>
                </w:r>
              </w:p>
            </w:tc>
          </w:sdtContent>
        </w:sdt>
      </w:tr>
    </w:tbl>
    <w:p w14:paraId="3407CBD5" w14:textId="77777777" w:rsidR="009E6045" w:rsidRPr="00990E13" w:rsidRDefault="009E6045" w:rsidP="0089088E">
      <w:pPr>
        <w:rPr>
          <w:lang w:val="fr-CA"/>
        </w:rPr>
      </w:pPr>
    </w:p>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89088E" w:rsidRPr="0037415F" w14:paraId="133D74D5" w14:textId="77777777" w:rsidTr="00B53D1B">
        <w:trPr>
          <w:cantSplit/>
          <w:jc w:val="center"/>
        </w:trPr>
        <w:tc>
          <w:tcPr>
            <w:tcW w:w="1418" w:type="dxa"/>
          </w:tcPr>
          <w:p w14:paraId="2A238857" w14:textId="77777777" w:rsidR="0089088E" w:rsidRPr="008F7104" w:rsidRDefault="0089088E" w:rsidP="00EB6775">
            <w:pPr>
              <w:rPr>
                <w:b/>
                <w:bCs/>
              </w:rPr>
            </w:pPr>
            <w:r w:rsidRPr="008F7104">
              <w:rPr>
                <w:b/>
                <w:bCs/>
              </w:rPr>
              <w:t>Abstract:</w:t>
            </w:r>
          </w:p>
        </w:tc>
        <w:tc>
          <w:tcPr>
            <w:tcW w:w="8221" w:type="dxa"/>
          </w:tcPr>
          <w:p w14:paraId="303242E7" w14:textId="35CEA42F" w:rsidR="0089088E" w:rsidRDefault="00F80845" w:rsidP="001B5FB0">
            <w:pPr>
              <w:pStyle w:val="TSBHeaderSummary"/>
            </w:pPr>
            <w:sdt>
              <w:sdtPr>
                <w:alias w:val="Abstract"/>
                <w:tag w:val="Abstract"/>
                <w:id w:val="-939903723"/>
                <w:placeholder>
                  <w:docPart w:val="5BEA642E005B461798AC9E3FFB42AF1F"/>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r w:rsidR="00C72F62">
                  <w:t xml:space="preserve">This contribution provides additional considerations </w:t>
                </w:r>
                <w:r w:rsidR="005F3436">
                  <w:t xml:space="preserve">on correspondence activities for </w:t>
                </w:r>
                <w:r w:rsidR="00C72F62">
                  <w:t>draft revised A.1.</w:t>
                </w:r>
              </w:sdtContent>
            </w:sdt>
          </w:p>
        </w:tc>
      </w:tr>
      <w:bookmarkEnd w:id="0"/>
    </w:tbl>
    <w:p w14:paraId="37B7CBD9" w14:textId="77777777" w:rsidR="0089088E" w:rsidRDefault="0089088E" w:rsidP="0089088E"/>
    <w:p w14:paraId="56A7EC8F" w14:textId="77777777" w:rsidR="00C72F62" w:rsidRDefault="00C72F62" w:rsidP="00C72F62">
      <w:pPr>
        <w:rPr>
          <w:b/>
          <w:bCs/>
        </w:rPr>
      </w:pPr>
      <w:bookmarkStart w:id="3" w:name="_Hlk207900926"/>
      <w:r w:rsidRPr="00A6180D">
        <w:rPr>
          <w:b/>
          <w:bCs/>
        </w:rPr>
        <w:t>Discussion</w:t>
      </w:r>
    </w:p>
    <w:p w14:paraId="1C85A79F" w14:textId="68E20FF5" w:rsidR="00757A07" w:rsidRDefault="00EA29D5" w:rsidP="00C72F62">
      <w:r>
        <w:t>ITU-T SG15</w:t>
      </w:r>
      <w:r w:rsidR="00C72F62">
        <w:t xml:space="preserve"> </w:t>
      </w:r>
      <w:r w:rsidR="001A54DC">
        <w:t xml:space="preserve">has </w:t>
      </w:r>
      <w:r>
        <w:t xml:space="preserve">considered </w:t>
      </w:r>
      <w:r w:rsidR="00433E8B">
        <w:t xml:space="preserve">correspondence activities as described in </w:t>
      </w:r>
      <w:r w:rsidR="001A54DC">
        <w:t xml:space="preserve">clauses 1.6 and 2.3.3.5 of </w:t>
      </w:r>
      <w:r w:rsidR="00433E8B">
        <w:t>A.1</w:t>
      </w:r>
      <w:r w:rsidR="001A54DC">
        <w:t xml:space="preserve"> and, to clarify the</w:t>
      </w:r>
      <w:r w:rsidR="00567BD6">
        <w:t xml:space="preserve"> </w:t>
      </w:r>
      <w:r w:rsidR="001A54DC">
        <w:t xml:space="preserve">potential </w:t>
      </w:r>
      <w:r w:rsidR="00757A07">
        <w:t>confusion</w:t>
      </w:r>
      <w:r w:rsidR="001A54DC">
        <w:t xml:space="preserve"> caused by them</w:t>
      </w:r>
      <w:r w:rsidR="00757A07">
        <w:t>, approved a guideline t</w:t>
      </w:r>
      <w:r w:rsidR="00EC45D1">
        <w:t>o</w:t>
      </w:r>
      <w:r w:rsidR="00757A07">
        <w:t xml:space="preserve"> describe the correspondence activity</w:t>
      </w:r>
      <w:r w:rsidR="00EC45D1">
        <w:t xml:space="preserve"> more precisely</w:t>
      </w:r>
      <w:r w:rsidR="00D16326">
        <w:t xml:space="preserve"> as an email-only discussion</w:t>
      </w:r>
      <w:r w:rsidR="00757A07">
        <w:t>.</w:t>
      </w:r>
      <w:r w:rsidR="00086FE0">
        <w:t xml:space="preserve">  In addition, SG15 approved a guideline that describes rapporteur group meetings.  This </w:t>
      </w:r>
      <w:r w:rsidR="00791043">
        <w:t xml:space="preserve">guideline </w:t>
      </w:r>
      <w:r w:rsidR="00086FE0">
        <w:t>was expanded to include short topic</w:t>
      </w:r>
      <w:r w:rsidR="00694F1B">
        <w:t xml:space="preserve">-based </w:t>
      </w:r>
      <w:r w:rsidR="00560BE6">
        <w:t>electronic</w:t>
      </w:r>
      <w:r w:rsidR="00694F1B">
        <w:t xml:space="preserve"> meetings (e.g., a one</w:t>
      </w:r>
      <w:r w:rsidR="00560BE6">
        <w:t>-</w:t>
      </w:r>
      <w:r w:rsidR="00694F1B">
        <w:t xml:space="preserve">hour </w:t>
      </w:r>
      <w:r w:rsidR="00791043">
        <w:t>meeting</w:t>
      </w:r>
      <w:r w:rsidR="00694F1B">
        <w:t xml:space="preserve"> using the myWorkspace remote meeting </w:t>
      </w:r>
      <w:r w:rsidR="00791043">
        <w:t>tool)</w:t>
      </w:r>
      <w:r w:rsidR="00BE4066">
        <w:t>.</w:t>
      </w:r>
    </w:p>
    <w:p w14:paraId="1D6607E4" w14:textId="063695ED" w:rsidR="004557F6" w:rsidRDefault="004557F6" w:rsidP="00C72F62">
      <w:r>
        <w:t>These guidelines are available in Annex</w:t>
      </w:r>
      <w:r w:rsidR="0029173D">
        <w:t>es 21 and 15</w:t>
      </w:r>
      <w:r>
        <w:t xml:space="preserve"> of SG15 </w:t>
      </w:r>
      <w:hyperlink r:id="rId13" w:history="1">
        <w:r w:rsidRPr="00A772B7">
          <w:rPr>
            <w:rStyle w:val="Hyperlink"/>
          </w:rPr>
          <w:t>[R1]</w:t>
        </w:r>
      </w:hyperlink>
      <w:r>
        <w:t xml:space="preserve"> as well as on our IFA:</w:t>
      </w:r>
    </w:p>
    <w:p w14:paraId="33297FD6" w14:textId="59BBA9D6" w:rsidR="004557F6" w:rsidRDefault="006C56BF" w:rsidP="0058050A">
      <w:pPr>
        <w:ind w:left="720"/>
      </w:pPr>
      <w:hyperlink r:id="rId14" w:history="1">
        <w:r w:rsidRPr="006E4BEA">
          <w:rPr>
            <w:rStyle w:val="Hyperlink"/>
          </w:rPr>
          <w:t>https://www.itu.int/ifa/t/2025/sg15/guidelines/25-SG15-editor-02-correspondence-activities-16032025.docx</w:t>
        </w:r>
      </w:hyperlink>
    </w:p>
    <w:p w14:paraId="383A4B7E" w14:textId="10AE61A7" w:rsidR="006C56BF" w:rsidRDefault="003B1E43" w:rsidP="0058050A">
      <w:pPr>
        <w:ind w:left="720"/>
      </w:pPr>
      <w:hyperlink r:id="rId15" w:history="1">
        <w:r w:rsidRPr="006E4BEA">
          <w:rPr>
            <w:rStyle w:val="Hyperlink"/>
          </w:rPr>
          <w:t>https://www.itu.int/ifa/t/2025/sg15/guidelines/25-SG15-rap-02-organize-rapporteur-group-meetings-16032025.docx</w:t>
        </w:r>
      </w:hyperlink>
      <w:r>
        <w:t xml:space="preserve"> </w:t>
      </w:r>
    </w:p>
    <w:p w14:paraId="55BEAD15" w14:textId="39EF53D0" w:rsidR="003B1E43" w:rsidRDefault="00072611" w:rsidP="00C72F62">
      <w:r>
        <w:t>They</w:t>
      </w:r>
      <w:r w:rsidR="003B1E43">
        <w:t xml:space="preserve"> are </w:t>
      </w:r>
      <w:r>
        <w:t xml:space="preserve">also </w:t>
      </w:r>
      <w:r w:rsidR="003B1E43">
        <w:t>attached below for convenience.</w:t>
      </w:r>
    </w:p>
    <w:p w14:paraId="3A13FA67" w14:textId="069CFAE4" w:rsidR="00EE35D1" w:rsidRDefault="00EE35D1" w:rsidP="00C72F62">
      <w:r>
        <w:t>This</w:t>
      </w:r>
      <w:r w:rsidR="006F2F93">
        <w:t xml:space="preserve"> process</w:t>
      </w:r>
      <w:r>
        <w:t xml:space="preserve"> allows</w:t>
      </w:r>
      <w:r w:rsidR="0096354F">
        <w:t xml:space="preserve"> for</w:t>
      </w:r>
      <w:r w:rsidR="00967425">
        <w:t xml:space="preserve"> the existing</w:t>
      </w:r>
      <w:r w:rsidR="000741E1">
        <w:t xml:space="preserve"> approval process for these electronic</w:t>
      </w:r>
      <w:r w:rsidR="0096354F">
        <w:t xml:space="preserve"> meetings </w:t>
      </w:r>
      <w:r w:rsidR="00E01C50">
        <w:t xml:space="preserve">and also allows them </w:t>
      </w:r>
      <w:r w:rsidR="0096354F">
        <w:t xml:space="preserve">to be recorded in </w:t>
      </w:r>
      <w:r w:rsidR="004E0B94">
        <w:t xml:space="preserve">existing </w:t>
      </w:r>
      <w:r w:rsidR="00EB539E">
        <w:t>TSB system</w:t>
      </w:r>
      <w:r w:rsidR="00587958">
        <w:t xml:space="preserve"> tool</w:t>
      </w:r>
      <w:r w:rsidR="00EB539E">
        <w:t xml:space="preserve">s like </w:t>
      </w:r>
      <w:r w:rsidR="0096354F">
        <w:t>myWor</w:t>
      </w:r>
      <w:r w:rsidR="00EB539E">
        <w:t>kspace</w:t>
      </w:r>
      <w:r w:rsidR="0084608D">
        <w:t xml:space="preserve">. </w:t>
      </w:r>
      <w:r w:rsidR="00263A32">
        <w:t>If c</w:t>
      </w:r>
      <w:r w:rsidR="0084608D">
        <w:t>orrespondence activit</w:t>
      </w:r>
      <w:r w:rsidR="00263A32">
        <w:t xml:space="preserve">ies held </w:t>
      </w:r>
      <w:r w:rsidR="0084608D">
        <w:t>meetings</w:t>
      </w:r>
      <w:r w:rsidR="00263A32">
        <w:t>, they would not be visible to the me</w:t>
      </w:r>
      <w:r w:rsidR="00587958">
        <w:t xml:space="preserve">mbership using these tools. </w:t>
      </w:r>
      <w:r w:rsidR="0084608D">
        <w:t xml:space="preserve"> </w:t>
      </w:r>
    </w:p>
    <w:p w14:paraId="72B3E975" w14:textId="4586B094" w:rsidR="00357AB6" w:rsidRDefault="004E0B94" w:rsidP="00C72F62">
      <w:r>
        <w:t xml:space="preserve">There is a clear desire to have a vehicle for </w:t>
      </w:r>
      <w:r w:rsidR="00AC400C">
        <w:t xml:space="preserve">additional </w:t>
      </w:r>
      <w:r w:rsidR="00A11507">
        <w:t xml:space="preserve">focused </w:t>
      </w:r>
      <w:r w:rsidR="00F74EAE">
        <w:t xml:space="preserve">electronic </w:t>
      </w:r>
      <w:r w:rsidR="00AC400C">
        <w:t>meetings</w:t>
      </w:r>
      <w:r w:rsidR="00C50C52">
        <w:t xml:space="preserve"> by study groups</w:t>
      </w:r>
      <w:r w:rsidR="002A2841">
        <w:t xml:space="preserve"> between </w:t>
      </w:r>
      <w:r w:rsidR="00B22987">
        <w:t>plenary meetings</w:t>
      </w:r>
      <w:r w:rsidR="00A11507">
        <w:t xml:space="preserve">.  This has resulted in </w:t>
      </w:r>
      <w:r w:rsidR="009E3485">
        <w:t xml:space="preserve">a change </w:t>
      </w:r>
      <w:r w:rsidR="00B8640F">
        <w:t>to</w:t>
      </w:r>
      <w:r w:rsidR="009E3485">
        <w:t xml:space="preserve"> the definition</w:t>
      </w:r>
      <w:r w:rsidR="002031A5">
        <w:t xml:space="preserve"> of </w:t>
      </w:r>
      <w:r w:rsidR="005536AC" w:rsidRPr="00170546">
        <w:rPr>
          <w:i/>
          <w:iCs/>
        </w:rPr>
        <w:t>correspondence activities</w:t>
      </w:r>
      <w:r w:rsidR="002031A5">
        <w:rPr>
          <w:i/>
          <w:iCs/>
        </w:rPr>
        <w:t>,</w:t>
      </w:r>
      <w:r w:rsidR="005536AC">
        <w:t xml:space="preserve"> </w:t>
      </w:r>
      <w:r w:rsidR="002031A5">
        <w:t xml:space="preserve">in 1.6 </w:t>
      </w:r>
      <w:r w:rsidR="009E3485">
        <w:t xml:space="preserve">of A.1 </w:t>
      </w:r>
      <w:r w:rsidR="00B8640F">
        <w:t>from</w:t>
      </w:r>
      <w:r w:rsidR="005536AC">
        <w:t xml:space="preserve"> email-onl</w:t>
      </w:r>
      <w:r w:rsidR="00170546">
        <w:t xml:space="preserve">y </w:t>
      </w:r>
      <w:r w:rsidR="009E3485">
        <w:t xml:space="preserve">to, </w:t>
      </w:r>
      <w:r w:rsidR="00213258">
        <w:t>in</w:t>
      </w:r>
      <w:r w:rsidR="009E3485">
        <w:t xml:space="preserve"> </w:t>
      </w:r>
      <w:r w:rsidR="00213258">
        <w:t xml:space="preserve">draft revision </w:t>
      </w:r>
      <w:hyperlink r:id="rId16" w:history="1">
        <w:r w:rsidR="00E1215D" w:rsidRPr="00E1215D">
          <w:rPr>
            <w:rStyle w:val="Hyperlink"/>
          </w:rPr>
          <w:t>[262-GEN]  Revised draft of Rec. ITU-T A.1-rev "Working methods for study groups of the ITU Telecommunication Standardization Sector"</w:t>
        </w:r>
      </w:hyperlink>
      <w:r w:rsidR="009E3485">
        <w:t xml:space="preserve">, allow </w:t>
      </w:r>
      <w:r w:rsidR="00357AB6">
        <w:t>electronic meetings.</w:t>
      </w:r>
      <w:r w:rsidR="00B14E34">
        <w:t xml:space="preserve">   </w:t>
      </w:r>
      <w:r w:rsidR="005C728A">
        <w:t>I</w:t>
      </w:r>
      <w:r w:rsidR="00EC45D1">
        <w:t>n</w:t>
      </w:r>
      <w:r w:rsidR="00B14E34">
        <w:t xml:space="preserve"> addition</w:t>
      </w:r>
      <w:r w:rsidR="00806DAD">
        <w:t xml:space="preserve">, </w:t>
      </w:r>
      <w:r w:rsidR="00806DAD" w:rsidRPr="00777A52">
        <w:rPr>
          <w:i/>
          <w:iCs/>
        </w:rPr>
        <w:t>activity</w:t>
      </w:r>
      <w:r w:rsidR="00806DAD">
        <w:t xml:space="preserve"> was changed to </w:t>
      </w:r>
      <w:r w:rsidR="00806DAD" w:rsidRPr="00777A52">
        <w:rPr>
          <w:i/>
          <w:iCs/>
        </w:rPr>
        <w:t>group</w:t>
      </w:r>
      <w:r w:rsidR="00806DAD">
        <w:t>.</w:t>
      </w:r>
    </w:p>
    <w:p w14:paraId="33B3ED29" w14:textId="28D6DECD" w:rsidR="00357AB6" w:rsidRDefault="00FF106A" w:rsidP="00C72F62">
      <w:r>
        <w:t>It would be more appropriate</w:t>
      </w:r>
      <w:r w:rsidR="009E3485">
        <w:t xml:space="preserve"> to</w:t>
      </w:r>
      <w:r>
        <w:t xml:space="preserve"> retain </w:t>
      </w:r>
      <w:r w:rsidR="002448D9">
        <w:t xml:space="preserve">rapporteur group meetings as the only vehicle between </w:t>
      </w:r>
      <w:r w:rsidR="00806DAD">
        <w:t xml:space="preserve">SG and WP meetings </w:t>
      </w:r>
      <w:r w:rsidR="002448D9">
        <w:t xml:space="preserve">to progress </w:t>
      </w:r>
      <w:r w:rsidR="00873988">
        <w:t>the work program</w:t>
      </w:r>
      <w:r w:rsidR="00B22987">
        <w:t>me</w:t>
      </w:r>
      <w:r w:rsidR="00873988">
        <w:t xml:space="preserve">.  Creating a new </w:t>
      </w:r>
      <w:r w:rsidR="0037656E">
        <w:t xml:space="preserve">meeting mechanism </w:t>
      </w:r>
      <w:r w:rsidR="00B22987">
        <w:t xml:space="preserve">would </w:t>
      </w:r>
      <w:r w:rsidR="0037656E">
        <w:t>result in confusion and potentially disen</w:t>
      </w:r>
      <w:r w:rsidR="00C42729">
        <w:t>franchis</w:t>
      </w:r>
      <w:r w:rsidR="00EC45D1">
        <w:t>e</w:t>
      </w:r>
      <w:r w:rsidR="0037656E">
        <w:t xml:space="preserve"> members</w:t>
      </w:r>
      <w:r w:rsidR="00C42729">
        <w:t>.</w:t>
      </w:r>
    </w:p>
    <w:p w14:paraId="6A018631" w14:textId="77777777" w:rsidR="00BC6553" w:rsidRDefault="00BC6553" w:rsidP="00C72F62"/>
    <w:p w14:paraId="7EDB2739" w14:textId="77777777" w:rsidR="00C72F62" w:rsidRDefault="00C72F62" w:rsidP="00C72F62">
      <w:pPr>
        <w:rPr>
          <w:b/>
          <w:bCs/>
        </w:rPr>
      </w:pPr>
      <w:bookmarkStart w:id="4" w:name="_Hlk207900931"/>
      <w:bookmarkEnd w:id="3"/>
      <w:r>
        <w:rPr>
          <w:b/>
          <w:bCs/>
        </w:rPr>
        <w:lastRenderedPageBreak/>
        <w:t>Proposal</w:t>
      </w:r>
    </w:p>
    <w:p w14:paraId="002E9BE8" w14:textId="2BB094EE" w:rsidR="007D0D56" w:rsidRDefault="009D3D82" w:rsidP="000822E4">
      <w:r>
        <w:t xml:space="preserve">It is proposed to </w:t>
      </w:r>
      <w:r w:rsidR="00A52C04">
        <w:t>take these considerations into account in the draft revision of A.1</w:t>
      </w:r>
      <w:r w:rsidR="00673178">
        <w:t xml:space="preserve"> so as to </w:t>
      </w:r>
      <w:r w:rsidR="00EC45D1">
        <w:t xml:space="preserve">codify </w:t>
      </w:r>
      <w:r w:rsidR="00E856DB">
        <w:t>the</w:t>
      </w:r>
      <w:r w:rsidR="00EC45D1">
        <w:t xml:space="preserve"> distinction between </w:t>
      </w:r>
      <w:r w:rsidR="00E856DB">
        <w:t xml:space="preserve">correspondence activities and </w:t>
      </w:r>
      <w:r w:rsidR="0019505C">
        <w:t>e</w:t>
      </w:r>
      <w:r w:rsidR="00B41014">
        <w:t xml:space="preserve">lectronic meetings.  </w:t>
      </w:r>
    </w:p>
    <w:p w14:paraId="65D35A51" w14:textId="53895B58" w:rsidR="000822E4" w:rsidRDefault="00B41014" w:rsidP="000822E4">
      <w:r>
        <w:t xml:space="preserve">At </w:t>
      </w:r>
      <w:r w:rsidR="00F51894">
        <w:t xml:space="preserve">a minimum, </w:t>
      </w:r>
      <w:r w:rsidR="000A0953">
        <w:t>remove</w:t>
      </w:r>
      <w:r>
        <w:t xml:space="preserve"> </w:t>
      </w:r>
      <w:r w:rsidR="00B22987">
        <w:t xml:space="preserve">the following </w:t>
      </w:r>
      <w:r>
        <w:t xml:space="preserve">wording </w:t>
      </w:r>
      <w:r w:rsidR="00B22987">
        <w:t xml:space="preserve">from </w:t>
      </w:r>
      <w:r w:rsidR="00E33065">
        <w:t xml:space="preserve">the draft revision of </w:t>
      </w:r>
      <w:r w:rsidR="00435F73">
        <w:t xml:space="preserve">clause </w:t>
      </w:r>
      <w:r w:rsidR="00182456">
        <w:t>1.6</w:t>
      </w:r>
      <w:r w:rsidR="00B22987">
        <w:t>:</w:t>
      </w:r>
    </w:p>
    <w:p w14:paraId="20FB590B" w14:textId="7A4DED97" w:rsidR="000822E4" w:rsidRDefault="00182456" w:rsidP="000822E4">
      <w:pPr>
        <w:ind w:left="720"/>
        <w:rPr>
          <w:i/>
          <w:iCs/>
          <w:lang w:val="en-CA"/>
        </w:rPr>
      </w:pPr>
      <w:r>
        <w:rPr>
          <w:i/>
          <w:iCs/>
          <w:lang w:val="en-CA"/>
        </w:rPr>
        <w:t>organize e-meetings if appropriate</w:t>
      </w:r>
    </w:p>
    <w:p w14:paraId="6CCD107E" w14:textId="391D7F69" w:rsidR="00622B4C" w:rsidRDefault="00B22987" w:rsidP="00622B4C">
      <w:r>
        <w:t>Additionally,</w:t>
      </w:r>
      <w:r w:rsidR="00622B4C">
        <w:t xml:space="preserve"> co</w:t>
      </w:r>
      <w:r w:rsidR="004C22E3">
        <w:t xml:space="preserve">nsider reverting the name to </w:t>
      </w:r>
      <w:r w:rsidR="004C22E3">
        <w:rPr>
          <w:i/>
          <w:iCs/>
        </w:rPr>
        <w:t>correspondence activity</w:t>
      </w:r>
      <w:r>
        <w:t>.</w:t>
      </w:r>
    </w:p>
    <w:p w14:paraId="3EF70D57" w14:textId="06545457" w:rsidR="000822E4" w:rsidRDefault="0070056E" w:rsidP="000822E4">
      <w:r>
        <w:t>In addition</w:t>
      </w:r>
      <w:r w:rsidR="00533978">
        <w:t>,</w:t>
      </w:r>
      <w:r>
        <w:t xml:space="preserve"> add a new section to introduce rapporteur groups </w:t>
      </w:r>
      <w:r w:rsidR="003E5257">
        <w:t xml:space="preserve">in </w:t>
      </w:r>
      <w:r w:rsidR="00435F73">
        <w:t>clause</w:t>
      </w:r>
      <w:r w:rsidR="003E5257">
        <w:t xml:space="preserve"> 1</w:t>
      </w:r>
      <w:r w:rsidR="00724FFE">
        <w:t>:</w:t>
      </w:r>
    </w:p>
    <w:p w14:paraId="10CD7B7E" w14:textId="77777777" w:rsidR="00191164" w:rsidRDefault="00191164" w:rsidP="000822E4">
      <w:pPr>
        <w:ind w:firstLine="720"/>
        <w:rPr>
          <w:b/>
          <w:bCs/>
          <w:i/>
          <w:iCs/>
          <w:lang w:val="en-CA"/>
        </w:rPr>
      </w:pPr>
      <w:r>
        <w:rPr>
          <w:b/>
          <w:bCs/>
          <w:i/>
          <w:iCs/>
          <w:lang w:val="en-CA"/>
        </w:rPr>
        <w:t>1.x  Rapporteur groups</w:t>
      </w:r>
    </w:p>
    <w:p w14:paraId="384A6C54" w14:textId="573CFE2A" w:rsidR="00191164" w:rsidRPr="00533978" w:rsidRDefault="00E276EF" w:rsidP="00533978">
      <w:pPr>
        <w:ind w:left="720"/>
        <w:rPr>
          <w:i/>
          <w:iCs/>
        </w:rPr>
      </w:pPr>
      <w:r w:rsidRPr="00533978">
        <w:rPr>
          <w:i/>
          <w:iCs/>
        </w:rPr>
        <w:t xml:space="preserve">Study Group </w:t>
      </w:r>
      <w:r w:rsidR="00A342B5">
        <w:rPr>
          <w:i/>
          <w:iCs/>
        </w:rPr>
        <w:t>Q</w:t>
      </w:r>
      <w:r w:rsidRPr="00533978">
        <w:rPr>
          <w:i/>
          <w:iCs/>
        </w:rPr>
        <w:t>uestions a</w:t>
      </w:r>
      <w:r w:rsidR="00025DD4" w:rsidRPr="00533978">
        <w:rPr>
          <w:i/>
          <w:iCs/>
        </w:rPr>
        <w:t>re r</w:t>
      </w:r>
      <w:r w:rsidR="00191164" w:rsidRPr="00533978">
        <w:rPr>
          <w:i/>
          <w:iCs/>
        </w:rPr>
        <w:t>apporteur group</w:t>
      </w:r>
      <w:r w:rsidRPr="00533978">
        <w:rPr>
          <w:i/>
          <w:iCs/>
        </w:rPr>
        <w:t>s</w:t>
      </w:r>
      <w:r w:rsidR="00191164" w:rsidRPr="00533978">
        <w:rPr>
          <w:i/>
          <w:iCs/>
        </w:rPr>
        <w:t xml:space="preserve"> </w:t>
      </w:r>
      <w:r w:rsidR="00025DD4" w:rsidRPr="00533978">
        <w:rPr>
          <w:i/>
          <w:iCs/>
        </w:rPr>
        <w:t>when their meetings</w:t>
      </w:r>
      <w:r w:rsidR="00191164" w:rsidRPr="00533978">
        <w:rPr>
          <w:i/>
          <w:iCs/>
        </w:rPr>
        <w:t xml:space="preserve"> are held between </w:t>
      </w:r>
      <w:r w:rsidR="00B22987">
        <w:rPr>
          <w:i/>
          <w:iCs/>
        </w:rPr>
        <w:t>study group</w:t>
      </w:r>
      <w:r w:rsidR="00B22987" w:rsidRPr="00533978">
        <w:rPr>
          <w:i/>
          <w:iCs/>
        </w:rPr>
        <w:t xml:space="preserve"> </w:t>
      </w:r>
      <w:r w:rsidR="00B22987">
        <w:rPr>
          <w:i/>
          <w:iCs/>
        </w:rPr>
        <w:t>and</w:t>
      </w:r>
      <w:r w:rsidR="00B22987" w:rsidRPr="00533978">
        <w:rPr>
          <w:i/>
          <w:iCs/>
        </w:rPr>
        <w:t xml:space="preserve"> </w:t>
      </w:r>
      <w:r w:rsidR="00B22987">
        <w:rPr>
          <w:i/>
          <w:iCs/>
        </w:rPr>
        <w:t>working party</w:t>
      </w:r>
      <w:r w:rsidR="00B22987" w:rsidRPr="00533978">
        <w:rPr>
          <w:i/>
          <w:iCs/>
        </w:rPr>
        <w:t xml:space="preserve"> </w:t>
      </w:r>
      <w:r w:rsidR="00191164" w:rsidRPr="00533978">
        <w:rPr>
          <w:i/>
          <w:iCs/>
        </w:rPr>
        <w:t>meetings.</w:t>
      </w:r>
      <w:r w:rsidR="00EB386B" w:rsidRPr="00533978">
        <w:rPr>
          <w:i/>
          <w:iCs/>
        </w:rPr>
        <w:t xml:space="preserve">  While rapporteur group meetings may include the entire scope</w:t>
      </w:r>
      <w:r w:rsidR="003832F7" w:rsidRPr="00533978">
        <w:rPr>
          <w:i/>
          <w:iCs/>
        </w:rPr>
        <w:t xml:space="preserve"> of the Questions, the terms of refe</w:t>
      </w:r>
      <w:r w:rsidR="007E4658">
        <w:rPr>
          <w:i/>
          <w:iCs/>
        </w:rPr>
        <w:t>re</w:t>
      </w:r>
      <w:r w:rsidR="003832F7" w:rsidRPr="00533978">
        <w:rPr>
          <w:i/>
          <w:iCs/>
        </w:rPr>
        <w:t xml:space="preserve">nce may </w:t>
      </w:r>
      <w:r w:rsidR="00B45821" w:rsidRPr="00533978">
        <w:rPr>
          <w:i/>
          <w:iCs/>
        </w:rPr>
        <w:t xml:space="preserve">also </w:t>
      </w:r>
      <w:r w:rsidR="003832F7" w:rsidRPr="00533978">
        <w:rPr>
          <w:i/>
          <w:iCs/>
        </w:rPr>
        <w:t xml:space="preserve">be focused </w:t>
      </w:r>
      <w:r w:rsidR="00B22987">
        <w:rPr>
          <w:i/>
          <w:iCs/>
        </w:rPr>
        <w:t>on</w:t>
      </w:r>
      <w:r w:rsidR="00B22987" w:rsidRPr="00533978">
        <w:rPr>
          <w:i/>
          <w:iCs/>
        </w:rPr>
        <w:t xml:space="preserve"> </w:t>
      </w:r>
      <w:r w:rsidR="003832F7" w:rsidRPr="00533978">
        <w:rPr>
          <w:i/>
          <w:iCs/>
        </w:rPr>
        <w:t>a particular work item or topic.</w:t>
      </w:r>
      <w:r w:rsidR="00B45821" w:rsidRPr="00533978">
        <w:rPr>
          <w:i/>
          <w:iCs/>
        </w:rPr>
        <w:t xml:space="preserve">  In the </w:t>
      </w:r>
      <w:r w:rsidR="006239B3">
        <w:rPr>
          <w:i/>
          <w:iCs/>
        </w:rPr>
        <w:t>focused case, the rapporteur may appoint a convenor.</w:t>
      </w:r>
    </w:p>
    <w:p w14:paraId="10F35D76" w14:textId="77777777" w:rsidR="00E81915" w:rsidRDefault="00E81915" w:rsidP="00C72F62"/>
    <w:p w14:paraId="0684FA8E" w14:textId="77777777" w:rsidR="009A2932" w:rsidRDefault="009A2932" w:rsidP="00C72F62"/>
    <w:p w14:paraId="13787C7B" w14:textId="77777777" w:rsidR="009A2932" w:rsidRDefault="009A2932" w:rsidP="00C72F62"/>
    <w:p w14:paraId="577627E3" w14:textId="77777777" w:rsidR="009A2932" w:rsidRDefault="009A2932" w:rsidP="00C72F62"/>
    <w:p w14:paraId="7302C4E3" w14:textId="77777777" w:rsidR="007254E9" w:rsidRDefault="007254E9" w:rsidP="00C72F62"/>
    <w:p w14:paraId="3A529E79" w14:textId="77777777" w:rsidR="007254E9" w:rsidRDefault="007254E9" w:rsidP="00C72F62"/>
    <w:p w14:paraId="7AF88895" w14:textId="77777777" w:rsidR="007254E9" w:rsidRDefault="007254E9" w:rsidP="00C72F62"/>
    <w:p w14:paraId="42B7669C" w14:textId="77777777" w:rsidR="007254E9" w:rsidRDefault="007254E9" w:rsidP="00C72F62"/>
    <w:p w14:paraId="648DAC4B" w14:textId="77777777" w:rsidR="007254E9" w:rsidRDefault="007254E9" w:rsidP="00C72F62"/>
    <w:p w14:paraId="43234127" w14:textId="77777777" w:rsidR="009A2932" w:rsidRDefault="009A2932" w:rsidP="00C72F62"/>
    <w:bookmarkEnd w:id="4"/>
    <w:p w14:paraId="61CF4FF8" w14:textId="77777777" w:rsidR="009A2932" w:rsidRDefault="009A2932">
      <w:pPr>
        <w:spacing w:before="0" w:after="160" w:line="259" w:lineRule="auto"/>
        <w:rPr>
          <w:b/>
          <w:bCs/>
        </w:rPr>
      </w:pPr>
    </w:p>
    <w:p w14:paraId="68AC25C5" w14:textId="39184A2B" w:rsidR="009A2932" w:rsidRPr="009A2932" w:rsidRDefault="009A2932" w:rsidP="009A2932">
      <w:pPr>
        <w:spacing w:before="0" w:after="160" w:line="259" w:lineRule="auto"/>
      </w:pPr>
      <w:r>
        <w:rPr>
          <w:b/>
          <w:bCs/>
        </w:rPr>
        <w:t>Attachments</w:t>
      </w:r>
      <w:r>
        <w:rPr>
          <w:b/>
          <w:bCs/>
        </w:rPr>
        <w:br/>
      </w:r>
    </w:p>
    <w:p w14:paraId="14C60C77" w14:textId="42C8F343" w:rsidR="009A2932" w:rsidRPr="009A2932" w:rsidRDefault="009A2932" w:rsidP="009A2932">
      <w:r w:rsidRPr="009A2932">
        <w:t>SG15 Guideline</w:t>
      </w:r>
      <w:r>
        <w:t xml:space="preserve"> - </w:t>
      </w:r>
      <w:r w:rsidRPr="009A2932">
        <w:t>Correspondence Activities</w:t>
      </w:r>
    </w:p>
    <w:p w14:paraId="0559B267" w14:textId="5AEC3551" w:rsidR="009A2932" w:rsidRPr="009A2932" w:rsidRDefault="009A2932" w:rsidP="009A2932">
      <w:r w:rsidRPr="009A2932">
        <w:t>SG15 Guideline</w:t>
      </w:r>
      <w:r>
        <w:t xml:space="preserve"> - </w:t>
      </w:r>
      <w:r w:rsidRPr="009A2932">
        <w:t>Organization of Rapporteur Group Meetings</w:t>
      </w:r>
    </w:p>
    <w:p w14:paraId="35F2CDAB" w14:textId="3C216854" w:rsidR="005F4316" w:rsidRDefault="005F4316">
      <w:pPr>
        <w:spacing w:before="0" w:after="160" w:line="259" w:lineRule="auto"/>
        <w:rPr>
          <w:b/>
          <w:bCs/>
        </w:rPr>
      </w:pPr>
      <w:r>
        <w:rPr>
          <w:b/>
          <w:bCs/>
        </w:rPr>
        <w:br w:type="page"/>
      </w:r>
    </w:p>
    <w:p w14:paraId="5939D2ED" w14:textId="77777777" w:rsidR="009A2932" w:rsidRDefault="009A2932">
      <w:pPr>
        <w:spacing w:before="0" w:after="160" w:line="259" w:lineRule="auto"/>
        <w:rPr>
          <w:b/>
          <w:bCs/>
        </w:rPr>
      </w:pPr>
    </w:p>
    <w:p w14:paraId="7081CA0D" w14:textId="70D61FA3" w:rsidR="00193EAF" w:rsidRPr="00193EAF" w:rsidRDefault="00193EAF" w:rsidP="005F4316">
      <w:pPr>
        <w:jc w:val="center"/>
        <w:rPr>
          <w:b/>
          <w:bCs/>
        </w:rPr>
      </w:pPr>
      <w:r w:rsidRPr="00193EAF">
        <w:rPr>
          <w:b/>
          <w:bCs/>
        </w:rPr>
        <w:t>SG15 Guideline</w:t>
      </w:r>
      <w:r w:rsidRPr="00193EAF">
        <w:rPr>
          <w:b/>
          <w:bCs/>
        </w:rPr>
        <w:br/>
        <w:t>Correspondence Activities</w:t>
      </w:r>
    </w:p>
    <w:p w14:paraId="3E31433E" w14:textId="77777777" w:rsidR="00193EAF" w:rsidRPr="00193EAF" w:rsidRDefault="00193EAF" w:rsidP="00193EAF"/>
    <w:p w14:paraId="02ED785F" w14:textId="77777777" w:rsidR="00193EAF" w:rsidRPr="00193EAF" w:rsidRDefault="00193EAF" w:rsidP="00193EAF">
      <w:pPr>
        <w:rPr>
          <w:b/>
        </w:rPr>
      </w:pPr>
      <w:r w:rsidRPr="00193EAF">
        <w:rPr>
          <w:b/>
        </w:rPr>
        <w:t>Background</w:t>
      </w:r>
    </w:p>
    <w:p w14:paraId="6B2F75A1" w14:textId="77777777" w:rsidR="00193EAF" w:rsidRPr="00193EAF" w:rsidRDefault="00193EAF" w:rsidP="00193EAF">
      <w:r w:rsidRPr="00193EAF">
        <w:t>A.1 indicates:</w:t>
      </w:r>
    </w:p>
    <w:p w14:paraId="16C08646" w14:textId="77777777" w:rsidR="00193EAF" w:rsidRPr="00193EAF" w:rsidRDefault="00193EAF" w:rsidP="00193EAF">
      <w:pPr>
        <w:rPr>
          <w:lang w:val="en-US"/>
        </w:rPr>
      </w:pPr>
      <w:r w:rsidRPr="00193EAF">
        <w:rPr>
          <w:b/>
          <w:bCs/>
          <w:lang w:val="en-US"/>
        </w:rPr>
        <w:t xml:space="preserve">1.6 Correspondence activities </w:t>
      </w:r>
    </w:p>
    <w:p w14:paraId="72EBDB4E" w14:textId="77777777" w:rsidR="00193EAF" w:rsidRPr="00193EAF" w:rsidRDefault="00193EAF" w:rsidP="00193EAF">
      <w:r w:rsidRPr="00193EAF">
        <w:t>A correspondence activity on a particular topic may be authorized to be conducted via e-mail between meetings. Each correspondence activity should have specified terms of reference. A convener is appointed to moderate the e-mail discussion and prepare a report to a subsequent meeting. A correspondence activity should normally conclude no later than the contribution deadline of the meeting to which it is expected to report (see also clause 2.3.3.5).</w:t>
      </w:r>
    </w:p>
    <w:p w14:paraId="5D494229" w14:textId="77777777" w:rsidR="00193EAF" w:rsidRPr="00193EAF" w:rsidRDefault="00193EAF" w:rsidP="00193EAF"/>
    <w:p w14:paraId="5E7BFE6D" w14:textId="77777777" w:rsidR="00193EAF" w:rsidRPr="00193EAF" w:rsidRDefault="00193EAF" w:rsidP="00193EAF">
      <w:pPr>
        <w:rPr>
          <w:b/>
        </w:rPr>
      </w:pPr>
      <w:r w:rsidRPr="00193EAF">
        <w:rPr>
          <w:b/>
        </w:rPr>
        <w:t>Guideline</w:t>
      </w:r>
    </w:p>
    <w:p w14:paraId="55DC8C24" w14:textId="77777777" w:rsidR="00193EAF" w:rsidRPr="00193EAF" w:rsidRDefault="00193EAF" w:rsidP="00193EAF">
      <w:r w:rsidRPr="00193EAF">
        <w:t xml:space="preserve">To advance work between Rapporteur group meetings and plenary meetings, the Rapporteur may propose work by correspondence </w:t>
      </w:r>
      <w:r w:rsidRPr="00193EAF">
        <w:rPr>
          <w:bCs/>
        </w:rPr>
        <w:t xml:space="preserve">(per ITU-T Recommendation A.1 clause 1.6,) </w:t>
      </w:r>
      <w:r w:rsidRPr="00193EAF">
        <w:t>and appoint a convener.</w:t>
      </w:r>
    </w:p>
    <w:p w14:paraId="08F9142D" w14:textId="77777777" w:rsidR="00193EAF" w:rsidRPr="00193EAF" w:rsidRDefault="00193EAF" w:rsidP="00193EAF">
      <w:pPr>
        <w:numPr>
          <w:ilvl w:val="0"/>
          <w:numId w:val="12"/>
        </w:numPr>
      </w:pPr>
      <w:r w:rsidRPr="00193EAF">
        <w:rPr>
          <w:b/>
          <w:bCs/>
        </w:rPr>
        <w:t>Authorization:</w:t>
      </w:r>
      <w:r w:rsidRPr="00193EAF">
        <w:t xml:space="preserve"> </w:t>
      </w:r>
      <w:r w:rsidRPr="00193EAF">
        <w:br/>
        <w:t>Work by correspondence is authorized at a Rapporteur group meeting or a plenary meeting., and should be conducted prior to any future meeting that will address the same topic.</w:t>
      </w:r>
    </w:p>
    <w:p w14:paraId="5687C6AE" w14:textId="77777777" w:rsidR="00193EAF" w:rsidRPr="00193EAF" w:rsidRDefault="00193EAF" w:rsidP="00193EAF">
      <w:pPr>
        <w:numPr>
          <w:ilvl w:val="1"/>
          <w:numId w:val="12"/>
        </w:numPr>
      </w:pPr>
      <w:r w:rsidRPr="00193EAF">
        <w:t>The report of the meeting that authorizes work by correspondence should include:</w:t>
      </w:r>
    </w:p>
    <w:p w14:paraId="31DDF43A" w14:textId="77777777" w:rsidR="00193EAF" w:rsidRPr="00193EAF" w:rsidRDefault="00193EAF" w:rsidP="00193EAF">
      <w:pPr>
        <w:numPr>
          <w:ilvl w:val="2"/>
          <w:numId w:val="12"/>
        </w:numPr>
      </w:pPr>
      <w:r w:rsidRPr="00193EAF">
        <w:t>Terms of reference for that correspondence activity;</w:t>
      </w:r>
    </w:p>
    <w:p w14:paraId="2AEF27F1" w14:textId="77777777" w:rsidR="00193EAF" w:rsidRPr="00193EAF" w:rsidRDefault="00193EAF" w:rsidP="00193EAF">
      <w:pPr>
        <w:numPr>
          <w:ilvl w:val="2"/>
          <w:numId w:val="12"/>
        </w:numPr>
      </w:pPr>
      <w:r w:rsidRPr="00193EAF">
        <w:t>Name of the convener;</w:t>
      </w:r>
    </w:p>
    <w:p w14:paraId="33DC1E58" w14:textId="77777777" w:rsidR="00193EAF" w:rsidRPr="00193EAF" w:rsidRDefault="00193EAF" w:rsidP="00193EAF">
      <w:pPr>
        <w:numPr>
          <w:ilvl w:val="2"/>
          <w:numId w:val="12"/>
        </w:numPr>
      </w:pPr>
      <w:r w:rsidRPr="00193EAF">
        <w:t>ITU</w:t>
      </w:r>
      <w:r w:rsidRPr="00193EAF">
        <w:noBreakHyphen/>
        <w:t>T Question Email reflector on which the discussion is to take place;</w:t>
      </w:r>
    </w:p>
    <w:p w14:paraId="1E84EEFC" w14:textId="77777777" w:rsidR="00193EAF" w:rsidRPr="00193EAF" w:rsidRDefault="00193EAF" w:rsidP="00193EAF">
      <w:pPr>
        <w:numPr>
          <w:ilvl w:val="2"/>
          <w:numId w:val="12"/>
        </w:numPr>
      </w:pPr>
      <w:r w:rsidRPr="00193EAF">
        <w:t>Date that the correspondence activity will start;</w:t>
      </w:r>
    </w:p>
    <w:p w14:paraId="6CD10B4B" w14:textId="77777777" w:rsidR="00193EAF" w:rsidRPr="00193EAF" w:rsidRDefault="00193EAF" w:rsidP="00193EAF">
      <w:pPr>
        <w:numPr>
          <w:ilvl w:val="2"/>
          <w:numId w:val="12"/>
        </w:numPr>
      </w:pPr>
      <w:r w:rsidRPr="00193EAF">
        <w:t>Date that the correspondence activity with conclude;</w:t>
      </w:r>
    </w:p>
    <w:p w14:paraId="2AAB1C9B" w14:textId="77777777" w:rsidR="00193EAF" w:rsidRPr="00193EAF" w:rsidRDefault="00193EAF" w:rsidP="00193EAF">
      <w:pPr>
        <w:numPr>
          <w:ilvl w:val="3"/>
          <w:numId w:val="12"/>
        </w:numPr>
      </w:pPr>
      <w:r w:rsidRPr="00193EAF">
        <w:t>The concluding date should be no later than the contribution deadline for the next meeting. For active discussions or controversial topics, an earlier concluding date should be set so that the report can be considered by those preparing contributions into the next meeting.</w:t>
      </w:r>
    </w:p>
    <w:p w14:paraId="01753091" w14:textId="77777777" w:rsidR="00193EAF" w:rsidRPr="00193EAF" w:rsidRDefault="00193EAF" w:rsidP="00193EAF">
      <w:pPr>
        <w:numPr>
          <w:ilvl w:val="2"/>
          <w:numId w:val="12"/>
        </w:numPr>
      </w:pPr>
      <w:r w:rsidRPr="00193EAF">
        <w:t>The ITU file server that will be used for any correspondence documents;</w:t>
      </w:r>
    </w:p>
    <w:p w14:paraId="07D4DE61" w14:textId="77777777" w:rsidR="00193EAF" w:rsidRPr="00193EAF" w:rsidRDefault="00193EAF" w:rsidP="00193EAF">
      <w:pPr>
        <w:numPr>
          <w:ilvl w:val="2"/>
          <w:numId w:val="12"/>
        </w:numPr>
      </w:pPr>
      <w:r w:rsidRPr="00193EAF">
        <w:t>Short name for the correspondence that will be used in the subject line of messages related to the correspondence activity.</w:t>
      </w:r>
    </w:p>
    <w:p w14:paraId="0C63EF75" w14:textId="77777777" w:rsidR="00193EAF" w:rsidRPr="00193EAF" w:rsidRDefault="00193EAF" w:rsidP="00193EAF">
      <w:pPr>
        <w:numPr>
          <w:ilvl w:val="0"/>
          <w:numId w:val="12"/>
        </w:numPr>
      </w:pPr>
      <w:r w:rsidRPr="00193EAF">
        <w:rPr>
          <w:b/>
          <w:bCs/>
        </w:rPr>
        <w:t>Start of the correspondence activity</w:t>
      </w:r>
      <w:r w:rsidRPr="00193EAF">
        <w:t xml:space="preserve">: </w:t>
      </w:r>
      <w:r w:rsidRPr="00193EAF">
        <w:br/>
        <w:t>The convenor should send an email to the Question email list with the short name of the correspondence activity in the subject. The body of the message should include: The terms of reference; the ITU file server that will be used for large documents; the date that the activity will conclude.</w:t>
      </w:r>
    </w:p>
    <w:p w14:paraId="70E60DAA" w14:textId="77777777" w:rsidR="00193EAF" w:rsidRPr="00193EAF" w:rsidRDefault="00193EAF" w:rsidP="00193EAF">
      <w:pPr>
        <w:numPr>
          <w:ilvl w:val="0"/>
          <w:numId w:val="12"/>
        </w:numPr>
        <w:rPr>
          <w:b/>
          <w:bCs/>
        </w:rPr>
      </w:pPr>
      <w:r w:rsidRPr="00193EAF">
        <w:rPr>
          <w:b/>
          <w:bCs/>
        </w:rPr>
        <w:t>Handling correspondence content:</w:t>
      </w:r>
    </w:p>
    <w:p w14:paraId="44A7371E" w14:textId="77777777" w:rsidR="00193EAF" w:rsidRPr="00193EAF" w:rsidRDefault="00193EAF" w:rsidP="00193EAF">
      <w:pPr>
        <w:numPr>
          <w:ilvl w:val="1"/>
          <w:numId w:val="12"/>
        </w:numPr>
      </w:pPr>
      <w:r w:rsidRPr="00193EAF">
        <w:lastRenderedPageBreak/>
        <w:t xml:space="preserve">Email messages: </w:t>
      </w:r>
      <w:r w:rsidRPr="00193EAF">
        <w:br/>
        <w:t>Are archived by the ITU email server.</w:t>
      </w:r>
    </w:p>
    <w:p w14:paraId="5DFA61F9" w14:textId="77777777" w:rsidR="00193EAF" w:rsidRPr="00193EAF" w:rsidRDefault="00193EAF" w:rsidP="00193EAF">
      <w:pPr>
        <w:numPr>
          <w:ilvl w:val="1"/>
          <w:numId w:val="12"/>
        </w:numPr>
      </w:pPr>
      <w:r w:rsidRPr="00193EAF">
        <w:t xml:space="preserve">Correspondence documents (CDs): </w:t>
      </w:r>
      <w:r w:rsidRPr="00193EAF">
        <w:br/>
        <w:t>Should be announced on the email reflector and the correspondence document should be placed on the file server identified in the terms of reference.</w:t>
      </w:r>
    </w:p>
    <w:p w14:paraId="698D72C2" w14:textId="77777777" w:rsidR="00193EAF" w:rsidRPr="00193EAF" w:rsidRDefault="00193EAF" w:rsidP="00193EAF">
      <w:pPr>
        <w:numPr>
          <w:ilvl w:val="0"/>
          <w:numId w:val="12"/>
        </w:numPr>
      </w:pPr>
      <w:r w:rsidRPr="00193EAF">
        <w:rPr>
          <w:b/>
          <w:bCs/>
        </w:rPr>
        <w:t>Traceability:</w:t>
      </w:r>
      <w:r w:rsidRPr="00193EAF">
        <w:t xml:space="preserve"> </w:t>
      </w:r>
      <w:r w:rsidRPr="00193EAF">
        <w:br/>
        <w:t>Any proposed new technical content in a draft document that arises from the work by correspondence should be traceable to the proposal(s) that it came from.</w:t>
      </w:r>
    </w:p>
    <w:p w14:paraId="72786C7E" w14:textId="77777777" w:rsidR="00193EAF" w:rsidRPr="00193EAF" w:rsidRDefault="00193EAF" w:rsidP="00193EAF">
      <w:pPr>
        <w:numPr>
          <w:ilvl w:val="0"/>
          <w:numId w:val="12"/>
        </w:numPr>
      </w:pPr>
      <w:r w:rsidRPr="00193EAF">
        <w:rPr>
          <w:b/>
          <w:bCs/>
        </w:rPr>
        <w:t>Conclusion of the correspondence activity</w:t>
      </w:r>
      <w:r w:rsidRPr="00193EAF">
        <w:t xml:space="preserve">: </w:t>
      </w:r>
      <w:r w:rsidRPr="00193EAF">
        <w:br/>
        <w:t>The convenor should send an email to the Question email list stating that the correspondence activity has been completed.</w:t>
      </w:r>
    </w:p>
    <w:p w14:paraId="10E70CD2" w14:textId="77777777" w:rsidR="00193EAF" w:rsidRPr="00193EAF" w:rsidRDefault="00193EAF" w:rsidP="00193EAF">
      <w:pPr>
        <w:numPr>
          <w:ilvl w:val="0"/>
          <w:numId w:val="12"/>
        </w:numPr>
      </w:pPr>
      <w:r w:rsidRPr="00193EAF">
        <w:rPr>
          <w:b/>
          <w:bCs/>
        </w:rPr>
        <w:t>Report:</w:t>
      </w:r>
      <w:r w:rsidRPr="00193EAF">
        <w:br/>
        <w:t>The convener should, as soon as possible, after the conclusion of the correspondence activity:</w:t>
      </w:r>
    </w:p>
    <w:p w14:paraId="0AE38F43" w14:textId="77777777" w:rsidR="00193EAF" w:rsidRPr="00193EAF" w:rsidRDefault="00193EAF" w:rsidP="00193EAF">
      <w:pPr>
        <w:numPr>
          <w:ilvl w:val="1"/>
          <w:numId w:val="12"/>
        </w:numPr>
      </w:pPr>
      <w:r w:rsidRPr="00193EAF">
        <w:t>Prepare a report of the correspondence activity that:</w:t>
      </w:r>
    </w:p>
    <w:p w14:paraId="56FBAEF1" w14:textId="77777777" w:rsidR="00193EAF" w:rsidRPr="00193EAF" w:rsidRDefault="00193EAF" w:rsidP="00193EAF">
      <w:pPr>
        <w:numPr>
          <w:ilvl w:val="2"/>
          <w:numId w:val="12"/>
        </w:numPr>
      </w:pPr>
      <w:r w:rsidRPr="00193EAF">
        <w:t>Provides links to the email messages or CDs that made the proposal(s);</w:t>
      </w:r>
    </w:p>
    <w:p w14:paraId="107336D6" w14:textId="77777777" w:rsidR="00193EAF" w:rsidRPr="00193EAF" w:rsidRDefault="00193EAF" w:rsidP="00193EAF">
      <w:pPr>
        <w:numPr>
          <w:ilvl w:val="2"/>
          <w:numId w:val="12"/>
        </w:numPr>
      </w:pPr>
      <w:r w:rsidRPr="00193EAF">
        <w:t>Contains a summary of the proposals for review by the parent group at the next meeting.</w:t>
      </w:r>
    </w:p>
    <w:p w14:paraId="2F0B56B5" w14:textId="77777777" w:rsidR="00193EAF" w:rsidRPr="00193EAF" w:rsidRDefault="00193EAF" w:rsidP="00193EAF">
      <w:pPr>
        <w:numPr>
          <w:ilvl w:val="1"/>
          <w:numId w:val="12"/>
        </w:numPr>
      </w:pPr>
      <w:r w:rsidRPr="00193EAF">
        <w:t xml:space="preserve">Post a copy of the correspondence report on the ITU file server used for the CDs and announce this on the Question email reflector. </w:t>
      </w:r>
      <w:r w:rsidRPr="00193EAF">
        <w:br/>
        <w:t xml:space="preserve">TSB should be informed so that they can write-lock the folder to archive the origin of proposals that may be included in draft documents. </w:t>
      </w:r>
    </w:p>
    <w:p w14:paraId="610A229C" w14:textId="77777777" w:rsidR="00193EAF" w:rsidRPr="00193EAF" w:rsidRDefault="00193EAF" w:rsidP="00193EAF">
      <w:pPr>
        <w:numPr>
          <w:ilvl w:val="1"/>
          <w:numId w:val="12"/>
        </w:numPr>
      </w:pPr>
      <w:r w:rsidRPr="00193EAF">
        <w:t>Send the report of the correspondence activity report to the TSB to be posted as a TD for the next plenary meeting. The deadlines of Recommendation ITU-T A.1 clause 3.3.3 should be observed. For correspondence activities that are completed more than 21 days before the next plenary meeting, the meeting report shall be submitted to TSB for posting no later than the contribution deadline for the next plenary meeting. For correspondence activities that are completed 21 or fewer days before the next meeting, the meeting report shall be posted prior to the start of the meeting.</w:t>
      </w:r>
    </w:p>
    <w:p w14:paraId="5CDEB81A" w14:textId="04D4816C" w:rsidR="005F4316" w:rsidRDefault="00193EAF" w:rsidP="00193EAF">
      <w:r w:rsidRPr="00193EAF">
        <w:t>A Rapporteur group meeting may review (and act on) the report of any correspondence activity that has taken place since the last plenary meeting.</w:t>
      </w:r>
    </w:p>
    <w:p w14:paraId="6775AEED" w14:textId="77777777" w:rsidR="005F4316" w:rsidRDefault="005F4316">
      <w:pPr>
        <w:spacing w:before="0" w:after="160" w:line="259" w:lineRule="auto"/>
      </w:pPr>
      <w:r>
        <w:br w:type="page"/>
      </w:r>
    </w:p>
    <w:p w14:paraId="26435BCE" w14:textId="3B026EC7" w:rsidR="005807F5" w:rsidRPr="005807F5" w:rsidRDefault="005807F5" w:rsidP="005807F5">
      <w:pPr>
        <w:jc w:val="center"/>
        <w:rPr>
          <w:b/>
          <w:bCs/>
        </w:rPr>
      </w:pPr>
      <w:r>
        <w:rPr>
          <w:b/>
          <w:bCs/>
        </w:rPr>
        <w:lastRenderedPageBreak/>
        <w:t>SG</w:t>
      </w:r>
      <w:r w:rsidRPr="005807F5">
        <w:rPr>
          <w:b/>
          <w:bCs/>
        </w:rPr>
        <w:t>15 Guideline</w:t>
      </w:r>
    </w:p>
    <w:p w14:paraId="0125A403" w14:textId="77777777" w:rsidR="005807F5" w:rsidRPr="005807F5" w:rsidRDefault="005807F5" w:rsidP="005807F5">
      <w:pPr>
        <w:jc w:val="center"/>
        <w:rPr>
          <w:b/>
          <w:bCs/>
        </w:rPr>
      </w:pPr>
      <w:r w:rsidRPr="005807F5">
        <w:rPr>
          <w:b/>
          <w:bCs/>
        </w:rPr>
        <w:t>Organization of Rapporteur Group Meetings</w:t>
      </w:r>
    </w:p>
    <w:p w14:paraId="1C11C715" w14:textId="77777777" w:rsidR="005807F5" w:rsidRPr="005807F5" w:rsidRDefault="005807F5" w:rsidP="005807F5">
      <w:pPr>
        <w:rPr>
          <w:b/>
        </w:rPr>
      </w:pPr>
      <w:r w:rsidRPr="005807F5">
        <w:rPr>
          <w:b/>
        </w:rPr>
        <w:t>Background</w:t>
      </w:r>
    </w:p>
    <w:p w14:paraId="710F28C0" w14:textId="77777777" w:rsidR="005807F5" w:rsidRPr="005807F5" w:rsidRDefault="005807F5" w:rsidP="005807F5">
      <w:r w:rsidRPr="005807F5">
        <w:t>This guideline describes the organization of Rapporteur group meetings that are held between WP or SG plenary meetings.</w:t>
      </w:r>
    </w:p>
    <w:p w14:paraId="6D9B34F6" w14:textId="77777777" w:rsidR="005807F5" w:rsidRPr="005807F5" w:rsidRDefault="005807F5" w:rsidP="005807F5">
      <w:pPr>
        <w:rPr>
          <w:b/>
        </w:rPr>
      </w:pPr>
      <w:r w:rsidRPr="005807F5">
        <w:rPr>
          <w:b/>
        </w:rPr>
        <w:t>Guidelines</w:t>
      </w:r>
    </w:p>
    <w:p w14:paraId="764BB67A" w14:textId="77777777" w:rsidR="005807F5" w:rsidRPr="005807F5" w:rsidRDefault="005807F5" w:rsidP="005807F5">
      <w:pPr>
        <w:rPr>
          <w:b/>
        </w:rPr>
      </w:pPr>
      <w:r w:rsidRPr="005807F5">
        <w:rPr>
          <w:b/>
        </w:rPr>
        <w:t>Rapporteur group meeting structure</w:t>
      </w:r>
    </w:p>
    <w:p w14:paraId="51A462ED" w14:textId="77777777" w:rsidR="005807F5" w:rsidRPr="005807F5" w:rsidRDefault="005807F5" w:rsidP="005807F5">
      <w:r w:rsidRPr="005807F5">
        <w:t xml:space="preserve">A Rapporteur group meeting may be held as a face-to-face meeting or as a virtual meeting that consists of one or more virtual meeting sessions. </w:t>
      </w:r>
    </w:p>
    <w:p w14:paraId="2A73FAA3" w14:textId="77777777" w:rsidR="005807F5" w:rsidRPr="005807F5" w:rsidRDefault="005807F5" w:rsidP="005807F5">
      <w:r w:rsidRPr="005807F5">
        <w:t>The terms of reference for a Rapporteur group meeting may be as broad as the full scope of the work in the Question. Typically, to allow a more focused discussion, the terms of reference are limited to a small set of related topics for example; one or more items on a living list; one or more items on an issues list; topics under active discussion in previous meetings of the Question; the resolution of Last Call comments. The terms of reference may include a correspondence activity (on some or all of the topics that are in the scope of the Rapporteur group meeting). Any correspondence work should normally conclude before the Rapporteur group meeting.</w:t>
      </w:r>
    </w:p>
    <w:p w14:paraId="3E62FF34" w14:textId="77777777" w:rsidR="005807F5" w:rsidRPr="005807F5" w:rsidRDefault="005807F5" w:rsidP="005807F5">
      <w:r w:rsidRPr="005807F5">
        <w:t>Normally a Rapporteur group meeting may make agreements to, for example; insert text into a draft document; send a liaison statement; update the Work Programme (the same as during a meeting of a Question at a plenary meeting).</w:t>
      </w:r>
    </w:p>
    <w:p w14:paraId="76E54C5F" w14:textId="77777777" w:rsidR="005807F5" w:rsidRPr="005807F5" w:rsidRDefault="005807F5" w:rsidP="005807F5">
      <w:r w:rsidRPr="005807F5">
        <w:t>To make progress on a specific topic, the terms of reference for a Rapporteur group virtual meeting may limit the scope to single topic and remove the ability to make agreements as follows:</w:t>
      </w:r>
    </w:p>
    <w:p w14:paraId="55AFDA96" w14:textId="77777777" w:rsidR="005807F5" w:rsidRPr="005807F5" w:rsidRDefault="005807F5" w:rsidP="005807F5">
      <w:pPr>
        <w:numPr>
          <w:ilvl w:val="0"/>
          <w:numId w:val="13"/>
        </w:numPr>
      </w:pPr>
      <w:r w:rsidRPr="005807F5">
        <w:t xml:space="preserve">Scope: A single narrowly focused topic e.g.; a simulation activity; an item on a living list; an item on an issues list. </w:t>
      </w:r>
    </w:p>
    <w:p w14:paraId="566192EB" w14:textId="77777777" w:rsidR="005807F5" w:rsidRPr="005807F5" w:rsidRDefault="005807F5" w:rsidP="005807F5">
      <w:pPr>
        <w:numPr>
          <w:ilvl w:val="0"/>
          <w:numId w:val="13"/>
        </w:numPr>
      </w:pPr>
      <w:r w:rsidRPr="005807F5">
        <w:t>Meeting results: The meeting considers the input documents and makes proposals, but does not make agreements. It cannot; update a living list; update an issues list; insert text into a draft document; send a liaison statement etc.</w:t>
      </w:r>
    </w:p>
    <w:p w14:paraId="784E26D2" w14:textId="77777777" w:rsidR="005807F5" w:rsidRPr="005807F5" w:rsidRDefault="005807F5" w:rsidP="005807F5">
      <w:pPr>
        <w:numPr>
          <w:ilvl w:val="0"/>
          <w:numId w:val="13"/>
        </w:numPr>
      </w:pPr>
      <w:r w:rsidRPr="005807F5">
        <w:t>Report: The report summarises the key points of the discussion and any proposals that emerged. The report is considered at a subsequent Rapporteur group meeting or at a meeting of the Question during a Study Group or Working Party plenary meeting.</w:t>
      </w:r>
    </w:p>
    <w:p w14:paraId="6934443E" w14:textId="77777777" w:rsidR="005807F5" w:rsidRPr="005807F5" w:rsidRDefault="005807F5" w:rsidP="005807F5">
      <w:r w:rsidRPr="005807F5">
        <w:t>For a Rapporteur group virtual meeting with the limited terms of reference described above the Rapporteur may propose a convenor (normally the editor of the document under discussion or a subject matter expert) to assist with running this restricted scope activity.</w:t>
      </w:r>
    </w:p>
    <w:p w14:paraId="152AE567" w14:textId="77777777" w:rsidR="005807F5" w:rsidRPr="005807F5" w:rsidRDefault="005807F5" w:rsidP="005807F5">
      <w:pPr>
        <w:rPr>
          <w:b/>
        </w:rPr>
      </w:pPr>
      <w:r w:rsidRPr="005807F5">
        <w:rPr>
          <w:b/>
        </w:rPr>
        <w:t>Planning and confirming Rapporteur group meetings</w:t>
      </w:r>
    </w:p>
    <w:p w14:paraId="29AF62F5" w14:textId="77777777" w:rsidR="005807F5" w:rsidRPr="005807F5" w:rsidRDefault="005807F5" w:rsidP="005807F5">
      <w:r w:rsidRPr="005807F5">
        <w:t xml:space="preserve">Agreements to hold Rapporteur group meetings are made in a Study Group, Working Party or Rapporteur group meeting and are recorded in the appropriate meeting report(s). </w:t>
      </w:r>
    </w:p>
    <w:p w14:paraId="48740FDE" w14:textId="77777777" w:rsidR="005807F5" w:rsidRPr="005807F5" w:rsidRDefault="005807F5" w:rsidP="005807F5">
      <w:r w:rsidRPr="005807F5">
        <w:t xml:space="preserve">Rapporteur group meetings are displayed on the Study Group 15 web page with a field indicating their status (proposed, confirmed, concluded). Proposed meetings should have the dates, location and host identified together with the terms of reference for the meeting. When sufficient participation has been verified (attendance and a sufficient number of contributions) and the meeting is approved by the Study Group 15 Chair and the Working Party Chair which, when necessary, includes the appointment of a convenor , the meeting status is shown as confirmed. </w:t>
      </w:r>
    </w:p>
    <w:p w14:paraId="2791A0B3" w14:textId="77777777" w:rsidR="005807F5" w:rsidRPr="005807F5" w:rsidRDefault="005807F5" w:rsidP="005807F5">
      <w:r w:rsidRPr="005807F5">
        <w:t>A Rapporteur group face</w:t>
      </w:r>
      <w:r w:rsidRPr="005807F5">
        <w:noBreakHyphen/>
        <w:t>to</w:t>
      </w:r>
      <w:r w:rsidRPr="005807F5">
        <w:noBreakHyphen/>
        <w:t xml:space="preserve">face meeting must be confirmed at least two months prior to the meeting. In some cases, to allow the host to reserve the facilities for the meeting, it may be necessary to confirm the meeting significantly in advance of the planned date. </w:t>
      </w:r>
    </w:p>
    <w:p w14:paraId="18CEBFD5" w14:textId="77777777" w:rsidR="005807F5" w:rsidRPr="005807F5" w:rsidRDefault="005807F5" w:rsidP="005807F5">
      <w:r w:rsidRPr="005807F5">
        <w:lastRenderedPageBreak/>
        <w:t>Rapporteur group virtual meetings are hosted by the TSB (using MyMeetings or ITU Zoom) and must be confirmed at least two weeks prior to the meeting. A Rapporteur group virtual meeting may consist of one or more virtual meeting sessions.</w:t>
      </w:r>
    </w:p>
    <w:p w14:paraId="4EA208D3" w14:textId="77777777" w:rsidR="005807F5" w:rsidRPr="005807F5" w:rsidRDefault="005807F5" w:rsidP="005807F5">
      <w:r w:rsidRPr="005807F5">
        <w:t>At each Study Group, Working Party or Rapporteur group meeting, each Question should consider the need for Rapporteur group face</w:t>
      </w:r>
      <w:r w:rsidRPr="005807F5">
        <w:noBreakHyphen/>
        <w:t>to</w:t>
      </w:r>
      <w:r w:rsidRPr="005807F5">
        <w:noBreakHyphen/>
        <w:t>face meetings until at least two months beyond the next plenary meeting</w:t>
      </w:r>
      <w:r w:rsidRPr="00880193">
        <w:rPr>
          <w:vertAlign w:val="superscript"/>
        </w:rPr>
        <w:footnoteReference w:id="1"/>
      </w:r>
      <w:r w:rsidRPr="005807F5">
        <w:t xml:space="preserve"> or until the next plenary meeting for virtual meetings. Participation may be confirmed by an email poll, or at a face-to-face meeting by a show of hands (recorded in the meeting report).</w:t>
      </w:r>
    </w:p>
    <w:p w14:paraId="39395434" w14:textId="77777777" w:rsidR="005807F5" w:rsidRPr="005807F5" w:rsidRDefault="005807F5" w:rsidP="005807F5">
      <w:r w:rsidRPr="005807F5">
        <w:t>It may be necessary to schedule a Rapporteur group meeting that was not foreseen at the previous meeting or to change the date, location or terms of reference of a confirmed Rapporteur group meeting. A new or modified face-to-face meeting must be confirmed at least two months prior to the meeting. A new or modified virtual meeting must be confirmed at least two weeks in advance.</w:t>
      </w:r>
    </w:p>
    <w:p w14:paraId="676028A7" w14:textId="77777777" w:rsidR="005807F5" w:rsidRPr="005807F5" w:rsidRDefault="005807F5" w:rsidP="005807F5">
      <w:r w:rsidRPr="005807F5">
        <w:t>When a meeting is shown as “confirmed” on the Study Group 15 website, a link is provided to the convening letter for the meeting.</w:t>
      </w:r>
    </w:p>
    <w:p w14:paraId="6F047FBB" w14:textId="77777777" w:rsidR="005807F5" w:rsidRPr="005807F5" w:rsidRDefault="005807F5" w:rsidP="005807F5">
      <w:pPr>
        <w:rPr>
          <w:b/>
        </w:rPr>
      </w:pPr>
      <w:r w:rsidRPr="005807F5">
        <w:rPr>
          <w:b/>
        </w:rPr>
        <w:t>Input documents to Rapporteur group meetings</w:t>
      </w:r>
    </w:p>
    <w:p w14:paraId="1AA52CCF" w14:textId="77777777" w:rsidR="005807F5" w:rsidRPr="005807F5" w:rsidRDefault="005807F5" w:rsidP="005807F5">
      <w:r w:rsidRPr="005807F5">
        <w:t>A Rapporteur group meeting only considers proposals provided in the input documents that are within the terms of reference of that Rapporteur group meeting.</w:t>
      </w:r>
    </w:p>
    <w:p w14:paraId="4DB4CF0D" w14:textId="77777777" w:rsidR="005807F5" w:rsidRPr="005807F5" w:rsidRDefault="005807F5" w:rsidP="005807F5">
      <w:r w:rsidRPr="005807F5">
        <w:t>The candidate input documents are:</w:t>
      </w:r>
    </w:p>
    <w:p w14:paraId="2C77F500" w14:textId="77777777" w:rsidR="005807F5" w:rsidRPr="005807F5" w:rsidRDefault="005807F5" w:rsidP="005807F5">
      <w:pPr>
        <w:numPr>
          <w:ilvl w:val="0"/>
          <w:numId w:val="14"/>
        </w:numPr>
      </w:pPr>
      <w:r w:rsidRPr="005807F5">
        <w:t>Reports of correspondence activities held since the last meeting (normally posted as TDs for the next plenary meeting).</w:t>
      </w:r>
    </w:p>
    <w:p w14:paraId="10FEBB39" w14:textId="77777777" w:rsidR="005807F5" w:rsidRPr="005807F5" w:rsidRDefault="005807F5" w:rsidP="005807F5">
      <w:pPr>
        <w:numPr>
          <w:ilvl w:val="0"/>
          <w:numId w:val="14"/>
        </w:numPr>
      </w:pPr>
      <w:r w:rsidRPr="005807F5">
        <w:t>Reports of Rapporteur group meetings that have been held since the last meeting (normally posted as TDs for the next plenary meeting)</w:t>
      </w:r>
    </w:p>
    <w:p w14:paraId="1761325B" w14:textId="77777777" w:rsidR="005807F5" w:rsidRPr="005807F5" w:rsidRDefault="005807F5" w:rsidP="005807F5">
      <w:pPr>
        <w:numPr>
          <w:ilvl w:val="0"/>
          <w:numId w:val="14"/>
        </w:numPr>
      </w:pPr>
      <w:r w:rsidRPr="005807F5">
        <w:t>Liaison statements that have been received since the last meeting (normally posted as TDs for the next plenary meeting)</w:t>
      </w:r>
    </w:p>
    <w:p w14:paraId="06D58CD4" w14:textId="77777777" w:rsidR="005807F5" w:rsidRPr="005807F5" w:rsidRDefault="005807F5" w:rsidP="005807F5">
      <w:pPr>
        <w:numPr>
          <w:ilvl w:val="0"/>
          <w:numId w:val="14"/>
        </w:numPr>
      </w:pPr>
      <w:r w:rsidRPr="005807F5">
        <w:t xml:space="preserve">Member contributions </w:t>
      </w:r>
    </w:p>
    <w:p w14:paraId="4988443B" w14:textId="77777777" w:rsidR="005807F5" w:rsidRPr="005807F5" w:rsidRDefault="005807F5" w:rsidP="005807F5">
      <w:pPr>
        <w:rPr>
          <w:b/>
        </w:rPr>
      </w:pPr>
      <w:r w:rsidRPr="005807F5">
        <w:rPr>
          <w:b/>
        </w:rPr>
        <w:t>Member contributions</w:t>
      </w:r>
    </w:p>
    <w:p w14:paraId="0BAE7383" w14:textId="77777777" w:rsidR="005807F5" w:rsidRPr="005807F5" w:rsidRDefault="005807F5" w:rsidP="005807F5">
      <w:r w:rsidRPr="005807F5">
        <w:t>Since Rapporteur group meetings are informal meetings, the contribution process is less formalized than for a plenary meeting. Contributions are posted to the ITU server identified in the meeting announcement. The provisions of Recommendation ITU-T A.1 concerning contributions to plenary meetings (e.g., free of restrictions) also apply to contributions to Rapporteur group meetings. The Rapporteur should establish a deadline for contributions to the meeting (normally one week prior to the start of the meeting). Contributions submitted after this deadline are only considered if the Rapporteur proposes to accept those contributions and the meeting agrees.</w:t>
      </w:r>
    </w:p>
    <w:p w14:paraId="3E922788" w14:textId="77777777" w:rsidR="005807F5" w:rsidRPr="005807F5" w:rsidRDefault="005807F5" w:rsidP="005807F5"/>
    <w:p w14:paraId="08035611" w14:textId="77777777" w:rsidR="005807F5" w:rsidRPr="005807F5" w:rsidRDefault="005807F5" w:rsidP="005807F5">
      <w:pPr>
        <w:rPr>
          <w:b/>
        </w:rPr>
      </w:pPr>
      <w:r w:rsidRPr="005807F5">
        <w:rPr>
          <w:b/>
        </w:rPr>
        <w:t>Output documents from Rapporteur group meetings</w:t>
      </w:r>
    </w:p>
    <w:p w14:paraId="03096C7F" w14:textId="77777777" w:rsidR="005807F5" w:rsidRPr="005807F5" w:rsidRDefault="005807F5" w:rsidP="005807F5">
      <w:r w:rsidRPr="005807F5">
        <w:t>The output documentation includes the meeting report and may also include, for example; outgoing liaison statements; draft Recommendation text; updated living lists; updates to the work programme. For a virtual meeting that consists of multiple virtual meeting sessions, a single report is provided. TSB will post the meeting report as a TD for the next Working Party or Study Group plenary meeting.</w:t>
      </w:r>
    </w:p>
    <w:p w14:paraId="1B93FEF5" w14:textId="77777777" w:rsidR="005807F5" w:rsidRPr="005807F5" w:rsidRDefault="005807F5" w:rsidP="005807F5">
      <w:r w:rsidRPr="005807F5">
        <w:t xml:space="preserve">Any outgoing liaison statements must be annexed to the meeting report and will be transmitted by TSB. Liaison statements generated from Rapporteur group meetings to groups within ITU or </w:t>
      </w:r>
      <w:r w:rsidRPr="005807F5">
        <w:lastRenderedPageBreak/>
        <w:t xml:space="preserve">ISO/IEC can be transmitted on authority of the Rapporteur. Liaison statements to groups outside ITU, per Recommendation ITU-T A.24 Annex A, require approval by the Working Party and Study Group Chairs. </w:t>
      </w:r>
    </w:p>
    <w:p w14:paraId="17A8C70A" w14:textId="77777777" w:rsidR="005807F5" w:rsidRPr="005807F5" w:rsidRDefault="005807F5" w:rsidP="005807F5">
      <w:r w:rsidRPr="005807F5">
        <w:t>Draft texts for agreement, consent or determination at the next plenary meeting must be sent to TSB for posting as TD(PLEN)s.</w:t>
      </w:r>
    </w:p>
    <w:p w14:paraId="40E8806E" w14:textId="77777777" w:rsidR="005807F5" w:rsidRPr="005807F5" w:rsidRDefault="005807F5" w:rsidP="005807F5">
      <w:r w:rsidRPr="005807F5">
        <w:t>All output documents should be posted, as soon as possible after the Rapporteur group meeting, to the ITU server identified in the meeting announcement. Once all meeting documentation is complete, TSB should be informed so that they can write-lock the folder to archive the origin of proposals that may be included in draft documents.</w:t>
      </w:r>
    </w:p>
    <w:p w14:paraId="3293E5D6" w14:textId="77777777" w:rsidR="005807F5" w:rsidRPr="005807F5" w:rsidRDefault="005807F5" w:rsidP="005807F5">
      <w:r w:rsidRPr="005807F5">
        <w:t>Meeting reports from Rapporteur group meetings should be posted for the next plenary meeting as soon as possible after the Rapporteur group meeting. The deadlines of Recommendation ITU-T A.1 clause 3.3.3 should be observed. For Rapporteur group meetings that are completed more than 21 days before the next plenary meeting, the meeting report shall be submitted to TSB for posting no later than the contribution deadline for the next plenary meeting. For Rapporteur group meetings that are completed 21 or fewer days before the next plenary meeting, the meeting report shall be posted prior to the start of the plenary meeting.</w:t>
      </w:r>
    </w:p>
    <w:p w14:paraId="6DD0F85A" w14:textId="77777777" w:rsidR="00193EAF" w:rsidRPr="00193EAF" w:rsidRDefault="00193EAF" w:rsidP="00193EAF"/>
    <w:p w14:paraId="674999D4" w14:textId="77777777" w:rsidR="00193EAF" w:rsidRPr="00193EAF" w:rsidRDefault="00193EAF" w:rsidP="00B16EF7">
      <w:pPr>
        <w:jc w:val="center"/>
      </w:pPr>
      <w:r w:rsidRPr="00193EAF">
        <w:t>______________________</w:t>
      </w:r>
    </w:p>
    <w:p w14:paraId="790574C4" w14:textId="77777777" w:rsidR="007F1869" w:rsidRDefault="007F1869" w:rsidP="007F1869"/>
    <w:sectPr w:rsidR="007F1869" w:rsidSect="00510920">
      <w:headerReference w:type="default" r:id="rId17"/>
      <w:pgSz w:w="11907" w:h="16840" w:code="9"/>
      <w:pgMar w:top="1134" w:right="1134" w:bottom="1134" w:left="1134"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02EDD" w14:textId="77777777" w:rsidR="00783BB2" w:rsidRDefault="00783BB2" w:rsidP="00C42125">
      <w:pPr>
        <w:spacing w:before="0"/>
      </w:pPr>
      <w:r>
        <w:separator/>
      </w:r>
    </w:p>
  </w:endnote>
  <w:endnote w:type="continuationSeparator" w:id="0">
    <w:p w14:paraId="05797B22" w14:textId="77777777" w:rsidR="00783BB2" w:rsidRDefault="00783BB2"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26460" w14:textId="77777777" w:rsidR="00783BB2" w:rsidRDefault="00783BB2" w:rsidP="00C42125">
      <w:pPr>
        <w:spacing w:before="0"/>
      </w:pPr>
      <w:r>
        <w:separator/>
      </w:r>
    </w:p>
  </w:footnote>
  <w:footnote w:type="continuationSeparator" w:id="0">
    <w:p w14:paraId="7E03B374" w14:textId="77777777" w:rsidR="00783BB2" w:rsidRDefault="00783BB2" w:rsidP="00C42125">
      <w:pPr>
        <w:spacing w:before="0"/>
      </w:pPr>
      <w:r>
        <w:continuationSeparator/>
      </w:r>
    </w:p>
  </w:footnote>
  <w:footnote w:id="1">
    <w:p w14:paraId="648F486E" w14:textId="77777777" w:rsidR="005807F5" w:rsidRDefault="005807F5" w:rsidP="005807F5">
      <w:pPr>
        <w:pStyle w:val="FootnoteText"/>
        <w:rPr>
          <w:lang w:val="en-CA"/>
        </w:rPr>
      </w:pPr>
      <w:r>
        <w:rPr>
          <w:rStyle w:val="FootnoteReference"/>
        </w:rPr>
        <w:footnoteRef/>
      </w:r>
      <w:r>
        <w:t xml:space="preserve"> </w:t>
      </w:r>
      <w:r>
        <w:rPr>
          <w:lang w:val="en-CA"/>
        </w:rPr>
        <w:t>Rapporteur group face-to-face meetings that are planned to be held within this window must be confirmed before the next plenary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CF14" w14:textId="77777777"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D110F2E" w14:textId="2A1DEE7C" w:rsidR="00C42125" w:rsidRPr="00C42125" w:rsidRDefault="00C42125" w:rsidP="00C42125">
    <w:pPr>
      <w:pStyle w:val="Header"/>
      <w:spacing w:after="240"/>
    </w:pPr>
    <w:r w:rsidRPr="00C42125">
      <w:fldChar w:fldCharType="begin"/>
    </w:r>
    <w:r w:rsidRPr="00C42125">
      <w:instrText xml:space="preserve"> STYLEREF  Docnumber  </w:instrText>
    </w:r>
    <w:r w:rsidRPr="00C42125">
      <w:fldChar w:fldCharType="separate"/>
    </w:r>
    <w:r w:rsidR="00F80845">
      <w:rPr>
        <w:noProof/>
      </w:rPr>
      <w:t>TSAG-TD302</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7D26BB1"/>
    <w:multiLevelType w:val="hybridMultilevel"/>
    <w:tmpl w:val="8CA2CB8C"/>
    <w:lvl w:ilvl="0" w:tplc="1580419C">
      <w:start w:val="80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36391"/>
    <w:multiLevelType w:val="hybridMultilevel"/>
    <w:tmpl w:val="21F65B02"/>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start w:val="1"/>
      <w:numFmt w:val="bullet"/>
      <w:lvlText w:val=""/>
      <w:lvlJc w:val="left"/>
      <w:pPr>
        <w:ind w:left="2275" w:hanging="360"/>
      </w:pPr>
      <w:rPr>
        <w:rFonts w:ascii="Wingdings" w:hAnsi="Wingdings" w:hint="default"/>
      </w:rPr>
    </w:lvl>
    <w:lvl w:ilvl="3" w:tplc="04090001">
      <w:start w:val="1"/>
      <w:numFmt w:val="bullet"/>
      <w:lvlText w:val=""/>
      <w:lvlJc w:val="left"/>
      <w:pPr>
        <w:ind w:left="2995" w:hanging="360"/>
      </w:pPr>
      <w:rPr>
        <w:rFonts w:ascii="Symbol" w:hAnsi="Symbol" w:hint="default"/>
      </w:rPr>
    </w:lvl>
    <w:lvl w:ilvl="4" w:tplc="04090003">
      <w:start w:val="1"/>
      <w:numFmt w:val="bullet"/>
      <w:lvlText w:val="o"/>
      <w:lvlJc w:val="left"/>
      <w:pPr>
        <w:ind w:left="3715" w:hanging="360"/>
      </w:pPr>
      <w:rPr>
        <w:rFonts w:ascii="Courier New" w:hAnsi="Courier New" w:cs="Courier New" w:hint="default"/>
      </w:rPr>
    </w:lvl>
    <w:lvl w:ilvl="5" w:tplc="04090005">
      <w:start w:val="1"/>
      <w:numFmt w:val="bullet"/>
      <w:lvlText w:val=""/>
      <w:lvlJc w:val="left"/>
      <w:pPr>
        <w:ind w:left="4435" w:hanging="360"/>
      </w:pPr>
      <w:rPr>
        <w:rFonts w:ascii="Wingdings" w:hAnsi="Wingdings" w:hint="default"/>
      </w:rPr>
    </w:lvl>
    <w:lvl w:ilvl="6" w:tplc="04090001">
      <w:start w:val="1"/>
      <w:numFmt w:val="bullet"/>
      <w:lvlText w:val=""/>
      <w:lvlJc w:val="left"/>
      <w:pPr>
        <w:ind w:left="5155" w:hanging="360"/>
      </w:pPr>
      <w:rPr>
        <w:rFonts w:ascii="Symbol" w:hAnsi="Symbol" w:hint="default"/>
      </w:rPr>
    </w:lvl>
    <w:lvl w:ilvl="7" w:tplc="04090003">
      <w:start w:val="1"/>
      <w:numFmt w:val="bullet"/>
      <w:lvlText w:val="o"/>
      <w:lvlJc w:val="left"/>
      <w:pPr>
        <w:ind w:left="5875" w:hanging="360"/>
      </w:pPr>
      <w:rPr>
        <w:rFonts w:ascii="Courier New" w:hAnsi="Courier New" w:cs="Courier New" w:hint="default"/>
      </w:rPr>
    </w:lvl>
    <w:lvl w:ilvl="8" w:tplc="04090005">
      <w:start w:val="1"/>
      <w:numFmt w:val="bullet"/>
      <w:lvlText w:val=""/>
      <w:lvlJc w:val="left"/>
      <w:pPr>
        <w:ind w:left="6595" w:hanging="360"/>
      </w:pPr>
      <w:rPr>
        <w:rFonts w:ascii="Wingdings" w:hAnsi="Wingdings" w:hint="default"/>
      </w:rPr>
    </w:lvl>
  </w:abstractNum>
  <w:abstractNum w:abstractNumId="12" w15:restartNumberingAfterBreak="0">
    <w:nsid w:val="4C6C084C"/>
    <w:multiLevelType w:val="hybridMultilevel"/>
    <w:tmpl w:val="F7A074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79C423D0"/>
    <w:multiLevelType w:val="hybridMultilevel"/>
    <w:tmpl w:val="82103F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 w:numId="11" w16cid:durableId="1451628008">
    <w:abstractNumId w:val="10"/>
  </w:num>
  <w:num w:numId="12" w16cid:durableId="163011622">
    <w:abstractNumId w:val="11"/>
  </w:num>
  <w:num w:numId="13" w16cid:durableId="1437944446">
    <w:abstractNumId w:val="13"/>
  </w:num>
  <w:num w:numId="14" w16cid:durableId="8884224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62"/>
    <w:rsid w:val="00023D9A"/>
    <w:rsid w:val="00025DD4"/>
    <w:rsid w:val="00036034"/>
    <w:rsid w:val="00057000"/>
    <w:rsid w:val="00062232"/>
    <w:rsid w:val="000640E0"/>
    <w:rsid w:val="00066EE9"/>
    <w:rsid w:val="00067D66"/>
    <w:rsid w:val="00072611"/>
    <w:rsid w:val="000741E1"/>
    <w:rsid w:val="000822E4"/>
    <w:rsid w:val="00086FE0"/>
    <w:rsid w:val="000A0953"/>
    <w:rsid w:val="000A3367"/>
    <w:rsid w:val="000A5CA2"/>
    <w:rsid w:val="000B026D"/>
    <w:rsid w:val="000C722F"/>
    <w:rsid w:val="000E3E9C"/>
    <w:rsid w:val="000E6A3A"/>
    <w:rsid w:val="00101257"/>
    <w:rsid w:val="00106F4E"/>
    <w:rsid w:val="00115FAC"/>
    <w:rsid w:val="00125432"/>
    <w:rsid w:val="00135358"/>
    <w:rsid w:val="00137F40"/>
    <w:rsid w:val="00144732"/>
    <w:rsid w:val="0014656A"/>
    <w:rsid w:val="00170546"/>
    <w:rsid w:val="00182456"/>
    <w:rsid w:val="001871EC"/>
    <w:rsid w:val="00191164"/>
    <w:rsid w:val="00193EAF"/>
    <w:rsid w:val="0019505C"/>
    <w:rsid w:val="00197B79"/>
    <w:rsid w:val="001A0996"/>
    <w:rsid w:val="001A54DC"/>
    <w:rsid w:val="001A670F"/>
    <w:rsid w:val="001B5FB0"/>
    <w:rsid w:val="001C62B8"/>
    <w:rsid w:val="001C79EF"/>
    <w:rsid w:val="001E7B0E"/>
    <w:rsid w:val="001F141D"/>
    <w:rsid w:val="00200A06"/>
    <w:rsid w:val="002031A5"/>
    <w:rsid w:val="00213258"/>
    <w:rsid w:val="00214508"/>
    <w:rsid w:val="00222549"/>
    <w:rsid w:val="002448D9"/>
    <w:rsid w:val="002622FA"/>
    <w:rsid w:val="00263518"/>
    <w:rsid w:val="00263A32"/>
    <w:rsid w:val="00277326"/>
    <w:rsid w:val="00277CBD"/>
    <w:rsid w:val="0029173D"/>
    <w:rsid w:val="002A2841"/>
    <w:rsid w:val="002A3AE7"/>
    <w:rsid w:val="002A401B"/>
    <w:rsid w:val="002B142A"/>
    <w:rsid w:val="002B3C3D"/>
    <w:rsid w:val="002B3D93"/>
    <w:rsid w:val="002C26C0"/>
    <w:rsid w:val="002D02E1"/>
    <w:rsid w:val="002D47CA"/>
    <w:rsid w:val="002E79CB"/>
    <w:rsid w:val="002F7879"/>
    <w:rsid w:val="002F7F55"/>
    <w:rsid w:val="0030745F"/>
    <w:rsid w:val="00314630"/>
    <w:rsid w:val="0032090A"/>
    <w:rsid w:val="00321CDE"/>
    <w:rsid w:val="00333E15"/>
    <w:rsid w:val="00357AB6"/>
    <w:rsid w:val="003629F8"/>
    <w:rsid w:val="0036651C"/>
    <w:rsid w:val="0037656E"/>
    <w:rsid w:val="003832F7"/>
    <w:rsid w:val="0038715D"/>
    <w:rsid w:val="00394DBF"/>
    <w:rsid w:val="003A43EF"/>
    <w:rsid w:val="003B1E43"/>
    <w:rsid w:val="003E5257"/>
    <w:rsid w:val="003F2BED"/>
    <w:rsid w:val="004260B0"/>
    <w:rsid w:val="00433E8B"/>
    <w:rsid w:val="00435F73"/>
    <w:rsid w:val="004423C1"/>
    <w:rsid w:val="00443878"/>
    <w:rsid w:val="004557F6"/>
    <w:rsid w:val="00470AA2"/>
    <w:rsid w:val="004712CA"/>
    <w:rsid w:val="0047422E"/>
    <w:rsid w:val="0049280A"/>
    <w:rsid w:val="004C0673"/>
    <w:rsid w:val="004C22E3"/>
    <w:rsid w:val="004C7E16"/>
    <w:rsid w:val="004D7246"/>
    <w:rsid w:val="004E0B94"/>
    <w:rsid w:val="004E6EB2"/>
    <w:rsid w:val="004F3816"/>
    <w:rsid w:val="00510920"/>
    <w:rsid w:val="00510E9F"/>
    <w:rsid w:val="0051199B"/>
    <w:rsid w:val="00522DBD"/>
    <w:rsid w:val="00533978"/>
    <w:rsid w:val="00550A9C"/>
    <w:rsid w:val="005536AC"/>
    <w:rsid w:val="00560BE6"/>
    <w:rsid w:val="0056481F"/>
    <w:rsid w:val="00566EDA"/>
    <w:rsid w:val="00567BD6"/>
    <w:rsid w:val="00572654"/>
    <w:rsid w:val="0058050A"/>
    <w:rsid w:val="005807F5"/>
    <w:rsid w:val="00587958"/>
    <w:rsid w:val="005B1E57"/>
    <w:rsid w:val="005B3F3F"/>
    <w:rsid w:val="005B5629"/>
    <w:rsid w:val="005C0300"/>
    <w:rsid w:val="005C728A"/>
    <w:rsid w:val="005F3436"/>
    <w:rsid w:val="005F3D99"/>
    <w:rsid w:val="005F4316"/>
    <w:rsid w:val="005F4B6A"/>
    <w:rsid w:val="00601B16"/>
    <w:rsid w:val="00614415"/>
    <w:rsid w:val="00615A0A"/>
    <w:rsid w:val="00621A25"/>
    <w:rsid w:val="00622B4C"/>
    <w:rsid w:val="006239B3"/>
    <w:rsid w:val="006333D4"/>
    <w:rsid w:val="006369B2"/>
    <w:rsid w:val="00652C03"/>
    <w:rsid w:val="006570B0"/>
    <w:rsid w:val="00673178"/>
    <w:rsid w:val="0069210B"/>
    <w:rsid w:val="00694F1B"/>
    <w:rsid w:val="006A0D86"/>
    <w:rsid w:val="006A4055"/>
    <w:rsid w:val="006C5641"/>
    <w:rsid w:val="006C56BF"/>
    <w:rsid w:val="006D1089"/>
    <w:rsid w:val="006D7355"/>
    <w:rsid w:val="006F2F93"/>
    <w:rsid w:val="0070056E"/>
    <w:rsid w:val="00724FFE"/>
    <w:rsid w:val="007254E9"/>
    <w:rsid w:val="00731135"/>
    <w:rsid w:val="007324AF"/>
    <w:rsid w:val="007409B4"/>
    <w:rsid w:val="0075525E"/>
    <w:rsid w:val="00756366"/>
    <w:rsid w:val="00757A07"/>
    <w:rsid w:val="00777A52"/>
    <w:rsid w:val="00783BB2"/>
    <w:rsid w:val="007903F8"/>
    <w:rsid w:val="00791043"/>
    <w:rsid w:val="0079168C"/>
    <w:rsid w:val="007938D3"/>
    <w:rsid w:val="00794F4F"/>
    <w:rsid w:val="007974BE"/>
    <w:rsid w:val="007A0916"/>
    <w:rsid w:val="007A0DFD"/>
    <w:rsid w:val="007B46D1"/>
    <w:rsid w:val="007C7122"/>
    <w:rsid w:val="007D0D56"/>
    <w:rsid w:val="007D3F11"/>
    <w:rsid w:val="007E4658"/>
    <w:rsid w:val="007F1869"/>
    <w:rsid w:val="007F664D"/>
    <w:rsid w:val="007F6CD5"/>
    <w:rsid w:val="00806DAD"/>
    <w:rsid w:val="00842137"/>
    <w:rsid w:val="0084608D"/>
    <w:rsid w:val="00852536"/>
    <w:rsid w:val="00873988"/>
    <w:rsid w:val="00880193"/>
    <w:rsid w:val="0089088E"/>
    <w:rsid w:val="00892297"/>
    <w:rsid w:val="008A3D73"/>
    <w:rsid w:val="008D599B"/>
    <w:rsid w:val="008E0172"/>
    <w:rsid w:val="00905792"/>
    <w:rsid w:val="00930F6B"/>
    <w:rsid w:val="009406B5"/>
    <w:rsid w:val="00946166"/>
    <w:rsid w:val="0096354F"/>
    <w:rsid w:val="00963C5E"/>
    <w:rsid w:val="00967425"/>
    <w:rsid w:val="00983164"/>
    <w:rsid w:val="00990E13"/>
    <w:rsid w:val="009972EF"/>
    <w:rsid w:val="009A2932"/>
    <w:rsid w:val="009D3D82"/>
    <w:rsid w:val="009E3485"/>
    <w:rsid w:val="009E6045"/>
    <w:rsid w:val="009E766E"/>
    <w:rsid w:val="009F715E"/>
    <w:rsid w:val="00A10DBB"/>
    <w:rsid w:val="00A11507"/>
    <w:rsid w:val="00A25503"/>
    <w:rsid w:val="00A25C34"/>
    <w:rsid w:val="00A273CE"/>
    <w:rsid w:val="00A2747E"/>
    <w:rsid w:val="00A342B5"/>
    <w:rsid w:val="00A35296"/>
    <w:rsid w:val="00A4013E"/>
    <w:rsid w:val="00A427CD"/>
    <w:rsid w:val="00A4600B"/>
    <w:rsid w:val="00A52C04"/>
    <w:rsid w:val="00A61360"/>
    <w:rsid w:val="00A679D3"/>
    <w:rsid w:val="00A67A81"/>
    <w:rsid w:val="00A728A3"/>
    <w:rsid w:val="00A730A6"/>
    <w:rsid w:val="00A772B7"/>
    <w:rsid w:val="00A971A0"/>
    <w:rsid w:val="00AA1F22"/>
    <w:rsid w:val="00AC400C"/>
    <w:rsid w:val="00AE443D"/>
    <w:rsid w:val="00B05821"/>
    <w:rsid w:val="00B14E34"/>
    <w:rsid w:val="00B16EF7"/>
    <w:rsid w:val="00B22987"/>
    <w:rsid w:val="00B26C28"/>
    <w:rsid w:val="00B41014"/>
    <w:rsid w:val="00B4123F"/>
    <w:rsid w:val="00B41761"/>
    <w:rsid w:val="00B453F5"/>
    <w:rsid w:val="00B45821"/>
    <w:rsid w:val="00B53D1B"/>
    <w:rsid w:val="00B718A5"/>
    <w:rsid w:val="00B7574F"/>
    <w:rsid w:val="00B8640F"/>
    <w:rsid w:val="00BA2828"/>
    <w:rsid w:val="00BA283B"/>
    <w:rsid w:val="00BB3A1A"/>
    <w:rsid w:val="00BC6553"/>
    <w:rsid w:val="00BD6241"/>
    <w:rsid w:val="00BE4066"/>
    <w:rsid w:val="00BE7F62"/>
    <w:rsid w:val="00C0330A"/>
    <w:rsid w:val="00C36AFA"/>
    <w:rsid w:val="00C42125"/>
    <w:rsid w:val="00C42729"/>
    <w:rsid w:val="00C50C52"/>
    <w:rsid w:val="00C62814"/>
    <w:rsid w:val="00C707AC"/>
    <w:rsid w:val="00C72F62"/>
    <w:rsid w:val="00C74937"/>
    <w:rsid w:val="00C75772"/>
    <w:rsid w:val="00C9460E"/>
    <w:rsid w:val="00C95AE0"/>
    <w:rsid w:val="00CF4148"/>
    <w:rsid w:val="00D16326"/>
    <w:rsid w:val="00D35144"/>
    <w:rsid w:val="00D72F9B"/>
    <w:rsid w:val="00DB16DD"/>
    <w:rsid w:val="00DE3062"/>
    <w:rsid w:val="00DF2009"/>
    <w:rsid w:val="00E00EC9"/>
    <w:rsid w:val="00E01C50"/>
    <w:rsid w:val="00E1215D"/>
    <w:rsid w:val="00E1406C"/>
    <w:rsid w:val="00E204DD"/>
    <w:rsid w:val="00E276EF"/>
    <w:rsid w:val="00E33065"/>
    <w:rsid w:val="00E53C24"/>
    <w:rsid w:val="00E81915"/>
    <w:rsid w:val="00E856DB"/>
    <w:rsid w:val="00EA29D5"/>
    <w:rsid w:val="00EA5B55"/>
    <w:rsid w:val="00EB386B"/>
    <w:rsid w:val="00EB444D"/>
    <w:rsid w:val="00EB539E"/>
    <w:rsid w:val="00EC45D1"/>
    <w:rsid w:val="00EE35D1"/>
    <w:rsid w:val="00F00EFD"/>
    <w:rsid w:val="00F02294"/>
    <w:rsid w:val="00F075D9"/>
    <w:rsid w:val="00F11CD1"/>
    <w:rsid w:val="00F35F57"/>
    <w:rsid w:val="00F50467"/>
    <w:rsid w:val="00F51894"/>
    <w:rsid w:val="00F74EAE"/>
    <w:rsid w:val="00F80845"/>
    <w:rsid w:val="00FA479B"/>
    <w:rsid w:val="00FB624D"/>
    <w:rsid w:val="00FC65C7"/>
    <w:rsid w:val="00FF106A"/>
    <w:rsid w:val="00FF45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36FA"/>
  <w15:chartTrackingRefBased/>
  <w15:docId w15:val="{516CE88F-AE38-49D1-86EA-7BF08809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2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uiPriority w:val="39"/>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rsid w:val="007F1869"/>
    <w:pPr>
      <w:jc w:val="right"/>
    </w:pPr>
    <w:rPr>
      <w:b/>
      <w:bCs/>
      <w:sz w:val="28"/>
      <w:szCs w:val="28"/>
    </w:rPr>
  </w:style>
  <w:style w:type="paragraph" w:customStyle="1" w:styleId="VenueDate">
    <w:name w:val="VenueDate"/>
    <w:basedOn w:val="Normal"/>
    <w:rsid w:val="007F1869"/>
    <w:pPr>
      <w:jc w:val="right"/>
    </w:pPr>
  </w:style>
  <w:style w:type="paragraph" w:customStyle="1" w:styleId="TSBHeaderQuestion">
    <w:name w:val="TSBHeaderQuestion"/>
    <w:basedOn w:val="Normal"/>
    <w:rsid w:val="007F1869"/>
  </w:style>
  <w:style w:type="paragraph" w:customStyle="1" w:styleId="TSBHeaderSource">
    <w:name w:val="TSBHeaderSource"/>
    <w:basedOn w:val="Normal"/>
    <w:rsid w:val="007F1869"/>
  </w:style>
  <w:style w:type="paragraph" w:customStyle="1" w:styleId="TSBHeaderTitle">
    <w:name w:val="TSBHeaderTitle"/>
    <w:basedOn w:val="Normal"/>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510920"/>
    <w:pPr>
      <w:spacing w:before="0"/>
    </w:pPr>
    <w:rPr>
      <w:sz w:val="20"/>
      <w:szCs w:val="20"/>
    </w:rPr>
  </w:style>
  <w:style w:type="character" w:customStyle="1" w:styleId="FootnoteTextChar">
    <w:name w:val="Footnote Text Char"/>
    <w:basedOn w:val="DefaultParagraphFont"/>
    <w:link w:val="FootnoteText"/>
    <w:uiPriority w:val="99"/>
    <w:semiHidden/>
    <w:rsid w:val="00510920"/>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510920"/>
    <w:rPr>
      <w:vertAlign w:val="superscript"/>
    </w:rPr>
  </w:style>
  <w:style w:type="paragraph" w:styleId="BalloonText">
    <w:name w:val="Balloon Text"/>
    <w:basedOn w:val="Normal"/>
    <w:link w:val="BalloonTextChar"/>
    <w:uiPriority w:val="99"/>
    <w:semiHidden/>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510920"/>
    <w:pPr>
      <w:spacing w:after="120"/>
    </w:pPr>
  </w:style>
  <w:style w:type="character" w:customStyle="1" w:styleId="BodyTextChar">
    <w:name w:val="Body Text Char"/>
    <w:basedOn w:val="DefaultParagraphFont"/>
    <w:link w:val="BodyText"/>
    <w:uiPriority w:val="99"/>
    <w:semiHidden/>
    <w:rsid w:val="00510920"/>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510920"/>
    <w:pPr>
      <w:spacing w:after="120"/>
      <w:ind w:left="360"/>
    </w:pPr>
  </w:style>
  <w:style w:type="character" w:customStyle="1" w:styleId="BodyTextIndentChar">
    <w:name w:val="Body Text Indent Char"/>
    <w:basedOn w:val="DefaultParagraphFont"/>
    <w:link w:val="BodyTextIndent"/>
    <w:uiPriority w:val="99"/>
    <w:semiHidden/>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510920"/>
    <w:pPr>
      <w:spacing w:after="120" w:line="480" w:lineRule="auto"/>
      <w:ind w:left="360"/>
    </w:pPr>
  </w:style>
  <w:style w:type="character" w:customStyle="1" w:styleId="BodyTextIndent2Char">
    <w:name w:val="Body Text Indent 2 Char"/>
    <w:basedOn w:val="DefaultParagraphFont"/>
    <w:link w:val="BodyTextIndent2"/>
    <w:uiPriority w:val="99"/>
    <w:semiHidden/>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unhideWhenUsed/>
    <w:qFormat/>
    <w:rsid w:val="00510920"/>
    <w:rPr>
      <w:sz w:val="16"/>
      <w:szCs w:val="16"/>
    </w:rPr>
  </w:style>
  <w:style w:type="paragraph" w:styleId="CommentText">
    <w:name w:val="annotation text"/>
    <w:basedOn w:val="Normal"/>
    <w:link w:val="CommentTextChar"/>
    <w:unhideWhenUsed/>
    <w:rsid w:val="00510920"/>
    <w:rPr>
      <w:sz w:val="20"/>
      <w:szCs w:val="20"/>
    </w:rPr>
  </w:style>
  <w:style w:type="character" w:customStyle="1" w:styleId="CommentTextChar">
    <w:name w:val="Comment Text Char"/>
    <w:basedOn w:val="DefaultParagraphFont"/>
    <w:link w:val="CommentText"/>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semiHidden/>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uiPriority w:val="99"/>
    <w:semiHidden/>
    <w:unhideWhenUsed/>
    <w:rsid w:val="00510920"/>
    <w:pPr>
      <w:spacing w:before="0"/>
      <w:ind w:left="240" w:hanging="240"/>
    </w:pPr>
  </w:style>
  <w:style w:type="paragraph" w:styleId="Index2">
    <w:name w:val="index 2"/>
    <w:basedOn w:val="Normal"/>
    <w:next w:val="Normal"/>
    <w:autoRedefine/>
    <w:uiPriority w:val="99"/>
    <w:semiHidden/>
    <w:unhideWhenUsed/>
    <w:rsid w:val="00510920"/>
    <w:pPr>
      <w:spacing w:before="0"/>
      <w:ind w:left="480" w:hanging="240"/>
    </w:pPr>
  </w:style>
  <w:style w:type="paragraph" w:styleId="Index3">
    <w:name w:val="index 3"/>
    <w:basedOn w:val="Normal"/>
    <w:next w:val="Normal"/>
    <w:autoRedefine/>
    <w:uiPriority w:val="99"/>
    <w:semiHidden/>
    <w:unhideWhenUsed/>
    <w:rsid w:val="00510920"/>
    <w:pPr>
      <w:spacing w:before="0"/>
      <w:ind w:left="720" w:hanging="240"/>
    </w:pPr>
  </w:style>
  <w:style w:type="paragraph" w:styleId="Index4">
    <w:name w:val="index 4"/>
    <w:basedOn w:val="Normal"/>
    <w:next w:val="Normal"/>
    <w:autoRedefine/>
    <w:uiPriority w:val="99"/>
    <w:semiHidden/>
    <w:unhideWhenUsed/>
    <w:rsid w:val="00510920"/>
    <w:pPr>
      <w:spacing w:before="0"/>
      <w:ind w:left="960" w:hanging="240"/>
    </w:pPr>
  </w:style>
  <w:style w:type="paragraph" w:styleId="Index5">
    <w:name w:val="index 5"/>
    <w:basedOn w:val="Normal"/>
    <w:next w:val="Normal"/>
    <w:autoRedefine/>
    <w:uiPriority w:val="99"/>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uiPriority w:val="99"/>
    <w:semiHidden/>
    <w:unhideWhenUsed/>
    <w:rsid w:val="00510920"/>
    <w:pPr>
      <w:ind w:left="360" w:hanging="360"/>
      <w:contextualSpacing/>
    </w:pPr>
  </w:style>
  <w:style w:type="paragraph" w:styleId="List2">
    <w:name w:val="List 2"/>
    <w:basedOn w:val="Normal"/>
    <w:uiPriority w:val="99"/>
    <w:semiHidden/>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iPriority w:val="99"/>
    <w:semiHidden/>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basedOn w:val="Normal"/>
    <w:uiPriority w:val="34"/>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semiHidden/>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iPriority w:val="99"/>
    <w:semiHidden/>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rsid w:val="00510920"/>
    <w:rPr>
      <w:b/>
      <w:bCs/>
    </w:rPr>
  </w:style>
  <w:style w:type="paragraph" w:styleId="Subtitle">
    <w:name w:val="Subtitle"/>
    <w:basedOn w:val="Normal"/>
    <w:next w:val="Normal"/>
    <w:link w:val="SubtitleChar"/>
    <w:uiPriority w:val="11"/>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510920"/>
    <w:pPr>
      <w:spacing w:after="100"/>
      <w:ind w:left="720"/>
    </w:pPr>
  </w:style>
  <w:style w:type="paragraph" w:styleId="TOC5">
    <w:name w:val="toc 5"/>
    <w:basedOn w:val="Normal"/>
    <w:next w:val="Normal"/>
    <w:autoRedefine/>
    <w:uiPriority w:val="39"/>
    <w:semiHidden/>
    <w:unhideWhenUsed/>
    <w:rsid w:val="00510920"/>
    <w:pPr>
      <w:spacing w:after="100"/>
      <w:ind w:left="960"/>
    </w:pPr>
  </w:style>
  <w:style w:type="paragraph" w:styleId="TOC6">
    <w:name w:val="toc 6"/>
    <w:basedOn w:val="Normal"/>
    <w:next w:val="Normal"/>
    <w:autoRedefine/>
    <w:uiPriority w:val="39"/>
    <w:semiHidden/>
    <w:unhideWhenUsed/>
    <w:rsid w:val="00510920"/>
    <w:pPr>
      <w:spacing w:after="100"/>
      <w:ind w:left="1200"/>
    </w:pPr>
  </w:style>
  <w:style w:type="paragraph" w:styleId="TOC7">
    <w:name w:val="toc 7"/>
    <w:basedOn w:val="Normal"/>
    <w:next w:val="Normal"/>
    <w:autoRedefine/>
    <w:uiPriority w:val="39"/>
    <w:semiHidden/>
    <w:unhideWhenUsed/>
    <w:rsid w:val="00510920"/>
    <w:pPr>
      <w:spacing w:after="100"/>
      <w:ind w:left="1440"/>
    </w:pPr>
  </w:style>
  <w:style w:type="paragraph" w:styleId="TOC8">
    <w:name w:val="toc 8"/>
    <w:basedOn w:val="Normal"/>
    <w:next w:val="Normal"/>
    <w:autoRedefine/>
    <w:uiPriority w:val="39"/>
    <w:semiHidden/>
    <w:unhideWhenUsed/>
    <w:rsid w:val="00510920"/>
    <w:pPr>
      <w:spacing w:after="100"/>
      <w:ind w:left="1680"/>
    </w:pPr>
  </w:style>
  <w:style w:type="paragraph" w:styleId="TOC9">
    <w:name w:val="toc 9"/>
    <w:basedOn w:val="Normal"/>
    <w:next w:val="Normal"/>
    <w:autoRedefine/>
    <w:uiPriority w:val="39"/>
    <w:semiHidden/>
    <w:unhideWhenUsed/>
    <w:rsid w:val="00510920"/>
    <w:pPr>
      <w:spacing w:after="100"/>
      <w:ind w:left="1920"/>
    </w:pPr>
  </w:style>
  <w:style w:type="paragraph" w:styleId="TOCHeading">
    <w:name w:val="TOC Heading"/>
    <w:basedOn w:val="Heading1"/>
    <w:next w:val="Normal"/>
    <w:uiPriority w:val="39"/>
    <w:semiHidden/>
    <w:unhideWhenUsed/>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semiHidden/>
    <w:unhideWhenUsed/>
    <w:rsid w:val="00510920"/>
    <w:rPr>
      <w:color w:val="605E5C"/>
      <w:shd w:val="clear" w:color="auto" w:fill="E1DFDD"/>
    </w:rPr>
  </w:style>
  <w:style w:type="paragraph" w:customStyle="1" w:styleId="AppendixNoTitle0">
    <w:name w:val="Appendix_NoTitle"/>
    <w:basedOn w:val="Normal"/>
    <w:next w:val="Normal"/>
    <w:rsid w:val="00144732"/>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Appendixref">
    <w:name w:val="Appendix_ref"/>
    <w:basedOn w:val="Normal"/>
    <w:next w:val="Normal"/>
    <w:rsid w:val="00144732"/>
    <w:pPr>
      <w:keepNext/>
      <w:keepLines/>
      <w:tabs>
        <w:tab w:val="left" w:pos="1134"/>
        <w:tab w:val="left" w:pos="1871"/>
        <w:tab w:val="left" w:pos="2268"/>
      </w:tabs>
      <w:overflowPunct w:val="0"/>
      <w:autoSpaceDE w:val="0"/>
      <w:autoSpaceDN w:val="0"/>
      <w:adjustRightInd w:val="0"/>
      <w:spacing w:after="280"/>
      <w:jc w:val="center"/>
      <w:textAlignment w:val="baseline"/>
    </w:pPr>
    <w:rPr>
      <w:rFonts w:eastAsia="Times New Roman"/>
      <w:szCs w:val="20"/>
      <w:lang w:eastAsia="en-US"/>
    </w:rPr>
  </w:style>
  <w:style w:type="paragraph" w:styleId="Revision">
    <w:name w:val="Revision"/>
    <w:hidden/>
    <w:uiPriority w:val="99"/>
    <w:semiHidden/>
    <w:rsid w:val="00BD6241"/>
    <w:pPr>
      <w:spacing w:after="0" w:line="240" w:lineRule="auto"/>
    </w:pPr>
    <w:rPr>
      <w:rFonts w:ascii="Times New Roman" w:hAnsi="Times New Roman" w:cs="Times New Roman"/>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10652">
      <w:bodyDiv w:val="1"/>
      <w:marLeft w:val="0"/>
      <w:marRight w:val="0"/>
      <w:marTop w:val="0"/>
      <w:marBottom w:val="0"/>
      <w:divBdr>
        <w:top w:val="none" w:sz="0" w:space="0" w:color="auto"/>
        <w:left w:val="none" w:sz="0" w:space="0" w:color="auto"/>
        <w:bottom w:val="none" w:sz="0" w:space="0" w:color="auto"/>
        <w:right w:val="none" w:sz="0" w:space="0" w:color="auto"/>
      </w:divBdr>
    </w:div>
    <w:div w:id="1305164612">
      <w:bodyDiv w:val="1"/>
      <w:marLeft w:val="0"/>
      <w:marRight w:val="0"/>
      <w:marTop w:val="0"/>
      <w:marBottom w:val="0"/>
      <w:divBdr>
        <w:top w:val="none" w:sz="0" w:space="0" w:color="auto"/>
        <w:left w:val="none" w:sz="0" w:space="0" w:color="auto"/>
        <w:bottom w:val="none" w:sz="0" w:space="0" w:color="auto"/>
        <w:right w:val="none" w:sz="0" w:space="0" w:color="auto"/>
      </w:divBdr>
    </w:div>
    <w:div w:id="1358582193">
      <w:bodyDiv w:val="1"/>
      <w:marLeft w:val="0"/>
      <w:marRight w:val="0"/>
      <w:marTop w:val="0"/>
      <w:marBottom w:val="0"/>
      <w:divBdr>
        <w:top w:val="none" w:sz="0" w:space="0" w:color="auto"/>
        <w:left w:val="none" w:sz="0" w:space="0" w:color="auto"/>
        <w:bottom w:val="none" w:sz="0" w:space="0" w:color="auto"/>
        <w:right w:val="none" w:sz="0" w:space="0" w:color="auto"/>
      </w:divBdr>
    </w:div>
    <w:div w:id="168181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meetingdoc.asp?lang=en&amp;parent=T25-SG15-R-000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lenn.parsons@ericsson.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md/T25-TSAG-260126-TD-GEN-0262/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ifa/t/2025/sg15/guidelines/25-SG15-rap-02-organize-rapporteur-group-meetings-16032025.docx"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fa/t/2025/sg15/guidelines/25-SG15-editor-02-correspondence-activities-16032025.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uber\OneDrive%20-%20Nokia\Documents\Standards\ITU-T\ITUtemplates\tsag-RGM_mtgdoc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E7B1EF165F4377B4030236F4A51B29"/>
        <w:category>
          <w:name w:val="General"/>
          <w:gallery w:val="placeholder"/>
        </w:category>
        <w:types>
          <w:type w:val="bbPlcHdr"/>
        </w:types>
        <w:behaviors>
          <w:behavior w:val="content"/>
        </w:behaviors>
        <w:guid w:val="{130113AD-6350-42D7-85A6-A9836DA5FE37}"/>
      </w:docPartPr>
      <w:docPartBody>
        <w:p w:rsidR="00F41BEE" w:rsidRDefault="00F41BEE">
          <w:pPr>
            <w:pStyle w:val="2DE7B1EF165F4377B4030236F4A51B29"/>
          </w:pPr>
          <w:r w:rsidRPr="005E55C3">
            <w:rPr>
              <w:rStyle w:val="PlaceholderText"/>
            </w:rPr>
            <w:t>[ShortName]</w:t>
          </w:r>
        </w:p>
      </w:docPartBody>
    </w:docPart>
    <w:docPart>
      <w:docPartPr>
        <w:name w:val="055CEACD457B4D86A6BEC988BDADCC8C"/>
        <w:category>
          <w:name w:val="General"/>
          <w:gallery w:val="placeholder"/>
        </w:category>
        <w:types>
          <w:type w:val="bbPlcHdr"/>
        </w:types>
        <w:behaviors>
          <w:behavior w:val="content"/>
        </w:behaviors>
        <w:guid w:val="{B3A4694D-16D7-412B-8C25-93847572579E}"/>
      </w:docPartPr>
      <w:docPartBody>
        <w:p w:rsidR="00F41BEE" w:rsidRDefault="00F41BEE">
          <w:pPr>
            <w:pStyle w:val="055CEACD457B4D86A6BEC988BDADCC8C"/>
          </w:pPr>
          <w:r w:rsidRPr="00D87B98">
            <w:rPr>
              <w:rStyle w:val="PlaceholderText"/>
            </w:rPr>
            <w:t>[SgText]</w:t>
          </w:r>
        </w:p>
      </w:docPartBody>
    </w:docPart>
    <w:docPart>
      <w:docPartPr>
        <w:name w:val="A8393695E824442C9FFF38895F22E4A1"/>
        <w:category>
          <w:name w:val="General"/>
          <w:gallery w:val="placeholder"/>
        </w:category>
        <w:types>
          <w:type w:val="bbPlcHdr"/>
        </w:types>
        <w:behaviors>
          <w:behavior w:val="content"/>
        </w:behaviors>
        <w:guid w:val="{2D81AD30-99AC-405A-B422-CA465360FA9D}"/>
      </w:docPartPr>
      <w:docPartBody>
        <w:p w:rsidR="00F41BEE" w:rsidRDefault="00F41BEE">
          <w:pPr>
            <w:pStyle w:val="A8393695E824442C9FFF38895F22E4A1"/>
          </w:pPr>
          <w:r w:rsidRPr="009963AC">
            <w:rPr>
              <w:rStyle w:val="PlaceholderText"/>
            </w:rPr>
            <w:t>[DocTypeText]</w:t>
          </w:r>
        </w:p>
      </w:docPartBody>
    </w:docPart>
    <w:docPart>
      <w:docPartPr>
        <w:name w:val="15CFBE6A3D024BFC8C19A5F4F667C0EF"/>
        <w:category>
          <w:name w:val="General"/>
          <w:gallery w:val="placeholder"/>
        </w:category>
        <w:types>
          <w:type w:val="bbPlcHdr"/>
        </w:types>
        <w:behaviors>
          <w:behavior w:val="content"/>
        </w:behaviors>
        <w:guid w:val="{06034DC6-7C3B-4682-BE67-AEECC1D104F5}"/>
      </w:docPartPr>
      <w:docPartBody>
        <w:p w:rsidR="00F41BEE" w:rsidRDefault="00F41BEE">
          <w:pPr>
            <w:pStyle w:val="15CFBE6A3D024BFC8C19A5F4F667C0EF"/>
          </w:pPr>
          <w:r w:rsidRPr="00E236D2">
            <w:rPr>
              <w:rStyle w:val="PlaceholderText"/>
            </w:rPr>
            <w:t>[DocumentSource]</w:t>
          </w:r>
        </w:p>
      </w:docPartBody>
    </w:docPart>
    <w:docPart>
      <w:docPartPr>
        <w:name w:val="58BE18DAF00E4DC9B65C423C4A16DE4D"/>
        <w:category>
          <w:name w:val="General"/>
          <w:gallery w:val="placeholder"/>
        </w:category>
        <w:types>
          <w:type w:val="bbPlcHdr"/>
        </w:types>
        <w:behaviors>
          <w:behavior w:val="content"/>
        </w:behaviors>
        <w:guid w:val="{DF2DB51E-1251-4BAF-9481-B263D4FABFF2}"/>
      </w:docPartPr>
      <w:docPartBody>
        <w:p w:rsidR="00F41BEE" w:rsidRDefault="00F41BEE">
          <w:pPr>
            <w:pStyle w:val="58BE18DAF00E4DC9B65C423C4A16DE4D"/>
          </w:pPr>
          <w:r>
            <w:rPr>
              <w:rStyle w:val="PlaceholderText"/>
            </w:rPr>
            <w:t>[Title]</w:t>
          </w:r>
        </w:p>
      </w:docPartBody>
    </w:docPart>
    <w:docPart>
      <w:docPartPr>
        <w:name w:val="EC1FD2FF5BFF44DE9F39E500C0F48C8E"/>
        <w:category>
          <w:name w:val="General"/>
          <w:gallery w:val="placeholder"/>
        </w:category>
        <w:types>
          <w:type w:val="bbPlcHdr"/>
        </w:types>
        <w:behaviors>
          <w:behavior w:val="content"/>
        </w:behaviors>
        <w:guid w:val="{FE57358F-C2AC-4FAE-A888-A25E27F44578}"/>
      </w:docPartPr>
      <w:docPartBody>
        <w:p w:rsidR="00F41BEE" w:rsidRDefault="00F41BEE">
          <w:pPr>
            <w:pStyle w:val="EC1FD2FF5BFF44DE9F39E500C0F48C8E"/>
          </w:pPr>
          <w:r w:rsidRPr="001229A4">
            <w:rPr>
              <w:rStyle w:val="PlaceholderText"/>
            </w:rPr>
            <w:t>Click here to enter text.</w:t>
          </w:r>
        </w:p>
      </w:docPartBody>
    </w:docPart>
    <w:docPart>
      <w:docPartPr>
        <w:name w:val="70C33D0CDE6D4861907145B4E788341B"/>
        <w:category>
          <w:name w:val="General"/>
          <w:gallery w:val="placeholder"/>
        </w:category>
        <w:types>
          <w:type w:val="bbPlcHdr"/>
        </w:types>
        <w:behaviors>
          <w:behavior w:val="content"/>
        </w:behaviors>
        <w:guid w:val="{CF5C8DC6-E1F8-47E2-8489-93A1C73E90C6}"/>
      </w:docPartPr>
      <w:docPartBody>
        <w:p w:rsidR="00F41BEE" w:rsidRDefault="00F41BEE">
          <w:pPr>
            <w:pStyle w:val="70C33D0CDE6D4861907145B4E788341B"/>
          </w:pPr>
          <w:r w:rsidRPr="001229A4">
            <w:rPr>
              <w:rStyle w:val="PlaceholderText"/>
            </w:rPr>
            <w:t>Click here to enter text.</w:t>
          </w:r>
        </w:p>
      </w:docPartBody>
    </w:docPart>
    <w:docPart>
      <w:docPartPr>
        <w:name w:val="5BEA642E005B461798AC9E3FFB42AF1F"/>
        <w:category>
          <w:name w:val="General"/>
          <w:gallery w:val="placeholder"/>
        </w:category>
        <w:types>
          <w:type w:val="bbPlcHdr"/>
        </w:types>
        <w:behaviors>
          <w:behavior w:val="content"/>
        </w:behaviors>
        <w:guid w:val="{368BD90F-A80E-4A2A-B885-8855500DB07F}"/>
      </w:docPartPr>
      <w:docPartBody>
        <w:p w:rsidR="00F41BEE" w:rsidRDefault="00F41BEE">
          <w:pPr>
            <w:pStyle w:val="5BEA642E005B461798AC9E3FFB42AF1F"/>
          </w:pPr>
          <w:r>
            <w:rPr>
              <w:rStyle w:val="PlaceholderText"/>
            </w:rPr>
            <w:t>[Abstract]</w:t>
          </w:r>
        </w:p>
      </w:docPartBody>
    </w:docPart>
    <w:docPart>
      <w:docPartPr>
        <w:name w:val="8346FE77F734496882AFFB6FFD0D7EFF"/>
        <w:category>
          <w:name w:val="General"/>
          <w:gallery w:val="placeholder"/>
        </w:category>
        <w:types>
          <w:type w:val="bbPlcHdr"/>
        </w:types>
        <w:behaviors>
          <w:behavior w:val="content"/>
        </w:behaviors>
        <w:guid w:val="{FF3247BF-995F-4653-A9A4-FE6BD2A6875C}"/>
      </w:docPartPr>
      <w:docPartBody>
        <w:p w:rsidR="00A257BC" w:rsidRDefault="00A61CEC" w:rsidP="00A61CEC">
          <w:pPr>
            <w:pStyle w:val="8346FE77F734496882AFFB6FFD0D7EFF"/>
          </w:pPr>
          <w:r w:rsidRPr="001229A4">
            <w:rPr>
              <w:rStyle w:val="PlaceholderText"/>
            </w:rPr>
            <w:t>Click here to enter text.</w:t>
          </w:r>
        </w:p>
      </w:docPartBody>
    </w:docPart>
    <w:docPart>
      <w:docPartPr>
        <w:name w:val="C60EA9660151443C9462CFFE78101632"/>
        <w:category>
          <w:name w:val="General"/>
          <w:gallery w:val="placeholder"/>
        </w:category>
        <w:types>
          <w:type w:val="bbPlcHdr"/>
        </w:types>
        <w:behaviors>
          <w:behavior w:val="content"/>
        </w:behaviors>
        <w:guid w:val="{FD4C02DA-1558-4146-A094-FC8F47226A8D}"/>
      </w:docPartPr>
      <w:docPartBody>
        <w:p w:rsidR="00A257BC" w:rsidRDefault="00A61CEC" w:rsidP="00A61CEC">
          <w:pPr>
            <w:pStyle w:val="C60EA9660151443C9462CFFE78101632"/>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EE"/>
    <w:rsid w:val="00067D66"/>
    <w:rsid w:val="00083F97"/>
    <w:rsid w:val="000852D7"/>
    <w:rsid w:val="000A32EE"/>
    <w:rsid w:val="00113D0B"/>
    <w:rsid w:val="00222549"/>
    <w:rsid w:val="002D47CA"/>
    <w:rsid w:val="004423C1"/>
    <w:rsid w:val="00542020"/>
    <w:rsid w:val="00756366"/>
    <w:rsid w:val="008A4DC0"/>
    <w:rsid w:val="009654B6"/>
    <w:rsid w:val="00A257BC"/>
    <w:rsid w:val="00A35296"/>
    <w:rsid w:val="00A61CEC"/>
    <w:rsid w:val="00B4123F"/>
    <w:rsid w:val="00B41761"/>
    <w:rsid w:val="00DF572E"/>
    <w:rsid w:val="00E00EC9"/>
    <w:rsid w:val="00F41BEE"/>
    <w:rsid w:val="00FB624D"/>
    <w:rsid w:val="00FD53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1CEC"/>
    <w:rPr>
      <w:color w:val="808080"/>
    </w:rPr>
  </w:style>
  <w:style w:type="paragraph" w:customStyle="1" w:styleId="2DE7B1EF165F4377B4030236F4A51B29">
    <w:name w:val="2DE7B1EF165F4377B4030236F4A51B29"/>
  </w:style>
  <w:style w:type="paragraph" w:customStyle="1" w:styleId="055CEACD457B4D86A6BEC988BDADCC8C">
    <w:name w:val="055CEACD457B4D86A6BEC988BDADCC8C"/>
  </w:style>
  <w:style w:type="paragraph" w:customStyle="1" w:styleId="A8393695E824442C9FFF38895F22E4A1">
    <w:name w:val="A8393695E824442C9FFF38895F22E4A1"/>
  </w:style>
  <w:style w:type="paragraph" w:customStyle="1" w:styleId="15CFBE6A3D024BFC8C19A5F4F667C0EF">
    <w:name w:val="15CFBE6A3D024BFC8C19A5F4F667C0EF"/>
  </w:style>
  <w:style w:type="paragraph" w:customStyle="1" w:styleId="58BE18DAF00E4DC9B65C423C4A16DE4D">
    <w:name w:val="58BE18DAF00E4DC9B65C423C4A16DE4D"/>
  </w:style>
  <w:style w:type="paragraph" w:customStyle="1" w:styleId="EC1FD2FF5BFF44DE9F39E500C0F48C8E">
    <w:name w:val="EC1FD2FF5BFF44DE9F39E500C0F48C8E"/>
  </w:style>
  <w:style w:type="paragraph" w:customStyle="1" w:styleId="70C33D0CDE6D4861907145B4E788341B">
    <w:name w:val="70C33D0CDE6D4861907145B4E788341B"/>
  </w:style>
  <w:style w:type="paragraph" w:customStyle="1" w:styleId="5BEA642E005B461798AC9E3FFB42AF1F">
    <w:name w:val="5BEA642E005B461798AC9E3FFB42AF1F"/>
  </w:style>
  <w:style w:type="paragraph" w:customStyle="1" w:styleId="8346FE77F734496882AFFB6FFD0D7EFF">
    <w:name w:val="8346FE77F734496882AFFB6FFD0D7EFF"/>
    <w:rsid w:val="00A61CEC"/>
    <w:rPr>
      <w:lang w:val="en-CA" w:eastAsia="en-CA"/>
    </w:rPr>
  </w:style>
  <w:style w:type="paragraph" w:customStyle="1" w:styleId="C60EA9660151443C9462CFFE78101632">
    <w:name w:val="C60EA9660151443C9462CFFE78101632"/>
    <w:rsid w:val="00A61CEC"/>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01B39-D35F-4F11-A022-CA495F8AA70D}"/>
</file>

<file path=customXml/itemProps2.xml><?xml version="1.0" encoding="utf-8"?>
<ds:datastoreItem xmlns:ds="http://schemas.openxmlformats.org/officeDocument/2006/customXml" ds:itemID="{CD23CBBB-9828-1749-9411-1E7D7292AEC8}">
  <ds:schemaRefs>
    <ds:schemaRef ds:uri="http://schemas.openxmlformats.org/officeDocument/2006/bibliography"/>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0299242-1a9f-41a3-ba29-0a43e323a3a2"/>
  </ds:schemaRefs>
</ds:datastoreItem>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tsag-RGM_mtgdoc_template.dotx</Template>
  <TotalTime>3</TotalTime>
  <Pages>7</Pages>
  <Words>2163</Words>
  <Characters>13458</Characters>
  <Application>Microsoft Office Word</Application>
  <DocSecurity>4</DocSecurity>
  <Lines>560</Lines>
  <Paragraphs>371</Paragraphs>
  <ScaleCrop>false</ScaleCrop>
  <HeadingPairs>
    <vt:vector size="2" baseType="variant">
      <vt:variant>
        <vt:lpstr>Title</vt:lpstr>
      </vt:variant>
      <vt:variant>
        <vt:i4>1</vt:i4>
      </vt:variant>
    </vt:vector>
  </HeadingPairs>
  <TitlesOfParts>
    <vt:vector size="1" baseType="lpstr">
      <vt:lpstr>Considerations on correspondence activities in draft revised A.1</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Considerations on correspondence activities in draft revised A.1</dc:title>
  <dc:subject/>
  <dc:creator>Tom Huber</dc:creator>
  <cp:keywords>N/A</cp:keywords>
  <dc:description>Updated 2024-10-30. Do NOT store in Teams, or the content type properties will be wiped out.</dc:description>
  <cp:lastModifiedBy>TSB</cp:lastModifiedBy>
  <cp:revision>2</cp:revision>
  <dcterms:created xsi:type="dcterms:W3CDTF">2026-01-15T13:17:00Z</dcterms:created>
  <dcterms:modified xsi:type="dcterms:W3CDTF">2026-01-15T13:17:00Z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1625;#RGWM|02bfe3be-2d05-4a48-99e3-4f4b6b36a35d</vt:lpwstr>
  </property>
</Properties>
</file>