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169"/>
        <w:gridCol w:w="540"/>
        <w:gridCol w:w="3486"/>
        <w:gridCol w:w="57"/>
        <w:gridCol w:w="3969"/>
      </w:tblGrid>
      <w:tr w:rsidR="00BA5EEF" w:rsidRPr="00BA5EEF" w14:paraId="7E389B07" w14:textId="77777777" w:rsidTr="00BA5EEF">
        <w:trPr>
          <w:cantSplit/>
        </w:trPr>
        <w:tc>
          <w:tcPr>
            <w:tcW w:w="1132" w:type="dxa"/>
            <w:vMerge w:val="restart"/>
            <w:vAlign w:val="center"/>
          </w:tcPr>
          <w:p w14:paraId="4AD09FEB" w14:textId="77777777" w:rsidR="00BA5EEF" w:rsidRPr="00BA5EEF" w:rsidRDefault="00BA5EEF" w:rsidP="00BA5EEF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BA5EEF">
              <w:rPr>
                <w:noProof/>
              </w:rPr>
              <w:drawing>
                <wp:inline distT="0" distB="0" distL="0" distR="0" wp14:anchorId="02976B3A" wp14:editId="05F95404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4093E6F1" w14:textId="77777777" w:rsidR="00BA5EEF" w:rsidRPr="00BA5EEF" w:rsidRDefault="00BA5EEF" w:rsidP="00BA5EEF">
            <w:pPr>
              <w:rPr>
                <w:sz w:val="16"/>
                <w:szCs w:val="16"/>
              </w:rPr>
            </w:pPr>
            <w:r w:rsidRPr="00BA5EEF">
              <w:rPr>
                <w:sz w:val="16"/>
                <w:szCs w:val="16"/>
              </w:rPr>
              <w:t>INTERNATIONAL TELECOMMUNICATION UNION</w:t>
            </w:r>
          </w:p>
          <w:p w14:paraId="050F8CF6" w14:textId="77777777" w:rsidR="00BA5EEF" w:rsidRPr="00BA5EEF" w:rsidRDefault="00BA5EEF" w:rsidP="00BA5EEF">
            <w:pPr>
              <w:rPr>
                <w:b/>
                <w:bCs/>
                <w:sz w:val="26"/>
                <w:szCs w:val="26"/>
              </w:rPr>
            </w:pPr>
            <w:r w:rsidRPr="00BA5EEF">
              <w:rPr>
                <w:b/>
                <w:bCs/>
                <w:sz w:val="26"/>
                <w:szCs w:val="26"/>
              </w:rPr>
              <w:t>TELECOMMUNICATION</w:t>
            </w:r>
            <w:r w:rsidRPr="00BA5EE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09F71F0" w14:textId="473FCE75" w:rsidR="00BA5EEF" w:rsidRPr="00BA5EEF" w:rsidRDefault="00BA5EEF" w:rsidP="00BA5EEF">
            <w:pPr>
              <w:rPr>
                <w:sz w:val="20"/>
                <w:szCs w:val="20"/>
              </w:rPr>
            </w:pPr>
            <w:r w:rsidRPr="00BA5EEF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gridSpan w:val="2"/>
            <w:vAlign w:val="center"/>
          </w:tcPr>
          <w:p w14:paraId="3FE2E359" w14:textId="7355826D" w:rsidR="00BA5EEF" w:rsidRPr="00BA5EEF" w:rsidRDefault="00BA5EEF" w:rsidP="00BA5EEF">
            <w:pPr>
              <w:pStyle w:val="Docnumber"/>
            </w:pPr>
            <w:r>
              <w:t>TSAG-TD299</w:t>
            </w:r>
          </w:p>
        </w:tc>
      </w:tr>
      <w:tr w:rsidR="00BA5EEF" w:rsidRPr="00BA5EEF" w14:paraId="618F33D7" w14:textId="77777777" w:rsidTr="00BA5EEF">
        <w:trPr>
          <w:cantSplit/>
        </w:trPr>
        <w:tc>
          <w:tcPr>
            <w:tcW w:w="1132" w:type="dxa"/>
            <w:vMerge/>
          </w:tcPr>
          <w:p w14:paraId="5CA0699B" w14:textId="77777777" w:rsidR="00BA5EEF" w:rsidRPr="00BA5EEF" w:rsidRDefault="00BA5EEF" w:rsidP="00BA5EEF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11004823" w14:textId="77777777" w:rsidR="00BA5EEF" w:rsidRPr="00BA5EEF" w:rsidRDefault="00BA5EEF" w:rsidP="00BA5EEF">
            <w:pPr>
              <w:rPr>
                <w:smallCaps/>
                <w:sz w:val="20"/>
              </w:rPr>
            </w:pPr>
          </w:p>
        </w:tc>
        <w:tc>
          <w:tcPr>
            <w:tcW w:w="4026" w:type="dxa"/>
            <w:gridSpan w:val="2"/>
          </w:tcPr>
          <w:p w14:paraId="52DC1E9C" w14:textId="5D0A6870" w:rsidR="00BA5EEF" w:rsidRPr="00BA5EEF" w:rsidRDefault="00BA5EEF" w:rsidP="00BA5EEF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BA5EEF" w:rsidRPr="00BA5EEF" w14:paraId="243B9BDA" w14:textId="77777777" w:rsidTr="00BA5EEF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DC4B1E5" w14:textId="77777777" w:rsidR="00BA5EEF" w:rsidRPr="00BA5EEF" w:rsidRDefault="00BA5EEF" w:rsidP="00BA5EEF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0DE98286" w14:textId="77777777" w:rsidR="00BA5EEF" w:rsidRPr="00BA5EEF" w:rsidRDefault="00BA5EEF" w:rsidP="00BA5EEF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gridSpan w:val="2"/>
            <w:tcBorders>
              <w:bottom w:val="single" w:sz="12" w:space="0" w:color="auto"/>
            </w:tcBorders>
            <w:vAlign w:val="center"/>
          </w:tcPr>
          <w:p w14:paraId="52410A79" w14:textId="77777777" w:rsidR="00BA5EEF" w:rsidRPr="00BA5EEF" w:rsidRDefault="00BA5EEF" w:rsidP="00BA5EEF">
            <w:pPr>
              <w:pStyle w:val="TSBHeaderRight14"/>
            </w:pPr>
            <w:r w:rsidRPr="00BA5EEF">
              <w:t>Original: English</w:t>
            </w:r>
          </w:p>
        </w:tc>
      </w:tr>
      <w:tr w:rsidR="00BA5EEF" w:rsidRPr="00BA5EEF" w14:paraId="44A756A7" w14:textId="77777777" w:rsidTr="00BA5EEF">
        <w:trPr>
          <w:cantSplit/>
        </w:trPr>
        <w:tc>
          <w:tcPr>
            <w:tcW w:w="1587" w:type="dxa"/>
            <w:gridSpan w:val="3"/>
          </w:tcPr>
          <w:p w14:paraId="1DD6B025" w14:textId="64FA6FE6" w:rsidR="00BA5EEF" w:rsidRPr="00BA5EEF" w:rsidRDefault="00BA5EEF" w:rsidP="00BA5EEF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2"/>
          </w:tcPr>
          <w:p w14:paraId="50304CE3" w14:textId="057E9A84" w:rsidR="00BA5EEF" w:rsidRPr="00BA5EEF" w:rsidRDefault="00BA5EEF" w:rsidP="00BA5EEF">
            <w:pPr>
              <w:pStyle w:val="TSBHeaderQuestion"/>
            </w:pPr>
          </w:p>
        </w:tc>
        <w:tc>
          <w:tcPr>
            <w:tcW w:w="4026" w:type="dxa"/>
            <w:gridSpan w:val="2"/>
          </w:tcPr>
          <w:p w14:paraId="68028B4F" w14:textId="7B01CF10" w:rsidR="00BA5EEF" w:rsidRPr="00BA5EEF" w:rsidRDefault="00BA5EEF" w:rsidP="00BA5EEF">
            <w:pPr>
              <w:pStyle w:val="VenueDate"/>
            </w:pPr>
            <w:r w:rsidRPr="00BA5EEF">
              <w:t>Geneva, 26-30 January 2026</w:t>
            </w:r>
          </w:p>
        </w:tc>
      </w:tr>
      <w:tr w:rsidR="00BA5EEF" w:rsidRPr="00BA5EEF" w14:paraId="30BBAD27" w14:textId="77777777" w:rsidTr="005F7827">
        <w:trPr>
          <w:cantSplit/>
        </w:trPr>
        <w:tc>
          <w:tcPr>
            <w:tcW w:w="9639" w:type="dxa"/>
            <w:gridSpan w:val="7"/>
          </w:tcPr>
          <w:p w14:paraId="27576812" w14:textId="77777777" w:rsidR="00BA5EEF" w:rsidRPr="00BA5EEF" w:rsidRDefault="00BA5EEF" w:rsidP="00BA5EEF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BA5EEF">
              <w:rPr>
                <w:b/>
                <w:bCs/>
              </w:rPr>
              <w:t>TD</w:t>
            </w:r>
          </w:p>
          <w:p w14:paraId="62B40F4B" w14:textId="10C85700" w:rsidR="00BA5EEF" w:rsidRPr="00BA5EEF" w:rsidRDefault="00BA5EEF" w:rsidP="00BA5EEF">
            <w:pPr>
              <w:spacing w:before="0"/>
              <w:jc w:val="center"/>
              <w:rPr>
                <w:b/>
                <w:bCs/>
              </w:rPr>
            </w:pPr>
            <w:r w:rsidRPr="00BA5EEF">
              <w:rPr>
                <w:b/>
                <w:bCs/>
              </w:rPr>
              <w:t xml:space="preserve">(Ref.: </w:t>
            </w:r>
            <w:hyperlink r:id="rId12" w:history="1">
              <w:r w:rsidRPr="00BA5EEF">
                <w:rPr>
                  <w:rStyle w:val="Hyperlink"/>
                  <w:b/>
                  <w:bCs/>
                </w:rPr>
                <w:t>SG17-LS72</w:t>
              </w:r>
            </w:hyperlink>
            <w:r w:rsidRPr="00BA5EEF">
              <w:rPr>
                <w:b/>
                <w:bCs/>
              </w:rPr>
              <w:t>)</w:t>
            </w:r>
          </w:p>
        </w:tc>
      </w:tr>
      <w:tr w:rsidR="00BA5EEF" w:rsidRPr="00BA5EEF" w14:paraId="2D5CBCED" w14:textId="77777777" w:rsidTr="00BA5EEF">
        <w:trPr>
          <w:cantSplit/>
        </w:trPr>
        <w:tc>
          <w:tcPr>
            <w:tcW w:w="1587" w:type="dxa"/>
            <w:gridSpan w:val="3"/>
          </w:tcPr>
          <w:p w14:paraId="2AEE8324" w14:textId="77777777" w:rsidR="00BA5EEF" w:rsidRPr="00BA5EEF" w:rsidRDefault="00BA5EEF" w:rsidP="00BA5EEF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A5EEF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1B29CAFB" w14:textId="0F7198CB" w:rsidR="00BA5EEF" w:rsidRPr="00BA5EEF" w:rsidRDefault="00BA5EEF" w:rsidP="00BA5EEF">
            <w:pPr>
              <w:pStyle w:val="TSBHeaderSource"/>
            </w:pPr>
            <w:r w:rsidRPr="00BA5EEF">
              <w:t>ITU-T Study Group 17</w:t>
            </w:r>
          </w:p>
        </w:tc>
      </w:tr>
      <w:tr w:rsidR="00BA5EEF" w:rsidRPr="00BA5EEF" w14:paraId="15B2ACAF" w14:textId="77777777" w:rsidTr="00BA5EEF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59C89D59" w14:textId="77777777" w:rsidR="00BA5EEF" w:rsidRPr="00BA5EEF" w:rsidRDefault="00BA5EEF" w:rsidP="00BA5EEF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BA5EEF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00494397" w14:textId="0F176201" w:rsidR="00BA5EEF" w:rsidRPr="00BA5EEF" w:rsidRDefault="00BA5EEF" w:rsidP="00BA5EEF">
            <w:pPr>
              <w:pStyle w:val="TSBHeaderTitle"/>
            </w:pPr>
            <w:r w:rsidRPr="00BA5EEF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BA5EEF">
              <w:t>r on termination of JCA-COP (reply to TSAG-LS9)</w:t>
            </w:r>
            <w:r>
              <w:t xml:space="preserve"> [from ITU-T SG17]</w:t>
            </w:r>
          </w:p>
        </w:tc>
      </w:tr>
      <w:tr w:rsidR="008E7AAF" w14:paraId="18C74D06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7"/>
            <w:tcBorders>
              <w:top w:val="single" w:sz="8" w:space="0" w:color="auto"/>
              <w:bottom w:val="nil"/>
            </w:tcBorders>
          </w:tcPr>
          <w:p w14:paraId="65701AF6" w14:textId="77777777" w:rsidR="008E7AAF" w:rsidRDefault="00146B5B">
            <w:pPr>
              <w:jc w:val="center"/>
              <w:rPr>
                <w:lang w:val="fr-FR"/>
              </w:rPr>
            </w:pPr>
            <w:bookmarkStart w:id="8" w:name="dcontent2" w:colFirst="1" w:colLast="1"/>
            <w:bookmarkStart w:id="9" w:name="dcontact2"/>
            <w:bookmarkEnd w:id="1"/>
            <w:bookmarkEnd w:id="7"/>
            <w:r>
              <w:rPr>
                <w:b/>
              </w:rPr>
              <w:t>LIAISON STATEMENT</w:t>
            </w:r>
          </w:p>
        </w:tc>
      </w:tr>
      <w:tr w:rsidR="008E7AAF" w14:paraId="056F3290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E2AA1C" w14:textId="77777777" w:rsidR="008E7AAF" w:rsidRDefault="00146B5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4C03A" w14:textId="292F7C9D" w:rsidR="008E7AAF" w:rsidRDefault="00D837EF">
            <w:pPr>
              <w:pStyle w:val="LSForAction"/>
              <w:spacing w:line="256" w:lineRule="auto"/>
              <w:rPr>
                <w:rFonts w:eastAsiaTheme="minorEastAsia"/>
                <w:szCs w:val="24"/>
                <w:lang w:val="fr-FR" w:eastAsia="ja-JP"/>
              </w:rPr>
            </w:pPr>
            <w:r>
              <w:rPr>
                <w:rFonts w:eastAsiaTheme="minorEastAsia"/>
                <w:szCs w:val="24"/>
                <w:lang w:val="en-US" w:eastAsia="zh-CN"/>
              </w:rPr>
              <w:t>TSAG</w:t>
            </w:r>
          </w:p>
        </w:tc>
      </w:tr>
      <w:tr w:rsidR="008E7AAF" w14:paraId="617B0493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3685A" w14:textId="77777777" w:rsidR="008E7AAF" w:rsidRDefault="00146B5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70B58" w14:textId="2C053231" w:rsidR="008E7AAF" w:rsidRDefault="00E65FA4" w:rsidP="00E65FA4">
            <w:pPr>
              <w:pStyle w:val="LSForInfo"/>
              <w:spacing w:line="256" w:lineRule="auto"/>
            </w:pPr>
            <w:r>
              <w:t>-</w:t>
            </w:r>
          </w:p>
        </w:tc>
      </w:tr>
      <w:tr w:rsidR="008E7AAF" w14:paraId="0FDEA123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6B5637" w14:textId="77777777" w:rsidR="008E7AAF" w:rsidRDefault="00146B5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75B83" w14:textId="77777777" w:rsidR="008E7AAF" w:rsidRPr="00BA5EEF" w:rsidRDefault="00146B5B">
            <w:pPr>
              <w:pStyle w:val="LSApproval"/>
              <w:spacing w:line="256" w:lineRule="auto"/>
              <w:rPr>
                <w:b w:val="0"/>
              </w:rPr>
            </w:pPr>
            <w:r w:rsidRPr="00BA5EEF">
              <w:rPr>
                <w:b w:val="0"/>
                <w:lang w:val="en-US"/>
              </w:rPr>
              <w:t xml:space="preserve">ITU-T Study Group </w:t>
            </w:r>
            <w:r w:rsidRPr="00BA5EEF">
              <w:rPr>
                <w:rFonts w:hint="eastAsia"/>
                <w:b w:val="0"/>
                <w:lang w:val="en-US" w:eastAsia="zh-CN"/>
              </w:rPr>
              <w:t xml:space="preserve">17 </w:t>
            </w:r>
            <w:r w:rsidRPr="00BA5EEF">
              <w:rPr>
                <w:b w:val="0"/>
                <w:lang w:val="en-US"/>
              </w:rPr>
              <w:t>meeting</w:t>
            </w:r>
            <w:r w:rsidRPr="00BA5EEF">
              <w:rPr>
                <w:rFonts w:hint="eastAsia"/>
                <w:b w:val="0"/>
                <w:lang w:val="en-US" w:eastAsia="zh-CN"/>
              </w:rPr>
              <w:t xml:space="preserve"> (Geneva, 11 December 2025)</w:t>
            </w:r>
          </w:p>
        </w:tc>
      </w:tr>
      <w:tr w:rsidR="008E7AAF" w14:paraId="0635A11F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4"/>
            <w:tcBorders>
              <w:top w:val="nil"/>
              <w:bottom w:val="single" w:sz="8" w:space="0" w:color="auto"/>
            </w:tcBorders>
          </w:tcPr>
          <w:p w14:paraId="6AD86898" w14:textId="77777777" w:rsidR="008E7AAF" w:rsidRDefault="00146B5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3"/>
            <w:tcBorders>
              <w:top w:val="nil"/>
              <w:bottom w:val="single" w:sz="8" w:space="0" w:color="auto"/>
            </w:tcBorders>
          </w:tcPr>
          <w:p w14:paraId="0B3187DB" w14:textId="42EA680B" w:rsidR="008E7AAF" w:rsidRDefault="00D837EF">
            <w:pPr>
              <w:pStyle w:val="LSDeadline"/>
              <w:spacing w:line="256" w:lineRule="auto"/>
              <w:rPr>
                <w:rFonts w:eastAsiaTheme="minorEastAsia"/>
                <w:lang w:val="en-US"/>
              </w:rPr>
            </w:pPr>
            <w:r>
              <w:rPr>
                <w:lang w:val="en-US" w:eastAsia="zh-CN"/>
              </w:rPr>
              <w:t>3</w:t>
            </w:r>
            <w:r>
              <w:rPr>
                <w:vertAlign w:val="superscript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February 2026</w:t>
            </w:r>
          </w:p>
        </w:tc>
      </w:tr>
      <w:tr w:rsidR="008E7AAF" w:rsidRPr="00BA5EEF" w14:paraId="03E2552E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272DD74" w14:textId="77777777" w:rsidR="008E7AAF" w:rsidRDefault="00146B5B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BA69804" w14:textId="77777777" w:rsidR="008E7AAF" w:rsidRDefault="00146B5B">
            <w:r>
              <w:rPr>
                <w:lang w:val="es-ES"/>
              </w:rPr>
              <w:t>Arnaud</w:t>
            </w:r>
            <w:r>
              <w:rPr>
                <w:lang w:val="es-ES" w:eastAsia="zh-CN"/>
              </w:rPr>
              <w:t xml:space="preserve"> </w:t>
            </w:r>
            <w:r>
              <w:rPr>
                <w:lang w:val="es-ES"/>
              </w:rPr>
              <w:t>Taddei</w:t>
            </w:r>
            <w:r>
              <w:rPr>
                <w:lang w:val="es-ES"/>
              </w:rPr>
              <w:br/>
              <w:t>Chair, SG17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</w:tcPr>
          <w:p w14:paraId="61228201" w14:textId="0C6D01F1" w:rsidR="008E7AAF" w:rsidRPr="006D2290" w:rsidRDefault="00146B5B">
            <w:pPr>
              <w:rPr>
                <w:lang w:val="it-CH"/>
              </w:rPr>
            </w:pPr>
            <w:r w:rsidRPr="006D2290">
              <w:rPr>
                <w:lang w:val="it-CH"/>
              </w:rPr>
              <w:t xml:space="preserve">E-mail: </w:t>
            </w:r>
            <w:r w:rsidR="00E65FA4">
              <w:fldChar w:fldCharType="begin"/>
            </w:r>
            <w:r w:rsidR="00E65FA4" w:rsidRPr="00BA5EEF">
              <w:rPr>
                <w:lang w:val="fr-CH"/>
              </w:rPr>
              <w:instrText>HYPERLINK "mailto:arnaud.taddei@broadcom.com"</w:instrText>
            </w:r>
            <w:r w:rsidR="00E65FA4">
              <w:fldChar w:fldCharType="separate"/>
            </w:r>
            <w:r w:rsidR="00E65FA4" w:rsidRPr="00AB56FD">
              <w:rPr>
                <w:rStyle w:val="Hyperlink"/>
                <w:lang w:val="it-CH"/>
              </w:rPr>
              <w:t>arnaud.taddei@broadcom.com</w:t>
            </w:r>
            <w:r w:rsidR="00E65FA4">
              <w:fldChar w:fldCharType="end"/>
            </w:r>
            <w:r w:rsidR="00E65FA4">
              <w:rPr>
                <w:lang w:val="it-CH"/>
              </w:rPr>
              <w:t xml:space="preserve"> </w:t>
            </w:r>
            <w:r w:rsidRPr="006D2290">
              <w:rPr>
                <w:lang w:val="it-CH"/>
              </w:rPr>
              <w:t xml:space="preserve"> </w:t>
            </w:r>
          </w:p>
        </w:tc>
      </w:tr>
    </w:tbl>
    <w:p w14:paraId="195AA8EB" w14:textId="77777777" w:rsidR="008E7AAF" w:rsidRDefault="008E7AAF">
      <w:pPr>
        <w:rPr>
          <w:lang w:val="it-CH"/>
        </w:rPr>
      </w:pPr>
      <w:bookmarkStart w:id="10" w:name="_Hlk98768222"/>
      <w:bookmarkEnd w:id="8"/>
      <w:bookmarkEnd w:id="9"/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8051"/>
      </w:tblGrid>
      <w:tr w:rsidR="008E7AAF" w14:paraId="5B8F1F20" w14:textId="77777777">
        <w:trPr>
          <w:cantSplit/>
        </w:trPr>
        <w:tc>
          <w:tcPr>
            <w:tcW w:w="1588" w:type="dxa"/>
          </w:tcPr>
          <w:p w14:paraId="460EF23F" w14:textId="77777777" w:rsidR="008E7AAF" w:rsidRDefault="00146B5B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670418A" w14:textId="304CEC60" w:rsidR="008E7AAF" w:rsidRDefault="00146B5B">
            <w:pPr>
              <w:rPr>
                <w:highlight w:val="yellow"/>
                <w:lang w:val="en-US" w:eastAsia="zh-CN"/>
              </w:rPr>
            </w:pPr>
            <w:r>
              <w:t xml:space="preserve">This LS </w:t>
            </w:r>
            <w:r w:rsidR="008B7C3A">
              <w:t>informs TSAG that</w:t>
            </w:r>
            <w:r>
              <w:rPr>
                <w:rFonts w:hint="eastAsia"/>
              </w:rPr>
              <w:t xml:space="preserve"> SG17 </w:t>
            </w:r>
            <w:r w:rsidR="008B7C3A">
              <w:t xml:space="preserve">agreed to </w:t>
            </w:r>
            <w:r w:rsidR="00A67BDD">
              <w:t>terminate</w:t>
            </w:r>
            <w:r w:rsidR="008B7C3A">
              <w:t xml:space="preserve"> JCA-COP.</w:t>
            </w:r>
          </w:p>
        </w:tc>
      </w:tr>
    </w:tbl>
    <w:p w14:paraId="1CAA0038" w14:textId="77777777" w:rsidR="008E7AAF" w:rsidRDefault="008E7AAF">
      <w:pPr>
        <w:rPr>
          <w:lang w:eastAsia="zh-CN"/>
        </w:rPr>
      </w:pPr>
      <w:bookmarkStart w:id="11" w:name="_Hlk103679608"/>
      <w:bookmarkEnd w:id="10"/>
    </w:p>
    <w:p w14:paraId="3312D1B0" w14:textId="0364439F" w:rsidR="00E00C97" w:rsidRDefault="00E00C97" w:rsidP="00E00C97">
      <w:pPr>
        <w:rPr>
          <w:lang w:eastAsia="zh-CN"/>
        </w:rPr>
      </w:pPr>
      <w:hyperlink r:id="rId13" w:tgtFrame="_blank" w:history="1">
        <w:r w:rsidRPr="00E00C97">
          <w:rPr>
            <w:rStyle w:val="Hyperlink"/>
            <w:lang w:eastAsia="zh-CN"/>
          </w:rPr>
          <w:t>Joint Coordination Activity on Child Online Protection</w:t>
        </w:r>
      </w:hyperlink>
      <w:r w:rsidRPr="00E00C97">
        <w:rPr>
          <w:lang w:eastAsia="zh-CN"/>
        </w:rPr>
        <w:t> (JCA-COP) was established in April 2012. The purpose of the JCA-COP is to coordinate the ITU-T child online protection (COP) work amongst the ITU-T study groups, and to liaise with ITU-R and ITU-D as well as with the Council Working Group on Child Online Protection. JCA-COP is open, but (to restrict its size) should primarily be limited to official representatives from the relevant ITU-T, ITU-R and ITU-D study groups as well as from the Council Working Group on Child Online Protection. JCA-COP may also include invited experts and invited representatives of other relevant SDOs and forums, as appropriate. The JCA-COP reports to </w:t>
      </w:r>
      <w:hyperlink r:id="rId14" w:tgtFrame="_blank" w:history="1">
        <w:r w:rsidRPr="00E00C97">
          <w:rPr>
            <w:rStyle w:val="Hyperlink"/>
            <w:lang w:eastAsia="zh-CN"/>
          </w:rPr>
          <w:t>ITU-T SG17</w:t>
        </w:r>
      </w:hyperlink>
      <w:r w:rsidRPr="00E00C97">
        <w:rPr>
          <w:lang w:eastAsia="zh-CN"/>
        </w:rPr>
        <w:t>.</w:t>
      </w:r>
      <w:r w:rsidR="008B7C3A">
        <w:rPr>
          <w:lang w:eastAsia="zh-CN"/>
        </w:rPr>
        <w:t xml:space="preserve"> </w:t>
      </w:r>
    </w:p>
    <w:p w14:paraId="74F2466F" w14:textId="3F44CAA4" w:rsidR="00E00C97" w:rsidRDefault="00E00C97" w:rsidP="00E00C97">
      <w:r w:rsidRPr="00E00C97">
        <w:t xml:space="preserve">At </w:t>
      </w:r>
      <w:r>
        <w:t>the</w:t>
      </w:r>
      <w:r w:rsidRPr="00E00C97">
        <w:t xml:space="preserve"> first </w:t>
      </w:r>
      <w:r>
        <w:t xml:space="preserve">SG17 </w:t>
      </w:r>
      <w:r w:rsidRPr="00E00C97">
        <w:t>meeting in the 2017-2020 study period, SG17 de</w:t>
      </w:r>
      <w:r>
        <w:t>cided to de</w:t>
      </w:r>
      <w:r w:rsidRPr="00E00C97">
        <w:t>signate JCA-COP to dormant.</w:t>
      </w:r>
      <w:r>
        <w:t xml:space="preserve"> </w:t>
      </w:r>
    </w:p>
    <w:p w14:paraId="21A51E3C" w14:textId="3F412F53" w:rsidR="00E00C97" w:rsidRDefault="00E00C97" w:rsidP="00E00C97">
      <w:pPr>
        <w:rPr>
          <w:lang w:eastAsia="zh-CN"/>
        </w:rPr>
      </w:pPr>
      <w:r>
        <w:t xml:space="preserve">In preparation for WTSA-24, proposal to terminate this dormant JCA-COP to SG17 did not reach consensus, therefore </w:t>
      </w:r>
      <w:r>
        <w:rPr>
          <w:lang w:eastAsia="zh-CN"/>
        </w:rPr>
        <w:t>SG17 setup a Correspondence Group on Child Online Protection (CG-COP) in its March 2024 meeting to continue the discussion.</w:t>
      </w:r>
    </w:p>
    <w:p w14:paraId="06154B76" w14:textId="55B0AC21" w:rsidR="00D837EF" w:rsidRDefault="006748F5" w:rsidP="006748F5">
      <w:pPr>
        <w:rPr>
          <w:lang w:eastAsia="zh-CN"/>
        </w:rPr>
      </w:pPr>
      <w:r>
        <w:t xml:space="preserve">In this SG17 meeting (Geneva, 3-11 December 2025), </w:t>
      </w:r>
      <w:r w:rsidR="007B6498" w:rsidRPr="007B6498">
        <w:rPr>
          <w:lang w:eastAsia="zh-CN"/>
        </w:rPr>
        <w:t xml:space="preserve">a Member State submitted a contribution proposing the termination of the JCA-COP. The contribution was discussed during the SG17 closing plenary. In taking its decision, SG17 also </w:t>
      </w:r>
      <w:proofErr w:type="gramStart"/>
      <w:r w:rsidR="007B6498" w:rsidRPr="007B6498">
        <w:rPr>
          <w:lang w:eastAsia="zh-CN"/>
        </w:rPr>
        <w:t>took into account</w:t>
      </w:r>
      <w:proofErr w:type="gramEnd"/>
      <w:r w:rsidR="007B6498" w:rsidRPr="007B6498">
        <w:rPr>
          <w:lang w:eastAsia="zh-CN"/>
        </w:rPr>
        <w:t xml:space="preserve"> the liaison statement from TSAG concerning the streamlining of Joint Coordination Activity operations. Based on these considerations, SG 17 agreed to terminate JCA-COP</w:t>
      </w:r>
      <w:r w:rsidR="00D837EF">
        <w:rPr>
          <w:lang w:eastAsia="zh-CN"/>
        </w:rPr>
        <w:t xml:space="preserve">. </w:t>
      </w:r>
    </w:p>
    <w:p w14:paraId="3C67B9B8" w14:textId="77777777" w:rsidR="00A6361C" w:rsidRDefault="00D837EF" w:rsidP="00D837EF">
      <w:pPr>
        <w:rPr>
          <w:lang w:eastAsia="zh-CN"/>
        </w:rPr>
      </w:pPr>
      <w:r>
        <w:rPr>
          <w:lang w:eastAsia="zh-CN"/>
        </w:rPr>
        <w:t>In parallel, SG17 CG-COP made good progress and developed a gap analysis on s</w:t>
      </w:r>
      <w:r w:rsidRPr="006748F5">
        <w:rPr>
          <w:lang w:eastAsia="zh-CN"/>
        </w:rPr>
        <w:t>tandards that support child online protection </w:t>
      </w:r>
      <w:r>
        <w:rPr>
          <w:lang w:eastAsia="zh-CN"/>
        </w:rPr>
        <w:t>(ref. SG17-</w:t>
      </w:r>
      <w:hyperlink r:id="rId15" w:history="1">
        <w:r w:rsidRPr="006748F5">
          <w:rPr>
            <w:rStyle w:val="Hyperlink"/>
            <w:lang w:eastAsia="zh-CN"/>
          </w:rPr>
          <w:t>TD161/PLEN</w:t>
        </w:r>
      </w:hyperlink>
      <w:r>
        <w:rPr>
          <w:lang w:eastAsia="zh-CN"/>
        </w:rPr>
        <w:t>) which was submitted to Council Working Group on Child Online Protection (CWG-COP) in 2025</w:t>
      </w:r>
      <w:r w:rsidR="00A6361C">
        <w:rPr>
          <w:lang w:eastAsia="zh-CN"/>
        </w:rPr>
        <w:t>.</w:t>
      </w:r>
    </w:p>
    <w:p w14:paraId="4C485B6B" w14:textId="6A084B58" w:rsidR="00D837EF" w:rsidRDefault="00A6361C" w:rsidP="00D837EF">
      <w:pPr>
        <w:rPr>
          <w:lang w:eastAsia="zh-CN"/>
        </w:rPr>
      </w:pPr>
      <w:r>
        <w:rPr>
          <w:lang w:eastAsia="zh-CN"/>
        </w:rPr>
        <w:lastRenderedPageBreak/>
        <w:t xml:space="preserve">This provided </w:t>
      </w:r>
      <w:r w:rsidR="00A704B9">
        <w:rPr>
          <w:lang w:eastAsia="zh-CN"/>
        </w:rPr>
        <w:t xml:space="preserve">tangible benefits to SG17 </w:t>
      </w:r>
      <w:r>
        <w:rPr>
          <w:lang w:eastAsia="zh-CN"/>
        </w:rPr>
        <w:t xml:space="preserve">including attracting new experts </w:t>
      </w:r>
      <w:r w:rsidR="00A704B9">
        <w:rPr>
          <w:lang w:eastAsia="zh-CN"/>
        </w:rPr>
        <w:t>and to Child Online Protection</w:t>
      </w:r>
      <w:r>
        <w:rPr>
          <w:lang w:eastAsia="zh-CN"/>
        </w:rPr>
        <w:t xml:space="preserve"> that led to the establishment of its first own new work item and allowing SG17 to an effective prioritisation of its resources that led to</w:t>
      </w:r>
      <w:r w:rsidR="00D837EF">
        <w:rPr>
          <w:lang w:eastAsia="zh-CN"/>
        </w:rPr>
        <w:t>:</w:t>
      </w:r>
    </w:p>
    <w:p w14:paraId="736B536E" w14:textId="03012E79" w:rsidR="00D837EF" w:rsidRPr="00B226F3" w:rsidRDefault="00B226F3" w:rsidP="00B226F3">
      <w:pPr>
        <w:pStyle w:val="enumlev1"/>
      </w:pPr>
      <w:r>
        <w:t>–</w:t>
      </w:r>
      <w:r>
        <w:tab/>
      </w:r>
      <w:r w:rsidR="00A704B9" w:rsidRPr="00B226F3">
        <w:t>a</w:t>
      </w:r>
      <w:r w:rsidR="00D837EF" w:rsidRPr="00B226F3">
        <w:t>gree to continue CG-COP in this study period</w:t>
      </w:r>
      <w:r w:rsidR="00A704B9" w:rsidRPr="00B226F3">
        <w:t>,</w:t>
      </w:r>
    </w:p>
    <w:p w14:paraId="165D7812" w14:textId="0EE054B5" w:rsidR="00D837EF" w:rsidRPr="00B226F3" w:rsidRDefault="00B226F3" w:rsidP="00B226F3">
      <w:pPr>
        <w:pStyle w:val="enumlev1"/>
      </w:pPr>
      <w:r>
        <w:t>–</w:t>
      </w:r>
      <w:r>
        <w:tab/>
      </w:r>
      <w:r w:rsidR="00A704B9" w:rsidRPr="00B226F3">
        <w:t>p</w:t>
      </w:r>
      <w:r w:rsidR="00D837EF" w:rsidRPr="00B226F3">
        <w:t>re-consensus to designate one of its Question</w:t>
      </w:r>
      <w:r w:rsidR="00A704B9" w:rsidRPr="00B226F3">
        <w:t>s</w:t>
      </w:r>
      <w:r w:rsidR="00D837EF" w:rsidRPr="00B226F3">
        <w:t xml:space="preserve"> in charge of COP</w:t>
      </w:r>
      <w:r w:rsidR="00A6361C" w:rsidRPr="00B226F3">
        <w:t>,</w:t>
      </w:r>
    </w:p>
    <w:p w14:paraId="6B3CD1D9" w14:textId="0C8874D9" w:rsidR="00D837EF" w:rsidRPr="00B226F3" w:rsidRDefault="00B226F3" w:rsidP="00B226F3">
      <w:pPr>
        <w:pStyle w:val="enumlev1"/>
      </w:pPr>
      <w:r>
        <w:t>–</w:t>
      </w:r>
      <w:r>
        <w:tab/>
      </w:r>
      <w:r w:rsidR="00A704B9" w:rsidRPr="00B226F3">
        <w:t>p</w:t>
      </w:r>
      <w:r w:rsidR="00D837EF" w:rsidRPr="00B226F3">
        <w:t xml:space="preserve">rogress draft Recommendation ITU-T </w:t>
      </w:r>
      <w:hyperlink r:id="rId16" w:tooltip="See more details" w:history="1">
        <w:r w:rsidR="00D837EF" w:rsidRPr="00B226F3">
          <w:rPr>
            <w:rStyle w:val="Hyperlink"/>
          </w:rPr>
          <w:t xml:space="preserve">X.1901 (ex </w:t>
        </w:r>
        <w:proofErr w:type="spellStart"/>
        <w:r w:rsidR="00D837EF" w:rsidRPr="00B226F3">
          <w:rPr>
            <w:rStyle w:val="Hyperlink"/>
          </w:rPr>
          <w:t>X.aas</w:t>
        </w:r>
        <w:proofErr w:type="spellEnd"/>
        <w:r w:rsidR="00D837EF" w:rsidRPr="00B226F3">
          <w:rPr>
            <w:rStyle w:val="Hyperlink"/>
          </w:rPr>
          <w:t>)</w:t>
        </w:r>
      </w:hyperlink>
      <w:r w:rsidR="00D837EF" w:rsidRPr="00B226F3">
        <w:t xml:space="preserve"> Information security, cybersecurity and privacy protection — Age assurance systems — Part 1: Framework in Q10/17 with </w:t>
      </w:r>
      <w:r w:rsidR="00A704B9" w:rsidRPr="00B226F3">
        <w:rPr>
          <w:rFonts w:eastAsia="Malgun Gothic"/>
        </w:rPr>
        <w:t>ISO/IEC JTC1/SC27/WG5,</w:t>
      </w:r>
    </w:p>
    <w:p w14:paraId="0CF717C3" w14:textId="602440F9" w:rsidR="00D837EF" w:rsidRPr="00B226F3" w:rsidRDefault="00B226F3" w:rsidP="00B226F3">
      <w:pPr>
        <w:pStyle w:val="enumlev1"/>
      </w:pPr>
      <w:r>
        <w:t>–</w:t>
      </w:r>
      <w:r>
        <w:tab/>
      </w:r>
      <w:r w:rsidR="00A704B9" w:rsidRPr="00B226F3">
        <w:t>e</w:t>
      </w:r>
      <w:r w:rsidR="00D837EF" w:rsidRPr="00B226F3">
        <w:t>stablish a new work item</w:t>
      </w:r>
      <w:r w:rsidR="00A704B9" w:rsidRPr="00B226F3">
        <w:t xml:space="preserve"> X.PARCEP Interoperable </w:t>
      </w:r>
      <w:proofErr w:type="spellStart"/>
      <w:r w:rsidR="00A704B9" w:rsidRPr="00B226F3">
        <w:t>PARental</w:t>
      </w:r>
      <w:proofErr w:type="spellEnd"/>
      <w:r w:rsidR="00A704B9" w:rsidRPr="00B226F3">
        <w:t xml:space="preserve"> Control Enforcement Principles (PARCEP) for Child Online Protection,</w:t>
      </w:r>
    </w:p>
    <w:p w14:paraId="300783B5" w14:textId="4BC1DC3F" w:rsidR="00D837EF" w:rsidRPr="00B226F3" w:rsidRDefault="00B226F3" w:rsidP="00B226F3">
      <w:pPr>
        <w:pStyle w:val="enumlev1"/>
      </w:pPr>
      <w:r>
        <w:t>–</w:t>
      </w:r>
      <w:r>
        <w:tab/>
      </w:r>
      <w:r w:rsidR="00A704B9" w:rsidRPr="00B226F3">
        <w:t>a</w:t>
      </w:r>
      <w:r w:rsidR="00D837EF" w:rsidRPr="00B226F3">
        <w:t>gree to turn the gap analysis as a new work item</w:t>
      </w:r>
      <w:r w:rsidR="00A704B9" w:rsidRPr="00B226F3">
        <w:t>.</w:t>
      </w:r>
    </w:p>
    <w:p w14:paraId="7E70523D" w14:textId="188E967C" w:rsidR="00A6361C" w:rsidRPr="0084715D" w:rsidRDefault="00A6361C" w:rsidP="006748F5">
      <w:pPr>
        <w:rPr>
          <w:b/>
          <w:bCs/>
          <w:lang w:eastAsia="zh-CN"/>
        </w:rPr>
      </w:pPr>
      <w:r w:rsidRPr="0084715D">
        <w:rPr>
          <w:b/>
          <w:bCs/>
          <w:lang w:eastAsia="zh-CN"/>
        </w:rPr>
        <w:t>Proposal</w:t>
      </w:r>
    </w:p>
    <w:p w14:paraId="01099BE5" w14:textId="47463064" w:rsidR="00D837EF" w:rsidRDefault="00D837EF" w:rsidP="006748F5">
      <w:r>
        <w:t>SG17 requests TSAG to endorse the termination of JCA-COP.</w:t>
      </w:r>
    </w:p>
    <w:p w14:paraId="01D46C4C" w14:textId="77777777" w:rsidR="008B7C3A" w:rsidRDefault="008B7C3A" w:rsidP="002951A9">
      <w:bookmarkStart w:id="12" w:name="_Hlk98856042"/>
      <w:bookmarkEnd w:id="11"/>
    </w:p>
    <w:p w14:paraId="4BA4B17C" w14:textId="3779C422" w:rsidR="008E7AAF" w:rsidRDefault="00146B5B" w:rsidP="00577B48">
      <w:pPr>
        <w:jc w:val="center"/>
      </w:pPr>
      <w:r>
        <w:t>_______________________</w:t>
      </w:r>
      <w:bookmarkEnd w:id="12"/>
    </w:p>
    <w:sectPr w:rsidR="008E7AAF" w:rsidSect="00BA5EEF">
      <w:headerReference w:type="default" r:id="rId17"/>
      <w:pgSz w:w="11907" w:h="16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4A01" w14:textId="77777777" w:rsidR="00AE4178" w:rsidRDefault="00AE4178">
      <w:pPr>
        <w:spacing w:before="0"/>
      </w:pPr>
      <w:r>
        <w:separator/>
      </w:r>
    </w:p>
  </w:endnote>
  <w:endnote w:type="continuationSeparator" w:id="0">
    <w:p w14:paraId="629CE56B" w14:textId="77777777" w:rsidR="00AE4178" w:rsidRDefault="00AE41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charset w:val="80"/>
    <w:family w:val="auto"/>
    <w:pitch w:val="variable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0AB1" w14:textId="77777777" w:rsidR="00AE4178" w:rsidRDefault="00AE4178">
      <w:pPr>
        <w:spacing w:before="0"/>
      </w:pPr>
      <w:r>
        <w:separator/>
      </w:r>
    </w:p>
  </w:footnote>
  <w:footnote w:type="continuationSeparator" w:id="0">
    <w:p w14:paraId="5080EFC5" w14:textId="77777777" w:rsidR="00AE4178" w:rsidRDefault="00AE417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F690" w14:textId="6FF9DC46" w:rsidR="00FE5877" w:rsidRPr="00BA5EEF" w:rsidRDefault="00BA5EEF" w:rsidP="00BA5EEF">
    <w:pPr>
      <w:pStyle w:val="Header"/>
    </w:pPr>
    <w:r w:rsidRPr="00BA5EEF">
      <w:t xml:space="preserve">- </w:t>
    </w:r>
    <w:r w:rsidRPr="00BA5EEF">
      <w:fldChar w:fldCharType="begin"/>
    </w:r>
    <w:r w:rsidRPr="00BA5EEF">
      <w:instrText xml:space="preserve"> PAGE  \* MERGEFORMAT </w:instrText>
    </w:r>
    <w:r w:rsidRPr="00BA5EEF">
      <w:fldChar w:fldCharType="separate"/>
    </w:r>
    <w:r w:rsidRPr="00BA5EEF">
      <w:rPr>
        <w:noProof/>
      </w:rPr>
      <w:t>1</w:t>
    </w:r>
    <w:r w:rsidRPr="00BA5EEF">
      <w:fldChar w:fldCharType="end"/>
    </w:r>
    <w:r w:rsidRPr="00BA5EEF">
      <w:t xml:space="preserve"> -</w:t>
    </w:r>
  </w:p>
  <w:p w14:paraId="75C9BE1D" w14:textId="48E77EA2" w:rsidR="00BA5EEF" w:rsidRPr="00BA5EEF" w:rsidRDefault="00BA5EEF" w:rsidP="00BA5EEF">
    <w:pPr>
      <w:pStyle w:val="Header"/>
      <w:spacing w:after="240"/>
    </w:pPr>
    <w:r w:rsidRPr="00BA5EEF">
      <w:fldChar w:fldCharType="begin"/>
    </w:r>
    <w:r w:rsidRPr="00BA5EEF">
      <w:instrText xml:space="preserve"> STYLEREF  Docnumber  </w:instrText>
    </w:r>
    <w:r>
      <w:fldChar w:fldCharType="separate"/>
    </w:r>
    <w:r>
      <w:rPr>
        <w:noProof/>
      </w:rPr>
      <w:t>TSAG-TD299</w:t>
    </w:r>
    <w:r w:rsidRPr="00BA5EE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F24601"/>
    <w:multiLevelType w:val="hybridMultilevel"/>
    <w:tmpl w:val="2EE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5AAB"/>
    <w:multiLevelType w:val="hybridMultilevel"/>
    <w:tmpl w:val="55282F42"/>
    <w:lvl w:ilvl="0" w:tplc="7046B496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2440">
    <w:abstractNumId w:val="3"/>
  </w:num>
  <w:num w:numId="2" w16cid:durableId="81878219">
    <w:abstractNumId w:val="5"/>
  </w:num>
  <w:num w:numId="3" w16cid:durableId="996304795">
    <w:abstractNumId w:val="8"/>
  </w:num>
  <w:num w:numId="4" w16cid:durableId="774984371">
    <w:abstractNumId w:val="9"/>
  </w:num>
  <w:num w:numId="5" w16cid:durableId="556480509">
    <w:abstractNumId w:val="6"/>
  </w:num>
  <w:num w:numId="6" w16cid:durableId="279996499">
    <w:abstractNumId w:val="2"/>
  </w:num>
  <w:num w:numId="7" w16cid:durableId="987437208">
    <w:abstractNumId w:val="7"/>
  </w:num>
  <w:num w:numId="8" w16cid:durableId="1172333902">
    <w:abstractNumId w:val="4"/>
  </w:num>
  <w:num w:numId="9" w16cid:durableId="1703676829">
    <w:abstractNumId w:val="1"/>
  </w:num>
  <w:num w:numId="10" w16cid:durableId="1389111572">
    <w:abstractNumId w:val="0"/>
  </w:num>
  <w:num w:numId="11" w16cid:durableId="1620378377">
    <w:abstractNumId w:val="10"/>
  </w:num>
  <w:num w:numId="12" w16cid:durableId="1760370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14F69"/>
    <w:rsid w:val="000163FB"/>
    <w:rsid w:val="000171DB"/>
    <w:rsid w:val="00023D9A"/>
    <w:rsid w:val="0003582E"/>
    <w:rsid w:val="00040E77"/>
    <w:rsid w:val="00043D75"/>
    <w:rsid w:val="00055271"/>
    <w:rsid w:val="00057000"/>
    <w:rsid w:val="000640E0"/>
    <w:rsid w:val="00086D80"/>
    <w:rsid w:val="000966A8"/>
    <w:rsid w:val="000A0A5C"/>
    <w:rsid w:val="000A5CA2"/>
    <w:rsid w:val="000D2EEE"/>
    <w:rsid w:val="000E3C61"/>
    <w:rsid w:val="000E3E55"/>
    <w:rsid w:val="000E6083"/>
    <w:rsid w:val="000E6125"/>
    <w:rsid w:val="00100BAF"/>
    <w:rsid w:val="00111D5C"/>
    <w:rsid w:val="00113DBE"/>
    <w:rsid w:val="001200A6"/>
    <w:rsid w:val="001215DD"/>
    <w:rsid w:val="001251DA"/>
    <w:rsid w:val="00125432"/>
    <w:rsid w:val="00136DDD"/>
    <w:rsid w:val="00137F40"/>
    <w:rsid w:val="00144BDF"/>
    <w:rsid w:val="00146B5B"/>
    <w:rsid w:val="00155DDC"/>
    <w:rsid w:val="001871EC"/>
    <w:rsid w:val="0019737B"/>
    <w:rsid w:val="001A20C3"/>
    <w:rsid w:val="001A670F"/>
    <w:rsid w:val="001B6A45"/>
    <w:rsid w:val="001C1003"/>
    <w:rsid w:val="001C4B91"/>
    <w:rsid w:val="001C62B8"/>
    <w:rsid w:val="001D033C"/>
    <w:rsid w:val="001D22D8"/>
    <w:rsid w:val="001D4296"/>
    <w:rsid w:val="001E6B5C"/>
    <w:rsid w:val="001E7B0E"/>
    <w:rsid w:val="001F141D"/>
    <w:rsid w:val="00200A06"/>
    <w:rsid w:val="00200A98"/>
    <w:rsid w:val="002015BD"/>
    <w:rsid w:val="00201AFA"/>
    <w:rsid w:val="00203D41"/>
    <w:rsid w:val="002229F1"/>
    <w:rsid w:val="00230B96"/>
    <w:rsid w:val="00233F75"/>
    <w:rsid w:val="0025233B"/>
    <w:rsid w:val="002528F9"/>
    <w:rsid w:val="00253DBE"/>
    <w:rsid w:val="00253DC6"/>
    <w:rsid w:val="0025489C"/>
    <w:rsid w:val="002622FA"/>
    <w:rsid w:val="00263518"/>
    <w:rsid w:val="002759E7"/>
    <w:rsid w:val="00277326"/>
    <w:rsid w:val="002951A9"/>
    <w:rsid w:val="002A11C4"/>
    <w:rsid w:val="002A399B"/>
    <w:rsid w:val="002C26C0"/>
    <w:rsid w:val="002C2BC5"/>
    <w:rsid w:val="002D4EA6"/>
    <w:rsid w:val="002E0407"/>
    <w:rsid w:val="002E79CB"/>
    <w:rsid w:val="002F0471"/>
    <w:rsid w:val="002F1714"/>
    <w:rsid w:val="002F5CA7"/>
    <w:rsid w:val="002F7F55"/>
    <w:rsid w:val="0030745F"/>
    <w:rsid w:val="0030780E"/>
    <w:rsid w:val="00314630"/>
    <w:rsid w:val="0032090A"/>
    <w:rsid w:val="00321CDE"/>
    <w:rsid w:val="00333E15"/>
    <w:rsid w:val="003416D3"/>
    <w:rsid w:val="00354363"/>
    <w:rsid w:val="003571BC"/>
    <w:rsid w:val="0036090C"/>
    <w:rsid w:val="00364979"/>
    <w:rsid w:val="00366AA2"/>
    <w:rsid w:val="003848D7"/>
    <w:rsid w:val="00385B9C"/>
    <w:rsid w:val="00385FB5"/>
    <w:rsid w:val="0038715D"/>
    <w:rsid w:val="00392E84"/>
    <w:rsid w:val="00394DBF"/>
    <w:rsid w:val="003957A6"/>
    <w:rsid w:val="00397713"/>
    <w:rsid w:val="003A43EF"/>
    <w:rsid w:val="003A5A61"/>
    <w:rsid w:val="003B60A2"/>
    <w:rsid w:val="003C7445"/>
    <w:rsid w:val="003D7252"/>
    <w:rsid w:val="003E39A2"/>
    <w:rsid w:val="003E57AB"/>
    <w:rsid w:val="003F2BED"/>
    <w:rsid w:val="00400B49"/>
    <w:rsid w:val="0040415B"/>
    <w:rsid w:val="004139E4"/>
    <w:rsid w:val="00415999"/>
    <w:rsid w:val="004363DF"/>
    <w:rsid w:val="00441868"/>
    <w:rsid w:val="00443878"/>
    <w:rsid w:val="004539A8"/>
    <w:rsid w:val="004646F1"/>
    <w:rsid w:val="004712CA"/>
    <w:rsid w:val="0047422E"/>
    <w:rsid w:val="004876A9"/>
    <w:rsid w:val="0049674B"/>
    <w:rsid w:val="004C0673"/>
    <w:rsid w:val="004C4E4E"/>
    <w:rsid w:val="004D0FA5"/>
    <w:rsid w:val="004D39F6"/>
    <w:rsid w:val="004D3FB6"/>
    <w:rsid w:val="004E08F2"/>
    <w:rsid w:val="004F3816"/>
    <w:rsid w:val="004F500A"/>
    <w:rsid w:val="005126A0"/>
    <w:rsid w:val="0051668B"/>
    <w:rsid w:val="00524F81"/>
    <w:rsid w:val="00531B07"/>
    <w:rsid w:val="00543D41"/>
    <w:rsid w:val="00545472"/>
    <w:rsid w:val="005571A4"/>
    <w:rsid w:val="005604FC"/>
    <w:rsid w:val="00566EDA"/>
    <w:rsid w:val="0057081A"/>
    <w:rsid w:val="00572654"/>
    <w:rsid w:val="00577B48"/>
    <w:rsid w:val="005976A1"/>
    <w:rsid w:val="005A34E7"/>
    <w:rsid w:val="005A69A3"/>
    <w:rsid w:val="005B5629"/>
    <w:rsid w:val="005C0300"/>
    <w:rsid w:val="005C27A2"/>
    <w:rsid w:val="005C44E4"/>
    <w:rsid w:val="005C59B9"/>
    <w:rsid w:val="005D4FEB"/>
    <w:rsid w:val="005D65ED"/>
    <w:rsid w:val="005E0E6C"/>
    <w:rsid w:val="005F4B6A"/>
    <w:rsid w:val="006010F3"/>
    <w:rsid w:val="00615A0A"/>
    <w:rsid w:val="006333D4"/>
    <w:rsid w:val="006369B2"/>
    <w:rsid w:val="0063718D"/>
    <w:rsid w:val="006374F8"/>
    <w:rsid w:val="00647525"/>
    <w:rsid w:val="00647A71"/>
    <w:rsid w:val="006530A8"/>
    <w:rsid w:val="006570B0"/>
    <w:rsid w:val="0066022F"/>
    <w:rsid w:val="006630B5"/>
    <w:rsid w:val="006645EB"/>
    <w:rsid w:val="006748F5"/>
    <w:rsid w:val="006823F3"/>
    <w:rsid w:val="0069210B"/>
    <w:rsid w:val="00693139"/>
    <w:rsid w:val="00695DD7"/>
    <w:rsid w:val="006A0F3F"/>
    <w:rsid w:val="006A2A02"/>
    <w:rsid w:val="006A4055"/>
    <w:rsid w:val="006A7C27"/>
    <w:rsid w:val="006B2FE4"/>
    <w:rsid w:val="006B37B0"/>
    <w:rsid w:val="006B6BA2"/>
    <w:rsid w:val="006C5641"/>
    <w:rsid w:val="006D1089"/>
    <w:rsid w:val="006D1B86"/>
    <w:rsid w:val="006D2290"/>
    <w:rsid w:val="006D7355"/>
    <w:rsid w:val="006F0797"/>
    <w:rsid w:val="006F7DEE"/>
    <w:rsid w:val="00704638"/>
    <w:rsid w:val="00715CA6"/>
    <w:rsid w:val="00731135"/>
    <w:rsid w:val="007324AF"/>
    <w:rsid w:val="007347D6"/>
    <w:rsid w:val="007409B4"/>
    <w:rsid w:val="00741974"/>
    <w:rsid w:val="007454B6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B6498"/>
    <w:rsid w:val="007C5ED4"/>
    <w:rsid w:val="007C7122"/>
    <w:rsid w:val="007D3F11"/>
    <w:rsid w:val="007E02D0"/>
    <w:rsid w:val="007E2C69"/>
    <w:rsid w:val="007E53E4"/>
    <w:rsid w:val="007E656A"/>
    <w:rsid w:val="007F3CAA"/>
    <w:rsid w:val="007F664D"/>
    <w:rsid w:val="00801B42"/>
    <w:rsid w:val="00806DC8"/>
    <w:rsid w:val="008249A7"/>
    <w:rsid w:val="00836D45"/>
    <w:rsid w:val="00837203"/>
    <w:rsid w:val="00842137"/>
    <w:rsid w:val="0084715D"/>
    <w:rsid w:val="00851E6C"/>
    <w:rsid w:val="00853F5F"/>
    <w:rsid w:val="00856C7A"/>
    <w:rsid w:val="008623ED"/>
    <w:rsid w:val="00875AA6"/>
    <w:rsid w:val="00880944"/>
    <w:rsid w:val="0089088E"/>
    <w:rsid w:val="00892297"/>
    <w:rsid w:val="008964D6"/>
    <w:rsid w:val="008B5123"/>
    <w:rsid w:val="008B7C3A"/>
    <w:rsid w:val="008C5A9A"/>
    <w:rsid w:val="008D1E1E"/>
    <w:rsid w:val="008E0172"/>
    <w:rsid w:val="008E436B"/>
    <w:rsid w:val="008E7AAF"/>
    <w:rsid w:val="008F2E1F"/>
    <w:rsid w:val="00901B81"/>
    <w:rsid w:val="00936852"/>
    <w:rsid w:val="0094045D"/>
    <w:rsid w:val="009406B5"/>
    <w:rsid w:val="00946166"/>
    <w:rsid w:val="00965E85"/>
    <w:rsid w:val="00966B5C"/>
    <w:rsid w:val="00983164"/>
    <w:rsid w:val="00984252"/>
    <w:rsid w:val="00984393"/>
    <w:rsid w:val="00994011"/>
    <w:rsid w:val="009972EF"/>
    <w:rsid w:val="009B5035"/>
    <w:rsid w:val="009C3160"/>
    <w:rsid w:val="009D399E"/>
    <w:rsid w:val="009D644B"/>
    <w:rsid w:val="009E4B6B"/>
    <w:rsid w:val="009E766E"/>
    <w:rsid w:val="009F1960"/>
    <w:rsid w:val="009F4B1A"/>
    <w:rsid w:val="009F6C5F"/>
    <w:rsid w:val="009F715E"/>
    <w:rsid w:val="009F78FE"/>
    <w:rsid w:val="00A10DBB"/>
    <w:rsid w:val="00A11720"/>
    <w:rsid w:val="00A21247"/>
    <w:rsid w:val="00A219DA"/>
    <w:rsid w:val="00A311F0"/>
    <w:rsid w:val="00A31D47"/>
    <w:rsid w:val="00A33582"/>
    <w:rsid w:val="00A4013E"/>
    <w:rsid w:val="00A4045F"/>
    <w:rsid w:val="00A427CD"/>
    <w:rsid w:val="00A45FEE"/>
    <w:rsid w:val="00A4600B"/>
    <w:rsid w:val="00A46C5D"/>
    <w:rsid w:val="00A50506"/>
    <w:rsid w:val="00A51EF0"/>
    <w:rsid w:val="00A600CD"/>
    <w:rsid w:val="00A6361C"/>
    <w:rsid w:val="00A67A81"/>
    <w:rsid w:val="00A67BDD"/>
    <w:rsid w:val="00A704B9"/>
    <w:rsid w:val="00A730A6"/>
    <w:rsid w:val="00A827B0"/>
    <w:rsid w:val="00A829D3"/>
    <w:rsid w:val="00A96899"/>
    <w:rsid w:val="00A971A0"/>
    <w:rsid w:val="00A97CB3"/>
    <w:rsid w:val="00AA1186"/>
    <w:rsid w:val="00AA1F22"/>
    <w:rsid w:val="00AB37FB"/>
    <w:rsid w:val="00AC3E73"/>
    <w:rsid w:val="00AC63B0"/>
    <w:rsid w:val="00AD4751"/>
    <w:rsid w:val="00AE4178"/>
    <w:rsid w:val="00B0042B"/>
    <w:rsid w:val="00B05821"/>
    <w:rsid w:val="00B100D6"/>
    <w:rsid w:val="00B164C9"/>
    <w:rsid w:val="00B226F3"/>
    <w:rsid w:val="00B2519B"/>
    <w:rsid w:val="00B26C28"/>
    <w:rsid w:val="00B4174C"/>
    <w:rsid w:val="00B453F5"/>
    <w:rsid w:val="00B5162E"/>
    <w:rsid w:val="00B61624"/>
    <w:rsid w:val="00B66481"/>
    <w:rsid w:val="00B7189C"/>
    <w:rsid w:val="00B718A5"/>
    <w:rsid w:val="00B76724"/>
    <w:rsid w:val="00B86602"/>
    <w:rsid w:val="00BA5EEF"/>
    <w:rsid w:val="00BA7411"/>
    <w:rsid w:val="00BA788A"/>
    <w:rsid w:val="00BB4120"/>
    <w:rsid w:val="00BB4983"/>
    <w:rsid w:val="00BB7597"/>
    <w:rsid w:val="00BC62E2"/>
    <w:rsid w:val="00BD084D"/>
    <w:rsid w:val="00BE4AC3"/>
    <w:rsid w:val="00C279EE"/>
    <w:rsid w:val="00C42125"/>
    <w:rsid w:val="00C47120"/>
    <w:rsid w:val="00C557CE"/>
    <w:rsid w:val="00C62534"/>
    <w:rsid w:val="00C62814"/>
    <w:rsid w:val="00C67B25"/>
    <w:rsid w:val="00C748F7"/>
    <w:rsid w:val="00C74937"/>
    <w:rsid w:val="00C8148D"/>
    <w:rsid w:val="00CB2599"/>
    <w:rsid w:val="00CC386F"/>
    <w:rsid w:val="00CD2139"/>
    <w:rsid w:val="00CE5986"/>
    <w:rsid w:val="00D10A47"/>
    <w:rsid w:val="00D1590A"/>
    <w:rsid w:val="00D26477"/>
    <w:rsid w:val="00D56CC3"/>
    <w:rsid w:val="00D61A45"/>
    <w:rsid w:val="00D647EF"/>
    <w:rsid w:val="00D73137"/>
    <w:rsid w:val="00D7339F"/>
    <w:rsid w:val="00D8315E"/>
    <w:rsid w:val="00D837EF"/>
    <w:rsid w:val="00D8486F"/>
    <w:rsid w:val="00D8534C"/>
    <w:rsid w:val="00D924B7"/>
    <w:rsid w:val="00D977A2"/>
    <w:rsid w:val="00DA1D47"/>
    <w:rsid w:val="00DB0706"/>
    <w:rsid w:val="00DD50DE"/>
    <w:rsid w:val="00DE0967"/>
    <w:rsid w:val="00DE1204"/>
    <w:rsid w:val="00DE3062"/>
    <w:rsid w:val="00DF568A"/>
    <w:rsid w:val="00E00C97"/>
    <w:rsid w:val="00E04AE6"/>
    <w:rsid w:val="00E0581D"/>
    <w:rsid w:val="00E1590B"/>
    <w:rsid w:val="00E204DD"/>
    <w:rsid w:val="00E228B7"/>
    <w:rsid w:val="00E353EC"/>
    <w:rsid w:val="00E51F61"/>
    <w:rsid w:val="00E53C24"/>
    <w:rsid w:val="00E56E77"/>
    <w:rsid w:val="00E65FA4"/>
    <w:rsid w:val="00EA0BE7"/>
    <w:rsid w:val="00EB444D"/>
    <w:rsid w:val="00ED1B45"/>
    <w:rsid w:val="00EE1A06"/>
    <w:rsid w:val="00EE5C0D"/>
    <w:rsid w:val="00EF169E"/>
    <w:rsid w:val="00EF4792"/>
    <w:rsid w:val="00EF76DC"/>
    <w:rsid w:val="00F02294"/>
    <w:rsid w:val="00F038BA"/>
    <w:rsid w:val="00F30DE7"/>
    <w:rsid w:val="00F35F57"/>
    <w:rsid w:val="00F35FA0"/>
    <w:rsid w:val="00F36194"/>
    <w:rsid w:val="00F50467"/>
    <w:rsid w:val="00F562A0"/>
    <w:rsid w:val="00F57FA4"/>
    <w:rsid w:val="00F72B88"/>
    <w:rsid w:val="00F9547A"/>
    <w:rsid w:val="00FA02CB"/>
    <w:rsid w:val="00FA2177"/>
    <w:rsid w:val="00FB0783"/>
    <w:rsid w:val="00FB7A8B"/>
    <w:rsid w:val="00FC2485"/>
    <w:rsid w:val="00FD439E"/>
    <w:rsid w:val="00FD76CB"/>
    <w:rsid w:val="00FE152B"/>
    <w:rsid w:val="00FE2042"/>
    <w:rsid w:val="00FE239E"/>
    <w:rsid w:val="00FE2528"/>
    <w:rsid w:val="00FE399B"/>
    <w:rsid w:val="00FE5877"/>
    <w:rsid w:val="00FF1151"/>
    <w:rsid w:val="00FF4546"/>
    <w:rsid w:val="00FF538F"/>
    <w:rsid w:val="00FF6A5A"/>
    <w:rsid w:val="07C43EF1"/>
    <w:rsid w:val="07F44DFF"/>
    <w:rsid w:val="08FE7BBB"/>
    <w:rsid w:val="096F6197"/>
    <w:rsid w:val="0BA505C9"/>
    <w:rsid w:val="0BE80E47"/>
    <w:rsid w:val="0C115437"/>
    <w:rsid w:val="0D080344"/>
    <w:rsid w:val="0D62036A"/>
    <w:rsid w:val="0D867784"/>
    <w:rsid w:val="0E427DE9"/>
    <w:rsid w:val="0F472D9F"/>
    <w:rsid w:val="0F721887"/>
    <w:rsid w:val="0FAA12BA"/>
    <w:rsid w:val="0FE27882"/>
    <w:rsid w:val="126C21DF"/>
    <w:rsid w:val="15022E11"/>
    <w:rsid w:val="160C53F2"/>
    <w:rsid w:val="16EA37EA"/>
    <w:rsid w:val="172C6957"/>
    <w:rsid w:val="1A0F4E12"/>
    <w:rsid w:val="1CEA2117"/>
    <w:rsid w:val="1F39493F"/>
    <w:rsid w:val="1FC7596E"/>
    <w:rsid w:val="2149A48D"/>
    <w:rsid w:val="227A2A68"/>
    <w:rsid w:val="24B66B14"/>
    <w:rsid w:val="252B095C"/>
    <w:rsid w:val="29E101C5"/>
    <w:rsid w:val="2A9F5DA0"/>
    <w:rsid w:val="2EAE298C"/>
    <w:rsid w:val="2EE039D2"/>
    <w:rsid w:val="2F815E2F"/>
    <w:rsid w:val="31921376"/>
    <w:rsid w:val="32E33521"/>
    <w:rsid w:val="334C0ADD"/>
    <w:rsid w:val="33CE27F2"/>
    <w:rsid w:val="3439E286"/>
    <w:rsid w:val="36F947F6"/>
    <w:rsid w:val="3961769A"/>
    <w:rsid w:val="3CEA0FE1"/>
    <w:rsid w:val="3D0F5C6E"/>
    <w:rsid w:val="3D292976"/>
    <w:rsid w:val="40C02FF3"/>
    <w:rsid w:val="426423AD"/>
    <w:rsid w:val="42E37A1D"/>
    <w:rsid w:val="4FAC2A11"/>
    <w:rsid w:val="504238DD"/>
    <w:rsid w:val="515E4698"/>
    <w:rsid w:val="51AD9656"/>
    <w:rsid w:val="5299729C"/>
    <w:rsid w:val="56703215"/>
    <w:rsid w:val="58DC1B45"/>
    <w:rsid w:val="59FB6560"/>
    <w:rsid w:val="5C4F4919"/>
    <w:rsid w:val="5CCF0614"/>
    <w:rsid w:val="5DEB67C3"/>
    <w:rsid w:val="5E9E6F81"/>
    <w:rsid w:val="5F2257EC"/>
    <w:rsid w:val="622B1464"/>
    <w:rsid w:val="65422E2C"/>
    <w:rsid w:val="669C340C"/>
    <w:rsid w:val="669C40CA"/>
    <w:rsid w:val="674435D5"/>
    <w:rsid w:val="6808013C"/>
    <w:rsid w:val="699A1E3F"/>
    <w:rsid w:val="69AA4EE0"/>
    <w:rsid w:val="69B042A0"/>
    <w:rsid w:val="6A6F6FF2"/>
    <w:rsid w:val="6AEF7BA8"/>
    <w:rsid w:val="6C177787"/>
    <w:rsid w:val="6D282F0A"/>
    <w:rsid w:val="6DF53E3B"/>
    <w:rsid w:val="72340598"/>
    <w:rsid w:val="728668AA"/>
    <w:rsid w:val="72C675D0"/>
    <w:rsid w:val="75D835A3"/>
    <w:rsid w:val="787B2127"/>
    <w:rsid w:val="792A23DD"/>
    <w:rsid w:val="7BD71E91"/>
    <w:rsid w:val="7D5F7F8B"/>
    <w:rsid w:val="7FB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8A1D"/>
  <w15:docId w15:val="{369C474C-77DF-43B8-8851-B2C360B3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EastAsia" w:hAnsi="Consolas"/>
      <w:lang w:eastAsia="ja-JP"/>
    </w:r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TOC7">
    <w:name w:val="toc 7"/>
    <w:basedOn w:val="Normal"/>
    <w:next w:val="Normal"/>
    <w:uiPriority w:val="39"/>
    <w:semiHidden/>
    <w:unhideWhenUsed/>
    <w:qFormat/>
    <w:pPr>
      <w:spacing w:after="100"/>
      <w:ind w:left="1440"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1"/>
      </w:numPr>
      <w:tabs>
        <w:tab w:val="clear" w:pos="643"/>
        <w:tab w:val="left" w:pos="360"/>
      </w:tabs>
      <w:ind w:left="0" w:firstLine="0"/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before="0"/>
    </w:pPr>
  </w:style>
  <w:style w:type="paragraph" w:styleId="ListBullet4">
    <w:name w:val="List Bullet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uiPriority w:val="99"/>
    <w:semiHidden/>
    <w:unhideWhenUsed/>
    <w:qFormat/>
    <w:pPr>
      <w:spacing w:before="0"/>
      <w:ind w:left="1920" w:hanging="24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before="0"/>
    </w:p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before="0"/>
      <w:ind w:left="1200" w:hanging="240"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before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before="0"/>
      <w:ind w:left="1440" w:hanging="2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before="0"/>
      <w:ind w:left="4320"/>
    </w:pPr>
  </w:style>
  <w:style w:type="paragraph" w:styleId="ListBullet3">
    <w:name w:val="List Bullet 3"/>
    <w:basedOn w:val="Normal"/>
    <w:uiPriority w:val="99"/>
    <w:semiHidden/>
    <w:unhideWhenUsed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6"/>
      </w:numPr>
      <w:contextualSpacing/>
    </w:p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before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before="0"/>
      <w:ind w:left="960" w:hanging="240"/>
    </w:pPr>
  </w:style>
  <w:style w:type="paragraph" w:styleId="TOC5">
    <w:name w:val="toc 5"/>
    <w:basedOn w:val="Normal"/>
    <w:next w:val="Normal"/>
    <w:uiPriority w:val="39"/>
    <w:semiHidden/>
    <w:unhideWhenUsed/>
    <w:qFormat/>
    <w:pPr>
      <w:spacing w:after="100"/>
      <w:ind w:left="960"/>
    </w:pPr>
  </w:style>
  <w:style w:type="paragraph" w:styleId="TOC3">
    <w:name w:val="toc 3"/>
    <w:basedOn w:val="TOC2"/>
    <w:next w:val="Normal"/>
    <w:qFormat/>
    <w:pPr>
      <w:ind w:left="2269"/>
    </w:pPr>
  </w:style>
  <w:style w:type="paragraph" w:styleId="TOC2">
    <w:name w:val="toc 2"/>
    <w:basedOn w:val="TOC1"/>
    <w:next w:val="Normal"/>
    <w:uiPriority w:val="39"/>
    <w:qFormat/>
    <w:pPr>
      <w:spacing w:before="80"/>
      <w:ind w:left="1531" w:hanging="851"/>
    </w:pPr>
  </w:style>
  <w:style w:type="paragraph" w:styleId="TOC1">
    <w:name w:val="toc 1"/>
    <w:basedOn w:val="Normal"/>
    <w:next w:val="Normal"/>
    <w:uiPriority w:val="39"/>
    <w:qFormat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before="0"/>
    </w:pPr>
    <w:rPr>
      <w:rFonts w:ascii="Consolas" w:hAnsi="Consolas"/>
      <w:sz w:val="21"/>
      <w:szCs w:val="21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TOC8">
    <w:name w:val="toc 8"/>
    <w:basedOn w:val="Normal"/>
    <w:next w:val="Normal"/>
    <w:uiPriority w:val="39"/>
    <w:semiHidden/>
    <w:unhideWhenUsed/>
    <w:qFormat/>
    <w:pPr>
      <w:spacing w:after="100"/>
      <w:ind w:left="1680"/>
    </w:p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before="0"/>
      <w:ind w:left="720" w:hanging="2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  <w:rPr>
      <w:sz w:val="20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qFormat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before="0"/>
      <w:ind w:left="4320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uiPriority w:val="39"/>
    <w:semiHidden/>
    <w:unhideWhenUsed/>
    <w:qFormat/>
    <w:pPr>
      <w:spacing w:after="100"/>
      <w:ind w:left="7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before="0"/>
      <w:ind w:left="240" w:hanging="24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qFormat/>
    <w:pPr>
      <w:spacing w:after="100"/>
      <w:ind w:left="1200"/>
    </w:p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before="0"/>
      <w:ind w:left="1680" w:hanging="24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before="0"/>
      <w:ind w:left="2160" w:hanging="240"/>
    </w:pPr>
  </w:style>
  <w:style w:type="paragraph" w:styleId="TableofFigures">
    <w:name w:val="table of figures"/>
    <w:basedOn w:val="Normal"/>
    <w:next w:val="Normal"/>
    <w:uiPriority w:val="99"/>
    <w:qFormat/>
    <w:pPr>
      <w:tabs>
        <w:tab w:val="right" w:leader="dot" w:pos="9639"/>
      </w:tabs>
    </w:pPr>
    <w:rPr>
      <w:rFonts w:eastAsia="MS Mincho"/>
    </w:rPr>
  </w:style>
  <w:style w:type="paragraph" w:styleId="TOC9">
    <w:name w:val="toc 9"/>
    <w:basedOn w:val="Normal"/>
    <w:next w:val="Normal"/>
    <w:uiPriority w:val="39"/>
    <w:semiHidden/>
    <w:unhideWhenUsed/>
    <w:qFormat/>
    <w:pPr>
      <w:spacing w:after="100"/>
      <w:ind w:left="1920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before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1080"/>
      <w:contextualSpacing/>
    </w:pPr>
  </w:style>
  <w:style w:type="paragraph" w:styleId="Index2">
    <w:name w:val="index 2"/>
    <w:basedOn w:val="Normal"/>
    <w:next w:val="Normal"/>
    <w:uiPriority w:val="99"/>
    <w:semiHidden/>
    <w:unhideWhenUsed/>
    <w:qFormat/>
    <w:pPr>
      <w:spacing w:before="0"/>
      <w:ind w:left="480" w:hanging="24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0"/>
      <w:ind w:firstLine="36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TMLDefinition">
    <w:name w:val="HTML Definition"/>
    <w:basedOn w:val="DefaultParagraphFont"/>
    <w:uiPriority w:val="99"/>
    <w:semiHidden/>
    <w:unhideWhenUsed/>
    <w:qFormat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</w:style>
  <w:style w:type="paragraph" w:customStyle="1" w:styleId="CorrectionSeparatorBegin">
    <w:name w:val="Correction Separator Begin"/>
    <w:basedOn w:val="Normal"/>
    <w:qFormat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Pr>
      <w:b/>
      <w:bCs/>
    </w:rPr>
  </w:style>
  <w:style w:type="paragraph" w:customStyle="1" w:styleId="Normalbeforetable">
    <w:name w:val="Normal before table"/>
    <w:basedOn w:val="Normal"/>
    <w:qFormat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0"/>
      <w:szCs w:val="24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1">
    <w:name w:val="修订1"/>
    <w:hidden/>
    <w:uiPriority w:val="99"/>
    <w:semiHidden/>
    <w:qFormat/>
    <w:rPr>
      <w:rFonts w:eastAsiaTheme="minorEastAsia"/>
      <w:sz w:val="24"/>
      <w:szCs w:val="24"/>
      <w:lang w:eastAsia="ja-JP"/>
    </w:rPr>
  </w:style>
  <w:style w:type="paragraph" w:customStyle="1" w:styleId="VenueDate">
    <w:name w:val="VenueDate"/>
    <w:basedOn w:val="Normal"/>
    <w:qFormat/>
    <w:pPr>
      <w:jc w:val="righ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ReftextArial9pt">
    <w:name w:val="Ref_text Arial 9 pt"/>
    <w:qFormat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12">
    <w:name w:val="书目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13">
    <w:name w:val="书籍标题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14">
    <w:name w:val="井号标签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15">
    <w:name w:val="明显强调1"/>
    <w:basedOn w:val="DefaultParagraphFont"/>
    <w:uiPriority w:val="21"/>
    <w:qFormat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customStyle="1" w:styleId="16">
    <w:name w:val="明显参考1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rPr>
      <w:rFonts w:eastAsiaTheme="minorEastAsia"/>
      <w:sz w:val="24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 w:cs="Times New Roman"/>
      <w:sz w:val="21"/>
      <w:szCs w:val="21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17">
    <w:name w:val="智能超链接1"/>
    <w:basedOn w:val="DefaultParagraphFont"/>
    <w:uiPriority w:val="99"/>
    <w:semiHidden/>
    <w:unhideWhenUsed/>
    <w:qFormat/>
    <w:rPr>
      <w:u w:val="dotted"/>
    </w:rPr>
  </w:style>
  <w:style w:type="character" w:customStyle="1" w:styleId="18">
    <w:name w:val="智能链接1"/>
    <w:basedOn w:val="DefaultParagraphFont"/>
    <w:uiPriority w:val="99"/>
    <w:semiHidden/>
    <w:unhideWhenUsed/>
    <w:qFormat/>
    <w:rPr>
      <w:color w:val="0000FF"/>
      <w:u w:val="single"/>
      <w:shd w:val="clear" w:color="auto" w:fill="F3F2F1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lang w:val="en-GB" w:eastAsia="ja-JP"/>
    </w:rPr>
  </w:style>
  <w:style w:type="character" w:customStyle="1" w:styleId="19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1a">
    <w:name w:val="不明显参考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</w:style>
  <w:style w:type="paragraph" w:customStyle="1" w:styleId="TSBHeaderSource">
    <w:name w:val="TSBHeaderSource"/>
    <w:basedOn w:val="Normal"/>
    <w:qFormat/>
  </w:style>
  <w:style w:type="paragraph" w:customStyle="1" w:styleId="TSBHeaderTitle">
    <w:name w:val="TSBHeaderTitle"/>
    <w:basedOn w:val="Normal"/>
    <w:qFormat/>
  </w:style>
  <w:style w:type="paragraph" w:customStyle="1" w:styleId="TSBHeaderSummary">
    <w:name w:val="TSBHeaderSummary"/>
    <w:basedOn w:val="Normal"/>
    <w:qFormat/>
  </w:style>
  <w:style w:type="paragraph" w:customStyle="1" w:styleId="LSForAction">
    <w:name w:val="LSForAction"/>
    <w:basedOn w:val="Normal"/>
    <w:next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LSForInfo">
    <w:name w:val="LSForInfo"/>
    <w:basedOn w:val="Normal"/>
    <w:next w:val="Normal"/>
    <w:qFormat/>
    <w:rPr>
      <w:rFonts w:eastAsiaTheme="minorHAnsi"/>
      <w:bCs/>
    </w:rPr>
  </w:style>
  <w:style w:type="paragraph" w:customStyle="1" w:styleId="LSApproval">
    <w:name w:val="LSApproval"/>
    <w:basedOn w:val="Normal"/>
    <w:qFormat/>
    <w:rPr>
      <w:b/>
      <w:bCs/>
    </w:rPr>
  </w:style>
  <w:style w:type="paragraph" w:customStyle="1" w:styleId="LSDeadline">
    <w:name w:val="LSDeadline"/>
    <w:basedOn w:val="Normal"/>
    <w:next w:val="Normal"/>
    <w:qFormat/>
    <w:rPr>
      <w:rFonts w:eastAsiaTheme="minorHAnsi"/>
    </w:rPr>
  </w:style>
  <w:style w:type="paragraph" w:customStyle="1" w:styleId="Revision1">
    <w:name w:val="Revision1"/>
    <w:hidden/>
    <w:uiPriority w:val="99"/>
    <w:unhideWhenUsed/>
    <w:qFormat/>
    <w:rPr>
      <w:rFonts w:eastAsiaTheme="minorEastAsia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00C97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D837EF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jca/COP/Pages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g17/sp18-sg17-00072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workprog/wp_item.aspx?isn=222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25-SG17-251203-TD-PLEN-016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go/tsg1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C8957-81BF-4C6C-BCB2-D41832F758DE}"/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1</TotalTime>
  <Pages>2</Pages>
  <Words>531</Words>
  <Characters>3065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LS/o on the progress of the Correspondence Group on AI Security (CG-AISEC) [to TSAG, ITU-T SGs, ETSI SAI, OECD, IEEE AIS Trust and Agency Committee, ISO/IEC JTC 1/SC 27/WG 4 &amp; WG5, and ISO/IEC JTC 1/SC 42/WG 3]</vt:lpstr>
    </vt:vector>
  </TitlesOfParts>
  <Manager>ITU-T</Manager>
  <Company>International Telecommunication Union (ITU)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termination of JCA-COP (reply to TSAG-LS9)</dc:title>
  <dc:creator>ITU-T Study Group 17</dc:creator>
  <dc:description>TSAG-TD299  For: Geneva, 26-30 January 2026_x000d_Document date: _x000d_Saved by ITU51017913 at 12:18:12 PM on 1/13/2026</dc:description>
  <cp:lastModifiedBy>TSB</cp:lastModifiedBy>
  <cp:revision>3</cp:revision>
  <cp:lastPrinted>2016-12-23T12:52:00Z</cp:lastPrinted>
  <dcterms:created xsi:type="dcterms:W3CDTF">2026-01-13T11:17:00Z</dcterms:created>
  <dcterms:modified xsi:type="dcterms:W3CDTF">2026-01-13T11:18:00Z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TSAG-TD299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All/17</vt:lpwstr>
  </property>
  <property fmtid="{D5CDD505-2E9C-101B-9397-08002B2CF9AE}" pid="7" name="Docdest">
    <vt:lpwstr>Geneva, 26-30 January 2026</vt:lpwstr>
  </property>
  <property fmtid="{D5CDD505-2E9C-101B-9397-08002B2CF9AE}" pid="8" name="Docauthor">
    <vt:lpwstr>ITU-T Study Group 17</vt:lpwstr>
  </property>
  <property fmtid="{D5CDD505-2E9C-101B-9397-08002B2CF9AE}" pid="9" name="KSOProductBuildVer">
    <vt:lpwstr>2052-12.8.2.21555</vt:lpwstr>
  </property>
  <property fmtid="{D5CDD505-2E9C-101B-9397-08002B2CF9AE}" pid="10" name="ICV">
    <vt:lpwstr>42C954D1B86F4FEB92C2306DDC7AED31_13</vt:lpwstr>
  </property>
</Properties>
</file>