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286"/>
        <w:gridCol w:w="169"/>
        <w:gridCol w:w="540"/>
        <w:gridCol w:w="3486"/>
        <w:gridCol w:w="57"/>
        <w:gridCol w:w="3969"/>
      </w:tblGrid>
      <w:tr w:rsidR="00DC2102" w:rsidRPr="00DC2102" w14:paraId="4F68D2C3" w14:textId="77777777" w:rsidTr="00DC2102">
        <w:trPr>
          <w:cantSplit/>
        </w:trPr>
        <w:tc>
          <w:tcPr>
            <w:tcW w:w="1132" w:type="dxa"/>
            <w:vMerge w:val="restart"/>
            <w:vAlign w:val="center"/>
          </w:tcPr>
          <w:p w14:paraId="595CAAAF" w14:textId="77777777" w:rsidR="00DC2102" w:rsidRPr="00DC2102" w:rsidRDefault="00DC2102" w:rsidP="00DC2102">
            <w:pPr>
              <w:spacing w:before="0"/>
              <w:jc w:val="center"/>
              <w:rPr>
                <w:sz w:val="20"/>
                <w:szCs w:val="20"/>
              </w:rPr>
            </w:pPr>
            <w:bookmarkStart w:id="0" w:name="dnum" w:colFirst="2" w:colLast="2"/>
            <w:bookmarkStart w:id="1" w:name="dtableau"/>
            <w:r w:rsidRPr="00DC2102">
              <w:rPr>
                <w:noProof/>
              </w:rPr>
              <w:drawing>
                <wp:inline distT="0" distB="0" distL="0" distR="0" wp14:anchorId="7E80826C" wp14:editId="231857AE">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530CD51D" w14:textId="77777777" w:rsidR="00DC2102" w:rsidRPr="00DC2102" w:rsidRDefault="00DC2102" w:rsidP="00DC2102">
            <w:pPr>
              <w:rPr>
                <w:sz w:val="16"/>
                <w:szCs w:val="16"/>
              </w:rPr>
            </w:pPr>
            <w:r w:rsidRPr="00DC2102">
              <w:rPr>
                <w:sz w:val="16"/>
                <w:szCs w:val="16"/>
              </w:rPr>
              <w:t>INTERNATIONAL TELECOMMUNICATION UNION</w:t>
            </w:r>
          </w:p>
          <w:p w14:paraId="2E5895B3" w14:textId="77777777" w:rsidR="00DC2102" w:rsidRPr="00DC2102" w:rsidRDefault="00DC2102" w:rsidP="00DC2102">
            <w:pPr>
              <w:rPr>
                <w:b/>
                <w:bCs/>
                <w:sz w:val="26"/>
                <w:szCs w:val="26"/>
              </w:rPr>
            </w:pPr>
            <w:r w:rsidRPr="00DC2102">
              <w:rPr>
                <w:b/>
                <w:bCs/>
                <w:sz w:val="26"/>
                <w:szCs w:val="26"/>
              </w:rPr>
              <w:t>TELECOMMUNICATION</w:t>
            </w:r>
            <w:r w:rsidRPr="00DC2102">
              <w:rPr>
                <w:b/>
                <w:bCs/>
                <w:sz w:val="26"/>
                <w:szCs w:val="26"/>
              </w:rPr>
              <w:br/>
              <w:t>STANDARDIZATION SECTOR</w:t>
            </w:r>
          </w:p>
          <w:p w14:paraId="1773B78A" w14:textId="0B346B08" w:rsidR="00DC2102" w:rsidRPr="00DC2102" w:rsidRDefault="00DC2102" w:rsidP="00DC2102">
            <w:pPr>
              <w:rPr>
                <w:sz w:val="20"/>
                <w:szCs w:val="20"/>
              </w:rPr>
            </w:pPr>
            <w:r w:rsidRPr="00DC2102">
              <w:rPr>
                <w:sz w:val="20"/>
                <w:szCs w:val="20"/>
              </w:rPr>
              <w:t xml:space="preserve">STUDY PERIOD </w:t>
            </w:r>
            <w:r>
              <w:rPr>
                <w:sz w:val="20"/>
              </w:rPr>
              <w:t>2025-2028</w:t>
            </w:r>
          </w:p>
        </w:tc>
        <w:tc>
          <w:tcPr>
            <w:tcW w:w="4026" w:type="dxa"/>
            <w:gridSpan w:val="2"/>
            <w:vAlign w:val="center"/>
          </w:tcPr>
          <w:p w14:paraId="4D54F5DC" w14:textId="65D9717B" w:rsidR="00DC2102" w:rsidRPr="00DC2102" w:rsidRDefault="00DC2102" w:rsidP="00DC2102">
            <w:pPr>
              <w:pStyle w:val="Docnumber"/>
            </w:pPr>
            <w:r>
              <w:t>TSAG-TD292</w:t>
            </w:r>
          </w:p>
        </w:tc>
      </w:tr>
      <w:tr w:rsidR="00DC2102" w:rsidRPr="00DC2102" w14:paraId="2394D4E6" w14:textId="77777777" w:rsidTr="00DC2102">
        <w:trPr>
          <w:cantSplit/>
        </w:trPr>
        <w:tc>
          <w:tcPr>
            <w:tcW w:w="1132" w:type="dxa"/>
            <w:vMerge/>
          </w:tcPr>
          <w:p w14:paraId="036A5484" w14:textId="77777777" w:rsidR="00DC2102" w:rsidRPr="00DC2102" w:rsidRDefault="00DC2102" w:rsidP="00DC2102">
            <w:pPr>
              <w:rPr>
                <w:smallCaps/>
                <w:sz w:val="20"/>
              </w:rPr>
            </w:pPr>
            <w:bookmarkStart w:id="2" w:name="dsg" w:colFirst="2" w:colLast="2"/>
            <w:bookmarkEnd w:id="0"/>
          </w:p>
        </w:tc>
        <w:tc>
          <w:tcPr>
            <w:tcW w:w="4481" w:type="dxa"/>
            <w:gridSpan w:val="4"/>
            <w:vMerge/>
          </w:tcPr>
          <w:p w14:paraId="2138FEFB" w14:textId="77777777" w:rsidR="00DC2102" w:rsidRPr="00DC2102" w:rsidRDefault="00DC2102" w:rsidP="00DC2102">
            <w:pPr>
              <w:rPr>
                <w:smallCaps/>
                <w:sz w:val="20"/>
              </w:rPr>
            </w:pPr>
          </w:p>
        </w:tc>
        <w:tc>
          <w:tcPr>
            <w:tcW w:w="4026" w:type="dxa"/>
            <w:gridSpan w:val="2"/>
          </w:tcPr>
          <w:p w14:paraId="229AB169" w14:textId="10E2BF81" w:rsidR="00DC2102" w:rsidRPr="00DC2102" w:rsidRDefault="00DC2102" w:rsidP="00DC2102">
            <w:pPr>
              <w:pStyle w:val="TSBHeaderRight14"/>
              <w:rPr>
                <w:smallCaps/>
              </w:rPr>
            </w:pPr>
            <w:r>
              <w:rPr>
                <w:smallCaps/>
              </w:rPr>
              <w:t>TSAG</w:t>
            </w:r>
          </w:p>
        </w:tc>
      </w:tr>
      <w:bookmarkEnd w:id="2"/>
      <w:tr w:rsidR="00DC2102" w:rsidRPr="00DC2102" w14:paraId="3396D910" w14:textId="77777777" w:rsidTr="00DC2102">
        <w:trPr>
          <w:cantSplit/>
        </w:trPr>
        <w:tc>
          <w:tcPr>
            <w:tcW w:w="1132" w:type="dxa"/>
            <w:vMerge/>
            <w:tcBorders>
              <w:bottom w:val="single" w:sz="12" w:space="0" w:color="auto"/>
            </w:tcBorders>
          </w:tcPr>
          <w:p w14:paraId="1FB84789" w14:textId="77777777" w:rsidR="00DC2102" w:rsidRPr="00DC2102" w:rsidRDefault="00DC2102" w:rsidP="00DC2102">
            <w:pPr>
              <w:rPr>
                <w:b/>
                <w:bCs/>
                <w:sz w:val="26"/>
              </w:rPr>
            </w:pPr>
          </w:p>
        </w:tc>
        <w:tc>
          <w:tcPr>
            <w:tcW w:w="4481" w:type="dxa"/>
            <w:gridSpan w:val="4"/>
            <w:vMerge/>
            <w:tcBorders>
              <w:bottom w:val="single" w:sz="12" w:space="0" w:color="auto"/>
            </w:tcBorders>
          </w:tcPr>
          <w:p w14:paraId="7B9D0D49" w14:textId="77777777" w:rsidR="00DC2102" w:rsidRPr="00DC2102" w:rsidRDefault="00DC2102" w:rsidP="00DC2102">
            <w:pPr>
              <w:rPr>
                <w:b/>
                <w:bCs/>
                <w:sz w:val="26"/>
              </w:rPr>
            </w:pPr>
          </w:p>
        </w:tc>
        <w:tc>
          <w:tcPr>
            <w:tcW w:w="4026" w:type="dxa"/>
            <w:gridSpan w:val="2"/>
            <w:tcBorders>
              <w:bottom w:val="single" w:sz="12" w:space="0" w:color="auto"/>
            </w:tcBorders>
            <w:vAlign w:val="center"/>
          </w:tcPr>
          <w:p w14:paraId="5313A467" w14:textId="77777777" w:rsidR="00DC2102" w:rsidRPr="00DC2102" w:rsidRDefault="00DC2102" w:rsidP="00DC2102">
            <w:pPr>
              <w:pStyle w:val="TSBHeaderRight14"/>
            </w:pPr>
            <w:r w:rsidRPr="00DC2102">
              <w:t>Original: English</w:t>
            </w:r>
          </w:p>
        </w:tc>
      </w:tr>
      <w:tr w:rsidR="00DC2102" w:rsidRPr="00DC2102" w14:paraId="779562EA" w14:textId="77777777" w:rsidTr="00DC2102">
        <w:trPr>
          <w:cantSplit/>
        </w:trPr>
        <w:tc>
          <w:tcPr>
            <w:tcW w:w="1587" w:type="dxa"/>
            <w:gridSpan w:val="3"/>
          </w:tcPr>
          <w:p w14:paraId="3D1205E4" w14:textId="779C9801" w:rsidR="00DC2102" w:rsidRPr="00DC2102" w:rsidRDefault="00DC2102" w:rsidP="00DC2102">
            <w:pPr>
              <w:rPr>
                <w:b/>
                <w:bCs/>
              </w:rPr>
            </w:pPr>
            <w:bookmarkStart w:id="3" w:name="dbluepink" w:colFirst="1" w:colLast="1"/>
            <w:bookmarkStart w:id="4" w:name="dmeeting" w:colFirst="2" w:colLast="2"/>
          </w:p>
        </w:tc>
        <w:tc>
          <w:tcPr>
            <w:tcW w:w="4026" w:type="dxa"/>
            <w:gridSpan w:val="2"/>
          </w:tcPr>
          <w:p w14:paraId="7778D5D0" w14:textId="529D4CEA" w:rsidR="00DC2102" w:rsidRPr="00DC2102" w:rsidRDefault="00DC2102" w:rsidP="00DC2102">
            <w:pPr>
              <w:pStyle w:val="TSBHeaderQuestion"/>
            </w:pPr>
          </w:p>
        </w:tc>
        <w:tc>
          <w:tcPr>
            <w:tcW w:w="4026" w:type="dxa"/>
            <w:gridSpan w:val="2"/>
          </w:tcPr>
          <w:p w14:paraId="71AF9288" w14:textId="6D3FFA37" w:rsidR="00DC2102" w:rsidRPr="00DC2102" w:rsidRDefault="00DC2102" w:rsidP="00DC2102">
            <w:pPr>
              <w:pStyle w:val="VenueDate"/>
            </w:pPr>
            <w:r w:rsidRPr="00DC2102">
              <w:t>Geneva, 26-30 January 2026</w:t>
            </w:r>
          </w:p>
        </w:tc>
      </w:tr>
      <w:tr w:rsidR="00DC2102" w:rsidRPr="00DC2102" w14:paraId="68171AFC" w14:textId="77777777" w:rsidTr="005F7827">
        <w:trPr>
          <w:cantSplit/>
        </w:trPr>
        <w:tc>
          <w:tcPr>
            <w:tcW w:w="9639" w:type="dxa"/>
            <w:gridSpan w:val="7"/>
          </w:tcPr>
          <w:p w14:paraId="26AA9431" w14:textId="77777777" w:rsidR="00DC2102" w:rsidRPr="00DC2102" w:rsidRDefault="00DC2102" w:rsidP="00DC2102">
            <w:pPr>
              <w:jc w:val="center"/>
              <w:rPr>
                <w:b/>
                <w:bCs/>
              </w:rPr>
            </w:pPr>
            <w:bookmarkStart w:id="5" w:name="ddoctype"/>
            <w:bookmarkEnd w:id="3"/>
            <w:bookmarkEnd w:id="4"/>
            <w:r w:rsidRPr="00DC2102">
              <w:rPr>
                <w:b/>
                <w:bCs/>
              </w:rPr>
              <w:t>TD</w:t>
            </w:r>
          </w:p>
          <w:p w14:paraId="3900A06C" w14:textId="0447105E" w:rsidR="00DC2102" w:rsidRPr="00DC2102" w:rsidRDefault="00DC2102" w:rsidP="00381D89">
            <w:pPr>
              <w:spacing w:before="0"/>
              <w:jc w:val="center"/>
              <w:rPr>
                <w:b/>
                <w:bCs/>
              </w:rPr>
            </w:pPr>
            <w:r w:rsidRPr="00DC2102">
              <w:rPr>
                <w:b/>
                <w:bCs/>
              </w:rPr>
              <w:t xml:space="preserve">(Ref.: </w:t>
            </w:r>
            <w:hyperlink r:id="rId12" w:history="1">
              <w:r w:rsidR="00381D89" w:rsidRPr="00381D89">
                <w:rPr>
                  <w:rStyle w:val="Hyperlink"/>
                  <w:b/>
                  <w:bCs/>
                </w:rPr>
                <w:t>SG17-LS70</w:t>
              </w:r>
            </w:hyperlink>
            <w:r w:rsidRPr="00DC2102">
              <w:rPr>
                <w:b/>
                <w:bCs/>
              </w:rPr>
              <w:t>)</w:t>
            </w:r>
          </w:p>
        </w:tc>
      </w:tr>
      <w:tr w:rsidR="00DC2102" w:rsidRPr="00DC2102" w14:paraId="4955FADA" w14:textId="77777777" w:rsidTr="00DC2102">
        <w:trPr>
          <w:cantSplit/>
        </w:trPr>
        <w:tc>
          <w:tcPr>
            <w:tcW w:w="1587" w:type="dxa"/>
            <w:gridSpan w:val="3"/>
          </w:tcPr>
          <w:p w14:paraId="597327E3" w14:textId="77777777" w:rsidR="00DC2102" w:rsidRPr="00DC2102" w:rsidRDefault="00DC2102" w:rsidP="00DC2102">
            <w:pPr>
              <w:rPr>
                <w:b/>
                <w:bCs/>
              </w:rPr>
            </w:pPr>
            <w:bookmarkStart w:id="6" w:name="dsource" w:colFirst="1" w:colLast="1"/>
            <w:bookmarkEnd w:id="5"/>
            <w:r w:rsidRPr="00DC2102">
              <w:rPr>
                <w:b/>
                <w:bCs/>
              </w:rPr>
              <w:t>Source:</w:t>
            </w:r>
          </w:p>
        </w:tc>
        <w:tc>
          <w:tcPr>
            <w:tcW w:w="8052" w:type="dxa"/>
            <w:gridSpan w:val="4"/>
          </w:tcPr>
          <w:p w14:paraId="31CE1059" w14:textId="4A6EFCED" w:rsidR="00DC2102" w:rsidRPr="00DC2102" w:rsidRDefault="00DC2102" w:rsidP="00DC2102">
            <w:pPr>
              <w:pStyle w:val="TSBHeaderSource"/>
            </w:pPr>
            <w:r w:rsidRPr="00DC2102">
              <w:t>ITU-T Study Group 17</w:t>
            </w:r>
          </w:p>
        </w:tc>
      </w:tr>
      <w:tr w:rsidR="00DC2102" w:rsidRPr="00DC2102" w14:paraId="3F175E11" w14:textId="77777777" w:rsidTr="00DC2102">
        <w:trPr>
          <w:cantSplit/>
        </w:trPr>
        <w:tc>
          <w:tcPr>
            <w:tcW w:w="1587" w:type="dxa"/>
            <w:gridSpan w:val="3"/>
            <w:tcBorders>
              <w:bottom w:val="single" w:sz="8" w:space="0" w:color="auto"/>
            </w:tcBorders>
          </w:tcPr>
          <w:p w14:paraId="028552D8" w14:textId="77777777" w:rsidR="00DC2102" w:rsidRPr="00DC2102" w:rsidRDefault="00DC2102" w:rsidP="00DC2102">
            <w:pPr>
              <w:rPr>
                <w:b/>
                <w:bCs/>
              </w:rPr>
            </w:pPr>
            <w:bookmarkStart w:id="7" w:name="dtitle1" w:colFirst="1" w:colLast="1"/>
            <w:bookmarkEnd w:id="6"/>
            <w:r w:rsidRPr="00DC2102">
              <w:rPr>
                <w:b/>
                <w:bCs/>
              </w:rPr>
              <w:t>Title:</w:t>
            </w:r>
          </w:p>
        </w:tc>
        <w:tc>
          <w:tcPr>
            <w:tcW w:w="8052" w:type="dxa"/>
            <w:gridSpan w:val="4"/>
            <w:tcBorders>
              <w:bottom w:val="single" w:sz="8" w:space="0" w:color="auto"/>
            </w:tcBorders>
          </w:tcPr>
          <w:p w14:paraId="4FC7CD2F" w14:textId="49104D7F" w:rsidR="00DC2102" w:rsidRPr="00DC2102" w:rsidRDefault="00DC2102" w:rsidP="00DC2102">
            <w:pPr>
              <w:pStyle w:val="TSBHeaderTitle"/>
            </w:pPr>
            <w:r w:rsidRPr="00DC2102">
              <w:t>LS</w:t>
            </w:r>
            <w:r>
              <w:t>/</w:t>
            </w:r>
            <w:proofErr w:type="spellStart"/>
            <w:r>
              <w:t>i</w:t>
            </w:r>
            <w:proofErr w:type="spellEnd"/>
            <w:r w:rsidRPr="00DC2102">
              <w:t xml:space="preserve"> on transition of the existing CQR (Co-located Quantum Resistance) meeting into JRG (Joint Rapporteur meeting)</w:t>
            </w:r>
            <w:r>
              <w:t xml:space="preserve"> [from ITU-T SG17]</w:t>
            </w:r>
          </w:p>
        </w:tc>
      </w:tr>
      <w:tr w:rsidR="00763737" w:rsidRPr="006C0459" w14:paraId="17CC4379" w14:textId="77777777">
        <w:tblPrEx>
          <w:tblLook w:val="04A0" w:firstRow="1" w:lastRow="0" w:firstColumn="1" w:lastColumn="0" w:noHBand="0" w:noVBand="1"/>
        </w:tblPrEx>
        <w:trPr>
          <w:cantSplit/>
        </w:trPr>
        <w:tc>
          <w:tcPr>
            <w:tcW w:w="9639" w:type="dxa"/>
            <w:gridSpan w:val="7"/>
            <w:tcBorders>
              <w:top w:val="single" w:sz="8" w:space="0" w:color="auto"/>
              <w:bottom w:val="nil"/>
            </w:tcBorders>
          </w:tcPr>
          <w:p w14:paraId="1162D684" w14:textId="77777777" w:rsidR="00763737" w:rsidRPr="006C0459" w:rsidRDefault="008A4EF6">
            <w:pPr>
              <w:jc w:val="center"/>
              <w:rPr>
                <w:lang w:val="fr-FR"/>
              </w:rPr>
            </w:pPr>
            <w:bookmarkStart w:id="8" w:name="dcontact2"/>
            <w:bookmarkStart w:id="9" w:name="dcontent2" w:colFirst="1" w:colLast="1"/>
            <w:bookmarkEnd w:id="1"/>
            <w:bookmarkEnd w:id="7"/>
            <w:r w:rsidRPr="006C0459">
              <w:rPr>
                <w:b/>
              </w:rPr>
              <w:t>LIAISON STATEMENT</w:t>
            </w:r>
          </w:p>
        </w:tc>
      </w:tr>
      <w:tr w:rsidR="00763737" w:rsidRPr="006C0459" w14:paraId="11A445EC"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1245314E" w14:textId="77777777" w:rsidR="00763737" w:rsidRPr="006C0459" w:rsidRDefault="008A4EF6">
            <w:pPr>
              <w:spacing w:line="256" w:lineRule="auto"/>
              <w:rPr>
                <w:b/>
                <w:bCs/>
              </w:rPr>
            </w:pPr>
            <w:r w:rsidRPr="006C0459">
              <w:rPr>
                <w:b/>
                <w:bCs/>
              </w:rPr>
              <w:t>For action to:</w:t>
            </w:r>
          </w:p>
        </w:tc>
        <w:tc>
          <w:tcPr>
            <w:tcW w:w="7512" w:type="dxa"/>
            <w:gridSpan w:val="3"/>
            <w:tcBorders>
              <w:top w:val="nil"/>
              <w:left w:val="nil"/>
              <w:bottom w:val="nil"/>
              <w:right w:val="nil"/>
            </w:tcBorders>
          </w:tcPr>
          <w:p w14:paraId="03814798" w14:textId="2B66293E" w:rsidR="00763737" w:rsidRPr="006C0459" w:rsidRDefault="00BD2BBE">
            <w:pPr>
              <w:pStyle w:val="LSForAction"/>
              <w:spacing w:line="256" w:lineRule="auto"/>
              <w:rPr>
                <w:rFonts w:eastAsiaTheme="minorEastAsia"/>
                <w:szCs w:val="24"/>
                <w:lang w:val="fr-FR" w:eastAsia="ja-JP"/>
              </w:rPr>
            </w:pPr>
            <w:r>
              <w:rPr>
                <w:rFonts w:eastAsiaTheme="minorEastAsia"/>
                <w:szCs w:val="24"/>
                <w:lang w:eastAsia="zh-CN"/>
              </w:rPr>
              <w:t>-</w:t>
            </w:r>
          </w:p>
        </w:tc>
      </w:tr>
      <w:tr w:rsidR="00763737" w:rsidRPr="003D5AB3" w14:paraId="587098AF"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661B2EF2" w14:textId="77777777" w:rsidR="00763737" w:rsidRPr="006C0459" w:rsidRDefault="008A4EF6">
            <w:pPr>
              <w:spacing w:line="256" w:lineRule="auto"/>
              <w:rPr>
                <w:b/>
                <w:bCs/>
              </w:rPr>
            </w:pPr>
            <w:r w:rsidRPr="006C0459">
              <w:rPr>
                <w:b/>
                <w:bCs/>
              </w:rPr>
              <w:t>For information to:</w:t>
            </w:r>
          </w:p>
        </w:tc>
        <w:tc>
          <w:tcPr>
            <w:tcW w:w="7512" w:type="dxa"/>
            <w:gridSpan w:val="3"/>
            <w:tcBorders>
              <w:top w:val="nil"/>
              <w:left w:val="nil"/>
              <w:bottom w:val="nil"/>
              <w:right w:val="nil"/>
            </w:tcBorders>
          </w:tcPr>
          <w:p w14:paraId="3BE4ED4E" w14:textId="2661C0BD" w:rsidR="00763737" w:rsidRPr="003D5AB3" w:rsidRDefault="00F76AA8">
            <w:pPr>
              <w:pStyle w:val="LSForInfo"/>
              <w:spacing w:line="256" w:lineRule="auto"/>
              <w:rPr>
                <w:rFonts w:eastAsiaTheme="minorEastAsia"/>
                <w:lang w:val="de-AT"/>
              </w:rPr>
            </w:pPr>
            <w:r w:rsidRPr="003D5AB3">
              <w:rPr>
                <w:rFonts w:eastAsiaTheme="minorEastAsia"/>
                <w:lang w:val="de-AT" w:eastAsia="zh-CN"/>
              </w:rPr>
              <w:t xml:space="preserve">TSAG, </w:t>
            </w:r>
            <w:r w:rsidR="003D5AB3" w:rsidRPr="003D5AB3">
              <w:rPr>
                <w:rFonts w:eastAsiaTheme="minorEastAsia"/>
                <w:lang w:val="de-AT" w:eastAsia="zh-CN"/>
              </w:rPr>
              <w:t xml:space="preserve">ITU-T </w:t>
            </w:r>
            <w:r w:rsidR="006C0459" w:rsidRPr="003D5AB3">
              <w:rPr>
                <w:rFonts w:eastAsiaTheme="minorEastAsia"/>
                <w:lang w:val="de-AT" w:eastAsia="zh-CN"/>
              </w:rPr>
              <w:t>SG11</w:t>
            </w:r>
            <w:r w:rsidR="003D5AB3" w:rsidRPr="003D5AB3">
              <w:rPr>
                <w:rFonts w:eastAsiaTheme="minorEastAsia"/>
                <w:lang w:val="de-AT" w:eastAsia="zh-CN"/>
              </w:rPr>
              <w:t>and</w:t>
            </w:r>
            <w:r w:rsidR="006C0459" w:rsidRPr="003D5AB3">
              <w:rPr>
                <w:rFonts w:eastAsiaTheme="minorEastAsia"/>
                <w:lang w:val="de-AT" w:eastAsia="zh-CN"/>
              </w:rPr>
              <w:t xml:space="preserve"> SG13</w:t>
            </w:r>
          </w:p>
        </w:tc>
      </w:tr>
      <w:tr w:rsidR="00763737" w:rsidRPr="006C0459" w14:paraId="5C36B72A" w14:textId="77777777">
        <w:tblPrEx>
          <w:tblLook w:val="04A0" w:firstRow="1" w:lastRow="0" w:firstColumn="1" w:lastColumn="0" w:noHBand="0" w:noVBand="1"/>
        </w:tblPrEx>
        <w:trPr>
          <w:cantSplit/>
        </w:trPr>
        <w:tc>
          <w:tcPr>
            <w:tcW w:w="2127" w:type="dxa"/>
            <w:gridSpan w:val="4"/>
            <w:tcBorders>
              <w:top w:val="nil"/>
              <w:left w:val="nil"/>
              <w:bottom w:val="nil"/>
              <w:right w:val="nil"/>
            </w:tcBorders>
          </w:tcPr>
          <w:p w14:paraId="729E591F" w14:textId="77777777" w:rsidR="00763737" w:rsidRPr="006C0459" w:rsidRDefault="008A4EF6">
            <w:pPr>
              <w:spacing w:line="256" w:lineRule="auto"/>
              <w:rPr>
                <w:b/>
                <w:bCs/>
              </w:rPr>
            </w:pPr>
            <w:r w:rsidRPr="006C0459">
              <w:rPr>
                <w:b/>
                <w:bCs/>
              </w:rPr>
              <w:t>Approval:</w:t>
            </w:r>
          </w:p>
        </w:tc>
        <w:tc>
          <w:tcPr>
            <w:tcW w:w="7512" w:type="dxa"/>
            <w:gridSpan w:val="3"/>
            <w:tcBorders>
              <w:top w:val="nil"/>
              <w:left w:val="nil"/>
              <w:bottom w:val="nil"/>
              <w:right w:val="nil"/>
            </w:tcBorders>
          </w:tcPr>
          <w:p w14:paraId="3FCDFB83" w14:textId="0F2BE576" w:rsidR="00763737" w:rsidRPr="00381D89" w:rsidRDefault="008A4EF6">
            <w:pPr>
              <w:pStyle w:val="LSApproval"/>
              <w:spacing w:line="256" w:lineRule="auto"/>
              <w:rPr>
                <w:b w:val="0"/>
              </w:rPr>
            </w:pPr>
            <w:r w:rsidRPr="00381D89">
              <w:rPr>
                <w:b w:val="0"/>
                <w:lang w:val="en-US"/>
              </w:rPr>
              <w:t xml:space="preserve">ITU-T Study Group </w:t>
            </w:r>
            <w:r w:rsidRPr="00381D89">
              <w:rPr>
                <w:rFonts w:hint="eastAsia"/>
                <w:b w:val="0"/>
                <w:lang w:val="en-US" w:eastAsia="zh-CN"/>
              </w:rPr>
              <w:t xml:space="preserve">17 </w:t>
            </w:r>
            <w:r w:rsidRPr="00381D89">
              <w:rPr>
                <w:b w:val="0"/>
                <w:lang w:val="en-US"/>
              </w:rPr>
              <w:t>meeting</w:t>
            </w:r>
            <w:r w:rsidRPr="00381D89">
              <w:rPr>
                <w:rFonts w:hint="eastAsia"/>
                <w:b w:val="0"/>
                <w:lang w:val="en-US" w:eastAsia="zh-CN"/>
              </w:rPr>
              <w:t xml:space="preserve"> (</w:t>
            </w:r>
            <w:r w:rsidR="006C0459" w:rsidRPr="00381D89">
              <w:rPr>
                <w:b w:val="0"/>
                <w:lang w:val="en-US" w:eastAsia="zh-CN"/>
              </w:rPr>
              <w:t xml:space="preserve">Geneva, </w:t>
            </w:r>
            <w:r w:rsidR="003D5AB3" w:rsidRPr="00381D89">
              <w:rPr>
                <w:b w:val="0"/>
                <w:lang w:val="en-US" w:eastAsia="zh-CN"/>
              </w:rPr>
              <w:t>1</w:t>
            </w:r>
            <w:r w:rsidR="006C0459" w:rsidRPr="00381D89">
              <w:rPr>
                <w:b w:val="0"/>
                <w:lang w:val="en-US" w:eastAsia="zh-CN"/>
              </w:rPr>
              <w:t>1 December 2025</w:t>
            </w:r>
            <w:r w:rsidRPr="00381D89">
              <w:rPr>
                <w:rFonts w:hint="eastAsia"/>
                <w:b w:val="0"/>
                <w:lang w:val="en-US" w:eastAsia="zh-CN"/>
              </w:rPr>
              <w:t>)</w:t>
            </w:r>
          </w:p>
        </w:tc>
      </w:tr>
      <w:tr w:rsidR="00763737" w:rsidRPr="006C0459" w14:paraId="29BBC238" w14:textId="77777777">
        <w:tblPrEx>
          <w:tblLook w:val="04A0" w:firstRow="1" w:lastRow="0" w:firstColumn="1" w:lastColumn="0" w:noHBand="0" w:noVBand="1"/>
        </w:tblPrEx>
        <w:trPr>
          <w:cantSplit/>
        </w:trPr>
        <w:tc>
          <w:tcPr>
            <w:tcW w:w="2127" w:type="dxa"/>
            <w:gridSpan w:val="4"/>
            <w:tcBorders>
              <w:top w:val="nil"/>
              <w:bottom w:val="single" w:sz="8" w:space="0" w:color="auto"/>
            </w:tcBorders>
          </w:tcPr>
          <w:p w14:paraId="3A1DB9A6" w14:textId="77777777" w:rsidR="00763737" w:rsidRPr="006C0459" w:rsidRDefault="008A4EF6">
            <w:pPr>
              <w:spacing w:line="256" w:lineRule="auto"/>
              <w:rPr>
                <w:b/>
                <w:bCs/>
              </w:rPr>
            </w:pPr>
            <w:r w:rsidRPr="006C0459">
              <w:rPr>
                <w:b/>
                <w:bCs/>
              </w:rPr>
              <w:t>Deadline:</w:t>
            </w:r>
          </w:p>
        </w:tc>
        <w:tc>
          <w:tcPr>
            <w:tcW w:w="7512" w:type="dxa"/>
            <w:gridSpan w:val="3"/>
            <w:tcBorders>
              <w:top w:val="nil"/>
              <w:bottom w:val="single" w:sz="8" w:space="0" w:color="auto"/>
            </w:tcBorders>
          </w:tcPr>
          <w:p w14:paraId="2167E4A8" w14:textId="1EE00FDF" w:rsidR="00763737" w:rsidRPr="006C0459" w:rsidRDefault="00381D89">
            <w:pPr>
              <w:pStyle w:val="LSDeadline"/>
              <w:spacing w:line="256" w:lineRule="auto"/>
              <w:rPr>
                <w:rFonts w:eastAsiaTheme="minorEastAsia"/>
              </w:rPr>
            </w:pPr>
            <w:r>
              <w:rPr>
                <w:lang w:eastAsia="zh-CN"/>
              </w:rPr>
              <w:t>-</w:t>
            </w:r>
          </w:p>
        </w:tc>
      </w:tr>
      <w:tr w:rsidR="00763737" w:rsidRPr="00992724" w14:paraId="766CEF5B" w14:textId="77777777">
        <w:tblPrEx>
          <w:tblLook w:val="04A0" w:firstRow="1" w:lastRow="0" w:firstColumn="1" w:lastColumn="0" w:noHBand="0" w:noVBand="1"/>
        </w:tblPrEx>
        <w:trPr>
          <w:cantSplit/>
        </w:trPr>
        <w:tc>
          <w:tcPr>
            <w:tcW w:w="1418" w:type="dxa"/>
            <w:gridSpan w:val="2"/>
            <w:tcBorders>
              <w:top w:val="single" w:sz="8" w:space="0" w:color="auto"/>
              <w:bottom w:val="single" w:sz="8" w:space="0" w:color="auto"/>
            </w:tcBorders>
          </w:tcPr>
          <w:p w14:paraId="2316B93C" w14:textId="77777777" w:rsidR="00763737" w:rsidRPr="006C0459" w:rsidRDefault="008A4EF6">
            <w:pPr>
              <w:rPr>
                <w:b/>
                <w:bCs/>
              </w:rPr>
            </w:pPr>
            <w:r w:rsidRPr="006C0459">
              <w:rPr>
                <w:b/>
                <w:bCs/>
              </w:rPr>
              <w:t>Contact:</w:t>
            </w:r>
          </w:p>
        </w:tc>
        <w:tc>
          <w:tcPr>
            <w:tcW w:w="4252" w:type="dxa"/>
            <w:gridSpan w:val="4"/>
            <w:tcBorders>
              <w:top w:val="single" w:sz="8" w:space="0" w:color="auto"/>
              <w:bottom w:val="single" w:sz="8" w:space="0" w:color="auto"/>
            </w:tcBorders>
          </w:tcPr>
          <w:p w14:paraId="39CCF2F0" w14:textId="2B059036" w:rsidR="00763737" w:rsidRPr="006C0459" w:rsidRDefault="008A4EF6">
            <w:r w:rsidRPr="006C0459">
              <w:rPr>
                <w:lang w:val="es-ES"/>
              </w:rPr>
              <w:t>Arnaud</w:t>
            </w:r>
            <w:r w:rsidRPr="006C0459">
              <w:rPr>
                <w:lang w:val="es-ES" w:eastAsia="zh-CN"/>
              </w:rPr>
              <w:t xml:space="preserve"> </w:t>
            </w:r>
            <w:r w:rsidR="00413029" w:rsidRPr="006C0459">
              <w:rPr>
                <w:lang w:val="es-ES"/>
              </w:rPr>
              <w:t>TADDEI</w:t>
            </w:r>
            <w:r w:rsidRPr="006C0459">
              <w:rPr>
                <w:lang w:val="es-ES"/>
              </w:rPr>
              <w:br/>
              <w:t xml:space="preserve">Chair, </w:t>
            </w:r>
            <w:r w:rsidR="00D31FDA" w:rsidRPr="006C0459">
              <w:rPr>
                <w:lang w:val="es-ES"/>
              </w:rPr>
              <w:t xml:space="preserve">ITU-T </w:t>
            </w:r>
            <w:r w:rsidRPr="006C0459">
              <w:rPr>
                <w:lang w:val="es-ES"/>
              </w:rPr>
              <w:t>SG17</w:t>
            </w:r>
          </w:p>
        </w:tc>
        <w:tc>
          <w:tcPr>
            <w:tcW w:w="3969" w:type="dxa"/>
            <w:tcBorders>
              <w:top w:val="single" w:sz="8" w:space="0" w:color="auto"/>
              <w:bottom w:val="single" w:sz="8" w:space="0" w:color="auto"/>
            </w:tcBorders>
          </w:tcPr>
          <w:p w14:paraId="0690A740" w14:textId="44B4D484" w:rsidR="00763737" w:rsidRPr="006C0459" w:rsidRDefault="008A4EF6">
            <w:pPr>
              <w:rPr>
                <w:lang w:val="fr-CH"/>
              </w:rPr>
            </w:pPr>
            <w:proofErr w:type="gramStart"/>
            <w:r w:rsidRPr="006C0459">
              <w:rPr>
                <w:lang w:val="fr-FR"/>
              </w:rPr>
              <w:t>E-mail:</w:t>
            </w:r>
            <w:proofErr w:type="gramEnd"/>
            <w:r w:rsidRPr="006C0459">
              <w:rPr>
                <w:lang w:val="fr-FR"/>
              </w:rPr>
              <w:t xml:space="preserve"> </w:t>
            </w:r>
            <w:hyperlink r:id="rId13" w:history="1">
              <w:r w:rsidR="00D924C9" w:rsidRPr="006C0459">
                <w:rPr>
                  <w:rStyle w:val="Hyperlink"/>
                  <w:lang w:val="fr-CH"/>
                </w:rPr>
                <w:t>arnaud.taddei@broadcom.com</w:t>
              </w:r>
            </w:hyperlink>
            <w:r w:rsidR="00D924C9" w:rsidRPr="006C0459">
              <w:rPr>
                <w:lang w:val="fr-CH"/>
              </w:rPr>
              <w:t xml:space="preserve"> </w:t>
            </w:r>
          </w:p>
        </w:tc>
      </w:tr>
      <w:tr w:rsidR="006C0459" w:rsidRPr="00992724" w14:paraId="6545A913" w14:textId="77777777">
        <w:tblPrEx>
          <w:tblLook w:val="04A0" w:firstRow="1" w:lastRow="0" w:firstColumn="1" w:lastColumn="0" w:noHBand="0" w:noVBand="1"/>
        </w:tblPrEx>
        <w:trPr>
          <w:cantSplit/>
        </w:trPr>
        <w:tc>
          <w:tcPr>
            <w:tcW w:w="1418" w:type="dxa"/>
            <w:gridSpan w:val="2"/>
            <w:tcBorders>
              <w:top w:val="single" w:sz="8" w:space="0" w:color="auto"/>
              <w:bottom w:val="single" w:sz="8" w:space="0" w:color="auto"/>
            </w:tcBorders>
          </w:tcPr>
          <w:p w14:paraId="4C275D3C" w14:textId="06B4CA44" w:rsidR="006C0459" w:rsidRPr="006C0459" w:rsidRDefault="006C0459" w:rsidP="006C0459">
            <w:pPr>
              <w:rPr>
                <w:b/>
                <w:bCs/>
              </w:rPr>
            </w:pPr>
            <w:r w:rsidRPr="006C0459">
              <w:rPr>
                <w:rFonts w:asciiTheme="majorBidi" w:eastAsia="Batang" w:hAnsiTheme="majorBidi" w:cstheme="majorBidi"/>
                <w:b/>
                <w:bCs/>
              </w:rPr>
              <w:t>Contact:</w:t>
            </w:r>
          </w:p>
        </w:tc>
        <w:tc>
          <w:tcPr>
            <w:tcW w:w="4252" w:type="dxa"/>
            <w:gridSpan w:val="4"/>
            <w:tcBorders>
              <w:top w:val="single" w:sz="8" w:space="0" w:color="auto"/>
              <w:bottom w:val="single" w:sz="8" w:space="0" w:color="auto"/>
            </w:tcBorders>
          </w:tcPr>
          <w:p w14:paraId="1D30A549" w14:textId="2D6EE7C0" w:rsidR="006C0459" w:rsidRPr="00A44AE2" w:rsidRDefault="006C0459" w:rsidP="006C0459">
            <w:pPr>
              <w:rPr>
                <w:lang w:val="fr-FR" w:eastAsia="ko-KR"/>
              </w:rPr>
            </w:pPr>
            <w:r w:rsidRPr="006C0459">
              <w:rPr>
                <w:rFonts w:asciiTheme="majorBidi" w:hAnsiTheme="majorBidi" w:cstheme="majorBidi"/>
                <w:lang w:val="fr-FR"/>
              </w:rPr>
              <w:t>Kaoru Kenyoshi</w:t>
            </w:r>
            <w:r w:rsidRPr="006C0459">
              <w:rPr>
                <w:rFonts w:asciiTheme="majorBidi" w:hAnsiTheme="majorBidi" w:cstheme="majorBidi"/>
                <w:lang w:val="fr-FR"/>
              </w:rPr>
              <w:br/>
              <w:t>Q15/17 Rapporteur, NICT, Japan</w:t>
            </w:r>
            <w:r w:rsidRPr="006C0459">
              <w:rPr>
                <w:rFonts w:asciiTheme="majorBidi" w:eastAsia="Batang" w:hAnsiTheme="majorBidi" w:cstheme="majorBidi"/>
                <w:lang w:val="fr-FR"/>
              </w:rPr>
              <w:t xml:space="preserve"> </w:t>
            </w:r>
          </w:p>
        </w:tc>
        <w:tc>
          <w:tcPr>
            <w:tcW w:w="3969" w:type="dxa"/>
            <w:tcBorders>
              <w:top w:val="single" w:sz="8" w:space="0" w:color="auto"/>
              <w:bottom w:val="single" w:sz="8" w:space="0" w:color="auto"/>
            </w:tcBorders>
          </w:tcPr>
          <w:p w14:paraId="6E4196DE" w14:textId="70378B40" w:rsidR="006C0459" w:rsidRPr="006C0459" w:rsidRDefault="006C0459" w:rsidP="006C0459">
            <w:pPr>
              <w:tabs>
                <w:tab w:val="left" w:pos="794"/>
              </w:tabs>
              <w:rPr>
                <w:lang w:val="fr-CH"/>
              </w:rPr>
            </w:pPr>
            <w:proofErr w:type="gramStart"/>
            <w:r w:rsidRPr="006C0459">
              <w:rPr>
                <w:rFonts w:asciiTheme="majorBidi" w:eastAsia="Batang" w:hAnsiTheme="majorBidi" w:cstheme="majorBidi"/>
                <w:lang w:val="fr-CH"/>
              </w:rPr>
              <w:t>E-mail:</w:t>
            </w:r>
            <w:proofErr w:type="gramEnd"/>
            <w:r w:rsidRPr="006C0459">
              <w:rPr>
                <w:rFonts w:asciiTheme="majorBidi" w:eastAsia="Batang" w:hAnsiTheme="majorBidi" w:cstheme="majorBidi"/>
                <w:lang w:val="fr-CH"/>
              </w:rPr>
              <w:t xml:space="preserve"> </w:t>
            </w:r>
            <w:hyperlink r:id="rId14" w:history="1">
              <w:r w:rsidRPr="006C0459">
                <w:rPr>
                  <w:rStyle w:val="Hyperlink"/>
                  <w:rFonts w:asciiTheme="majorBidi" w:hAnsiTheme="majorBidi" w:cstheme="majorBidi"/>
                  <w:lang w:val="pt-BR"/>
                </w:rPr>
                <w:t>kaoru.kenyoshi@nict.go.jp</w:t>
              </w:r>
            </w:hyperlink>
            <w:r w:rsidRPr="006C0459">
              <w:rPr>
                <w:rFonts w:asciiTheme="majorBidi" w:eastAsia="Batang" w:hAnsiTheme="majorBidi" w:cstheme="majorBidi"/>
                <w:lang w:val="fr-CH"/>
              </w:rPr>
              <w:t xml:space="preserve"> </w:t>
            </w:r>
          </w:p>
        </w:tc>
      </w:tr>
    </w:tbl>
    <w:p w14:paraId="3C74236E" w14:textId="77777777" w:rsidR="00763737" w:rsidRDefault="00763737">
      <w:pPr>
        <w:rPr>
          <w:lang w:val="it-CH"/>
        </w:rPr>
      </w:pPr>
      <w:bookmarkStart w:id="10" w:name="_Hlk98768222"/>
      <w:bookmarkEnd w:id="8"/>
      <w:bookmarkEnd w:id="9"/>
    </w:p>
    <w:tbl>
      <w:tblPr>
        <w:tblW w:w="9639" w:type="dxa"/>
        <w:tblLayout w:type="fixed"/>
        <w:tblCellMar>
          <w:left w:w="57" w:type="dxa"/>
          <w:right w:w="57" w:type="dxa"/>
        </w:tblCellMar>
        <w:tblLook w:val="04A0" w:firstRow="1" w:lastRow="0" w:firstColumn="1" w:lastColumn="0" w:noHBand="0" w:noVBand="1"/>
      </w:tblPr>
      <w:tblGrid>
        <w:gridCol w:w="1588"/>
        <w:gridCol w:w="8051"/>
      </w:tblGrid>
      <w:tr w:rsidR="00763737" w:rsidRPr="00B151AE" w14:paraId="331901F2" w14:textId="77777777">
        <w:trPr>
          <w:cantSplit/>
        </w:trPr>
        <w:tc>
          <w:tcPr>
            <w:tcW w:w="1588" w:type="dxa"/>
          </w:tcPr>
          <w:p w14:paraId="4E801185" w14:textId="77777777" w:rsidR="00763737" w:rsidRDefault="008A4EF6">
            <w:pPr>
              <w:rPr>
                <w:b/>
                <w:bCs/>
              </w:rPr>
            </w:pPr>
            <w:r>
              <w:rPr>
                <w:b/>
                <w:bCs/>
              </w:rPr>
              <w:t>Abstract:</w:t>
            </w:r>
          </w:p>
        </w:tc>
        <w:tc>
          <w:tcPr>
            <w:tcW w:w="8051" w:type="dxa"/>
          </w:tcPr>
          <w:p w14:paraId="222CFE00" w14:textId="5E5422C0" w:rsidR="00763737" w:rsidRPr="00B151AE" w:rsidRDefault="008A4EF6">
            <w:pPr>
              <w:rPr>
                <w:lang w:val="en-US" w:eastAsia="zh-CN"/>
              </w:rPr>
            </w:pPr>
            <w:r w:rsidRPr="00B151AE">
              <w:t xml:space="preserve">This </w:t>
            </w:r>
            <w:r w:rsidR="006A239D" w:rsidRPr="00B151AE">
              <w:t xml:space="preserve">liaison statement </w:t>
            </w:r>
            <w:r w:rsidR="006C3DD5">
              <w:t xml:space="preserve">provides </w:t>
            </w:r>
            <w:r w:rsidR="00952C49">
              <w:t>information</w:t>
            </w:r>
            <w:r w:rsidR="00F76AA8">
              <w:t xml:space="preserve"> </w:t>
            </w:r>
            <w:r w:rsidR="00952C49">
              <w:t xml:space="preserve">on the </w:t>
            </w:r>
            <w:r w:rsidR="002550EB">
              <w:t xml:space="preserve">discussions </w:t>
            </w:r>
            <w:r w:rsidR="00952C49">
              <w:t xml:space="preserve">regarding the possible </w:t>
            </w:r>
            <w:r w:rsidR="00B151AE" w:rsidRPr="00B151AE">
              <w:t xml:space="preserve">transition </w:t>
            </w:r>
            <w:r w:rsidR="00F76AA8">
              <w:t xml:space="preserve">of </w:t>
            </w:r>
            <w:r w:rsidR="00B151AE" w:rsidRPr="00B151AE">
              <w:t xml:space="preserve">the existing CQR (Co-located Quantum Resistance) meeting into JRG </w:t>
            </w:r>
            <w:r w:rsidR="00666FFD">
              <w:t xml:space="preserve">(Joint Rapporteur </w:t>
            </w:r>
            <w:r w:rsidR="002F4D3F">
              <w:t>Group</w:t>
            </w:r>
            <w:r w:rsidR="00666FFD">
              <w:t>)</w:t>
            </w:r>
            <w:r w:rsidR="00B151AE" w:rsidRPr="00B151AE">
              <w:t>.</w:t>
            </w:r>
          </w:p>
        </w:tc>
      </w:tr>
    </w:tbl>
    <w:bookmarkEnd w:id="10"/>
    <w:p w14:paraId="56D28FF5" w14:textId="15FCBD1A" w:rsidR="0072089E" w:rsidRPr="001A2221" w:rsidRDefault="0072089E" w:rsidP="005A5C29">
      <w:pPr>
        <w:tabs>
          <w:tab w:val="left" w:pos="8734"/>
        </w:tabs>
        <w:rPr>
          <w:lang w:eastAsia="ko-KR"/>
        </w:rPr>
      </w:pPr>
      <w:r>
        <w:rPr>
          <w:rFonts w:eastAsia="Times New Roman"/>
          <w:color w:val="000000" w:themeColor="text1"/>
        </w:rPr>
        <w:t xml:space="preserve">ITU-T </w:t>
      </w:r>
      <w:r w:rsidRPr="155C7C7A">
        <w:rPr>
          <w:rFonts w:eastAsia="Times New Roman"/>
          <w:color w:val="000000" w:themeColor="text1"/>
        </w:rPr>
        <w:t xml:space="preserve">SG17 </w:t>
      </w:r>
      <w:r>
        <w:rPr>
          <w:rFonts w:eastAsia="Times New Roman"/>
          <w:color w:val="000000" w:themeColor="text1"/>
        </w:rPr>
        <w:t xml:space="preserve">received an </w:t>
      </w:r>
      <w:r w:rsidRPr="155C7C7A">
        <w:rPr>
          <w:rFonts w:eastAsia="Times New Roman"/>
          <w:color w:val="000000" w:themeColor="text1"/>
        </w:rPr>
        <w:t xml:space="preserve">incoming </w:t>
      </w:r>
      <w:r>
        <w:rPr>
          <w:rFonts w:eastAsia="Times New Roman"/>
          <w:color w:val="000000" w:themeColor="text1"/>
        </w:rPr>
        <w:t>l</w:t>
      </w:r>
      <w:r w:rsidRPr="155C7C7A">
        <w:rPr>
          <w:rFonts w:eastAsia="Times New Roman"/>
          <w:color w:val="000000" w:themeColor="text1"/>
        </w:rPr>
        <w:t>iaison</w:t>
      </w:r>
      <w:r>
        <w:rPr>
          <w:rFonts w:eastAsia="Times New Roman"/>
          <w:color w:val="000000" w:themeColor="text1"/>
        </w:rPr>
        <w:t xml:space="preserve"> statement</w:t>
      </w:r>
      <w:r w:rsidRPr="155C7C7A">
        <w:rPr>
          <w:rFonts w:eastAsia="Times New Roman"/>
          <w:color w:val="000000" w:themeColor="text1"/>
        </w:rPr>
        <w:t xml:space="preserve"> </w:t>
      </w:r>
      <w:r w:rsidR="004C58FA">
        <w:t>from SG13</w:t>
      </w:r>
      <w:r w:rsidR="004C58FA">
        <w:rPr>
          <w:rFonts w:eastAsia="Times New Roman"/>
          <w:color w:val="000000" w:themeColor="text1"/>
        </w:rPr>
        <w:t xml:space="preserve"> </w:t>
      </w:r>
      <w:r w:rsidR="00412CDD">
        <w:rPr>
          <w:rFonts w:eastAsia="Times New Roman"/>
          <w:color w:val="000000" w:themeColor="text1"/>
        </w:rPr>
        <w:t>(</w:t>
      </w:r>
      <w:hyperlink r:id="rId15" w:tooltip="ITU-T ftp file restricted to TIES access only" w:history="1">
        <w:r w:rsidR="00412CDD" w:rsidRPr="001A2221">
          <w:rPr>
            <w:rStyle w:val="Hyperlink"/>
          </w:rPr>
          <w:t>SG13-LS141</w:t>
        </w:r>
      </w:hyperlink>
      <w:r w:rsidR="00412CDD">
        <w:t xml:space="preserve">) </w:t>
      </w:r>
      <w:r w:rsidRPr="155C7C7A">
        <w:rPr>
          <w:rFonts w:eastAsia="Times New Roman"/>
          <w:color w:val="000000" w:themeColor="text1"/>
        </w:rPr>
        <w:t>regarding</w:t>
      </w:r>
      <w:r>
        <w:rPr>
          <w:rFonts w:eastAsia="Times New Roman"/>
          <w:color w:val="000000" w:themeColor="text1"/>
        </w:rPr>
        <w:t xml:space="preserve"> </w:t>
      </w:r>
      <w:r w:rsidR="00E92A0A">
        <w:rPr>
          <w:rFonts w:eastAsia="Times New Roman"/>
          <w:color w:val="000000" w:themeColor="text1"/>
        </w:rPr>
        <w:t xml:space="preserve">the </w:t>
      </w:r>
      <w:r w:rsidR="00BF0028">
        <w:rPr>
          <w:rFonts w:eastAsia="Times New Roman"/>
          <w:color w:val="000000" w:themeColor="text1"/>
        </w:rPr>
        <w:t xml:space="preserve">proposed </w:t>
      </w:r>
      <w:r w:rsidRPr="006C0459">
        <w:t xml:space="preserve">transition </w:t>
      </w:r>
      <w:r w:rsidR="00BF0028">
        <w:t xml:space="preserve">of </w:t>
      </w:r>
      <w:r w:rsidRPr="006C0459">
        <w:t xml:space="preserve">the existing CQR (Co-located Quantum Resistance) meeting into </w:t>
      </w:r>
      <w:r w:rsidR="00BF0028">
        <w:t xml:space="preserve">a </w:t>
      </w:r>
      <w:r w:rsidRPr="006C0459">
        <w:t>JRG on QRC (Joint Rapporteur Group on Quantum Resistant Cryptography)</w:t>
      </w:r>
      <w:r w:rsidR="00E93910">
        <w:t>.</w:t>
      </w:r>
      <w:r>
        <w:t xml:space="preserve"> </w:t>
      </w:r>
      <w:r w:rsidRPr="006C0459">
        <w:t xml:space="preserve"> </w:t>
      </w:r>
      <w:r>
        <w:rPr>
          <w:lang w:eastAsia="ko-KR"/>
        </w:rPr>
        <w:t xml:space="preserve">This </w:t>
      </w:r>
      <w:r w:rsidR="004C58FA">
        <w:rPr>
          <w:lang w:eastAsia="ko-KR"/>
        </w:rPr>
        <w:t xml:space="preserve">SG13 </w:t>
      </w:r>
      <w:r>
        <w:rPr>
          <w:lang w:eastAsia="ko-KR"/>
        </w:rPr>
        <w:t xml:space="preserve">liaison statement </w:t>
      </w:r>
      <w:r w:rsidR="001D5C37">
        <w:rPr>
          <w:lang w:eastAsia="ko-KR"/>
        </w:rPr>
        <w:t xml:space="preserve">explains </w:t>
      </w:r>
      <w:r>
        <w:rPr>
          <w:lang w:eastAsia="ko-KR"/>
        </w:rPr>
        <w:t xml:space="preserve">that </w:t>
      </w:r>
      <w:r w:rsidR="004C58FA">
        <w:rPr>
          <w:lang w:eastAsia="ko-KR"/>
        </w:rPr>
        <w:t xml:space="preserve">SG13 </w:t>
      </w:r>
      <w:r w:rsidRPr="001A2221">
        <w:rPr>
          <w:lang w:eastAsia="ko-KR"/>
        </w:rPr>
        <w:t xml:space="preserve">meeting held from 28 October to 6 November 2025 </w:t>
      </w:r>
      <w:r w:rsidR="004C58FA">
        <w:rPr>
          <w:lang w:eastAsia="ko-KR"/>
        </w:rPr>
        <w:t xml:space="preserve">considered </w:t>
      </w:r>
      <w:r w:rsidR="00A86D43">
        <w:rPr>
          <w:lang w:eastAsia="ko-KR"/>
        </w:rPr>
        <w:t xml:space="preserve">a </w:t>
      </w:r>
      <w:r w:rsidRPr="001A2221">
        <w:rPr>
          <w:lang w:eastAsia="ko-KR"/>
        </w:rPr>
        <w:t xml:space="preserve">request from Korea (Republic of) </w:t>
      </w:r>
      <w:r w:rsidR="004C58FA">
        <w:rPr>
          <w:lang w:eastAsia="ko-KR"/>
        </w:rPr>
        <w:t xml:space="preserve">which </w:t>
      </w:r>
      <w:r w:rsidRPr="001A2221">
        <w:rPr>
          <w:lang w:eastAsia="ko-KR"/>
        </w:rPr>
        <w:t>propose</w:t>
      </w:r>
      <w:r w:rsidR="004C58FA">
        <w:rPr>
          <w:lang w:eastAsia="ko-KR"/>
        </w:rPr>
        <w:t>s</w:t>
      </w:r>
      <w:r w:rsidR="003A4FA7">
        <w:rPr>
          <w:lang w:eastAsia="ko-KR"/>
        </w:rPr>
        <w:t xml:space="preserve"> converting </w:t>
      </w:r>
      <w:r w:rsidRPr="001A2221">
        <w:rPr>
          <w:lang w:eastAsia="ko-KR"/>
        </w:rPr>
        <w:t xml:space="preserve">the CQR meeting into </w:t>
      </w:r>
      <w:r w:rsidR="0080487C">
        <w:rPr>
          <w:lang w:eastAsia="ko-KR"/>
        </w:rPr>
        <w:t xml:space="preserve">a </w:t>
      </w:r>
      <w:r w:rsidRPr="001A2221">
        <w:rPr>
          <w:lang w:eastAsia="ko-KR"/>
        </w:rPr>
        <w:t>JRG</w:t>
      </w:r>
      <w:r w:rsidR="00B11296">
        <w:rPr>
          <w:lang w:eastAsia="ko-KR"/>
        </w:rPr>
        <w:t xml:space="preserve"> and</w:t>
      </w:r>
      <w:r w:rsidRPr="001A2221">
        <w:rPr>
          <w:lang w:eastAsia="ko-KR"/>
        </w:rPr>
        <w:t xml:space="preserve"> </w:t>
      </w:r>
      <w:r w:rsidR="0042087C">
        <w:rPr>
          <w:lang w:eastAsia="ko-KR"/>
        </w:rPr>
        <w:t>recommends</w:t>
      </w:r>
      <w:r w:rsidRPr="001A2221">
        <w:rPr>
          <w:lang w:eastAsia="ko-KR"/>
        </w:rPr>
        <w:t xml:space="preserve"> that </w:t>
      </w:r>
      <w:r w:rsidRPr="001A2221">
        <w:rPr>
          <w:rFonts w:eastAsia="Malgun Gothic"/>
          <w:lang w:val="en-US" w:eastAsia="ko-KR"/>
        </w:rPr>
        <w:t>TSAG be informed for administrative endorsement and po</w:t>
      </w:r>
      <w:r w:rsidR="003664E6">
        <w:rPr>
          <w:rFonts w:eastAsia="Malgun Gothic"/>
          <w:lang w:val="en-US" w:eastAsia="ko-KR"/>
        </w:rPr>
        <w:t>tential inclusion of</w:t>
      </w:r>
      <w:r w:rsidR="00387079">
        <w:rPr>
          <w:rFonts w:eastAsia="Malgun Gothic"/>
          <w:lang w:val="en-US" w:eastAsia="ko-KR"/>
        </w:rPr>
        <w:t xml:space="preserve"> the change</w:t>
      </w:r>
      <w:r w:rsidRPr="001A2221">
        <w:rPr>
          <w:rFonts w:eastAsia="Malgun Gothic"/>
          <w:lang w:val="en-US" w:eastAsia="ko-KR"/>
        </w:rPr>
        <w:t xml:space="preserve"> in the ITU-T structure documentation.</w:t>
      </w:r>
    </w:p>
    <w:p w14:paraId="319339A9" w14:textId="7827D139" w:rsidR="0072089E" w:rsidRDefault="0072089E" w:rsidP="0072089E">
      <w:pPr>
        <w:rPr>
          <w:lang w:val="en-US" w:eastAsia="zh-CN"/>
        </w:rPr>
      </w:pPr>
      <w:r>
        <w:rPr>
          <w:rFonts w:hint="eastAsia"/>
          <w:lang w:val="en-US" w:eastAsia="zh-CN"/>
        </w:rPr>
        <w:t>SG17</w:t>
      </w:r>
      <w:r>
        <w:rPr>
          <w:lang w:eastAsia="zh-CN"/>
        </w:rPr>
        <w:t xml:space="preserve"> is pleased to inform you </w:t>
      </w:r>
      <w:r>
        <w:rPr>
          <w:rFonts w:hint="eastAsia"/>
          <w:lang w:val="en-US" w:eastAsia="zh-CN"/>
        </w:rPr>
        <w:t>that</w:t>
      </w:r>
      <w:r>
        <w:rPr>
          <w:lang w:val="en-US" w:eastAsia="zh-CN"/>
        </w:rPr>
        <w:t xml:space="preserve"> the </w:t>
      </w:r>
      <w:r w:rsidR="00666FFD">
        <w:rPr>
          <w:lang w:val="en-US" w:eastAsia="zh-CN"/>
        </w:rPr>
        <w:t xml:space="preserve">fifth </w:t>
      </w:r>
      <w:r>
        <w:rPr>
          <w:lang w:val="en-US" w:eastAsia="zh-CN"/>
        </w:rPr>
        <w:t xml:space="preserve">CQR </w:t>
      </w:r>
      <w:r w:rsidR="00666FFD">
        <w:rPr>
          <w:lang w:val="en-US" w:eastAsia="zh-CN"/>
        </w:rPr>
        <w:t xml:space="preserve">meeting </w:t>
      </w:r>
      <w:r>
        <w:rPr>
          <w:lang w:val="en-US" w:eastAsia="zh-CN"/>
        </w:rPr>
        <w:t xml:space="preserve">was </w:t>
      </w:r>
      <w:r w:rsidR="007B1D38">
        <w:rPr>
          <w:lang w:val="en-US" w:eastAsia="zh-CN"/>
        </w:rPr>
        <w:t xml:space="preserve">held </w:t>
      </w:r>
      <w:r>
        <w:rPr>
          <w:lang w:val="en-US" w:eastAsia="zh-CN"/>
        </w:rPr>
        <w:t xml:space="preserve">on 8 December </w:t>
      </w:r>
      <w:r w:rsidR="00BF2C47">
        <w:rPr>
          <w:lang w:val="en-US" w:eastAsia="zh-CN"/>
        </w:rPr>
        <w:t>2025</w:t>
      </w:r>
      <w:r w:rsidR="003875B5">
        <w:rPr>
          <w:lang w:val="en-US" w:eastAsia="zh-CN"/>
        </w:rPr>
        <w:t xml:space="preserve"> and</w:t>
      </w:r>
      <w:r w:rsidR="00BF2C47">
        <w:rPr>
          <w:lang w:val="en-US" w:eastAsia="zh-CN"/>
        </w:rPr>
        <w:t xml:space="preserve"> </w:t>
      </w:r>
      <w:r>
        <w:rPr>
          <w:lang w:val="en-US" w:eastAsia="zh-CN"/>
        </w:rPr>
        <w:t>review</w:t>
      </w:r>
      <w:r w:rsidR="00BF2C47">
        <w:rPr>
          <w:lang w:val="en-US" w:eastAsia="zh-CN"/>
        </w:rPr>
        <w:t>ed</w:t>
      </w:r>
      <w:r>
        <w:rPr>
          <w:lang w:val="en-US" w:eastAsia="zh-CN"/>
        </w:rPr>
        <w:t xml:space="preserve"> this </w:t>
      </w:r>
      <w:r w:rsidR="00666FFD">
        <w:rPr>
          <w:lang w:val="en-US" w:eastAsia="zh-CN"/>
        </w:rPr>
        <w:t xml:space="preserve">incoming </w:t>
      </w:r>
      <w:r>
        <w:rPr>
          <w:lang w:val="en-US" w:eastAsia="zh-CN"/>
        </w:rPr>
        <w:t>liaison statement</w:t>
      </w:r>
      <w:r w:rsidR="00F76AA8">
        <w:rPr>
          <w:lang w:val="en-US" w:eastAsia="zh-CN"/>
        </w:rPr>
        <w:t xml:space="preserve"> </w:t>
      </w:r>
      <w:r w:rsidR="004C58FA">
        <w:rPr>
          <w:lang w:val="en-US" w:eastAsia="zh-CN"/>
        </w:rPr>
        <w:t>as well as</w:t>
      </w:r>
      <w:r w:rsidR="00F76AA8">
        <w:rPr>
          <w:lang w:val="en-US" w:eastAsia="zh-CN"/>
        </w:rPr>
        <w:t xml:space="preserve"> </w:t>
      </w:r>
      <w:r w:rsidR="004C58FA">
        <w:rPr>
          <w:lang w:val="en-US" w:eastAsia="zh-CN"/>
        </w:rPr>
        <w:t>relevant C</w:t>
      </w:r>
      <w:r w:rsidR="00F76AA8">
        <w:rPr>
          <w:lang w:val="en-US" w:eastAsia="zh-CN"/>
        </w:rPr>
        <w:t>ontributions</w:t>
      </w:r>
      <w:r w:rsidR="005675E6">
        <w:rPr>
          <w:lang w:val="en-US" w:eastAsia="zh-CN"/>
        </w:rPr>
        <w:t>.</w:t>
      </w:r>
      <w:r w:rsidR="00F76AA8">
        <w:rPr>
          <w:lang w:val="en-US" w:eastAsia="zh-CN"/>
        </w:rPr>
        <w:t xml:space="preserve"> </w:t>
      </w:r>
      <w:r w:rsidR="003875B5" w:rsidRPr="003875B5">
        <w:rPr>
          <w:lang w:val="en-US" w:eastAsia="zh-CN"/>
        </w:rPr>
        <w:t>Although there was agreement on the need to transition the current CQR meeting into a formalized structure, consensus was reached that this issue should be discussed in TSAG, because it was recognized that this topic related to multiple Study Groups.</w:t>
      </w:r>
      <w:r w:rsidR="00EF234D">
        <w:rPr>
          <w:lang w:val="en-US" w:eastAsia="zh-CN"/>
        </w:rPr>
        <w:t xml:space="preserve"> </w:t>
      </w:r>
    </w:p>
    <w:p w14:paraId="27102F54" w14:textId="60B4ED85" w:rsidR="00B151AE" w:rsidRPr="0072089E" w:rsidRDefault="003875B5" w:rsidP="0072089E">
      <w:pPr>
        <w:pStyle w:val="BodyText"/>
        <w:rPr>
          <w:lang w:eastAsia="ko-KR"/>
        </w:rPr>
      </w:pPr>
      <w:r w:rsidRPr="003875B5">
        <w:rPr>
          <w:lang w:eastAsia="ko-KR"/>
        </w:rPr>
        <w:t xml:space="preserve">Based on further discussion on two </w:t>
      </w:r>
      <w:r w:rsidR="004C58FA">
        <w:rPr>
          <w:lang w:eastAsia="ko-KR"/>
        </w:rPr>
        <w:t>C</w:t>
      </w:r>
      <w:r w:rsidRPr="003875B5">
        <w:rPr>
          <w:lang w:eastAsia="ko-KR"/>
        </w:rPr>
        <w:t xml:space="preserve">ontributions </w:t>
      </w:r>
      <w:hyperlink r:id="rId16" w:history="1">
        <w:r w:rsidRPr="003875B5">
          <w:rPr>
            <w:rStyle w:val="Hyperlink"/>
            <w:lang w:eastAsia="ko-KR"/>
          </w:rPr>
          <w:t>C222</w:t>
        </w:r>
      </w:hyperlink>
      <w:r w:rsidRPr="003875B5">
        <w:rPr>
          <w:lang w:eastAsia="ko-KR"/>
        </w:rPr>
        <w:t xml:space="preserve"> and </w:t>
      </w:r>
      <w:hyperlink r:id="rId17" w:history="1">
        <w:r w:rsidRPr="003875B5">
          <w:rPr>
            <w:rStyle w:val="Hyperlink"/>
            <w:lang w:eastAsia="ko-KR"/>
          </w:rPr>
          <w:t>C287</w:t>
        </w:r>
      </w:hyperlink>
      <w:r w:rsidR="004C58FA">
        <w:rPr>
          <w:lang w:eastAsia="ko-KR"/>
        </w:rPr>
        <w:t xml:space="preserve"> to SG17 on this topic</w:t>
      </w:r>
      <w:r>
        <w:rPr>
          <w:lang w:eastAsia="ko-KR"/>
        </w:rPr>
        <w:t>,</w:t>
      </w:r>
      <w:r w:rsidRPr="003875B5">
        <w:rPr>
          <w:lang w:eastAsia="ko-KR"/>
        </w:rPr>
        <w:t xml:space="preserve"> </w:t>
      </w:r>
      <w:r w:rsidR="00F76AA8">
        <w:rPr>
          <w:lang w:eastAsia="ko-KR"/>
        </w:rPr>
        <w:t>Q15/17 developed t</w:t>
      </w:r>
      <w:r w:rsidR="00B151AE">
        <w:rPr>
          <w:lang w:eastAsia="ko-KR"/>
        </w:rPr>
        <w:t xml:space="preserve">he proposed </w:t>
      </w:r>
      <w:proofErr w:type="spellStart"/>
      <w:r w:rsidR="00B151AE">
        <w:rPr>
          <w:lang w:eastAsia="ko-KR"/>
        </w:rPr>
        <w:t>ToR</w:t>
      </w:r>
      <w:proofErr w:type="spellEnd"/>
      <w:r w:rsidR="003B7667">
        <w:rPr>
          <w:lang w:eastAsia="ko-KR"/>
        </w:rPr>
        <w:t>,</w:t>
      </w:r>
      <w:r w:rsidR="00B151AE">
        <w:rPr>
          <w:lang w:eastAsia="ko-KR"/>
        </w:rPr>
        <w:t xml:space="preserve"> attached in Annex A.</w:t>
      </w:r>
    </w:p>
    <w:p w14:paraId="693DF3E0" w14:textId="714AB36E" w:rsidR="00D77A07" w:rsidRDefault="00D77A07" w:rsidP="00D77A07">
      <w:pPr>
        <w:pStyle w:val="BodyText"/>
      </w:pPr>
      <w:r>
        <w:t xml:space="preserve">ITU-T SG17 will continue to keep you informed of </w:t>
      </w:r>
      <w:r w:rsidR="004C58FA">
        <w:t xml:space="preserve">our work </w:t>
      </w:r>
      <w:r>
        <w:t xml:space="preserve">progress and looks forward to continued collaboration on </w:t>
      </w:r>
      <w:r w:rsidR="00F73383">
        <w:t xml:space="preserve">the </w:t>
      </w:r>
      <w:r w:rsidR="00C12DAF">
        <w:t xml:space="preserve">possible </w:t>
      </w:r>
      <w:r w:rsidRPr="00B151AE">
        <w:t xml:space="preserve">transition </w:t>
      </w:r>
      <w:r w:rsidR="00C12DAF">
        <w:t xml:space="preserve">of </w:t>
      </w:r>
      <w:r w:rsidRPr="00B151AE">
        <w:t xml:space="preserve">the existing CQR meeting into </w:t>
      </w:r>
      <w:r w:rsidR="00C12DAF">
        <w:t xml:space="preserve">a </w:t>
      </w:r>
      <w:r w:rsidRPr="00B151AE">
        <w:t>JRG</w:t>
      </w:r>
      <w:r>
        <w:t>.</w:t>
      </w:r>
    </w:p>
    <w:p w14:paraId="0A9AD2C8" w14:textId="1B805775" w:rsidR="003D5AB3" w:rsidRDefault="003D5AB3" w:rsidP="003D5AB3">
      <w:pPr>
        <w:pStyle w:val="BodyText"/>
      </w:pPr>
      <w:proofErr w:type="gramStart"/>
      <w:r w:rsidRPr="004C58FA">
        <w:rPr>
          <w:b/>
          <w:bCs/>
          <w:lang w:eastAsia="ko-KR"/>
        </w:rPr>
        <w:t>Annex</w:t>
      </w:r>
      <w:r>
        <w:rPr>
          <w:lang w:eastAsia="ko-KR"/>
        </w:rPr>
        <w:t xml:space="preserve"> :</w:t>
      </w:r>
      <w:proofErr w:type="gramEnd"/>
      <w:r>
        <w:rPr>
          <w:lang w:eastAsia="ko-KR"/>
        </w:rPr>
        <w:t xml:space="preserve"> Draft Terms of Reference of the joint Rapporteurs group on Quantum-safe Telecom/ICT</w:t>
      </w:r>
    </w:p>
    <w:p w14:paraId="58D2B981" w14:textId="77777777" w:rsidR="00BF2C47" w:rsidRDefault="00BF2C47">
      <w:pPr>
        <w:spacing w:before="0"/>
        <w:rPr>
          <w:lang w:val="en-US"/>
        </w:rPr>
      </w:pPr>
      <w:r>
        <w:rPr>
          <w:lang w:val="en-US"/>
        </w:rPr>
        <w:br w:type="page"/>
      </w:r>
    </w:p>
    <w:p w14:paraId="66287B9C" w14:textId="2A1D91C3" w:rsidR="006C0459" w:rsidRPr="00DC6D62" w:rsidRDefault="006C0459" w:rsidP="006C0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eastAsia="Malgun Gothic"/>
          <w:b/>
          <w:bCs/>
          <w:sz w:val="32"/>
          <w:szCs w:val="32"/>
          <w:lang w:val="en-US" w:eastAsia="ko-KR"/>
        </w:rPr>
      </w:pPr>
      <w:r>
        <w:rPr>
          <w:rFonts w:hint="eastAsia"/>
          <w:b/>
          <w:bCs/>
          <w:sz w:val="32"/>
          <w:szCs w:val="32"/>
          <w:lang w:val="en-US" w:eastAsia="ko-KR"/>
        </w:rPr>
        <w:lastRenderedPageBreak/>
        <w:t xml:space="preserve">Annex A: </w:t>
      </w:r>
      <w:r w:rsidR="003D5AB3">
        <w:rPr>
          <w:b/>
          <w:bCs/>
          <w:sz w:val="32"/>
          <w:szCs w:val="32"/>
          <w:lang w:val="en-US" w:eastAsia="ko-KR"/>
        </w:rPr>
        <w:br/>
      </w:r>
      <w:r w:rsidRPr="00DC6D62">
        <w:rPr>
          <w:rFonts w:eastAsia="SimSun"/>
          <w:b/>
          <w:bCs/>
          <w:sz w:val="32"/>
          <w:szCs w:val="32"/>
          <w:lang w:val="en-US" w:eastAsia="zh-CN"/>
        </w:rPr>
        <w:t xml:space="preserve">Draft Terms of Reference </w:t>
      </w:r>
      <w:proofErr w:type="gramStart"/>
      <w:r w:rsidRPr="00DC6D62">
        <w:rPr>
          <w:rFonts w:eastAsia="SimSun"/>
          <w:b/>
          <w:bCs/>
          <w:sz w:val="32"/>
          <w:szCs w:val="32"/>
          <w:lang w:val="en-US" w:eastAsia="zh-CN"/>
        </w:rPr>
        <w:t>of</w:t>
      </w:r>
      <w:proofErr w:type="gramEnd"/>
      <w:r w:rsidRPr="00DC6D62">
        <w:rPr>
          <w:rFonts w:eastAsia="SimSun"/>
          <w:b/>
          <w:bCs/>
          <w:sz w:val="32"/>
          <w:szCs w:val="32"/>
          <w:lang w:val="en-US" w:eastAsia="zh-CN"/>
        </w:rPr>
        <w:t xml:space="preserve"> </w:t>
      </w:r>
    </w:p>
    <w:p w14:paraId="3A1AF8B9" w14:textId="77777777" w:rsidR="006C0459" w:rsidRPr="00DC6D62" w:rsidRDefault="006C0459" w:rsidP="006C0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eastAsia="SimSun"/>
          <w:b/>
          <w:bCs/>
          <w:sz w:val="32"/>
          <w:szCs w:val="32"/>
          <w:lang w:val="en-US" w:eastAsia="zh-CN"/>
        </w:rPr>
      </w:pPr>
      <w:r w:rsidRPr="00DC6D62">
        <w:rPr>
          <w:rFonts w:eastAsia="Malgun Gothic"/>
          <w:b/>
          <w:bCs/>
          <w:sz w:val="32"/>
          <w:szCs w:val="32"/>
          <w:lang w:val="en-US" w:eastAsia="ko-KR"/>
        </w:rPr>
        <w:t>t</w:t>
      </w:r>
      <w:r w:rsidRPr="00DC6D62">
        <w:rPr>
          <w:rFonts w:eastAsia="SimSun"/>
          <w:b/>
          <w:bCs/>
          <w:sz w:val="32"/>
          <w:szCs w:val="32"/>
          <w:lang w:val="en-US" w:eastAsia="zh-CN"/>
        </w:rPr>
        <w:t>he</w:t>
      </w:r>
      <w:r w:rsidRPr="00DC6D62">
        <w:rPr>
          <w:rFonts w:eastAsia="Malgun Gothic"/>
          <w:b/>
          <w:bCs/>
          <w:sz w:val="32"/>
          <w:szCs w:val="32"/>
          <w:lang w:val="en-US" w:eastAsia="ko-KR"/>
        </w:rPr>
        <w:t xml:space="preserve"> </w:t>
      </w:r>
      <w:r w:rsidRPr="00DC6D62">
        <w:rPr>
          <w:rFonts w:eastAsia="SimSun"/>
          <w:b/>
          <w:bCs/>
          <w:sz w:val="32"/>
          <w:szCs w:val="32"/>
          <w:lang w:val="en-US" w:eastAsia="zh-CN"/>
        </w:rPr>
        <w:t xml:space="preserve">joint Rapporteurs group on </w:t>
      </w:r>
      <w:r w:rsidRPr="00DC6D62">
        <w:rPr>
          <w:rFonts w:eastAsia="Malgun Gothic"/>
          <w:b/>
          <w:bCs/>
          <w:sz w:val="32"/>
          <w:szCs w:val="32"/>
          <w:lang w:val="en-US" w:eastAsia="ko-KR"/>
        </w:rPr>
        <w:t>Quantum</w:t>
      </w:r>
      <w:r>
        <w:rPr>
          <w:rFonts w:eastAsia="Malgun Gothic"/>
          <w:b/>
          <w:bCs/>
          <w:sz w:val="32"/>
          <w:szCs w:val="32"/>
          <w:lang w:val="en-US" w:eastAsia="ko-KR"/>
        </w:rPr>
        <w:t>-safe Telecom/ICT</w:t>
      </w:r>
    </w:p>
    <w:p w14:paraId="37C49E02" w14:textId="77777777" w:rsidR="006C0459" w:rsidRPr="00140715" w:rsidRDefault="006C0459" w:rsidP="006C0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eastAsia="SimSun"/>
          <w:b/>
          <w:bCs/>
          <w:lang w:val="en-US" w:eastAsia="zh-CN"/>
        </w:rPr>
      </w:pPr>
    </w:p>
    <w:p w14:paraId="0CEE938A" w14:textId="77777777" w:rsidR="006C0459" w:rsidRPr="00381D89" w:rsidRDefault="006C0459" w:rsidP="0021464F">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Purpose</w:t>
      </w:r>
    </w:p>
    <w:p w14:paraId="379EBC52" w14:textId="4C685284"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This document provides the Terms of Reference for the joint Rapporteurs group on </w:t>
      </w:r>
      <w:r w:rsidRPr="00381D89">
        <w:rPr>
          <w:rFonts w:eastAsia="Malgun Gothic" w:hint="eastAsia"/>
          <w:kern w:val="2"/>
          <w:lang w:val="en-US" w:eastAsia="ko-KR"/>
        </w:rPr>
        <w:t>Quantum</w:t>
      </w:r>
      <w:r w:rsidRPr="00381D89">
        <w:rPr>
          <w:rFonts w:eastAsia="Malgun Gothic"/>
          <w:kern w:val="2"/>
          <w:lang w:val="en-US" w:eastAsia="ko-KR"/>
        </w:rPr>
        <w:t xml:space="preserve">-safe Telecom/ICT </w:t>
      </w:r>
      <w:r w:rsidRPr="00381D89">
        <w:rPr>
          <w:rFonts w:eastAsia="SimSun"/>
          <w:kern w:val="2"/>
          <w:lang w:val="en-US" w:eastAsia="zh-CN"/>
        </w:rPr>
        <w:t xml:space="preserve">(JRG-QST) </w:t>
      </w:r>
      <w:r w:rsidRPr="00381D89">
        <w:rPr>
          <w:rFonts w:eastAsia="SimSun" w:hint="eastAsia"/>
          <w:kern w:val="2"/>
          <w:lang w:val="en-US"/>
        </w:rPr>
        <w:t>b</w:t>
      </w:r>
      <w:r w:rsidRPr="00381D89">
        <w:rPr>
          <w:rFonts w:eastAsia="SimSun"/>
          <w:kern w:val="2"/>
          <w:lang w:val="en-US" w:eastAsia="zh-CN"/>
        </w:rPr>
        <w:t>etween relevant Questions of</w:t>
      </w:r>
      <w:r w:rsidRPr="00381D89">
        <w:rPr>
          <w:rFonts w:eastAsia="Malgun Gothic" w:hint="eastAsia"/>
          <w:kern w:val="2"/>
          <w:lang w:val="en-US" w:eastAsia="ko-KR"/>
        </w:rPr>
        <w:t xml:space="preserve"> </w:t>
      </w:r>
      <w:r w:rsidRPr="00381D89">
        <w:rPr>
          <w:rFonts w:eastAsia="Malgun Gothic"/>
          <w:kern w:val="2"/>
          <w:lang w:val="en-US" w:eastAsia="ko-KR"/>
        </w:rPr>
        <w:t xml:space="preserve">SG11 (Q2), </w:t>
      </w:r>
      <w:r w:rsidRPr="00381D89">
        <w:rPr>
          <w:rFonts w:eastAsia="SimSun"/>
          <w:kern w:val="2"/>
          <w:lang w:val="en-US" w:eastAsia="zh-CN"/>
        </w:rPr>
        <w:t>SG13</w:t>
      </w:r>
      <w:r w:rsidRPr="00381D89">
        <w:rPr>
          <w:rFonts w:eastAsia="Malgun Gothic" w:hint="eastAsia"/>
          <w:kern w:val="2"/>
          <w:lang w:val="en-US" w:eastAsia="ko-KR"/>
        </w:rPr>
        <w:t xml:space="preserve"> (Q6 and Q16)</w:t>
      </w:r>
      <w:r w:rsidRPr="00381D89">
        <w:rPr>
          <w:rFonts w:eastAsia="Malgun Gothic"/>
          <w:kern w:val="2"/>
          <w:lang w:val="en-US" w:eastAsia="ko-KR"/>
        </w:rPr>
        <w:t xml:space="preserve"> and</w:t>
      </w:r>
      <w:r w:rsidRPr="00381D89">
        <w:rPr>
          <w:rFonts w:eastAsia="Malgun Gothic" w:hint="eastAsia"/>
          <w:kern w:val="2"/>
          <w:lang w:val="en-US" w:eastAsia="ko-KR"/>
        </w:rPr>
        <w:t xml:space="preserve"> SG17 (Q11 and Q15)</w:t>
      </w:r>
      <w:r w:rsidRPr="00381D89">
        <w:rPr>
          <w:rFonts w:eastAsia="Malgun Gothic"/>
          <w:kern w:val="2"/>
          <w:lang w:val="en-US" w:eastAsia="ko-KR"/>
        </w:rPr>
        <w:t>.</w:t>
      </w:r>
    </w:p>
    <w:p w14:paraId="5FAB6F8D" w14:textId="77777777" w:rsidR="006C0459" w:rsidRPr="00381D89" w:rsidRDefault="006C0459" w:rsidP="0021464F">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Parent Bodies</w:t>
      </w:r>
    </w:p>
    <w:p w14:paraId="4EE3654A"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The parent bodies of the JRG-QST are </w:t>
      </w:r>
      <w:r w:rsidRPr="00381D89">
        <w:rPr>
          <w:rFonts w:eastAsia="SimSun"/>
          <w:kern w:val="2"/>
          <w:lang w:eastAsia="zh-CN"/>
        </w:rPr>
        <w:t>Working Party</w:t>
      </w:r>
      <w:r w:rsidRPr="00381D89">
        <w:rPr>
          <w:rFonts w:eastAsia="SimSun"/>
          <w:kern w:val="2"/>
          <w:lang w:val="en-US" w:eastAsia="zh-CN"/>
        </w:rPr>
        <w:t xml:space="preserve"> 2/11, Working Party 4/13 and Working Party 1/17. </w:t>
      </w:r>
    </w:p>
    <w:p w14:paraId="04B1A566" w14:textId="77777777" w:rsidR="006C0459" w:rsidRPr="00381D89" w:rsidRDefault="006C0459" w:rsidP="0021464F">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Scope and Goals</w:t>
      </w:r>
    </w:p>
    <w:p w14:paraId="2E22E18B"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The scope and goal are the development of </w:t>
      </w:r>
      <w:r w:rsidRPr="00381D89">
        <w:rPr>
          <w:rFonts w:eastAsia="SimSun" w:hint="eastAsia"/>
          <w:kern w:val="2"/>
          <w:lang w:val="en-US" w:eastAsia="zh-CN"/>
        </w:rPr>
        <w:t>work items</w:t>
      </w:r>
      <w:r w:rsidRPr="00381D89">
        <w:rPr>
          <w:rFonts w:eastAsia="SimSun"/>
          <w:kern w:val="2"/>
          <w:lang w:val="en-US" w:eastAsia="zh-CN"/>
        </w:rPr>
        <w:t xml:space="preserve"> under the Questions of SG11, SG</w:t>
      </w:r>
      <w:r w:rsidRPr="00381D89">
        <w:rPr>
          <w:rFonts w:eastAsia="SimSun" w:hint="eastAsia"/>
          <w:kern w:val="2"/>
          <w:lang w:val="en-US" w:eastAsia="zh-CN"/>
        </w:rPr>
        <w:t>13</w:t>
      </w:r>
      <w:r w:rsidRPr="00381D89">
        <w:rPr>
          <w:rFonts w:eastAsia="SimSun"/>
          <w:kern w:val="2"/>
          <w:lang w:val="en-US" w:eastAsia="zh-CN"/>
        </w:rPr>
        <w:t xml:space="preserve"> and SG1</w:t>
      </w:r>
      <w:r w:rsidRPr="00381D89">
        <w:rPr>
          <w:rFonts w:eastAsia="SimSun" w:hint="eastAsia"/>
          <w:kern w:val="2"/>
          <w:lang w:val="en-US" w:eastAsia="zh-CN"/>
        </w:rPr>
        <w:t>7</w:t>
      </w:r>
      <w:r w:rsidRPr="00381D89">
        <w:rPr>
          <w:rFonts w:eastAsia="SimSun"/>
          <w:kern w:val="2"/>
          <w:lang w:val="en-US" w:eastAsia="zh-CN"/>
        </w:rPr>
        <w:t xml:space="preserve">. </w:t>
      </w:r>
    </w:p>
    <w:p w14:paraId="0B3360C6"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This </w:t>
      </w:r>
      <w:r w:rsidRPr="00381D89">
        <w:rPr>
          <w:rFonts w:eastAsia="SimSun" w:hint="eastAsia"/>
          <w:kern w:val="2"/>
          <w:lang w:val="en-US" w:eastAsia="zh-CN"/>
        </w:rPr>
        <w:t>group will work for</w:t>
      </w:r>
      <w:r w:rsidRPr="00381D89">
        <w:rPr>
          <w:rFonts w:eastAsia="SimSun"/>
          <w:kern w:val="2"/>
          <w:lang w:val="en-US" w:eastAsia="zh-CN"/>
        </w:rPr>
        <w:t>:</w:t>
      </w:r>
    </w:p>
    <w:p w14:paraId="4D144626" w14:textId="62107C2E" w:rsidR="006C0459" w:rsidRPr="00381D89" w:rsidRDefault="006C0459" w:rsidP="006C0459">
      <w:pPr>
        <w:numPr>
          <w:ilvl w:val="0"/>
          <w:numId w:val="16"/>
        </w:numPr>
        <w:ind w:left="357" w:hanging="357"/>
        <w:jc w:val="both"/>
        <w:rPr>
          <w:rFonts w:eastAsia="SimSun"/>
          <w:lang w:eastAsia="zh-CN"/>
        </w:rPr>
      </w:pPr>
      <w:r w:rsidRPr="00381D89">
        <w:rPr>
          <w:rFonts w:eastAsia="SimSun"/>
          <w:lang w:eastAsia="zh-CN"/>
        </w:rPr>
        <w:t>To review and discuss the on-going work items (see Appendix I</w:t>
      </w:r>
      <w:proofErr w:type="gramStart"/>
      <w:r w:rsidRPr="00381D89">
        <w:rPr>
          <w:rFonts w:eastAsia="SimSun"/>
          <w:lang w:eastAsia="zh-CN"/>
        </w:rPr>
        <w:t>);</w:t>
      </w:r>
      <w:proofErr w:type="gramEnd"/>
    </w:p>
    <w:p w14:paraId="1DD3FED1" w14:textId="77777777" w:rsidR="006C0459" w:rsidRPr="00381D89" w:rsidRDefault="006C0459" w:rsidP="006C0459">
      <w:pPr>
        <w:numPr>
          <w:ilvl w:val="0"/>
          <w:numId w:val="16"/>
        </w:numPr>
        <w:ind w:left="357" w:hanging="357"/>
        <w:jc w:val="both"/>
        <w:rPr>
          <w:rFonts w:eastAsia="SimSun"/>
          <w:lang w:eastAsia="zh-CN"/>
        </w:rPr>
      </w:pPr>
      <w:r w:rsidRPr="00381D89">
        <w:rPr>
          <w:rFonts w:eastAsia="SimSun"/>
          <w:lang w:eastAsia="zh-CN"/>
        </w:rPr>
        <w:t>To review and discuss potential work items - liaisons, workshops/seminars, etc.</w:t>
      </w:r>
    </w:p>
    <w:p w14:paraId="68E357B0" w14:textId="77777777" w:rsidR="006C0459" w:rsidRPr="00381D89" w:rsidRDefault="006C0459" w:rsidP="0021464F">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 xml:space="preserve">Deliverables </w:t>
      </w:r>
    </w:p>
    <w:p w14:paraId="74A7EAE1" w14:textId="0F615FA3"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The JRG-QST will report to its parent bodies. The reports include updated draft Recommendations, Supplements, Technical reports, </w:t>
      </w:r>
      <w:proofErr w:type="spellStart"/>
      <w:r w:rsidR="004C58FA" w:rsidRPr="00381D89">
        <w:rPr>
          <w:rFonts w:eastAsia="SimSun"/>
          <w:kern w:val="2"/>
          <w:lang w:val="en-US" w:eastAsia="zh-CN"/>
        </w:rPr>
        <w:t>oLS</w:t>
      </w:r>
      <w:proofErr w:type="spellEnd"/>
      <w:r w:rsidR="004C58FA" w:rsidRPr="00381D89">
        <w:rPr>
          <w:rFonts w:eastAsia="SimSun"/>
          <w:kern w:val="2"/>
          <w:lang w:val="en-US" w:eastAsia="zh-CN"/>
        </w:rPr>
        <w:t xml:space="preserve"> </w:t>
      </w:r>
      <w:r w:rsidRPr="00381D89">
        <w:rPr>
          <w:rFonts w:eastAsia="SimSun"/>
          <w:kern w:val="2"/>
          <w:lang w:val="en-US" w:eastAsia="zh-CN"/>
        </w:rPr>
        <w:t>and the report of the meeting.</w:t>
      </w:r>
    </w:p>
    <w:p w14:paraId="68EAA1D0"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hint="eastAsia"/>
          <w:kern w:val="2"/>
          <w:lang w:val="en-US" w:eastAsia="zh-CN"/>
        </w:rPr>
        <w:t>In case of new work items dedicated to t</w:t>
      </w:r>
      <w:r w:rsidRPr="00381D89">
        <w:rPr>
          <w:rFonts w:eastAsia="SimSun"/>
          <w:kern w:val="2"/>
          <w:lang w:val="en-US" w:eastAsia="zh-CN"/>
        </w:rPr>
        <w:t>he JRG-QST</w:t>
      </w:r>
      <w:r w:rsidRPr="00381D89">
        <w:rPr>
          <w:rFonts w:eastAsia="SimSun" w:hint="eastAsia"/>
          <w:kern w:val="2"/>
          <w:lang w:val="en-US" w:eastAsia="zh-CN"/>
        </w:rPr>
        <w:t>, they</w:t>
      </w:r>
      <w:r w:rsidRPr="00381D89">
        <w:rPr>
          <w:rFonts w:eastAsia="SimSun"/>
          <w:kern w:val="2"/>
          <w:lang w:val="en-US" w:eastAsia="zh-CN"/>
        </w:rPr>
        <w:t xml:space="preserve"> will deliver </w:t>
      </w:r>
      <w:proofErr w:type="gramStart"/>
      <w:r w:rsidRPr="00381D89">
        <w:rPr>
          <w:rFonts w:eastAsia="SimSun"/>
          <w:kern w:val="2"/>
          <w:lang w:val="en-US" w:eastAsia="zh-CN"/>
        </w:rPr>
        <w:t>it</w:t>
      </w:r>
      <w:proofErr w:type="gramEnd"/>
      <w:r w:rsidRPr="00381D89">
        <w:rPr>
          <w:rFonts w:eastAsia="SimSun"/>
          <w:kern w:val="2"/>
          <w:lang w:val="en-US" w:eastAsia="zh-CN"/>
        </w:rPr>
        <w:t xml:space="preserve"> to the parent bodies for initiation of the approval process. The JRG-QST can advise the parent bodies as to which Recommendation series seems most appropriate (e.g. </w:t>
      </w:r>
      <w:r w:rsidRPr="00381D89">
        <w:rPr>
          <w:rFonts w:eastAsia="SimSun" w:hint="eastAsia"/>
          <w:kern w:val="2"/>
          <w:lang w:val="en-US" w:eastAsia="zh-CN"/>
        </w:rPr>
        <w:t>Y</w:t>
      </w:r>
      <w:r w:rsidRPr="00381D89">
        <w:rPr>
          <w:rFonts w:eastAsia="SimSun"/>
          <w:kern w:val="2"/>
          <w:lang w:val="en-US" w:eastAsia="zh-CN"/>
        </w:rPr>
        <w:t xml:space="preserve">-series, </w:t>
      </w:r>
      <w:r w:rsidRPr="00381D89">
        <w:rPr>
          <w:rFonts w:eastAsia="SimSun" w:hint="eastAsia"/>
          <w:kern w:val="2"/>
          <w:lang w:val="en-US" w:eastAsia="zh-CN"/>
        </w:rPr>
        <w:t>X</w:t>
      </w:r>
      <w:r w:rsidRPr="00381D89">
        <w:rPr>
          <w:rFonts w:eastAsia="SimSun"/>
          <w:kern w:val="2"/>
          <w:lang w:val="en-US" w:eastAsia="zh-CN"/>
        </w:rPr>
        <w:t xml:space="preserve">-series). The approval process will be </w:t>
      </w:r>
      <w:proofErr w:type="gramStart"/>
      <w:r w:rsidRPr="00381D89">
        <w:rPr>
          <w:rFonts w:eastAsia="SimSun"/>
          <w:kern w:val="2"/>
          <w:lang w:val="en-US" w:eastAsia="zh-CN"/>
        </w:rPr>
        <w:t>handed</w:t>
      </w:r>
      <w:proofErr w:type="gramEnd"/>
      <w:r w:rsidRPr="00381D89">
        <w:rPr>
          <w:rFonts w:eastAsia="SimSun"/>
          <w:kern w:val="2"/>
          <w:lang w:val="en-US" w:eastAsia="zh-CN"/>
        </w:rPr>
        <w:t xml:space="preserve"> as usual, by the Study </w:t>
      </w:r>
      <w:proofErr w:type="gramStart"/>
      <w:r w:rsidRPr="00381D89">
        <w:rPr>
          <w:rFonts w:eastAsia="SimSun"/>
          <w:kern w:val="2"/>
          <w:lang w:val="en-US" w:eastAsia="zh-CN"/>
        </w:rPr>
        <w:t>Group</w:t>
      </w:r>
      <w:proofErr w:type="gramEnd"/>
      <w:r w:rsidRPr="00381D89">
        <w:rPr>
          <w:rFonts w:eastAsia="SimSun"/>
          <w:kern w:val="2"/>
          <w:lang w:val="en-US" w:eastAsia="zh-CN"/>
        </w:rPr>
        <w:t xml:space="preserve"> normally responsible for the relevant document series.</w:t>
      </w:r>
    </w:p>
    <w:p w14:paraId="0C4E8DF2" w14:textId="77777777" w:rsidR="006C0459" w:rsidRPr="00381D89" w:rsidRDefault="006C0459" w:rsidP="0021464F">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Participation</w:t>
      </w:r>
    </w:p>
    <w:p w14:paraId="3CA8272D"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Those eligible participants in either SG11, SG13 or SG17 may participate in the JRG-QST. </w:t>
      </w:r>
    </w:p>
    <w:p w14:paraId="19F3ADE9"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A list of participants will be maintained for reference purposes and reported to the parent groups as an attachment to the report of each meeting.</w:t>
      </w:r>
    </w:p>
    <w:p w14:paraId="34637ED7" w14:textId="77777777" w:rsidR="006C0459" w:rsidRPr="00381D89" w:rsidRDefault="006C0459" w:rsidP="0045357A">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Meetings</w:t>
      </w:r>
    </w:p>
    <w:p w14:paraId="6805C49C"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JRG-</w:t>
      </w:r>
      <w:r w:rsidRPr="00381D89">
        <w:rPr>
          <w:rFonts w:eastAsia="SimSun" w:hint="eastAsia"/>
          <w:kern w:val="2"/>
          <w:lang w:val="en-US" w:eastAsia="zh-CN"/>
        </w:rPr>
        <w:t>Q</w:t>
      </w:r>
      <w:r w:rsidRPr="00381D89">
        <w:rPr>
          <w:rFonts w:eastAsia="SimSun"/>
          <w:kern w:val="2"/>
          <w:lang w:val="en-US" w:eastAsia="zh-CN"/>
        </w:rPr>
        <w:t>ST may meet physically or electronically.</w:t>
      </w:r>
    </w:p>
    <w:p w14:paraId="405491F4" w14:textId="77777777" w:rsidR="006C0459" w:rsidRPr="00381D89" w:rsidRDefault="006C0459" w:rsidP="006C0459">
      <w:pPr>
        <w:keepNext/>
        <w:keepLines/>
        <w:widowControl w:val="0"/>
        <w:spacing w:line="259" w:lineRule="auto"/>
        <w:jc w:val="both"/>
        <w:outlineLvl w:val="1"/>
        <w:rPr>
          <w:rFonts w:eastAsia="SimSun"/>
          <w:b/>
          <w:bCs/>
          <w:kern w:val="2"/>
          <w:lang w:val="en-US" w:eastAsia="zh-CN"/>
        </w:rPr>
      </w:pPr>
      <w:r w:rsidRPr="00381D89">
        <w:rPr>
          <w:rFonts w:eastAsia="SimSun"/>
          <w:b/>
          <w:bCs/>
          <w:kern w:val="2"/>
          <w:lang w:val="en-US" w:eastAsia="zh-CN"/>
        </w:rPr>
        <w:t>During meetings of Study Groups</w:t>
      </w:r>
    </w:p>
    <w:p w14:paraId="07700C18"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As appropriate, JRG-QST venues and dates should be arranged to coincide with meetings of the parent bodies when the meetings are held under the auspices of Study Groups. The work of the JRG-QST during an associated SG meeting will be scheduled by the Rapporteurs as part of the overall meeting schedule of that SG.  Separate sessions for participating Questions to run their regular business (other than that one of JRG) will be arranged on the overall meeting schedule.</w:t>
      </w:r>
    </w:p>
    <w:p w14:paraId="708CAF03" w14:textId="77777777" w:rsidR="006C0459" w:rsidRPr="00381D89" w:rsidRDefault="006C0459" w:rsidP="006C0459">
      <w:pPr>
        <w:keepNext/>
        <w:keepLines/>
        <w:widowControl w:val="0"/>
        <w:spacing w:line="259" w:lineRule="auto"/>
        <w:jc w:val="both"/>
        <w:outlineLvl w:val="1"/>
        <w:rPr>
          <w:rFonts w:eastAsia="SimSun"/>
          <w:b/>
          <w:bCs/>
          <w:kern w:val="2"/>
          <w:lang w:val="en-US" w:eastAsia="zh-CN"/>
        </w:rPr>
      </w:pPr>
      <w:r w:rsidRPr="00381D89">
        <w:rPr>
          <w:rFonts w:eastAsia="SimSun"/>
          <w:b/>
          <w:bCs/>
          <w:kern w:val="2"/>
          <w:lang w:val="en-US" w:eastAsia="zh-CN"/>
        </w:rPr>
        <w:lastRenderedPageBreak/>
        <w:t>Interim meetings</w:t>
      </w:r>
    </w:p>
    <w:p w14:paraId="6022EC11" w14:textId="16E2DF78"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The procedures for arranging interim JRG-QST</w:t>
      </w:r>
      <w:r w:rsidR="00833B67" w:rsidRPr="00381D89">
        <w:rPr>
          <w:rFonts w:eastAsia="SimSun"/>
          <w:kern w:val="2"/>
          <w:lang w:val="en-US" w:eastAsia="zh-CN"/>
        </w:rPr>
        <w:t xml:space="preserve"> </w:t>
      </w:r>
      <w:r w:rsidRPr="00381D89">
        <w:rPr>
          <w:rFonts w:eastAsia="SimSun"/>
          <w:kern w:val="2"/>
          <w:lang w:val="en-US" w:eastAsia="zh-CN"/>
        </w:rPr>
        <w:t>meetings are the same as for scheduling normal Rapporteurs meetings (se</w:t>
      </w:r>
      <w:r w:rsidRPr="00381D89">
        <w:rPr>
          <w:rFonts w:eastAsia="Malgun Gothic" w:hint="eastAsia"/>
          <w:kern w:val="2"/>
          <w:lang w:val="en-US" w:eastAsia="ko-KR"/>
        </w:rPr>
        <w:t>e</w:t>
      </w:r>
      <w:r w:rsidRPr="00381D89">
        <w:rPr>
          <w:rFonts w:eastAsia="Malgun Gothic" w:hint="eastAsia"/>
          <w:lang w:val="en-US" w:eastAsia="ko-KR"/>
        </w:rPr>
        <w:t xml:space="preserve"> Recommendation</w:t>
      </w:r>
      <w:r w:rsidRPr="00381D89">
        <w:rPr>
          <w:rFonts w:eastAsia="SimSun"/>
          <w:kern w:val="2"/>
          <w:lang w:val="en-US" w:eastAsia="zh-CN"/>
        </w:rPr>
        <w:t xml:space="preserve"> ITU-T A.1, section 2.3.3). If either parent WP/SG authorizes an interim meeting of their relevant Questions within the JRG-QST, the members of the corresponding Questions of the other Study Group should be invited to join the meeting.</w:t>
      </w:r>
    </w:p>
    <w:p w14:paraId="36C72A42" w14:textId="77777777" w:rsidR="006C0459" w:rsidRPr="00381D89" w:rsidRDefault="006C0459" w:rsidP="0045357A">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Management</w:t>
      </w:r>
    </w:p>
    <w:p w14:paraId="11ACF6E7" w14:textId="77777777" w:rsidR="006C0459" w:rsidRPr="00381D89" w:rsidRDefault="006C0459" w:rsidP="006C0459">
      <w:pPr>
        <w:widowControl w:val="0"/>
        <w:spacing w:line="259" w:lineRule="auto"/>
        <w:jc w:val="both"/>
        <w:rPr>
          <w:rFonts w:eastAsia="Malgun Gothic"/>
          <w:kern w:val="2"/>
          <w:lang w:val="en-US" w:eastAsia="ko-KR"/>
        </w:rPr>
      </w:pPr>
      <w:r w:rsidRPr="00381D89">
        <w:rPr>
          <w:rFonts w:eastAsia="SimSun"/>
          <w:kern w:val="2"/>
          <w:lang w:val="en-US" w:eastAsia="zh-CN"/>
        </w:rPr>
        <w:t xml:space="preserve">The JRG-QST will have one Rapporteur appointed by each Study Groups. Rapporteurs for the JRG-QST need not be serving as Question </w:t>
      </w:r>
      <w:proofErr w:type="gramStart"/>
      <w:r w:rsidRPr="00381D89">
        <w:rPr>
          <w:rFonts w:eastAsia="SimSun"/>
          <w:kern w:val="2"/>
          <w:lang w:val="en-US" w:eastAsia="zh-CN"/>
        </w:rPr>
        <w:t>Rapporteurs, but</w:t>
      </w:r>
      <w:proofErr w:type="gramEnd"/>
      <w:r w:rsidRPr="00381D89">
        <w:rPr>
          <w:rFonts w:eastAsia="SimSun"/>
          <w:kern w:val="2"/>
          <w:lang w:val="en-US" w:eastAsia="zh-CN"/>
        </w:rPr>
        <w:t xml:space="preserve"> should be active in their respective Questions.</w:t>
      </w:r>
    </w:p>
    <w:p w14:paraId="3388B5FD" w14:textId="77777777" w:rsidR="006C0459" w:rsidRPr="00381D89" w:rsidRDefault="006C0459" w:rsidP="0045357A">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Documents and Contributions</w:t>
      </w:r>
    </w:p>
    <w:p w14:paraId="1EBA7BFC"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 xml:space="preserve">The procedures for submitting documents are the same as for submissions to normal Study Group, Working Party, or Rapporteur meetings as applicable (see </w:t>
      </w:r>
      <w:hyperlink r:id="rId18" w:history="1">
        <w:r w:rsidRPr="00381D89">
          <w:rPr>
            <w:rFonts w:eastAsia="SimSun"/>
            <w:kern w:val="2"/>
            <w:lang w:val="en-US" w:eastAsia="zh-CN"/>
          </w:rPr>
          <w:t>Rec.</w:t>
        </w:r>
      </w:hyperlink>
      <w:r w:rsidRPr="00381D89">
        <w:rPr>
          <w:rFonts w:eastAsia="SimSun"/>
          <w:kern w:val="2"/>
          <w:lang w:val="en-US" w:eastAsia="zh-CN"/>
        </w:rPr>
        <w:t xml:space="preserve"> ITU-T A.1, section 2.3.3).</w:t>
      </w:r>
    </w:p>
    <w:p w14:paraId="73333A8D" w14:textId="77777777" w:rsidR="006C0459" w:rsidRPr="00381D89" w:rsidRDefault="006C0459" w:rsidP="0045357A">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Liaison with other groups</w:t>
      </w:r>
    </w:p>
    <w:p w14:paraId="0F5A226B" w14:textId="77777777" w:rsidR="006C0459" w:rsidRPr="00381D89" w:rsidRDefault="006C0459" w:rsidP="006C0459">
      <w:pPr>
        <w:widowControl w:val="0"/>
        <w:spacing w:line="259" w:lineRule="auto"/>
        <w:jc w:val="both"/>
        <w:rPr>
          <w:rFonts w:eastAsia="SimSun"/>
          <w:kern w:val="2"/>
          <w:lang w:val="en-US" w:eastAsia="zh-CN"/>
        </w:rPr>
      </w:pPr>
      <w:r w:rsidRPr="00381D89">
        <w:rPr>
          <w:rFonts w:eastAsia="SimSun"/>
          <w:kern w:val="2"/>
          <w:lang w:val="en-US" w:eastAsia="zh-CN"/>
        </w:rPr>
        <w:t>The JRG-QST can receive and send liaison statements as normal for a Question/Rapporteur meeting. The source of outgoing liaisons is JRG-</w:t>
      </w:r>
      <w:r w:rsidRPr="00381D89">
        <w:rPr>
          <w:rFonts w:eastAsia="SimSun" w:hint="eastAsia"/>
          <w:kern w:val="2"/>
          <w:lang w:val="en-US" w:eastAsia="zh-CN"/>
        </w:rPr>
        <w:t>Q</w:t>
      </w:r>
      <w:r w:rsidRPr="00381D89">
        <w:rPr>
          <w:rFonts w:eastAsia="SimSun"/>
          <w:kern w:val="2"/>
          <w:lang w:val="en-US" w:eastAsia="zh-CN"/>
        </w:rPr>
        <w:t xml:space="preserve">ST (i.e., Qs Q2/11, </w:t>
      </w:r>
      <w:r w:rsidRPr="00381D89">
        <w:rPr>
          <w:rFonts w:eastAsia="Malgun Gothic" w:hint="eastAsia"/>
          <w:kern w:val="2"/>
          <w:lang w:val="en-US" w:eastAsia="ko-KR"/>
        </w:rPr>
        <w:t>6</w:t>
      </w:r>
      <w:r w:rsidRPr="00381D89">
        <w:rPr>
          <w:rFonts w:eastAsia="SimSun"/>
          <w:kern w:val="2"/>
          <w:lang w:val="en-US" w:eastAsia="zh-CN"/>
        </w:rPr>
        <w:t>/</w:t>
      </w:r>
      <w:r w:rsidRPr="00381D89">
        <w:rPr>
          <w:rFonts w:eastAsia="Malgun Gothic" w:hint="eastAsia"/>
          <w:kern w:val="2"/>
          <w:lang w:val="en-US" w:eastAsia="ko-KR"/>
        </w:rPr>
        <w:t>13</w:t>
      </w:r>
      <w:r w:rsidRPr="00381D89">
        <w:rPr>
          <w:rFonts w:eastAsia="SimSun"/>
          <w:kern w:val="2"/>
          <w:lang w:val="en-US" w:eastAsia="zh-CN"/>
        </w:rPr>
        <w:t>,</w:t>
      </w:r>
      <w:r w:rsidRPr="00381D89">
        <w:rPr>
          <w:rFonts w:eastAsia="Malgun Gothic" w:hint="eastAsia"/>
          <w:kern w:val="2"/>
          <w:lang w:val="en-US" w:eastAsia="ko-KR"/>
        </w:rPr>
        <w:t xml:space="preserve"> 16</w:t>
      </w:r>
      <w:r w:rsidRPr="00381D89">
        <w:rPr>
          <w:rFonts w:eastAsia="SimSun"/>
          <w:kern w:val="2"/>
          <w:lang w:val="en-US" w:eastAsia="zh-CN"/>
        </w:rPr>
        <w:t>/</w:t>
      </w:r>
      <w:r w:rsidRPr="00381D89">
        <w:rPr>
          <w:rFonts w:eastAsia="Malgun Gothic" w:hint="eastAsia"/>
          <w:kern w:val="2"/>
          <w:lang w:val="en-US" w:eastAsia="ko-KR"/>
        </w:rPr>
        <w:t>13, 11/17</w:t>
      </w:r>
      <w:r w:rsidRPr="00381D89">
        <w:rPr>
          <w:rFonts w:eastAsia="SimSun"/>
          <w:kern w:val="2"/>
          <w:lang w:val="en-US" w:eastAsia="zh-CN"/>
        </w:rPr>
        <w:t xml:space="preserve"> and 1</w:t>
      </w:r>
      <w:r w:rsidRPr="00381D89">
        <w:rPr>
          <w:rFonts w:eastAsia="Malgun Gothic" w:hint="eastAsia"/>
          <w:kern w:val="2"/>
          <w:lang w:val="en-US" w:eastAsia="ko-KR"/>
        </w:rPr>
        <w:t>5</w:t>
      </w:r>
      <w:r w:rsidRPr="00381D89">
        <w:rPr>
          <w:rFonts w:eastAsia="SimSun"/>
          <w:kern w:val="2"/>
          <w:lang w:val="en-US" w:eastAsia="zh-CN"/>
        </w:rPr>
        <w:t>/1</w:t>
      </w:r>
      <w:r w:rsidRPr="00381D89">
        <w:rPr>
          <w:rFonts w:eastAsia="Malgun Gothic" w:hint="eastAsia"/>
          <w:kern w:val="2"/>
          <w:lang w:val="en-US" w:eastAsia="ko-KR"/>
        </w:rPr>
        <w:t>7</w:t>
      </w:r>
      <w:r w:rsidRPr="00381D89">
        <w:rPr>
          <w:rFonts w:eastAsia="SimSun"/>
          <w:kern w:val="2"/>
          <w:lang w:val="en-US" w:eastAsia="zh-CN"/>
        </w:rPr>
        <w:t>).</w:t>
      </w:r>
    </w:p>
    <w:p w14:paraId="0FE72BA1" w14:textId="77777777" w:rsidR="006C0459" w:rsidRPr="00381D89" w:rsidRDefault="006C0459" w:rsidP="00381D89">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Work Plan</w:t>
      </w:r>
    </w:p>
    <w:p w14:paraId="32818147" w14:textId="77777777" w:rsidR="006C0459" w:rsidRPr="00381D89" w:rsidRDefault="006C0459" w:rsidP="00381D89">
      <w:pPr>
        <w:numPr>
          <w:ilvl w:val="0"/>
          <w:numId w:val="16"/>
        </w:numPr>
        <w:ind w:left="720" w:hanging="720"/>
        <w:jc w:val="both"/>
        <w:rPr>
          <w:rFonts w:eastAsia="SimSun"/>
          <w:lang w:eastAsia="zh-CN"/>
        </w:rPr>
      </w:pPr>
      <w:r w:rsidRPr="00381D89">
        <w:rPr>
          <w:rFonts w:eastAsia="SimSun"/>
          <w:lang w:eastAsia="zh-CN"/>
        </w:rPr>
        <w:t>The</w:t>
      </w:r>
      <w:r w:rsidRPr="00381D89">
        <w:rPr>
          <w:rFonts w:eastAsia="SimSun"/>
          <w:lang w:val="en-US" w:eastAsia="zh-CN"/>
        </w:rPr>
        <w:t xml:space="preserve"> JRG-QST</w:t>
      </w:r>
      <w:r w:rsidRPr="00381D89">
        <w:rPr>
          <w:rFonts w:eastAsia="SimSun"/>
          <w:lang w:eastAsia="zh-CN"/>
        </w:rPr>
        <w:t xml:space="preserve"> will maintain the list of </w:t>
      </w:r>
      <w:r w:rsidRPr="00381D89">
        <w:rPr>
          <w:rFonts w:eastAsia="SimSun" w:hint="eastAsia"/>
          <w:lang w:eastAsia="zh-CN"/>
        </w:rPr>
        <w:t>on-going</w:t>
      </w:r>
      <w:r w:rsidRPr="00381D89">
        <w:rPr>
          <w:rFonts w:eastAsia="SimSun"/>
          <w:lang w:eastAsia="zh-CN"/>
        </w:rPr>
        <w:t xml:space="preserve"> documents that the work will be deriving from</w:t>
      </w:r>
      <w:r w:rsidRPr="00381D89">
        <w:rPr>
          <w:rFonts w:eastAsia="SimSun" w:hint="eastAsia"/>
          <w:lang w:eastAsia="zh-CN"/>
        </w:rPr>
        <w:t xml:space="preserve"> </w:t>
      </w:r>
      <w:r w:rsidRPr="00381D89">
        <w:rPr>
          <w:rFonts w:eastAsia="SimSun"/>
          <w:lang w:eastAsia="zh-CN"/>
        </w:rPr>
        <w:t>(see Appendix I).</w:t>
      </w:r>
    </w:p>
    <w:p w14:paraId="2D4946B4" w14:textId="77777777" w:rsidR="006C0459" w:rsidRPr="00381D89" w:rsidRDefault="006C0459" w:rsidP="00381D89">
      <w:pPr>
        <w:numPr>
          <w:ilvl w:val="0"/>
          <w:numId w:val="16"/>
        </w:numPr>
        <w:ind w:left="720" w:hanging="720"/>
        <w:jc w:val="both"/>
        <w:rPr>
          <w:rFonts w:eastAsia="SimSun"/>
          <w:lang w:eastAsia="zh-CN"/>
        </w:rPr>
      </w:pPr>
      <w:r w:rsidRPr="00381D89">
        <w:rPr>
          <w:rFonts w:eastAsia="SimSun"/>
          <w:lang w:eastAsia="zh-CN"/>
        </w:rPr>
        <w:t xml:space="preserve">For the development of harmonized Recommendations, a common terminology about </w:t>
      </w:r>
      <w:r w:rsidRPr="00381D89">
        <w:rPr>
          <w:rFonts w:eastAsia="SimSun" w:hint="eastAsia"/>
          <w:lang w:eastAsia="zh-CN"/>
        </w:rPr>
        <w:t xml:space="preserve">Quantum </w:t>
      </w:r>
      <w:r w:rsidRPr="00381D89">
        <w:rPr>
          <w:rFonts w:eastAsia="SimSun"/>
          <w:lang w:eastAsia="zh-CN"/>
        </w:rPr>
        <w:t xml:space="preserve">Safe Telecom/ICT should be referred by Rapporteurs in JRG-QST. (e.g., </w:t>
      </w:r>
      <w:r w:rsidRPr="00381D89">
        <w:rPr>
          <w:rFonts w:eastAsia="SimSun" w:hint="eastAsia"/>
          <w:lang w:eastAsia="zh-CN"/>
        </w:rPr>
        <w:t>modern cryptography</w:t>
      </w:r>
      <w:r w:rsidRPr="00381D89">
        <w:rPr>
          <w:rFonts w:eastAsia="SimSun"/>
          <w:lang w:eastAsia="zh-CN"/>
        </w:rPr>
        <w:t xml:space="preserve">, </w:t>
      </w:r>
      <w:r w:rsidRPr="00381D89">
        <w:rPr>
          <w:rFonts w:eastAsia="SimSun" w:hint="eastAsia"/>
          <w:lang w:eastAsia="zh-CN"/>
        </w:rPr>
        <w:t>quantum key distribution and its networks, post-quantum cryptography, and integration among them</w:t>
      </w:r>
      <w:r w:rsidRPr="00381D89">
        <w:rPr>
          <w:rFonts w:eastAsia="SimSun"/>
          <w:lang w:eastAsia="zh-CN"/>
        </w:rPr>
        <w:t>.)</w:t>
      </w:r>
    </w:p>
    <w:p w14:paraId="6F2A2CEC" w14:textId="77777777" w:rsidR="006C0459" w:rsidRPr="00381D89" w:rsidRDefault="006C0459" w:rsidP="00381D89">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Documentation repository</w:t>
      </w:r>
    </w:p>
    <w:p w14:paraId="400A4927" w14:textId="77777777" w:rsidR="006C0459" w:rsidRPr="00381D89" w:rsidRDefault="006C0459" w:rsidP="006C0459">
      <w:pPr>
        <w:widowControl w:val="0"/>
        <w:spacing w:line="259" w:lineRule="auto"/>
        <w:jc w:val="both"/>
        <w:rPr>
          <w:rFonts w:eastAsia="Malgun Gothic"/>
          <w:kern w:val="2"/>
          <w:lang w:val="en-US" w:eastAsia="ko-KR"/>
        </w:rPr>
      </w:pPr>
      <w:r w:rsidRPr="00381D89">
        <w:rPr>
          <w:rFonts w:eastAsia="SimSun"/>
          <w:kern w:val="2"/>
          <w:lang w:val="en-US" w:eastAsia="zh-CN"/>
        </w:rPr>
        <w:t>JRG-QST will have its dedicated informal FTP area or SharePoint site to convene its work.</w:t>
      </w:r>
    </w:p>
    <w:p w14:paraId="65A53AE7" w14:textId="77777777" w:rsidR="006C0459" w:rsidRPr="00381D89" w:rsidRDefault="006C0459" w:rsidP="00381D89">
      <w:pPr>
        <w:keepNext/>
        <w:keepLines/>
        <w:widowControl w:val="0"/>
        <w:numPr>
          <w:ilvl w:val="0"/>
          <w:numId w:val="17"/>
        </w:numPr>
        <w:spacing w:before="240" w:after="160" w:line="259" w:lineRule="auto"/>
        <w:ind w:left="720" w:hanging="720"/>
        <w:jc w:val="both"/>
        <w:outlineLvl w:val="0"/>
        <w:rPr>
          <w:rFonts w:eastAsia="SimSun"/>
          <w:b/>
          <w:bCs/>
          <w:kern w:val="2"/>
          <w:lang w:val="en-US" w:eastAsia="zh-CN"/>
        </w:rPr>
      </w:pPr>
      <w:r w:rsidRPr="00381D89">
        <w:rPr>
          <w:rFonts w:eastAsia="SimSun"/>
          <w:b/>
          <w:bCs/>
          <w:kern w:val="2"/>
          <w:lang w:val="en-US" w:eastAsia="zh-CN"/>
        </w:rPr>
        <w:t>Lifetime</w:t>
      </w:r>
    </w:p>
    <w:p w14:paraId="0ED192AD" w14:textId="77777777" w:rsidR="006C0459" w:rsidRPr="00381D89" w:rsidRDefault="006C0459" w:rsidP="006C0459">
      <w:pPr>
        <w:widowControl w:val="0"/>
        <w:spacing w:line="259" w:lineRule="auto"/>
        <w:jc w:val="both"/>
        <w:rPr>
          <w:rFonts w:eastAsia="Malgun Gothic"/>
          <w:kern w:val="2"/>
          <w:lang w:val="en-US" w:eastAsia="ko-KR"/>
        </w:rPr>
      </w:pPr>
      <w:r w:rsidRPr="00381D89">
        <w:rPr>
          <w:rFonts w:eastAsia="SimSun"/>
          <w:kern w:val="2"/>
          <w:lang w:val="en-US" w:eastAsia="zh-CN"/>
        </w:rPr>
        <w:t>The JRG-QST will continue until the end of the current ITU-T Study Period (20</w:t>
      </w:r>
      <w:r w:rsidRPr="00381D89">
        <w:rPr>
          <w:rFonts w:eastAsia="SimSun" w:hint="eastAsia"/>
          <w:kern w:val="2"/>
          <w:lang w:val="en-US" w:eastAsia="zh-CN"/>
        </w:rPr>
        <w:t>25</w:t>
      </w:r>
      <w:r w:rsidRPr="00381D89">
        <w:rPr>
          <w:rFonts w:eastAsia="SimSun"/>
          <w:kern w:val="2"/>
          <w:lang w:val="en-US" w:eastAsia="zh-CN"/>
        </w:rPr>
        <w:t>-20</w:t>
      </w:r>
      <w:r w:rsidRPr="00381D89">
        <w:rPr>
          <w:rFonts w:eastAsia="SimSun" w:hint="eastAsia"/>
          <w:kern w:val="2"/>
          <w:lang w:val="en-US" w:eastAsia="zh-CN"/>
        </w:rPr>
        <w:t>28</w:t>
      </w:r>
      <w:r w:rsidRPr="00381D89">
        <w:rPr>
          <w:rFonts w:eastAsia="SimSun"/>
          <w:kern w:val="2"/>
          <w:lang w:val="en-US" w:eastAsia="zh-CN"/>
        </w:rPr>
        <w:t>). The scope and the purpose of JRG-QST should be revisited at the first meeting of a SG13/SG17 in the next study period (20</w:t>
      </w:r>
      <w:r w:rsidRPr="00381D89">
        <w:rPr>
          <w:rFonts w:eastAsia="SimSun" w:hint="eastAsia"/>
          <w:kern w:val="2"/>
          <w:lang w:val="en-US" w:eastAsia="zh-CN"/>
        </w:rPr>
        <w:t>29</w:t>
      </w:r>
      <w:r w:rsidRPr="00381D89">
        <w:rPr>
          <w:rFonts w:eastAsia="SimSun"/>
          <w:kern w:val="2"/>
          <w:lang w:val="en-US" w:eastAsia="zh-CN"/>
        </w:rPr>
        <w:t xml:space="preserve"> - 20</w:t>
      </w:r>
      <w:r w:rsidRPr="00381D89">
        <w:rPr>
          <w:rFonts w:eastAsia="SimSun" w:hint="eastAsia"/>
          <w:kern w:val="2"/>
          <w:lang w:val="en-US" w:eastAsia="zh-CN"/>
        </w:rPr>
        <w:t>32</w:t>
      </w:r>
      <w:r w:rsidRPr="00381D89">
        <w:rPr>
          <w:rFonts w:eastAsia="SimSun"/>
          <w:kern w:val="2"/>
          <w:lang w:val="en-US" w:eastAsia="zh-CN"/>
        </w:rPr>
        <w:t xml:space="preserve">) for the purpose of its extension in which case </w:t>
      </w:r>
      <w:proofErr w:type="gramStart"/>
      <w:r w:rsidRPr="00381D89">
        <w:rPr>
          <w:rFonts w:eastAsia="SimSun"/>
          <w:kern w:val="2"/>
          <w:lang w:val="en-US" w:eastAsia="zh-CN"/>
        </w:rPr>
        <w:t>the approval</w:t>
      </w:r>
      <w:proofErr w:type="gramEnd"/>
      <w:r w:rsidRPr="00381D89">
        <w:rPr>
          <w:rFonts w:eastAsia="SimSun"/>
          <w:kern w:val="2"/>
          <w:lang w:val="en-US" w:eastAsia="zh-CN"/>
        </w:rPr>
        <w:t xml:space="preserve"> by each study group is needed.</w:t>
      </w:r>
    </w:p>
    <w:p w14:paraId="63117894" w14:textId="77777777" w:rsidR="005A5C29" w:rsidRPr="00381D89" w:rsidRDefault="005A5C29" w:rsidP="006C0459">
      <w:pPr>
        <w:spacing w:before="0" w:after="160" w:line="278" w:lineRule="auto"/>
        <w:rPr>
          <w:b/>
          <w:lang w:val="en-US" w:eastAsia="ko-KR"/>
        </w:rPr>
      </w:pPr>
    </w:p>
    <w:p w14:paraId="402C61F8" w14:textId="2C429E47" w:rsidR="005A5C29" w:rsidRPr="005A5C29" w:rsidRDefault="005A5C29" w:rsidP="005A5C29">
      <w:pPr>
        <w:rPr>
          <w:b/>
          <w:bCs/>
        </w:rPr>
      </w:pPr>
      <w:r w:rsidRPr="005A5C29">
        <w:rPr>
          <w:b/>
          <w:bCs/>
        </w:rPr>
        <w:t>Appendix (1):</w:t>
      </w:r>
    </w:p>
    <w:p w14:paraId="18F4B9C3" w14:textId="6D43A1BD" w:rsidR="006C0459" w:rsidRPr="005A5C29" w:rsidRDefault="005A5C29" w:rsidP="005A5C29">
      <w:pPr>
        <w:pStyle w:val="ListParagraph"/>
        <w:numPr>
          <w:ilvl w:val="0"/>
          <w:numId w:val="16"/>
        </w:numPr>
        <w:rPr>
          <w:b/>
          <w:sz w:val="32"/>
          <w:szCs w:val="28"/>
          <w:lang w:val="en-US" w:eastAsia="ko-KR"/>
        </w:rPr>
      </w:pPr>
      <w:r w:rsidRPr="005A5C29">
        <w:t>List of on-going work items for the JRG on QST</w:t>
      </w:r>
      <w:r w:rsidR="006C0459" w:rsidRPr="005A5C29">
        <w:rPr>
          <w:b/>
          <w:sz w:val="32"/>
          <w:szCs w:val="28"/>
          <w:lang w:val="en-US" w:eastAsia="ko-KR"/>
        </w:rPr>
        <w:br w:type="page"/>
      </w:r>
    </w:p>
    <w:p w14:paraId="7F87292E" w14:textId="77777777" w:rsidR="006C0459" w:rsidRPr="00140715" w:rsidRDefault="006C0459" w:rsidP="006C0459">
      <w:pPr>
        <w:spacing w:after="160" w:line="259" w:lineRule="auto"/>
        <w:jc w:val="center"/>
        <w:rPr>
          <w:b/>
          <w:sz w:val="32"/>
          <w:szCs w:val="28"/>
          <w:lang w:val="en-US" w:eastAsia="ko-KR"/>
        </w:rPr>
      </w:pPr>
      <w:r w:rsidRPr="00140715">
        <w:rPr>
          <w:rFonts w:hint="eastAsia"/>
          <w:b/>
          <w:sz w:val="32"/>
          <w:szCs w:val="28"/>
          <w:lang w:val="en-US" w:eastAsia="ko-KR"/>
        </w:rPr>
        <w:lastRenderedPageBreak/>
        <w:t>Appendix I</w:t>
      </w:r>
    </w:p>
    <w:p w14:paraId="030A2607" w14:textId="77777777" w:rsidR="00833B67" w:rsidRPr="00140715" w:rsidRDefault="006C0459" w:rsidP="006C0459">
      <w:pPr>
        <w:spacing w:after="160" w:line="259" w:lineRule="auto"/>
        <w:jc w:val="center"/>
        <w:rPr>
          <w:b/>
          <w:lang w:val="en-US" w:eastAsia="ko-KR"/>
        </w:rPr>
      </w:pPr>
      <w:r w:rsidRPr="00140715">
        <w:rPr>
          <w:rFonts w:hint="eastAsia"/>
          <w:b/>
          <w:lang w:val="en-US" w:eastAsia="ko-KR"/>
        </w:rPr>
        <w:t>List of on-going work items for the JRG on Q</w:t>
      </w:r>
      <w:r>
        <w:rPr>
          <w:b/>
          <w:lang w:val="en-US" w:eastAsia="ko-KR"/>
        </w:rPr>
        <w:t>ST</w:t>
      </w:r>
    </w:p>
    <w:tbl>
      <w:tblPr>
        <w:tblStyle w:val="TableGrid1"/>
        <w:tblW w:w="0" w:type="auto"/>
        <w:tblLook w:val="04A0" w:firstRow="1" w:lastRow="0" w:firstColumn="1" w:lastColumn="0" w:noHBand="0" w:noVBand="1"/>
      </w:tblPr>
      <w:tblGrid>
        <w:gridCol w:w="1127"/>
        <w:gridCol w:w="1987"/>
        <w:gridCol w:w="6515"/>
      </w:tblGrid>
      <w:tr w:rsidR="00833B67" w:rsidRPr="00140715" w14:paraId="10C0BCB0" w14:textId="77777777" w:rsidTr="00833B67">
        <w:tc>
          <w:tcPr>
            <w:tcW w:w="1127" w:type="dxa"/>
            <w:vAlign w:val="center"/>
          </w:tcPr>
          <w:p w14:paraId="3761803C" w14:textId="77777777" w:rsidR="00833B67" w:rsidRPr="0009512B" w:rsidRDefault="00833B67" w:rsidP="00833B67">
            <w:pPr>
              <w:keepNext/>
              <w:keepLines/>
              <w:spacing w:before="0" w:after="0" w:line="240" w:lineRule="auto"/>
              <w:jc w:val="center"/>
              <w:outlineLvl w:val="0"/>
              <w:rPr>
                <w:bCs/>
                <w:lang w:eastAsia="ko-KR"/>
              </w:rPr>
            </w:pPr>
            <w:r w:rsidRPr="0009512B">
              <w:rPr>
                <w:bCs/>
                <w:lang w:eastAsia="ko-KR"/>
              </w:rPr>
              <w:t>Question</w:t>
            </w:r>
          </w:p>
        </w:tc>
        <w:tc>
          <w:tcPr>
            <w:tcW w:w="1987" w:type="dxa"/>
            <w:vAlign w:val="center"/>
          </w:tcPr>
          <w:p w14:paraId="32813F4A" w14:textId="77777777" w:rsidR="00833B67" w:rsidRPr="0009512B" w:rsidRDefault="00833B67" w:rsidP="00833B67">
            <w:pPr>
              <w:keepNext/>
              <w:keepLines/>
              <w:spacing w:before="0" w:after="0" w:line="240" w:lineRule="auto"/>
              <w:jc w:val="center"/>
              <w:outlineLvl w:val="0"/>
              <w:rPr>
                <w:bCs/>
                <w:lang w:eastAsia="ko-KR"/>
              </w:rPr>
            </w:pPr>
            <w:r w:rsidRPr="0009512B">
              <w:rPr>
                <w:bCs/>
                <w:lang w:eastAsia="ko-KR"/>
              </w:rPr>
              <w:t>Doc.</w:t>
            </w:r>
          </w:p>
        </w:tc>
        <w:tc>
          <w:tcPr>
            <w:tcW w:w="6515" w:type="dxa"/>
            <w:vAlign w:val="center"/>
          </w:tcPr>
          <w:p w14:paraId="2365BAEC" w14:textId="77777777" w:rsidR="00833B67" w:rsidRPr="0009512B" w:rsidRDefault="00833B67" w:rsidP="00833B67">
            <w:pPr>
              <w:keepNext/>
              <w:keepLines/>
              <w:spacing w:before="0" w:after="0" w:line="240" w:lineRule="auto"/>
              <w:jc w:val="center"/>
              <w:outlineLvl w:val="0"/>
              <w:rPr>
                <w:bCs/>
                <w:lang w:eastAsia="ko-KR"/>
              </w:rPr>
            </w:pPr>
            <w:r w:rsidRPr="0009512B">
              <w:rPr>
                <w:bCs/>
                <w:lang w:eastAsia="ko-KR"/>
              </w:rPr>
              <w:t>Title</w:t>
            </w:r>
          </w:p>
        </w:tc>
      </w:tr>
      <w:tr w:rsidR="00833B67" w:rsidRPr="00140715" w14:paraId="2EA2513E" w14:textId="77777777" w:rsidTr="00833B67">
        <w:tc>
          <w:tcPr>
            <w:tcW w:w="1127" w:type="dxa"/>
            <w:vMerge w:val="restart"/>
            <w:vAlign w:val="center"/>
          </w:tcPr>
          <w:p w14:paraId="4D137451" w14:textId="77777777" w:rsidR="00833B67" w:rsidRPr="0009512B" w:rsidRDefault="00833B67" w:rsidP="00833B67">
            <w:pPr>
              <w:keepNext/>
              <w:keepLines/>
              <w:spacing w:before="0" w:after="0" w:line="240" w:lineRule="auto"/>
              <w:outlineLvl w:val="0"/>
              <w:rPr>
                <w:bCs/>
                <w:lang w:eastAsia="ko-KR"/>
              </w:rPr>
            </w:pPr>
            <w:r w:rsidRPr="0009512B">
              <w:rPr>
                <w:bCs/>
                <w:lang w:eastAsia="ko-KR"/>
              </w:rPr>
              <w:t>Q6/13</w:t>
            </w:r>
          </w:p>
        </w:tc>
        <w:tc>
          <w:tcPr>
            <w:tcW w:w="1987" w:type="dxa"/>
            <w:vAlign w:val="center"/>
          </w:tcPr>
          <w:p w14:paraId="7E623318" w14:textId="1E62AE94" w:rsidR="00833B67" w:rsidRPr="005A5C29" w:rsidRDefault="00833B67" w:rsidP="00037D4C">
            <w:pPr>
              <w:keepNext/>
              <w:keepLines/>
              <w:spacing w:before="0" w:after="0" w:line="240" w:lineRule="auto"/>
              <w:jc w:val="left"/>
              <w:outlineLvl w:val="0"/>
              <w:rPr>
                <w:bCs/>
                <w:color w:val="0000FF"/>
                <w:lang w:eastAsia="ko-KR"/>
              </w:rPr>
            </w:pPr>
            <w:hyperlink r:id="rId19" w:tooltip="See more details" w:history="1">
              <w:r w:rsidRPr="005A5C29">
                <w:rPr>
                  <w:bCs/>
                  <w:color w:val="0000FF"/>
                  <w:u w:val="single"/>
                  <w:lang w:eastAsia="ko-KR"/>
                </w:rPr>
                <w:t>Y.3828</w:t>
              </w:r>
              <w:r w:rsidR="00037D4C" w:rsidRPr="005A5C29">
                <w:rPr>
                  <w:bCs/>
                  <w:color w:val="0000FF"/>
                  <w:u w:val="single"/>
                  <w:lang w:eastAsia="ko-KR"/>
                </w:rPr>
                <w:t xml:space="preserve"> </w:t>
              </w:r>
              <w:r w:rsidR="005A5C29">
                <w:rPr>
                  <w:bCs/>
                  <w:color w:val="0000FF"/>
                  <w:u w:val="single"/>
                  <w:lang w:eastAsia="ko-KR"/>
                </w:rPr>
                <w:br/>
              </w:r>
              <w:r w:rsidRPr="005A5C29">
                <w:rPr>
                  <w:bCs/>
                  <w:color w:val="0000FF"/>
                  <w:u w:val="single"/>
                  <w:lang w:eastAsia="ko-KR"/>
                </w:rPr>
                <w:t>(</w:t>
              </w:r>
              <w:proofErr w:type="gramStart"/>
              <w:r w:rsidR="005A5C29">
                <w:rPr>
                  <w:bCs/>
                  <w:color w:val="0000FF"/>
                  <w:u w:val="single"/>
                  <w:lang w:eastAsia="ko-KR"/>
                </w:rPr>
                <w:t>Y.</w:t>
              </w:r>
              <w:r w:rsidRPr="005A5C29">
                <w:rPr>
                  <w:bCs/>
                  <w:color w:val="0000FF"/>
                  <w:u w:val="single"/>
                  <w:lang w:eastAsia="ko-KR"/>
                </w:rPr>
                <w:t>QKDN</w:t>
              </w:r>
              <w:proofErr w:type="gramEnd"/>
              <w:r w:rsidRPr="005A5C29">
                <w:rPr>
                  <w:bCs/>
                  <w:color w:val="0000FF"/>
                  <w:u w:val="single"/>
                  <w:lang w:eastAsia="ko-KR"/>
                </w:rPr>
                <w:t>-nq-</w:t>
              </w:r>
              <w:proofErr w:type="spellStart"/>
              <w:r w:rsidRPr="005A5C29">
                <w:rPr>
                  <w:bCs/>
                  <w:color w:val="0000FF"/>
                  <w:u w:val="single"/>
                  <w:lang w:eastAsia="ko-KR"/>
                </w:rPr>
                <w:t>qos</w:t>
              </w:r>
              <w:proofErr w:type="spellEnd"/>
              <w:r w:rsidRPr="005A5C29">
                <w:rPr>
                  <w:bCs/>
                  <w:color w:val="0000FF"/>
                  <w:u w:val="single"/>
                  <w:lang w:eastAsia="ko-KR"/>
                </w:rPr>
                <w:t>-rf</w:t>
              </w:r>
            </w:hyperlink>
            <w:r w:rsidRPr="005A5C29">
              <w:rPr>
                <w:color w:val="0000FF"/>
              </w:rPr>
              <w:t>)</w:t>
            </w:r>
          </w:p>
        </w:tc>
        <w:tc>
          <w:tcPr>
            <w:tcW w:w="6515" w:type="dxa"/>
            <w:vAlign w:val="center"/>
          </w:tcPr>
          <w:p w14:paraId="184F2099" w14:textId="77777777" w:rsidR="00833B67" w:rsidRPr="0009512B" w:rsidRDefault="00833B67" w:rsidP="00833B67">
            <w:pPr>
              <w:keepNext/>
              <w:keepLines/>
              <w:spacing w:before="0" w:after="0" w:line="240" w:lineRule="auto"/>
              <w:outlineLvl w:val="0"/>
              <w:rPr>
                <w:bCs/>
                <w:lang w:eastAsia="ko-KR"/>
              </w:rPr>
            </w:pPr>
            <w:r w:rsidRPr="0009512B">
              <w:rPr>
                <w:bCs/>
                <w:lang w:eastAsia="ko-KR"/>
              </w:rPr>
              <w:t xml:space="preserve">“Framework of </w:t>
            </w:r>
            <w:proofErr w:type="gramStart"/>
            <w:r w:rsidRPr="0009512B">
              <w:rPr>
                <w:bCs/>
                <w:lang w:eastAsia="ko-KR"/>
              </w:rPr>
              <w:t>quality of service</w:t>
            </w:r>
            <w:proofErr w:type="gramEnd"/>
            <w:r w:rsidRPr="0009512B">
              <w:rPr>
                <w:bCs/>
                <w:lang w:eastAsia="ko-KR"/>
              </w:rPr>
              <w:t xml:space="preserve"> assurance for integrated quantum key distribution network and user network supporting end-to-end modern cryptography services”</w:t>
            </w:r>
          </w:p>
        </w:tc>
      </w:tr>
      <w:tr w:rsidR="00833B67" w:rsidRPr="00140715" w14:paraId="240E2CA6" w14:textId="77777777" w:rsidTr="00833B67">
        <w:tc>
          <w:tcPr>
            <w:tcW w:w="1127" w:type="dxa"/>
            <w:vMerge/>
            <w:vAlign w:val="center"/>
          </w:tcPr>
          <w:p w14:paraId="24139230"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1DDC0D09" w14:textId="77777777" w:rsidR="00833B67" w:rsidRPr="00037D4C" w:rsidRDefault="00833B67" w:rsidP="00833B67">
            <w:pPr>
              <w:keepNext/>
              <w:keepLines/>
              <w:spacing w:before="0" w:after="0" w:line="240" w:lineRule="auto"/>
              <w:outlineLvl w:val="0"/>
              <w:rPr>
                <w:bCs/>
                <w:color w:val="000000" w:themeColor="text1"/>
                <w:lang w:eastAsia="ko-KR"/>
              </w:rPr>
            </w:pPr>
            <w:hyperlink r:id="rId20" w:history="1">
              <w:proofErr w:type="gramStart"/>
              <w:r w:rsidRPr="005A5C29">
                <w:rPr>
                  <w:bCs/>
                  <w:color w:val="0000FF"/>
                  <w:u w:val="single"/>
                  <w:lang w:eastAsia="ko-KR"/>
                </w:rPr>
                <w:t>Y.QKDN</w:t>
              </w:r>
              <w:proofErr w:type="gramEnd"/>
              <w:r w:rsidRPr="005A5C29">
                <w:rPr>
                  <w:bCs/>
                  <w:color w:val="0000FF"/>
                  <w:u w:val="single"/>
                  <w:lang w:eastAsia="ko-KR"/>
                </w:rPr>
                <w:t>-nq-</w:t>
              </w:r>
              <w:proofErr w:type="spellStart"/>
              <w:r w:rsidRPr="005A5C29">
                <w:rPr>
                  <w:bCs/>
                  <w:color w:val="0000FF"/>
                  <w:u w:val="single"/>
                  <w:lang w:eastAsia="ko-KR"/>
                </w:rPr>
                <w:t>qos</w:t>
              </w:r>
              <w:proofErr w:type="spellEnd"/>
              <w:r w:rsidRPr="005A5C29">
                <w:rPr>
                  <w:bCs/>
                  <w:color w:val="0000FF"/>
                  <w:u w:val="single"/>
                  <w:lang w:eastAsia="ko-KR"/>
                </w:rPr>
                <w:t>-fa</w:t>
              </w:r>
            </w:hyperlink>
          </w:p>
        </w:tc>
        <w:tc>
          <w:tcPr>
            <w:tcW w:w="6515" w:type="dxa"/>
            <w:vAlign w:val="center"/>
          </w:tcPr>
          <w:p w14:paraId="1DECE4B1" w14:textId="77777777" w:rsidR="00833B67" w:rsidRPr="0009512B" w:rsidRDefault="00833B67" w:rsidP="00833B67">
            <w:pPr>
              <w:keepNext/>
              <w:keepLines/>
              <w:spacing w:before="0" w:after="0" w:line="240" w:lineRule="auto"/>
              <w:outlineLvl w:val="0"/>
              <w:rPr>
                <w:bCs/>
                <w:lang w:eastAsia="ko-KR"/>
              </w:rPr>
            </w:pPr>
            <w:r w:rsidRPr="0009512B">
              <w:rPr>
                <w:bCs/>
                <w:lang w:eastAsia="ko-KR"/>
              </w:rPr>
              <w:t xml:space="preserve">"Functional architecture for </w:t>
            </w:r>
            <w:proofErr w:type="gramStart"/>
            <w:r w:rsidRPr="0009512B">
              <w:rPr>
                <w:bCs/>
                <w:lang w:eastAsia="ko-KR"/>
              </w:rPr>
              <w:t>quality of service</w:t>
            </w:r>
            <w:proofErr w:type="gramEnd"/>
            <w:r w:rsidRPr="0009512B">
              <w:rPr>
                <w:bCs/>
                <w:lang w:eastAsia="ko-KR"/>
              </w:rPr>
              <w:t xml:space="preserve"> assurance for integrated quantum key distribution network and user network supporting end-to-end modern cryptography services"</w:t>
            </w:r>
          </w:p>
        </w:tc>
      </w:tr>
      <w:tr w:rsidR="00833B67" w:rsidRPr="00140715" w14:paraId="26933B31" w14:textId="77777777" w:rsidTr="00833B67">
        <w:tc>
          <w:tcPr>
            <w:tcW w:w="1127" w:type="dxa"/>
            <w:vMerge/>
            <w:vAlign w:val="center"/>
          </w:tcPr>
          <w:p w14:paraId="4ED3A7AF"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28D4B413" w14:textId="45062EA5" w:rsidR="00833B67" w:rsidRPr="00037D4C" w:rsidRDefault="00037D4C" w:rsidP="00833B67">
            <w:pPr>
              <w:keepNext/>
              <w:keepLines/>
              <w:spacing w:before="0" w:after="0" w:line="240" w:lineRule="auto"/>
              <w:outlineLvl w:val="0"/>
              <w:rPr>
                <w:color w:val="000000" w:themeColor="text1"/>
              </w:rPr>
            </w:pPr>
            <w:hyperlink r:id="rId21" w:history="1">
              <w:proofErr w:type="gramStart"/>
              <w:r w:rsidRPr="00037D4C">
                <w:rPr>
                  <w:rStyle w:val="Hyperlink"/>
                </w:rPr>
                <w:t>Y.QKDN</w:t>
              </w:r>
              <w:proofErr w:type="gramEnd"/>
              <w:r w:rsidRPr="00037D4C">
                <w:rPr>
                  <w:rStyle w:val="Hyperlink"/>
                </w:rPr>
                <w:t>-</w:t>
              </w:r>
              <w:proofErr w:type="spellStart"/>
              <w:r w:rsidRPr="00037D4C">
                <w:rPr>
                  <w:rStyle w:val="Hyperlink"/>
                </w:rPr>
                <w:t>qos</w:t>
              </w:r>
              <w:proofErr w:type="spellEnd"/>
              <w:r w:rsidRPr="00037D4C">
                <w:rPr>
                  <w:rStyle w:val="Hyperlink"/>
                </w:rPr>
                <w:t>-</w:t>
              </w:r>
              <w:proofErr w:type="spellStart"/>
              <w:r w:rsidRPr="00037D4C">
                <w:rPr>
                  <w:rStyle w:val="Hyperlink"/>
                </w:rPr>
                <w:t>QOdrQ</w:t>
              </w:r>
              <w:proofErr w:type="spellEnd"/>
            </w:hyperlink>
          </w:p>
        </w:tc>
        <w:tc>
          <w:tcPr>
            <w:tcW w:w="6515" w:type="dxa"/>
            <w:vAlign w:val="center"/>
          </w:tcPr>
          <w:p w14:paraId="030D0C08" w14:textId="77777777" w:rsidR="00833B67" w:rsidRPr="0009512B" w:rsidRDefault="00833B67" w:rsidP="00833B67">
            <w:pPr>
              <w:keepNext/>
              <w:keepLines/>
              <w:spacing w:before="0" w:after="0" w:line="240" w:lineRule="auto"/>
              <w:outlineLvl w:val="0"/>
              <w:rPr>
                <w:bCs/>
                <w:lang w:eastAsia="ko-KR"/>
              </w:rPr>
            </w:pPr>
            <w:r w:rsidRPr="0009512B">
              <w:rPr>
                <w:bCs/>
                <w:lang w:eastAsia="ko-KR"/>
              </w:rPr>
              <w:t>"Quantum key distribution networks - Quantitative objectives for delay-related QoS parameters"</w:t>
            </w:r>
          </w:p>
        </w:tc>
      </w:tr>
      <w:tr w:rsidR="00833B67" w:rsidRPr="00140715" w14:paraId="4DA327CA" w14:textId="77777777" w:rsidTr="00833B67">
        <w:tc>
          <w:tcPr>
            <w:tcW w:w="1127" w:type="dxa"/>
            <w:vMerge w:val="restart"/>
            <w:vAlign w:val="center"/>
          </w:tcPr>
          <w:p w14:paraId="795287B0" w14:textId="77777777" w:rsidR="00833B67" w:rsidRPr="0009512B" w:rsidRDefault="00833B67" w:rsidP="00833B67">
            <w:pPr>
              <w:keepNext/>
              <w:keepLines/>
              <w:spacing w:before="0" w:after="0" w:line="240" w:lineRule="auto"/>
              <w:outlineLvl w:val="0"/>
              <w:rPr>
                <w:bCs/>
                <w:lang w:eastAsia="ko-KR"/>
              </w:rPr>
            </w:pPr>
            <w:r w:rsidRPr="0009512B">
              <w:rPr>
                <w:bCs/>
                <w:lang w:eastAsia="ko-KR"/>
              </w:rPr>
              <w:t>Q16/13</w:t>
            </w:r>
          </w:p>
        </w:tc>
        <w:tc>
          <w:tcPr>
            <w:tcW w:w="1987" w:type="dxa"/>
            <w:vAlign w:val="center"/>
          </w:tcPr>
          <w:p w14:paraId="6E2C6751" w14:textId="77777777" w:rsidR="00833B67" w:rsidRPr="00037D4C" w:rsidRDefault="00833B67" w:rsidP="00833B67">
            <w:pPr>
              <w:keepNext/>
              <w:keepLines/>
              <w:spacing w:before="0" w:after="0" w:line="240" w:lineRule="auto"/>
              <w:outlineLvl w:val="0"/>
              <w:rPr>
                <w:bCs/>
                <w:color w:val="000000" w:themeColor="text1"/>
                <w:lang w:eastAsia="ko-KR"/>
              </w:rPr>
            </w:pPr>
            <w:r w:rsidRPr="00037D4C">
              <w:rPr>
                <w:bCs/>
                <w:color w:val="000000" w:themeColor="text1"/>
                <w:lang w:eastAsia="ko-KR"/>
              </w:rPr>
              <w:t> </w:t>
            </w:r>
            <w:hyperlink r:id="rId22" w:tooltip="See more details" w:history="1">
              <w:r w:rsidRPr="005A5C29">
                <w:rPr>
                  <w:bCs/>
                  <w:color w:val="0000FF"/>
                  <w:u w:val="single"/>
                  <w:lang w:eastAsia="ko-KR"/>
                </w:rPr>
                <w:t>Y.QKD-IPSec-</w:t>
              </w:r>
              <w:proofErr w:type="spellStart"/>
              <w:r w:rsidRPr="005A5C29">
                <w:rPr>
                  <w:bCs/>
                  <w:color w:val="0000FF"/>
                  <w:u w:val="single"/>
                  <w:lang w:eastAsia="ko-KR"/>
                </w:rPr>
                <w:t>fr</w:t>
              </w:r>
              <w:proofErr w:type="spellEnd"/>
            </w:hyperlink>
          </w:p>
        </w:tc>
        <w:tc>
          <w:tcPr>
            <w:tcW w:w="6515" w:type="dxa"/>
            <w:vAlign w:val="center"/>
          </w:tcPr>
          <w:p w14:paraId="38847C59" w14:textId="77777777" w:rsidR="00833B67" w:rsidRPr="0009512B" w:rsidRDefault="00833B67" w:rsidP="00833B67">
            <w:pPr>
              <w:keepNext/>
              <w:keepLines/>
              <w:spacing w:before="0" w:after="0" w:line="240" w:lineRule="auto"/>
              <w:outlineLvl w:val="0"/>
              <w:rPr>
                <w:bCs/>
                <w:lang w:eastAsia="ko-KR"/>
              </w:rPr>
            </w:pPr>
            <w:r w:rsidRPr="0009512B">
              <w:rPr>
                <w:bCs/>
                <w:lang w:eastAsia="ko-KR"/>
              </w:rPr>
              <w:t>“Framework for integration of quantum key distribution and IPSec”</w:t>
            </w:r>
          </w:p>
        </w:tc>
      </w:tr>
      <w:tr w:rsidR="00833B67" w:rsidRPr="00140715" w14:paraId="60694E40" w14:textId="77777777" w:rsidTr="00833B67">
        <w:tc>
          <w:tcPr>
            <w:tcW w:w="1127" w:type="dxa"/>
            <w:vMerge/>
            <w:vAlign w:val="center"/>
          </w:tcPr>
          <w:p w14:paraId="073A58D6"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646EC529" w14:textId="4B686199" w:rsidR="00833B67" w:rsidRPr="00037D4C" w:rsidRDefault="00833B67" w:rsidP="00833B67">
            <w:pPr>
              <w:keepNext/>
              <w:keepLines/>
              <w:spacing w:before="0" w:after="0" w:line="240" w:lineRule="auto"/>
              <w:outlineLvl w:val="0"/>
              <w:rPr>
                <w:bCs/>
                <w:color w:val="000000" w:themeColor="text1"/>
                <w:lang w:eastAsia="ko-KR"/>
              </w:rPr>
            </w:pPr>
            <w:r w:rsidRPr="00037D4C">
              <w:rPr>
                <w:bCs/>
                <w:color w:val="000000" w:themeColor="text1"/>
                <w:lang w:eastAsia="ko-KR"/>
              </w:rPr>
              <w:t> Y.3831 (</w:t>
            </w:r>
            <w:hyperlink r:id="rId23" w:tooltip="See more details" w:history="1">
              <w:r w:rsidRPr="005A5C29">
                <w:rPr>
                  <w:bCs/>
                  <w:color w:val="0000FF"/>
                  <w:u w:val="single"/>
                  <w:lang w:eastAsia="ko-KR"/>
                </w:rPr>
                <w:t>Y.QKDN-nq-fa</w:t>
              </w:r>
            </w:hyperlink>
            <w:r w:rsidR="00037D4C" w:rsidRPr="00037D4C">
              <w:rPr>
                <w:color w:val="000000" w:themeColor="text1"/>
              </w:rPr>
              <w:t>)</w:t>
            </w:r>
          </w:p>
        </w:tc>
        <w:tc>
          <w:tcPr>
            <w:tcW w:w="6515" w:type="dxa"/>
            <w:vAlign w:val="center"/>
          </w:tcPr>
          <w:p w14:paraId="088E9150" w14:textId="77777777" w:rsidR="00833B67" w:rsidRPr="0009512B" w:rsidRDefault="00833B67" w:rsidP="00833B67">
            <w:pPr>
              <w:keepNext/>
              <w:keepLines/>
              <w:spacing w:before="0" w:after="0" w:line="240" w:lineRule="auto"/>
              <w:outlineLvl w:val="0"/>
              <w:rPr>
                <w:bCs/>
                <w:lang w:eastAsia="ko-KR"/>
              </w:rPr>
            </w:pPr>
            <w:r w:rsidRPr="0009512B">
              <w:rPr>
                <w:bCs/>
                <w:lang w:eastAsia="ko-KR"/>
              </w:rPr>
              <w:t>“Functional architecture for integration of quantum key distribution network and user network supporting end-to-end modern cryptography services”</w:t>
            </w:r>
          </w:p>
        </w:tc>
      </w:tr>
      <w:tr w:rsidR="00833B67" w:rsidRPr="00140715" w14:paraId="59109316" w14:textId="77777777" w:rsidTr="00833B67">
        <w:tc>
          <w:tcPr>
            <w:tcW w:w="1127" w:type="dxa"/>
            <w:vMerge/>
            <w:vAlign w:val="center"/>
          </w:tcPr>
          <w:p w14:paraId="42EBE330"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6E777E87" w14:textId="77777777" w:rsidR="00833B67" w:rsidRPr="00037D4C" w:rsidRDefault="00833B67" w:rsidP="00833B67">
            <w:pPr>
              <w:keepNext/>
              <w:keepLines/>
              <w:spacing w:before="0" w:after="0" w:line="240" w:lineRule="auto"/>
              <w:outlineLvl w:val="0"/>
              <w:rPr>
                <w:bCs/>
                <w:color w:val="000000" w:themeColor="text1"/>
                <w:lang w:eastAsia="ko-KR"/>
              </w:rPr>
            </w:pPr>
            <w:r w:rsidRPr="00037D4C">
              <w:rPr>
                <w:bCs/>
                <w:color w:val="000000" w:themeColor="text1"/>
                <w:lang w:eastAsia="ko-KR"/>
              </w:rPr>
              <w:t> </w:t>
            </w:r>
            <w:hyperlink r:id="rId24" w:tooltip="See more details" w:history="1">
              <w:r w:rsidRPr="005A5C29">
                <w:rPr>
                  <w:bCs/>
                  <w:color w:val="0000FF"/>
                  <w:u w:val="single"/>
                  <w:lang w:eastAsia="ko-KR"/>
                </w:rPr>
                <w:t>Y.QKD-TLS</w:t>
              </w:r>
            </w:hyperlink>
          </w:p>
        </w:tc>
        <w:tc>
          <w:tcPr>
            <w:tcW w:w="6515" w:type="dxa"/>
            <w:vAlign w:val="center"/>
          </w:tcPr>
          <w:p w14:paraId="793DF5EE" w14:textId="77777777" w:rsidR="00833B67" w:rsidRPr="0009512B" w:rsidRDefault="00833B67" w:rsidP="00833B67">
            <w:pPr>
              <w:keepNext/>
              <w:keepLines/>
              <w:spacing w:before="0" w:after="0" w:line="240" w:lineRule="auto"/>
              <w:outlineLvl w:val="0"/>
              <w:rPr>
                <w:bCs/>
                <w:lang w:eastAsia="ko-KR"/>
              </w:rPr>
            </w:pPr>
            <w:r w:rsidRPr="0009512B">
              <w:rPr>
                <w:bCs/>
                <w:lang w:eastAsia="ko-KR"/>
              </w:rPr>
              <w:t>“Quantum Key Distribution integration with Transport Layer Security 1.3”</w:t>
            </w:r>
          </w:p>
        </w:tc>
      </w:tr>
      <w:tr w:rsidR="00833B67" w:rsidRPr="00140715" w14:paraId="4B7A39A9" w14:textId="77777777" w:rsidTr="00833B67">
        <w:tc>
          <w:tcPr>
            <w:tcW w:w="1127" w:type="dxa"/>
            <w:vMerge/>
            <w:vAlign w:val="center"/>
          </w:tcPr>
          <w:p w14:paraId="6BE794EC"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2E490B16" w14:textId="77777777" w:rsidR="00833B67" w:rsidRPr="00037D4C" w:rsidRDefault="00833B67" w:rsidP="00833B67">
            <w:pPr>
              <w:keepNext/>
              <w:keepLines/>
              <w:spacing w:before="0" w:after="0" w:line="240" w:lineRule="auto"/>
              <w:outlineLvl w:val="0"/>
              <w:rPr>
                <w:bCs/>
                <w:color w:val="000000" w:themeColor="text1"/>
                <w:lang w:eastAsia="ko-KR"/>
              </w:rPr>
            </w:pPr>
            <w:hyperlink r:id="rId25" w:tooltip="See more details" w:history="1">
              <w:r w:rsidRPr="005A5C29">
                <w:rPr>
                  <w:rFonts w:eastAsia="Malgun Gothic"/>
                  <w:color w:val="0000FF"/>
                  <w:u w:val="single"/>
                  <w:lang w:eastAsia="ko-KR"/>
                </w:rPr>
                <w:t>Y.3818 Rev</w:t>
              </w:r>
            </w:hyperlink>
          </w:p>
        </w:tc>
        <w:tc>
          <w:tcPr>
            <w:tcW w:w="6515" w:type="dxa"/>
            <w:vAlign w:val="center"/>
          </w:tcPr>
          <w:p w14:paraId="433B0D4E" w14:textId="77777777" w:rsidR="00833B67" w:rsidRPr="0009512B" w:rsidRDefault="00833B67" w:rsidP="00833B67">
            <w:pPr>
              <w:keepNext/>
              <w:keepLines/>
              <w:spacing w:before="0" w:after="0" w:line="240" w:lineRule="auto"/>
              <w:outlineLvl w:val="0"/>
              <w:rPr>
                <w:bCs/>
                <w:lang w:eastAsia="ko-KR"/>
              </w:rPr>
            </w:pPr>
            <w:r w:rsidRPr="0009512B">
              <w:rPr>
                <w:bCs/>
                <w:lang w:eastAsia="ko-KR"/>
              </w:rPr>
              <w:t>"Quantum key distribution network interworking - Architecture"</w:t>
            </w:r>
          </w:p>
        </w:tc>
      </w:tr>
      <w:tr w:rsidR="00833B67" w:rsidRPr="00140715" w14:paraId="5A816993" w14:textId="77777777" w:rsidTr="00833B67">
        <w:tc>
          <w:tcPr>
            <w:tcW w:w="1127" w:type="dxa"/>
            <w:vMerge w:val="restart"/>
            <w:vAlign w:val="center"/>
          </w:tcPr>
          <w:p w14:paraId="2B02D772" w14:textId="77777777" w:rsidR="00833B67" w:rsidRPr="0009512B" w:rsidRDefault="00833B67" w:rsidP="00833B67">
            <w:pPr>
              <w:keepNext/>
              <w:keepLines/>
              <w:spacing w:before="0" w:after="0" w:line="240" w:lineRule="auto"/>
              <w:outlineLvl w:val="0"/>
              <w:rPr>
                <w:bCs/>
                <w:lang w:eastAsia="ko-KR"/>
              </w:rPr>
            </w:pPr>
            <w:r w:rsidRPr="0009512B">
              <w:rPr>
                <w:bCs/>
                <w:lang w:eastAsia="ko-KR"/>
              </w:rPr>
              <w:t>Q11/17</w:t>
            </w:r>
          </w:p>
        </w:tc>
        <w:tc>
          <w:tcPr>
            <w:tcW w:w="1987" w:type="dxa"/>
            <w:vAlign w:val="center"/>
          </w:tcPr>
          <w:p w14:paraId="270FFC18" w14:textId="77777777" w:rsidR="00833B67" w:rsidRPr="00037D4C" w:rsidRDefault="00833B67" w:rsidP="00833B67">
            <w:pPr>
              <w:keepNext/>
              <w:keepLines/>
              <w:spacing w:before="0" w:after="0" w:line="240" w:lineRule="auto"/>
              <w:outlineLvl w:val="0"/>
              <w:rPr>
                <w:bCs/>
                <w:color w:val="000000" w:themeColor="text1"/>
                <w:lang w:eastAsia="ko-KR"/>
              </w:rPr>
            </w:pPr>
            <w:r w:rsidRPr="00037D4C">
              <w:rPr>
                <w:bCs/>
                <w:color w:val="000000" w:themeColor="text1"/>
                <w:lang w:eastAsia="ko-KR"/>
              </w:rPr>
              <w:t>X.509</w:t>
            </w:r>
          </w:p>
        </w:tc>
        <w:tc>
          <w:tcPr>
            <w:tcW w:w="6515" w:type="dxa"/>
            <w:vAlign w:val="center"/>
          </w:tcPr>
          <w:p w14:paraId="2B46E9BB" w14:textId="77777777" w:rsidR="00833B67" w:rsidRPr="0009512B" w:rsidRDefault="00833B67" w:rsidP="00833B67">
            <w:pPr>
              <w:keepNext/>
              <w:keepLines/>
              <w:spacing w:before="0" w:after="0" w:line="240" w:lineRule="auto"/>
              <w:outlineLvl w:val="0"/>
              <w:rPr>
                <w:bCs/>
                <w:lang w:eastAsia="ko-KR"/>
              </w:rPr>
            </w:pPr>
            <w:r w:rsidRPr="0009512B">
              <w:rPr>
                <w:bCs/>
                <w:lang w:eastAsia="ko-KR"/>
              </w:rPr>
              <w:t>“The Directory: Public-key and attribute certificate frameworks”</w:t>
            </w:r>
          </w:p>
        </w:tc>
      </w:tr>
      <w:tr w:rsidR="00833B67" w:rsidRPr="00140715" w14:paraId="462BFB67" w14:textId="77777777" w:rsidTr="00833B67">
        <w:tc>
          <w:tcPr>
            <w:tcW w:w="1127" w:type="dxa"/>
            <w:vMerge/>
            <w:vAlign w:val="center"/>
          </w:tcPr>
          <w:p w14:paraId="31BC008C"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146DD407" w14:textId="77777777" w:rsidR="00833B67" w:rsidRPr="00037D4C" w:rsidRDefault="00833B67" w:rsidP="00833B67">
            <w:pPr>
              <w:keepNext/>
              <w:keepLines/>
              <w:spacing w:before="0" w:after="0" w:line="240" w:lineRule="auto"/>
              <w:outlineLvl w:val="0"/>
              <w:rPr>
                <w:bCs/>
                <w:color w:val="000000" w:themeColor="text1"/>
                <w:lang w:eastAsia="ko-KR"/>
              </w:rPr>
            </w:pPr>
            <w:r w:rsidRPr="00037D4C">
              <w:rPr>
                <w:bCs/>
                <w:color w:val="000000" w:themeColor="text1"/>
                <w:lang w:eastAsia="ko-KR"/>
              </w:rPr>
              <w:t>X.510</w:t>
            </w:r>
          </w:p>
        </w:tc>
        <w:tc>
          <w:tcPr>
            <w:tcW w:w="6515" w:type="dxa"/>
            <w:vAlign w:val="center"/>
          </w:tcPr>
          <w:p w14:paraId="546BC9DD" w14:textId="77777777" w:rsidR="00833B67" w:rsidRPr="0009512B" w:rsidRDefault="00833B67" w:rsidP="00833B67">
            <w:pPr>
              <w:keepNext/>
              <w:keepLines/>
              <w:spacing w:before="0" w:after="0" w:line="240" w:lineRule="auto"/>
              <w:outlineLvl w:val="0"/>
              <w:rPr>
                <w:bCs/>
                <w:lang w:eastAsia="ko-KR"/>
              </w:rPr>
            </w:pPr>
            <w:r w:rsidRPr="0009512B">
              <w:rPr>
                <w:bCs/>
                <w:lang w:eastAsia="ko-KR"/>
              </w:rPr>
              <w:t>“The Directory - Protocol specifications for secure operations”</w:t>
            </w:r>
          </w:p>
        </w:tc>
      </w:tr>
      <w:tr w:rsidR="00833B67" w:rsidRPr="00140715" w14:paraId="38A27C69" w14:textId="77777777" w:rsidTr="00833B67">
        <w:tc>
          <w:tcPr>
            <w:tcW w:w="1127" w:type="dxa"/>
            <w:vMerge/>
            <w:vAlign w:val="center"/>
          </w:tcPr>
          <w:p w14:paraId="20586946"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7ACB6783" w14:textId="77777777" w:rsidR="00833B67" w:rsidRPr="00037D4C" w:rsidRDefault="00833B67" w:rsidP="00833B67">
            <w:pPr>
              <w:keepNext/>
              <w:keepLines/>
              <w:spacing w:before="0" w:after="0" w:line="240" w:lineRule="auto"/>
              <w:outlineLvl w:val="0"/>
              <w:rPr>
                <w:bCs/>
                <w:color w:val="000000" w:themeColor="text1"/>
                <w:lang w:eastAsia="ko-KR"/>
              </w:rPr>
            </w:pPr>
            <w:hyperlink r:id="rId26" w:tooltip="See more details" w:history="1">
              <w:r w:rsidRPr="005A5C29">
                <w:rPr>
                  <w:bCs/>
                  <w:color w:val="0000FF"/>
                  <w:u w:val="single"/>
                  <w:lang w:eastAsia="ko-KR"/>
                </w:rPr>
                <w:t>TR.ac-</w:t>
              </w:r>
              <w:proofErr w:type="spellStart"/>
              <w:r w:rsidRPr="005A5C29">
                <w:rPr>
                  <w:bCs/>
                  <w:color w:val="0000FF"/>
                  <w:u w:val="single"/>
                  <w:lang w:eastAsia="ko-KR"/>
                </w:rPr>
                <w:t>pqc</w:t>
              </w:r>
              <w:proofErr w:type="spellEnd"/>
            </w:hyperlink>
          </w:p>
        </w:tc>
        <w:tc>
          <w:tcPr>
            <w:tcW w:w="6515" w:type="dxa"/>
            <w:vAlign w:val="center"/>
          </w:tcPr>
          <w:p w14:paraId="684EF88F" w14:textId="77777777" w:rsidR="00833B67" w:rsidRPr="0009512B" w:rsidRDefault="00833B67" w:rsidP="00833B67">
            <w:pPr>
              <w:keepNext/>
              <w:keepLines/>
              <w:spacing w:before="0" w:after="0" w:line="240" w:lineRule="auto"/>
              <w:outlineLvl w:val="0"/>
              <w:rPr>
                <w:bCs/>
                <w:lang w:eastAsia="ko-KR"/>
              </w:rPr>
            </w:pPr>
            <w:r w:rsidRPr="0009512B">
              <w:rPr>
                <w:bCs/>
                <w:lang w:eastAsia="ko-KR"/>
              </w:rPr>
              <w:t>“Technical Report: Guidance on use of advanced cryptography based on PQC”</w:t>
            </w:r>
          </w:p>
        </w:tc>
      </w:tr>
      <w:tr w:rsidR="00833B67" w:rsidRPr="00140715" w14:paraId="63B02791" w14:textId="77777777" w:rsidTr="00833B67">
        <w:tc>
          <w:tcPr>
            <w:tcW w:w="1127" w:type="dxa"/>
            <w:vMerge w:val="restart"/>
            <w:vAlign w:val="center"/>
          </w:tcPr>
          <w:p w14:paraId="4C8BA8A7" w14:textId="77777777" w:rsidR="00833B67" w:rsidRPr="0009512B" w:rsidRDefault="00833B67" w:rsidP="00833B67">
            <w:pPr>
              <w:keepNext/>
              <w:keepLines/>
              <w:spacing w:before="0" w:after="0" w:line="240" w:lineRule="auto"/>
              <w:outlineLvl w:val="0"/>
              <w:rPr>
                <w:bCs/>
                <w:lang w:eastAsia="ko-KR"/>
              </w:rPr>
            </w:pPr>
            <w:r w:rsidRPr="0009512B">
              <w:rPr>
                <w:bCs/>
                <w:lang w:eastAsia="ko-KR"/>
              </w:rPr>
              <w:t>Q15/17</w:t>
            </w:r>
          </w:p>
        </w:tc>
        <w:tc>
          <w:tcPr>
            <w:tcW w:w="1987" w:type="dxa"/>
            <w:vAlign w:val="center"/>
          </w:tcPr>
          <w:p w14:paraId="24D1E6B6" w14:textId="77777777" w:rsidR="00833B67" w:rsidRPr="00037D4C" w:rsidRDefault="00833B67" w:rsidP="00833B67">
            <w:pPr>
              <w:keepNext/>
              <w:keepLines/>
              <w:spacing w:before="0" w:after="0" w:line="240" w:lineRule="auto"/>
              <w:outlineLvl w:val="0"/>
              <w:rPr>
                <w:bCs/>
                <w:color w:val="000000" w:themeColor="text1"/>
                <w:lang w:eastAsia="ko-KR"/>
              </w:rPr>
            </w:pPr>
            <w:hyperlink r:id="rId27" w:tooltip="See more details" w:history="1">
              <w:proofErr w:type="spellStart"/>
              <w:r w:rsidRPr="005A5C29">
                <w:rPr>
                  <w:bCs/>
                  <w:color w:val="0000FF"/>
                  <w:u w:val="single"/>
                  <w:lang w:eastAsia="ko-KR"/>
                </w:rPr>
                <w:t>TR.hyb_qsafe</w:t>
              </w:r>
              <w:proofErr w:type="spellEnd"/>
            </w:hyperlink>
          </w:p>
        </w:tc>
        <w:tc>
          <w:tcPr>
            <w:tcW w:w="6515" w:type="dxa"/>
            <w:vAlign w:val="center"/>
          </w:tcPr>
          <w:p w14:paraId="238C9801" w14:textId="77777777" w:rsidR="00833B67" w:rsidRPr="0009512B" w:rsidRDefault="00833B67" w:rsidP="00833B67">
            <w:pPr>
              <w:keepNext/>
              <w:keepLines/>
              <w:spacing w:before="0" w:after="0" w:line="240" w:lineRule="auto"/>
              <w:outlineLvl w:val="0"/>
              <w:rPr>
                <w:bCs/>
                <w:lang w:eastAsia="ko-KR"/>
              </w:rPr>
            </w:pPr>
            <w:r w:rsidRPr="0009512B">
              <w:rPr>
                <w:bCs/>
                <w:lang w:eastAsia="ko-KR"/>
              </w:rPr>
              <w:t>“Technical Report: Overview of key management of hybrid approaches for quantum-safe communications”</w:t>
            </w:r>
          </w:p>
        </w:tc>
      </w:tr>
      <w:tr w:rsidR="00833B67" w:rsidRPr="00140715" w14:paraId="2AD7391B" w14:textId="77777777" w:rsidTr="00833B67">
        <w:tc>
          <w:tcPr>
            <w:tcW w:w="1127" w:type="dxa"/>
            <w:vMerge/>
            <w:vAlign w:val="center"/>
          </w:tcPr>
          <w:p w14:paraId="77EAD145"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066B3DFB" w14:textId="77777777" w:rsidR="00833B67" w:rsidRPr="00037D4C" w:rsidRDefault="00833B67" w:rsidP="00833B67">
            <w:pPr>
              <w:keepNext/>
              <w:keepLines/>
              <w:spacing w:before="0" w:after="0" w:line="240" w:lineRule="auto"/>
              <w:outlineLvl w:val="0"/>
              <w:rPr>
                <w:bCs/>
                <w:color w:val="000000" w:themeColor="text1"/>
                <w:lang w:eastAsia="ko-KR"/>
              </w:rPr>
            </w:pPr>
            <w:hyperlink r:id="rId28" w:tooltip="See more details" w:history="1">
              <w:proofErr w:type="spellStart"/>
              <w:r w:rsidRPr="005A5C29">
                <w:rPr>
                  <w:bCs/>
                  <w:color w:val="0000FF"/>
                  <w:u w:val="single"/>
                  <w:lang w:eastAsia="ko-KR"/>
                </w:rPr>
                <w:t>TR.kdc_qkdn</w:t>
              </w:r>
              <w:proofErr w:type="spellEnd"/>
            </w:hyperlink>
          </w:p>
        </w:tc>
        <w:tc>
          <w:tcPr>
            <w:tcW w:w="6515" w:type="dxa"/>
            <w:vAlign w:val="center"/>
          </w:tcPr>
          <w:p w14:paraId="5B3567AD" w14:textId="77777777" w:rsidR="00833B67" w:rsidRPr="0009512B" w:rsidRDefault="00833B67" w:rsidP="00833B67">
            <w:pPr>
              <w:keepNext/>
              <w:keepLines/>
              <w:spacing w:before="0" w:after="0" w:line="240" w:lineRule="auto"/>
              <w:outlineLvl w:val="0"/>
              <w:rPr>
                <w:bCs/>
                <w:lang w:eastAsia="ko-KR"/>
              </w:rPr>
            </w:pPr>
            <w:r w:rsidRPr="0009512B">
              <w:rPr>
                <w:bCs/>
                <w:lang w:eastAsia="ko-KR"/>
              </w:rPr>
              <w:t xml:space="preserve">“Technical Report: Key distribution </w:t>
            </w:r>
            <w:proofErr w:type="gramStart"/>
            <w:r w:rsidRPr="0009512B">
              <w:rPr>
                <w:bCs/>
                <w:lang w:eastAsia="ko-KR"/>
              </w:rPr>
              <w:t>center based</w:t>
            </w:r>
            <w:proofErr w:type="gramEnd"/>
            <w:r w:rsidRPr="0009512B">
              <w:rPr>
                <w:bCs/>
                <w:lang w:eastAsia="ko-KR"/>
              </w:rPr>
              <w:t xml:space="preserve"> approaches in the service layer to manage keys supplied by QKDN”</w:t>
            </w:r>
          </w:p>
        </w:tc>
      </w:tr>
      <w:tr w:rsidR="00833B67" w:rsidRPr="00140715" w14:paraId="4D34F8EB" w14:textId="77777777" w:rsidTr="00833B67">
        <w:tc>
          <w:tcPr>
            <w:tcW w:w="1127" w:type="dxa"/>
            <w:vMerge/>
            <w:vAlign w:val="center"/>
          </w:tcPr>
          <w:p w14:paraId="1DB691CF"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0004733E" w14:textId="77777777" w:rsidR="00833B67" w:rsidRPr="005A5C29" w:rsidRDefault="00833B67" w:rsidP="00833B67">
            <w:pPr>
              <w:keepNext/>
              <w:keepLines/>
              <w:spacing w:before="0" w:after="0" w:line="240" w:lineRule="auto"/>
              <w:outlineLvl w:val="0"/>
              <w:rPr>
                <w:rFonts w:eastAsia="Malgun Gothic"/>
                <w:color w:val="0000FF"/>
                <w:lang w:eastAsia="ko-KR"/>
              </w:rPr>
            </w:pPr>
            <w:hyperlink r:id="rId29" w:history="1">
              <w:proofErr w:type="gramStart"/>
              <w:r w:rsidRPr="005A5C29">
                <w:rPr>
                  <w:rFonts w:eastAsia="Malgun Gothic"/>
                  <w:color w:val="0000FF"/>
                  <w:u w:val="single"/>
                  <w:lang w:eastAsia="ko-KR"/>
                </w:rPr>
                <w:t>TR.SQKDN</w:t>
              </w:r>
              <w:proofErr w:type="gramEnd"/>
              <w:r w:rsidRPr="005A5C29">
                <w:rPr>
                  <w:rFonts w:eastAsia="Malgun Gothic"/>
                  <w:color w:val="0000FF"/>
                  <w:u w:val="single"/>
                  <w:lang w:eastAsia="ko-KR"/>
                </w:rPr>
                <w:t>-SC</w:t>
              </w:r>
            </w:hyperlink>
          </w:p>
        </w:tc>
        <w:tc>
          <w:tcPr>
            <w:tcW w:w="6515" w:type="dxa"/>
            <w:vAlign w:val="center"/>
          </w:tcPr>
          <w:p w14:paraId="45C5B81D" w14:textId="77777777" w:rsidR="00833B67" w:rsidRPr="0009512B" w:rsidRDefault="00833B67" w:rsidP="00833B67">
            <w:pPr>
              <w:keepNext/>
              <w:keepLines/>
              <w:spacing w:before="0" w:after="0" w:line="240" w:lineRule="auto"/>
              <w:outlineLvl w:val="0"/>
              <w:rPr>
                <w:bCs/>
                <w:lang w:eastAsia="ko-KR"/>
              </w:rPr>
            </w:pPr>
            <w:r w:rsidRPr="0009512B">
              <w:rPr>
                <w:bCs/>
                <w:lang w:eastAsia="ko-KR"/>
              </w:rPr>
              <w:t>“Technical Report: Security consideration for satellite-based quantum key distribution network”</w:t>
            </w:r>
          </w:p>
        </w:tc>
      </w:tr>
      <w:tr w:rsidR="00833B67" w:rsidRPr="00140715" w14:paraId="5590579C" w14:textId="77777777" w:rsidTr="00833B67">
        <w:tc>
          <w:tcPr>
            <w:tcW w:w="1127" w:type="dxa"/>
            <w:vMerge/>
            <w:vAlign w:val="center"/>
          </w:tcPr>
          <w:p w14:paraId="043E228C"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5EBFF9CC" w14:textId="77777777" w:rsidR="00833B67" w:rsidRPr="005A5C29" w:rsidRDefault="00833B67" w:rsidP="00833B67">
            <w:pPr>
              <w:keepNext/>
              <w:keepLines/>
              <w:spacing w:before="0" w:after="0" w:line="240" w:lineRule="auto"/>
              <w:outlineLvl w:val="0"/>
              <w:rPr>
                <w:color w:val="0000FF"/>
              </w:rPr>
            </w:pPr>
            <w:hyperlink r:id="rId30" w:tooltip="See more details" w:history="1">
              <w:proofErr w:type="spellStart"/>
              <w:r w:rsidRPr="005A5C29">
                <w:rPr>
                  <w:rFonts w:eastAsia="Malgun Gothic"/>
                  <w:color w:val="0000FF"/>
                  <w:u w:val="single"/>
                  <w:lang w:eastAsia="ko-KR"/>
                </w:rPr>
                <w:t>X.sec_QKDNi</w:t>
              </w:r>
              <w:proofErr w:type="spellEnd"/>
            </w:hyperlink>
          </w:p>
        </w:tc>
        <w:tc>
          <w:tcPr>
            <w:tcW w:w="6515" w:type="dxa"/>
            <w:vAlign w:val="center"/>
          </w:tcPr>
          <w:p w14:paraId="05DEF602" w14:textId="77777777" w:rsidR="00833B67" w:rsidRPr="0009512B" w:rsidRDefault="00833B67" w:rsidP="00833B67">
            <w:pPr>
              <w:keepNext/>
              <w:keepLines/>
              <w:spacing w:before="0" w:after="0" w:line="240" w:lineRule="auto"/>
              <w:outlineLvl w:val="0"/>
              <w:rPr>
                <w:bCs/>
                <w:lang w:eastAsia="ko-KR"/>
              </w:rPr>
            </w:pPr>
            <w:r w:rsidRPr="0009512B">
              <w:rPr>
                <w:bCs/>
                <w:lang w:eastAsia="ko-KR"/>
              </w:rPr>
              <w:t>"Security requirements for Quantum Key Distribution Network interworking (</w:t>
            </w:r>
            <w:proofErr w:type="spellStart"/>
            <w:r w:rsidRPr="0009512B">
              <w:rPr>
                <w:bCs/>
                <w:lang w:eastAsia="ko-KR"/>
              </w:rPr>
              <w:t>QKDNi</w:t>
            </w:r>
            <w:proofErr w:type="spellEnd"/>
            <w:r w:rsidRPr="0009512B">
              <w:rPr>
                <w:bCs/>
                <w:lang w:eastAsia="ko-KR"/>
              </w:rPr>
              <w:t>)"</w:t>
            </w:r>
          </w:p>
        </w:tc>
      </w:tr>
      <w:tr w:rsidR="00833B67" w:rsidRPr="00140715" w14:paraId="0A4E1AAF" w14:textId="77777777" w:rsidTr="00833B67">
        <w:tc>
          <w:tcPr>
            <w:tcW w:w="1127" w:type="dxa"/>
            <w:vMerge w:val="restart"/>
            <w:vAlign w:val="center"/>
          </w:tcPr>
          <w:p w14:paraId="1D7DCDF2" w14:textId="77777777" w:rsidR="00833B67" w:rsidRPr="0009512B" w:rsidRDefault="00833B67" w:rsidP="00833B67">
            <w:pPr>
              <w:keepNext/>
              <w:keepLines/>
              <w:spacing w:before="0" w:after="0" w:line="240" w:lineRule="auto"/>
              <w:outlineLvl w:val="0"/>
              <w:rPr>
                <w:bCs/>
                <w:lang w:eastAsia="ko-KR"/>
              </w:rPr>
            </w:pPr>
            <w:r w:rsidRPr="0009512B">
              <w:rPr>
                <w:bCs/>
                <w:lang w:eastAsia="ko-KR"/>
              </w:rPr>
              <w:t>Q2/11</w:t>
            </w:r>
          </w:p>
        </w:tc>
        <w:tc>
          <w:tcPr>
            <w:tcW w:w="1987" w:type="dxa"/>
            <w:vAlign w:val="center"/>
          </w:tcPr>
          <w:p w14:paraId="7E528152" w14:textId="77777777" w:rsidR="00833B67" w:rsidRPr="00037D4C" w:rsidRDefault="00833B67" w:rsidP="00833B67">
            <w:pPr>
              <w:keepNext/>
              <w:keepLines/>
              <w:spacing w:before="0" w:after="0" w:line="240" w:lineRule="auto"/>
              <w:outlineLvl w:val="0"/>
              <w:rPr>
                <w:color w:val="000000" w:themeColor="text1"/>
              </w:rPr>
            </w:pPr>
            <w:proofErr w:type="spellStart"/>
            <w:proofErr w:type="gramStart"/>
            <w:r w:rsidRPr="00037D4C">
              <w:rPr>
                <w:color w:val="000000" w:themeColor="text1"/>
              </w:rPr>
              <w:t>Q.QKDNi</w:t>
            </w:r>
            <w:proofErr w:type="gramEnd"/>
            <w:r w:rsidRPr="00037D4C">
              <w:rPr>
                <w:color w:val="000000" w:themeColor="text1"/>
              </w:rPr>
              <w:t>_KM</w:t>
            </w:r>
            <w:proofErr w:type="spellEnd"/>
          </w:p>
        </w:tc>
        <w:tc>
          <w:tcPr>
            <w:tcW w:w="6515" w:type="dxa"/>
            <w:vAlign w:val="center"/>
          </w:tcPr>
          <w:p w14:paraId="3E3820C6" w14:textId="77777777" w:rsidR="00833B67" w:rsidRPr="0009512B" w:rsidRDefault="00833B67" w:rsidP="00833B67">
            <w:pPr>
              <w:keepNext/>
              <w:keepLines/>
              <w:spacing w:before="0" w:after="0" w:line="240" w:lineRule="auto"/>
              <w:outlineLvl w:val="0"/>
              <w:rPr>
                <w:bCs/>
                <w:lang w:eastAsia="ko-KR"/>
              </w:rPr>
            </w:pPr>
            <w:r w:rsidRPr="0009512B">
              <w:rPr>
                <w:bCs/>
                <w:lang w:eastAsia="ko-KR"/>
              </w:rPr>
              <w:t>"Protocols for interfaces between key managers for quantum key distribution network interworking"</w:t>
            </w:r>
          </w:p>
        </w:tc>
      </w:tr>
      <w:tr w:rsidR="00833B67" w:rsidRPr="00140715" w14:paraId="3979C4CA" w14:textId="77777777" w:rsidTr="00833B67">
        <w:tc>
          <w:tcPr>
            <w:tcW w:w="1127" w:type="dxa"/>
            <w:vMerge/>
            <w:vAlign w:val="center"/>
          </w:tcPr>
          <w:p w14:paraId="71625B60" w14:textId="77777777" w:rsidR="00833B67" w:rsidRPr="0009512B" w:rsidRDefault="00833B67" w:rsidP="00833B67">
            <w:pPr>
              <w:keepNext/>
              <w:keepLines/>
              <w:spacing w:before="0" w:after="0" w:line="240" w:lineRule="auto"/>
              <w:outlineLvl w:val="0"/>
              <w:rPr>
                <w:bCs/>
                <w:lang w:eastAsia="ko-KR"/>
              </w:rPr>
            </w:pPr>
          </w:p>
        </w:tc>
        <w:tc>
          <w:tcPr>
            <w:tcW w:w="1987" w:type="dxa"/>
            <w:vAlign w:val="center"/>
          </w:tcPr>
          <w:p w14:paraId="65586DBB" w14:textId="77777777" w:rsidR="00833B67" w:rsidRPr="00037D4C" w:rsidRDefault="00833B67" w:rsidP="00833B67">
            <w:pPr>
              <w:keepNext/>
              <w:keepLines/>
              <w:spacing w:before="0" w:after="0" w:line="240" w:lineRule="auto"/>
              <w:outlineLvl w:val="0"/>
              <w:rPr>
                <w:color w:val="000000" w:themeColor="text1"/>
              </w:rPr>
            </w:pPr>
            <w:proofErr w:type="spellStart"/>
            <w:proofErr w:type="gramStart"/>
            <w:r w:rsidRPr="00037D4C">
              <w:rPr>
                <w:bCs/>
                <w:color w:val="000000" w:themeColor="text1"/>
                <w:lang w:eastAsia="ko-KR"/>
              </w:rPr>
              <w:t>Q.QKDNi</w:t>
            </w:r>
            <w:proofErr w:type="gramEnd"/>
            <w:r w:rsidRPr="00037D4C">
              <w:rPr>
                <w:bCs/>
                <w:color w:val="000000" w:themeColor="text1"/>
                <w:lang w:eastAsia="ko-KR"/>
              </w:rPr>
              <w:t>_profr</w:t>
            </w:r>
            <w:proofErr w:type="spellEnd"/>
          </w:p>
        </w:tc>
        <w:tc>
          <w:tcPr>
            <w:tcW w:w="6515" w:type="dxa"/>
            <w:vAlign w:val="center"/>
          </w:tcPr>
          <w:p w14:paraId="0C768284" w14:textId="77777777" w:rsidR="00833B67" w:rsidRPr="0009512B" w:rsidRDefault="00833B67" w:rsidP="00833B67">
            <w:pPr>
              <w:keepNext/>
              <w:keepLines/>
              <w:spacing w:before="0" w:after="0" w:line="240" w:lineRule="auto"/>
              <w:outlineLvl w:val="0"/>
              <w:rPr>
                <w:bCs/>
                <w:lang w:eastAsia="ko-KR"/>
              </w:rPr>
            </w:pPr>
            <w:r w:rsidRPr="0009512B">
              <w:rPr>
                <w:bCs/>
                <w:lang w:eastAsia="ko-KR"/>
              </w:rPr>
              <w:t>"Quantum key distribution networks Interworking - Protocol framework"</w:t>
            </w:r>
          </w:p>
        </w:tc>
      </w:tr>
    </w:tbl>
    <w:p w14:paraId="5363B446" w14:textId="77777777" w:rsidR="00CF0CD5" w:rsidRDefault="00CF0CD5" w:rsidP="00CF0CD5">
      <w:pPr>
        <w:pStyle w:val="BodyText"/>
        <w:rPr>
          <w:lang w:val="en-US"/>
        </w:rPr>
      </w:pPr>
    </w:p>
    <w:p w14:paraId="4D73D789" w14:textId="77777777" w:rsidR="00CF0CD5" w:rsidRDefault="00CF0CD5" w:rsidP="00CF0CD5">
      <w:pPr>
        <w:jc w:val="center"/>
      </w:pPr>
      <w:bookmarkStart w:id="11" w:name="_Hlk98856042"/>
      <w:r>
        <w:t>_______________________</w:t>
      </w:r>
      <w:bookmarkEnd w:id="11"/>
    </w:p>
    <w:p w14:paraId="1487CB93" w14:textId="77777777" w:rsidR="00763737" w:rsidRDefault="00763737" w:rsidP="00CF0CD5"/>
    <w:sectPr w:rsidR="00763737" w:rsidSect="00DC2102">
      <w:headerReference w:type="default" r:id="rId31"/>
      <w:pgSz w:w="11907" w:h="16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A3EE" w14:textId="77777777" w:rsidR="000359F0" w:rsidRDefault="000359F0">
      <w:pPr>
        <w:spacing w:before="0"/>
      </w:pPr>
      <w:r>
        <w:separator/>
      </w:r>
    </w:p>
  </w:endnote>
  <w:endnote w:type="continuationSeparator" w:id="0">
    <w:p w14:paraId="3B760C66" w14:textId="77777777" w:rsidR="000359F0" w:rsidRDefault="000359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7D3E" w14:textId="77777777" w:rsidR="000359F0" w:rsidRDefault="000359F0">
      <w:pPr>
        <w:spacing w:before="0"/>
      </w:pPr>
      <w:r>
        <w:separator/>
      </w:r>
    </w:p>
  </w:footnote>
  <w:footnote w:type="continuationSeparator" w:id="0">
    <w:p w14:paraId="35F83AA9" w14:textId="77777777" w:rsidR="000359F0" w:rsidRDefault="000359F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DDB" w14:textId="1532669D" w:rsidR="003D5AB3" w:rsidRPr="00DC2102" w:rsidRDefault="00DC2102" w:rsidP="00DC2102">
    <w:pPr>
      <w:pStyle w:val="Header"/>
    </w:pPr>
    <w:r w:rsidRPr="00DC2102">
      <w:t xml:space="preserve">- </w:t>
    </w:r>
    <w:r w:rsidRPr="00DC2102">
      <w:fldChar w:fldCharType="begin"/>
    </w:r>
    <w:r w:rsidRPr="00DC2102">
      <w:instrText xml:space="preserve"> PAGE  \* MERGEFORMAT </w:instrText>
    </w:r>
    <w:r w:rsidRPr="00DC2102">
      <w:fldChar w:fldCharType="separate"/>
    </w:r>
    <w:r w:rsidRPr="00DC2102">
      <w:rPr>
        <w:noProof/>
      </w:rPr>
      <w:t>1</w:t>
    </w:r>
    <w:r w:rsidRPr="00DC2102">
      <w:fldChar w:fldCharType="end"/>
    </w:r>
    <w:r w:rsidRPr="00DC2102">
      <w:t xml:space="preserve"> -</w:t>
    </w:r>
  </w:p>
  <w:p w14:paraId="4A4FEC13" w14:textId="5BA89817" w:rsidR="00DC2102" w:rsidRPr="00DC2102" w:rsidRDefault="00DC2102" w:rsidP="00DC2102">
    <w:pPr>
      <w:pStyle w:val="Header"/>
      <w:spacing w:after="240"/>
    </w:pPr>
    <w:r w:rsidRPr="00DC2102">
      <w:fldChar w:fldCharType="begin"/>
    </w:r>
    <w:r w:rsidRPr="00DC2102">
      <w:instrText xml:space="preserve"> STYLEREF  Docnumber  </w:instrText>
    </w:r>
    <w:r>
      <w:fldChar w:fldCharType="separate"/>
    </w:r>
    <w:r w:rsidR="0021464F">
      <w:rPr>
        <w:noProof/>
      </w:rPr>
      <w:t>TSAG-TD292</w:t>
    </w:r>
    <w:r w:rsidRPr="00DC210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F4B49B"/>
    <w:multiLevelType w:val="multilevel"/>
    <w:tmpl w:val="A4F4B49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41836AB"/>
    <w:multiLevelType w:val="multilevel"/>
    <w:tmpl w:val="041836AB"/>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ind w:left="1443"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0887544A"/>
    <w:multiLevelType w:val="hybridMultilevel"/>
    <w:tmpl w:val="A77E1C5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3A215C3"/>
    <w:multiLevelType w:val="hybridMultilevel"/>
    <w:tmpl w:val="414C6B8E"/>
    <w:lvl w:ilvl="0" w:tplc="0396E1BC">
      <w:start w:val="2"/>
      <w:numFmt w:val="bullet"/>
      <w:lvlText w:val="-"/>
      <w:lvlJc w:val="left"/>
      <w:pPr>
        <w:ind w:left="360" w:hanging="360"/>
      </w:pPr>
      <w:rPr>
        <w:rFonts w:ascii="Times New Roman" w:eastAsia="Times New Roman" w:hAnsi="Times New Roman" w:cs="Times New Roman" w:hint="default"/>
        <w:i w:val="0"/>
      </w:rPr>
    </w:lvl>
    <w:lvl w:ilvl="1" w:tplc="0396E1BC">
      <w:start w:val="2"/>
      <w:numFmt w:val="bullet"/>
      <w:lvlText w:val="-"/>
      <w:lvlJc w:val="left"/>
      <w:pPr>
        <w:ind w:left="1080" w:hanging="360"/>
      </w:pPr>
      <w:rPr>
        <w:rFonts w:ascii="Times New Roman" w:eastAsia="Times New Roman" w:hAnsi="Times New Roman" w:cs="Times New Roman"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F544F8"/>
    <w:multiLevelType w:val="hybridMultilevel"/>
    <w:tmpl w:val="A3FEEB0A"/>
    <w:lvl w:ilvl="0" w:tplc="43B28242">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30480"/>
    <w:multiLevelType w:val="multilevel"/>
    <w:tmpl w:val="6D630480"/>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ind w:left="1443"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5FE70C8"/>
    <w:multiLevelType w:val="hybridMultilevel"/>
    <w:tmpl w:val="B2223DFC"/>
    <w:lvl w:ilvl="0" w:tplc="BD307D1A">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168428">
    <w:abstractNumId w:val="4"/>
  </w:num>
  <w:num w:numId="2" w16cid:durableId="943998941">
    <w:abstractNumId w:val="6"/>
  </w:num>
  <w:num w:numId="3" w16cid:durableId="1905021758">
    <w:abstractNumId w:val="9"/>
  </w:num>
  <w:num w:numId="4" w16cid:durableId="2005890031">
    <w:abstractNumId w:val="10"/>
  </w:num>
  <w:num w:numId="5" w16cid:durableId="2001687671">
    <w:abstractNumId w:val="7"/>
  </w:num>
  <w:num w:numId="6" w16cid:durableId="1988900796">
    <w:abstractNumId w:val="3"/>
  </w:num>
  <w:num w:numId="7" w16cid:durableId="2081517186">
    <w:abstractNumId w:val="8"/>
  </w:num>
  <w:num w:numId="8" w16cid:durableId="887183146">
    <w:abstractNumId w:val="5"/>
  </w:num>
  <w:num w:numId="9" w16cid:durableId="115680744">
    <w:abstractNumId w:val="2"/>
  </w:num>
  <w:num w:numId="10" w16cid:durableId="2081824110">
    <w:abstractNumId w:val="1"/>
  </w:num>
  <w:num w:numId="11" w16cid:durableId="1610895666">
    <w:abstractNumId w:val="0"/>
  </w:num>
  <w:num w:numId="12" w16cid:durableId="567771060">
    <w:abstractNumId w:val="15"/>
  </w:num>
  <w:num w:numId="13" w16cid:durableId="1947496521">
    <w:abstractNumId w:val="11"/>
  </w:num>
  <w:num w:numId="14" w16cid:durableId="1717778666">
    <w:abstractNumId w:val="14"/>
  </w:num>
  <w:num w:numId="15" w16cid:durableId="1494101360">
    <w:abstractNumId w:val="16"/>
  </w:num>
  <w:num w:numId="16" w16cid:durableId="1398089078">
    <w:abstractNumId w:val="13"/>
  </w:num>
  <w:num w:numId="17" w16cid:durableId="162897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1B81"/>
    <w:rsid w:val="00014F69"/>
    <w:rsid w:val="000163FB"/>
    <w:rsid w:val="000171DB"/>
    <w:rsid w:val="00023D9A"/>
    <w:rsid w:val="00030F8D"/>
    <w:rsid w:val="00034D3D"/>
    <w:rsid w:val="00034DCC"/>
    <w:rsid w:val="0003582E"/>
    <w:rsid w:val="000359F0"/>
    <w:rsid w:val="00037D4C"/>
    <w:rsid w:val="00040E77"/>
    <w:rsid w:val="00043D75"/>
    <w:rsid w:val="00045A09"/>
    <w:rsid w:val="00055271"/>
    <w:rsid w:val="00057000"/>
    <w:rsid w:val="000640E0"/>
    <w:rsid w:val="00083C88"/>
    <w:rsid w:val="00086D80"/>
    <w:rsid w:val="00087D68"/>
    <w:rsid w:val="000966A8"/>
    <w:rsid w:val="00097C14"/>
    <w:rsid w:val="000A0A5C"/>
    <w:rsid w:val="000A2915"/>
    <w:rsid w:val="000A5CA2"/>
    <w:rsid w:val="000D2EEE"/>
    <w:rsid w:val="000D3EC7"/>
    <w:rsid w:val="000E3C61"/>
    <w:rsid w:val="000E3E55"/>
    <w:rsid w:val="000E6083"/>
    <w:rsid w:val="000E6125"/>
    <w:rsid w:val="00100BAF"/>
    <w:rsid w:val="00105006"/>
    <w:rsid w:val="001069C3"/>
    <w:rsid w:val="00111D5C"/>
    <w:rsid w:val="00113DBE"/>
    <w:rsid w:val="001200A6"/>
    <w:rsid w:val="001215DD"/>
    <w:rsid w:val="001251DA"/>
    <w:rsid w:val="00125432"/>
    <w:rsid w:val="0013318A"/>
    <w:rsid w:val="00136DDD"/>
    <w:rsid w:val="00137F40"/>
    <w:rsid w:val="00144BDF"/>
    <w:rsid w:val="001467EB"/>
    <w:rsid w:val="001501B5"/>
    <w:rsid w:val="00155571"/>
    <w:rsid w:val="00155DDC"/>
    <w:rsid w:val="00160CCE"/>
    <w:rsid w:val="001763D1"/>
    <w:rsid w:val="001871EC"/>
    <w:rsid w:val="00194A6D"/>
    <w:rsid w:val="0019737B"/>
    <w:rsid w:val="001A20C3"/>
    <w:rsid w:val="001A670F"/>
    <w:rsid w:val="001B6A45"/>
    <w:rsid w:val="001C1003"/>
    <w:rsid w:val="001C4B91"/>
    <w:rsid w:val="001C620E"/>
    <w:rsid w:val="001C62B8"/>
    <w:rsid w:val="001D033C"/>
    <w:rsid w:val="001D22D8"/>
    <w:rsid w:val="001D4296"/>
    <w:rsid w:val="001D5C37"/>
    <w:rsid w:val="001E7B0E"/>
    <w:rsid w:val="001F141D"/>
    <w:rsid w:val="00200A06"/>
    <w:rsid w:val="00200A98"/>
    <w:rsid w:val="002015BD"/>
    <w:rsid w:val="00201AFA"/>
    <w:rsid w:val="00203D41"/>
    <w:rsid w:val="0021464F"/>
    <w:rsid w:val="002229F1"/>
    <w:rsid w:val="00230B96"/>
    <w:rsid w:val="00233F75"/>
    <w:rsid w:val="00251984"/>
    <w:rsid w:val="0025233B"/>
    <w:rsid w:val="002528F9"/>
    <w:rsid w:val="00253DBE"/>
    <w:rsid w:val="00253DC6"/>
    <w:rsid w:val="0025489C"/>
    <w:rsid w:val="002550EB"/>
    <w:rsid w:val="002622FA"/>
    <w:rsid w:val="00263518"/>
    <w:rsid w:val="00264EB8"/>
    <w:rsid w:val="002759E7"/>
    <w:rsid w:val="00277326"/>
    <w:rsid w:val="00290724"/>
    <w:rsid w:val="002A11C4"/>
    <w:rsid w:val="002A399B"/>
    <w:rsid w:val="002B0D7B"/>
    <w:rsid w:val="002C26C0"/>
    <w:rsid w:val="002C2BC5"/>
    <w:rsid w:val="002D4EA6"/>
    <w:rsid w:val="002E0407"/>
    <w:rsid w:val="002E79CB"/>
    <w:rsid w:val="002F0471"/>
    <w:rsid w:val="002F1714"/>
    <w:rsid w:val="002F4D3F"/>
    <w:rsid w:val="002F5CA7"/>
    <w:rsid w:val="002F7F55"/>
    <w:rsid w:val="00301B8A"/>
    <w:rsid w:val="003068E2"/>
    <w:rsid w:val="0030745F"/>
    <w:rsid w:val="0030780E"/>
    <w:rsid w:val="00314630"/>
    <w:rsid w:val="0032090A"/>
    <w:rsid w:val="00321CDE"/>
    <w:rsid w:val="00333E15"/>
    <w:rsid w:val="00334331"/>
    <w:rsid w:val="003416D3"/>
    <w:rsid w:val="00353304"/>
    <w:rsid w:val="00354363"/>
    <w:rsid w:val="003571BC"/>
    <w:rsid w:val="0036090C"/>
    <w:rsid w:val="00364979"/>
    <w:rsid w:val="003664E6"/>
    <w:rsid w:val="00366AA2"/>
    <w:rsid w:val="00377B2D"/>
    <w:rsid w:val="00381D89"/>
    <w:rsid w:val="003848D7"/>
    <w:rsid w:val="00385B9C"/>
    <w:rsid w:val="00385FB5"/>
    <w:rsid w:val="00386513"/>
    <w:rsid w:val="00387079"/>
    <w:rsid w:val="0038715D"/>
    <w:rsid w:val="003875B5"/>
    <w:rsid w:val="00392E84"/>
    <w:rsid w:val="00394DBF"/>
    <w:rsid w:val="003957A6"/>
    <w:rsid w:val="00397713"/>
    <w:rsid w:val="003A43EF"/>
    <w:rsid w:val="003A4FA7"/>
    <w:rsid w:val="003A5A61"/>
    <w:rsid w:val="003B60A2"/>
    <w:rsid w:val="003B7667"/>
    <w:rsid w:val="003C7445"/>
    <w:rsid w:val="003D5AB3"/>
    <w:rsid w:val="003D7252"/>
    <w:rsid w:val="003E39A2"/>
    <w:rsid w:val="003E545B"/>
    <w:rsid w:val="003E57AB"/>
    <w:rsid w:val="003F06E1"/>
    <w:rsid w:val="003F250B"/>
    <w:rsid w:val="003F2BED"/>
    <w:rsid w:val="00400B49"/>
    <w:rsid w:val="0040415B"/>
    <w:rsid w:val="00412CDD"/>
    <w:rsid w:val="00413029"/>
    <w:rsid w:val="004139E4"/>
    <w:rsid w:val="00415999"/>
    <w:rsid w:val="0042087C"/>
    <w:rsid w:val="004363DF"/>
    <w:rsid w:val="00441868"/>
    <w:rsid w:val="00443878"/>
    <w:rsid w:val="004442FE"/>
    <w:rsid w:val="0045357A"/>
    <w:rsid w:val="004539A8"/>
    <w:rsid w:val="0045770E"/>
    <w:rsid w:val="004646F1"/>
    <w:rsid w:val="00467ECD"/>
    <w:rsid w:val="004712CA"/>
    <w:rsid w:val="00471BBF"/>
    <w:rsid w:val="0047422E"/>
    <w:rsid w:val="00476D6F"/>
    <w:rsid w:val="004854EA"/>
    <w:rsid w:val="0049674B"/>
    <w:rsid w:val="004B4D58"/>
    <w:rsid w:val="004C0673"/>
    <w:rsid w:val="004C4E4E"/>
    <w:rsid w:val="004C58FA"/>
    <w:rsid w:val="004D0FA5"/>
    <w:rsid w:val="004D39F6"/>
    <w:rsid w:val="004D3FB6"/>
    <w:rsid w:val="004E08F2"/>
    <w:rsid w:val="004F3816"/>
    <w:rsid w:val="004F500A"/>
    <w:rsid w:val="005126A0"/>
    <w:rsid w:val="0051389B"/>
    <w:rsid w:val="0051668B"/>
    <w:rsid w:val="00543D41"/>
    <w:rsid w:val="00545472"/>
    <w:rsid w:val="005465EB"/>
    <w:rsid w:val="005571A4"/>
    <w:rsid w:val="005604FC"/>
    <w:rsid w:val="00566EDA"/>
    <w:rsid w:val="005675E6"/>
    <w:rsid w:val="0057081A"/>
    <w:rsid w:val="00572654"/>
    <w:rsid w:val="00592F95"/>
    <w:rsid w:val="005976A1"/>
    <w:rsid w:val="005A34E7"/>
    <w:rsid w:val="005A5C29"/>
    <w:rsid w:val="005A69A3"/>
    <w:rsid w:val="005A6F18"/>
    <w:rsid w:val="005B5629"/>
    <w:rsid w:val="005C0300"/>
    <w:rsid w:val="005C27A2"/>
    <w:rsid w:val="005C2F6A"/>
    <w:rsid w:val="005C3FFA"/>
    <w:rsid w:val="005C44E4"/>
    <w:rsid w:val="005C59B9"/>
    <w:rsid w:val="005D0C97"/>
    <w:rsid w:val="005D4FEB"/>
    <w:rsid w:val="005D65ED"/>
    <w:rsid w:val="005E0E6C"/>
    <w:rsid w:val="005E415A"/>
    <w:rsid w:val="005F4B6A"/>
    <w:rsid w:val="006010F3"/>
    <w:rsid w:val="0060512B"/>
    <w:rsid w:val="00615A0A"/>
    <w:rsid w:val="006333D4"/>
    <w:rsid w:val="006369B2"/>
    <w:rsid w:val="0063718D"/>
    <w:rsid w:val="006374F8"/>
    <w:rsid w:val="00647525"/>
    <w:rsid w:val="00647A71"/>
    <w:rsid w:val="006530A8"/>
    <w:rsid w:val="006570B0"/>
    <w:rsid w:val="0066022F"/>
    <w:rsid w:val="006645EB"/>
    <w:rsid w:val="00666FFD"/>
    <w:rsid w:val="006823F3"/>
    <w:rsid w:val="0069210B"/>
    <w:rsid w:val="00693139"/>
    <w:rsid w:val="00695DD7"/>
    <w:rsid w:val="006A0F3F"/>
    <w:rsid w:val="006A239D"/>
    <w:rsid w:val="006A2A02"/>
    <w:rsid w:val="006A4055"/>
    <w:rsid w:val="006A7C27"/>
    <w:rsid w:val="006B2FE4"/>
    <w:rsid w:val="006B37B0"/>
    <w:rsid w:val="006B6BA2"/>
    <w:rsid w:val="006C0459"/>
    <w:rsid w:val="006C3DD5"/>
    <w:rsid w:val="006C5641"/>
    <w:rsid w:val="006C70E4"/>
    <w:rsid w:val="006D1089"/>
    <w:rsid w:val="006D1B86"/>
    <w:rsid w:val="006D7355"/>
    <w:rsid w:val="006F0797"/>
    <w:rsid w:val="006F7DEE"/>
    <w:rsid w:val="00704638"/>
    <w:rsid w:val="00715CA6"/>
    <w:rsid w:val="0072089E"/>
    <w:rsid w:val="00723C44"/>
    <w:rsid w:val="00731135"/>
    <w:rsid w:val="007324AF"/>
    <w:rsid w:val="0073674D"/>
    <w:rsid w:val="007409B4"/>
    <w:rsid w:val="00741974"/>
    <w:rsid w:val="007454B6"/>
    <w:rsid w:val="007526AC"/>
    <w:rsid w:val="0075525E"/>
    <w:rsid w:val="00756D3D"/>
    <w:rsid w:val="00763737"/>
    <w:rsid w:val="00775C29"/>
    <w:rsid w:val="007806C2"/>
    <w:rsid w:val="00781FEE"/>
    <w:rsid w:val="007903F8"/>
    <w:rsid w:val="00794F4F"/>
    <w:rsid w:val="007974BE"/>
    <w:rsid w:val="007A0916"/>
    <w:rsid w:val="007A0DFD"/>
    <w:rsid w:val="007B1D38"/>
    <w:rsid w:val="007C5ED4"/>
    <w:rsid w:val="007C7122"/>
    <w:rsid w:val="007C723C"/>
    <w:rsid w:val="007D0A20"/>
    <w:rsid w:val="007D3F11"/>
    <w:rsid w:val="007D6AD1"/>
    <w:rsid w:val="007E02D0"/>
    <w:rsid w:val="007E2C69"/>
    <w:rsid w:val="007E53E4"/>
    <w:rsid w:val="007E656A"/>
    <w:rsid w:val="007F3CAA"/>
    <w:rsid w:val="007F664D"/>
    <w:rsid w:val="00801B42"/>
    <w:rsid w:val="0080487C"/>
    <w:rsid w:val="00806DC8"/>
    <w:rsid w:val="008166A3"/>
    <w:rsid w:val="008249A7"/>
    <w:rsid w:val="00833B67"/>
    <w:rsid w:val="00836D45"/>
    <w:rsid w:val="00837203"/>
    <w:rsid w:val="00842137"/>
    <w:rsid w:val="008445D9"/>
    <w:rsid w:val="00851E6C"/>
    <w:rsid w:val="00853F5F"/>
    <w:rsid w:val="00856C7A"/>
    <w:rsid w:val="008623ED"/>
    <w:rsid w:val="008642A7"/>
    <w:rsid w:val="00873C13"/>
    <w:rsid w:val="00875AA6"/>
    <w:rsid w:val="00876BD3"/>
    <w:rsid w:val="00880944"/>
    <w:rsid w:val="0089088E"/>
    <w:rsid w:val="00892297"/>
    <w:rsid w:val="00893B33"/>
    <w:rsid w:val="008964D6"/>
    <w:rsid w:val="008A1C88"/>
    <w:rsid w:val="008A4EF6"/>
    <w:rsid w:val="008B5123"/>
    <w:rsid w:val="008C5A9A"/>
    <w:rsid w:val="008D1E1E"/>
    <w:rsid w:val="008E0172"/>
    <w:rsid w:val="008E436B"/>
    <w:rsid w:val="00901B81"/>
    <w:rsid w:val="009333EB"/>
    <w:rsid w:val="00936852"/>
    <w:rsid w:val="0094045D"/>
    <w:rsid w:val="009406B5"/>
    <w:rsid w:val="00946166"/>
    <w:rsid w:val="00952C49"/>
    <w:rsid w:val="00965E85"/>
    <w:rsid w:val="00966B5C"/>
    <w:rsid w:val="00983164"/>
    <w:rsid w:val="00984252"/>
    <w:rsid w:val="00984393"/>
    <w:rsid w:val="00992724"/>
    <w:rsid w:val="009972EF"/>
    <w:rsid w:val="009B5035"/>
    <w:rsid w:val="009C3160"/>
    <w:rsid w:val="009D399E"/>
    <w:rsid w:val="009D644B"/>
    <w:rsid w:val="009E4B6B"/>
    <w:rsid w:val="009E766E"/>
    <w:rsid w:val="009F1960"/>
    <w:rsid w:val="009F4B1A"/>
    <w:rsid w:val="009F715E"/>
    <w:rsid w:val="009F78FE"/>
    <w:rsid w:val="00A10DBB"/>
    <w:rsid w:val="00A11720"/>
    <w:rsid w:val="00A21247"/>
    <w:rsid w:val="00A25242"/>
    <w:rsid w:val="00A311F0"/>
    <w:rsid w:val="00A31D47"/>
    <w:rsid w:val="00A33582"/>
    <w:rsid w:val="00A4013E"/>
    <w:rsid w:val="00A4045F"/>
    <w:rsid w:val="00A427CD"/>
    <w:rsid w:val="00A438AF"/>
    <w:rsid w:val="00A44AE2"/>
    <w:rsid w:val="00A45FEE"/>
    <w:rsid w:val="00A4600B"/>
    <w:rsid w:val="00A46C5D"/>
    <w:rsid w:val="00A50506"/>
    <w:rsid w:val="00A51EF0"/>
    <w:rsid w:val="00A600CD"/>
    <w:rsid w:val="00A65609"/>
    <w:rsid w:val="00A67A81"/>
    <w:rsid w:val="00A730A6"/>
    <w:rsid w:val="00A827B0"/>
    <w:rsid w:val="00A829D3"/>
    <w:rsid w:val="00A86D43"/>
    <w:rsid w:val="00A96899"/>
    <w:rsid w:val="00A971A0"/>
    <w:rsid w:val="00A97CB3"/>
    <w:rsid w:val="00AA1186"/>
    <w:rsid w:val="00AA1F22"/>
    <w:rsid w:val="00AB37FB"/>
    <w:rsid w:val="00AB397E"/>
    <w:rsid w:val="00AC3E73"/>
    <w:rsid w:val="00AC63B0"/>
    <w:rsid w:val="00AD4751"/>
    <w:rsid w:val="00AF0CA4"/>
    <w:rsid w:val="00B0042B"/>
    <w:rsid w:val="00B05821"/>
    <w:rsid w:val="00B100D6"/>
    <w:rsid w:val="00B11296"/>
    <w:rsid w:val="00B14ADA"/>
    <w:rsid w:val="00B151AE"/>
    <w:rsid w:val="00B164C9"/>
    <w:rsid w:val="00B2519B"/>
    <w:rsid w:val="00B26C28"/>
    <w:rsid w:val="00B4174C"/>
    <w:rsid w:val="00B453F5"/>
    <w:rsid w:val="00B5162E"/>
    <w:rsid w:val="00B61624"/>
    <w:rsid w:val="00B66481"/>
    <w:rsid w:val="00B7189C"/>
    <w:rsid w:val="00B718A5"/>
    <w:rsid w:val="00B76724"/>
    <w:rsid w:val="00B86602"/>
    <w:rsid w:val="00BA398C"/>
    <w:rsid w:val="00BA7411"/>
    <w:rsid w:val="00BA788A"/>
    <w:rsid w:val="00BB4120"/>
    <w:rsid w:val="00BB4983"/>
    <w:rsid w:val="00BB7597"/>
    <w:rsid w:val="00BC62E2"/>
    <w:rsid w:val="00BD084D"/>
    <w:rsid w:val="00BD2BBE"/>
    <w:rsid w:val="00BE075D"/>
    <w:rsid w:val="00BE4AC3"/>
    <w:rsid w:val="00BE643C"/>
    <w:rsid w:val="00BF0028"/>
    <w:rsid w:val="00BF2C47"/>
    <w:rsid w:val="00BF756C"/>
    <w:rsid w:val="00C11A44"/>
    <w:rsid w:val="00C12DAF"/>
    <w:rsid w:val="00C14E81"/>
    <w:rsid w:val="00C279EE"/>
    <w:rsid w:val="00C42125"/>
    <w:rsid w:val="00C47120"/>
    <w:rsid w:val="00C557CE"/>
    <w:rsid w:val="00C62534"/>
    <w:rsid w:val="00C62814"/>
    <w:rsid w:val="00C67234"/>
    <w:rsid w:val="00C67B25"/>
    <w:rsid w:val="00C748F7"/>
    <w:rsid w:val="00C74937"/>
    <w:rsid w:val="00C8148D"/>
    <w:rsid w:val="00C82C4E"/>
    <w:rsid w:val="00CB2599"/>
    <w:rsid w:val="00CC386F"/>
    <w:rsid w:val="00CC41D3"/>
    <w:rsid w:val="00CD2139"/>
    <w:rsid w:val="00CE5986"/>
    <w:rsid w:val="00CF0CD5"/>
    <w:rsid w:val="00D10A47"/>
    <w:rsid w:val="00D1590A"/>
    <w:rsid w:val="00D26477"/>
    <w:rsid w:val="00D31FDA"/>
    <w:rsid w:val="00D56CC3"/>
    <w:rsid w:val="00D61A45"/>
    <w:rsid w:val="00D647EF"/>
    <w:rsid w:val="00D73137"/>
    <w:rsid w:val="00D7339F"/>
    <w:rsid w:val="00D77A07"/>
    <w:rsid w:val="00D8315E"/>
    <w:rsid w:val="00D8486F"/>
    <w:rsid w:val="00D8534C"/>
    <w:rsid w:val="00D87AAC"/>
    <w:rsid w:val="00D924B7"/>
    <w:rsid w:val="00D924C9"/>
    <w:rsid w:val="00D977A2"/>
    <w:rsid w:val="00DA1D47"/>
    <w:rsid w:val="00DA4A17"/>
    <w:rsid w:val="00DB0706"/>
    <w:rsid w:val="00DC2102"/>
    <w:rsid w:val="00DD4826"/>
    <w:rsid w:val="00DD50DE"/>
    <w:rsid w:val="00DD626B"/>
    <w:rsid w:val="00DE0967"/>
    <w:rsid w:val="00DE1204"/>
    <w:rsid w:val="00DE3062"/>
    <w:rsid w:val="00DF568A"/>
    <w:rsid w:val="00DF5875"/>
    <w:rsid w:val="00E04AE6"/>
    <w:rsid w:val="00E0581D"/>
    <w:rsid w:val="00E1590B"/>
    <w:rsid w:val="00E204DD"/>
    <w:rsid w:val="00E228B7"/>
    <w:rsid w:val="00E33EC9"/>
    <w:rsid w:val="00E353EC"/>
    <w:rsid w:val="00E42B60"/>
    <w:rsid w:val="00E51F61"/>
    <w:rsid w:val="00E53C24"/>
    <w:rsid w:val="00E56E77"/>
    <w:rsid w:val="00E570E8"/>
    <w:rsid w:val="00E6075E"/>
    <w:rsid w:val="00E92A0A"/>
    <w:rsid w:val="00E93910"/>
    <w:rsid w:val="00EA0BE7"/>
    <w:rsid w:val="00EB1D8E"/>
    <w:rsid w:val="00EB444D"/>
    <w:rsid w:val="00ED1B45"/>
    <w:rsid w:val="00EE1A06"/>
    <w:rsid w:val="00EE5C0D"/>
    <w:rsid w:val="00EE6C02"/>
    <w:rsid w:val="00EF169E"/>
    <w:rsid w:val="00EF234D"/>
    <w:rsid w:val="00EF4792"/>
    <w:rsid w:val="00EF76DC"/>
    <w:rsid w:val="00F02294"/>
    <w:rsid w:val="00F02A5C"/>
    <w:rsid w:val="00F07D16"/>
    <w:rsid w:val="00F07F3A"/>
    <w:rsid w:val="00F30114"/>
    <w:rsid w:val="00F30DE7"/>
    <w:rsid w:val="00F317AE"/>
    <w:rsid w:val="00F3202B"/>
    <w:rsid w:val="00F35F57"/>
    <w:rsid w:val="00F36194"/>
    <w:rsid w:val="00F50467"/>
    <w:rsid w:val="00F562A0"/>
    <w:rsid w:val="00F57FA4"/>
    <w:rsid w:val="00F72B88"/>
    <w:rsid w:val="00F73383"/>
    <w:rsid w:val="00F76AA8"/>
    <w:rsid w:val="00F841B7"/>
    <w:rsid w:val="00F9547A"/>
    <w:rsid w:val="00FA02CB"/>
    <w:rsid w:val="00FA2177"/>
    <w:rsid w:val="00FB0783"/>
    <w:rsid w:val="00FB7A8B"/>
    <w:rsid w:val="00FC2485"/>
    <w:rsid w:val="00FD439E"/>
    <w:rsid w:val="00FD4FCB"/>
    <w:rsid w:val="00FD76CB"/>
    <w:rsid w:val="00FE152B"/>
    <w:rsid w:val="00FE2042"/>
    <w:rsid w:val="00FE239E"/>
    <w:rsid w:val="00FE2528"/>
    <w:rsid w:val="00FE399B"/>
    <w:rsid w:val="00FF1151"/>
    <w:rsid w:val="00FF4546"/>
    <w:rsid w:val="00FF538F"/>
    <w:rsid w:val="02680435"/>
    <w:rsid w:val="05F20B5E"/>
    <w:rsid w:val="06EB77C7"/>
    <w:rsid w:val="07C43EF1"/>
    <w:rsid w:val="07F44DFF"/>
    <w:rsid w:val="08FE7BBB"/>
    <w:rsid w:val="096F6197"/>
    <w:rsid w:val="0BA505C9"/>
    <w:rsid w:val="0BE80E47"/>
    <w:rsid w:val="0C115437"/>
    <w:rsid w:val="0D62036A"/>
    <w:rsid w:val="0D867784"/>
    <w:rsid w:val="0F472D9F"/>
    <w:rsid w:val="0F721887"/>
    <w:rsid w:val="0FAA12BA"/>
    <w:rsid w:val="0FE27882"/>
    <w:rsid w:val="125B73FF"/>
    <w:rsid w:val="126C21DF"/>
    <w:rsid w:val="160C53F2"/>
    <w:rsid w:val="16EA37EA"/>
    <w:rsid w:val="1A0F4E12"/>
    <w:rsid w:val="1CEA2117"/>
    <w:rsid w:val="1F39493F"/>
    <w:rsid w:val="1FC7596E"/>
    <w:rsid w:val="2149A48D"/>
    <w:rsid w:val="227A2A68"/>
    <w:rsid w:val="24B66B14"/>
    <w:rsid w:val="252B095C"/>
    <w:rsid w:val="29E101C5"/>
    <w:rsid w:val="2A9F5DA0"/>
    <w:rsid w:val="2EAE298C"/>
    <w:rsid w:val="2EE039D2"/>
    <w:rsid w:val="2F815E2F"/>
    <w:rsid w:val="31921376"/>
    <w:rsid w:val="33CE27F2"/>
    <w:rsid w:val="3439E286"/>
    <w:rsid w:val="36F947F6"/>
    <w:rsid w:val="3961769A"/>
    <w:rsid w:val="3993191B"/>
    <w:rsid w:val="3CEA0FE1"/>
    <w:rsid w:val="3D292976"/>
    <w:rsid w:val="426423AD"/>
    <w:rsid w:val="42E37A1D"/>
    <w:rsid w:val="4D04047B"/>
    <w:rsid w:val="4FAC2A11"/>
    <w:rsid w:val="504238DD"/>
    <w:rsid w:val="51AD9656"/>
    <w:rsid w:val="5299729C"/>
    <w:rsid w:val="534364E0"/>
    <w:rsid w:val="56703215"/>
    <w:rsid w:val="586665A7"/>
    <w:rsid w:val="59B72C30"/>
    <w:rsid w:val="59FB6560"/>
    <w:rsid w:val="5C4F4919"/>
    <w:rsid w:val="5DEB67C3"/>
    <w:rsid w:val="5E9E6F81"/>
    <w:rsid w:val="5F2257EC"/>
    <w:rsid w:val="622B1464"/>
    <w:rsid w:val="63336AE7"/>
    <w:rsid w:val="65422E2C"/>
    <w:rsid w:val="669C340C"/>
    <w:rsid w:val="669C40CA"/>
    <w:rsid w:val="674435D5"/>
    <w:rsid w:val="6808013C"/>
    <w:rsid w:val="699A1E3F"/>
    <w:rsid w:val="69AA4EE0"/>
    <w:rsid w:val="69B042A0"/>
    <w:rsid w:val="6A6F6FF2"/>
    <w:rsid w:val="6AEF7BA8"/>
    <w:rsid w:val="6C177787"/>
    <w:rsid w:val="6D282F0A"/>
    <w:rsid w:val="6DF53E3B"/>
    <w:rsid w:val="72340598"/>
    <w:rsid w:val="728668AA"/>
    <w:rsid w:val="72C675D0"/>
    <w:rsid w:val="75D835A3"/>
    <w:rsid w:val="787B2127"/>
    <w:rsid w:val="792A23DD"/>
    <w:rsid w:val="7B8C497F"/>
    <w:rsid w:val="7BD71E91"/>
    <w:rsid w:val="7FB817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C7E1"/>
  <w15:docId w15:val="{15DDC544-455B-433A-88DA-78863B89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semiHidden="1" w:unhideWhenUsed="1" w:qFormat="1"/>
    <w:lsdException w:name="caption" w:semiHidden="1" w:uiPriority="35" w:unhideWhenUsed="1" w:qFormat="1"/>
    <w:lsdException w:name="table of figures"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pPr>
      <w:spacing w:before="120"/>
    </w:pPr>
    <w:rPr>
      <w:rFonts w:eastAsiaTheme="minorEastAsia"/>
      <w:sz w:val="24"/>
      <w:szCs w:val="24"/>
      <w:lang w:eastAsia="ja-JP"/>
    </w:rPr>
  </w:style>
  <w:style w:type="paragraph" w:styleId="Heading1">
    <w:name w:val="heading 1"/>
    <w:basedOn w:val="Normal"/>
    <w:next w:val="Normal"/>
    <w:link w:val="Heading1Char"/>
    <w:qFormat/>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Normal"/>
    <w:next w:val="Normal"/>
    <w:uiPriority w:val="39"/>
    <w:semiHidden/>
    <w:unhideWhenUsed/>
    <w:qFormat/>
    <w:pPr>
      <w:spacing w:after="100"/>
      <w:ind w:left="1440"/>
    </w:pPr>
  </w:style>
  <w:style w:type="paragraph" w:styleId="ListNumber2">
    <w:name w:val="List Number 2"/>
    <w:basedOn w:val="Normal"/>
    <w:uiPriority w:val="99"/>
    <w:semiHidden/>
    <w:unhideWhenUsed/>
    <w:qFormat/>
    <w:pPr>
      <w:numPr>
        <w:numId w:val="1"/>
      </w:numPr>
      <w:tabs>
        <w:tab w:val="clear" w:pos="643"/>
        <w:tab w:val="left" w:pos="360"/>
      </w:tabs>
      <w:ind w:left="0" w:firstLine="0"/>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CommentText">
    <w:name w:val="annotation text"/>
    <w:basedOn w:val="Normal"/>
    <w:link w:val="CommentTextChar"/>
    <w:uiPriority w:val="99"/>
    <w:unhideWhenUsed/>
    <w:qFormat/>
    <w:rPr>
      <w:sz w:val="20"/>
      <w:szCs w:val="20"/>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Indent">
    <w:name w:val="Body Text Indent"/>
    <w:basedOn w:val="Normal"/>
    <w:link w:val="BodyTextIndentChar"/>
    <w:uiPriority w:val="99"/>
    <w:semiHidden/>
    <w:unhideWhenUsed/>
    <w:qFormat/>
    <w:pPr>
      <w:spacing w:after="120"/>
      <w:ind w:left="360"/>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Normal"/>
    <w:next w:val="Normal"/>
    <w:uiPriority w:val="39"/>
    <w:semiHidden/>
    <w:unhideWhenUsed/>
    <w:qFormat/>
    <w:pPr>
      <w:spacing w:after="100"/>
      <w:ind w:left="960"/>
    </w:pPr>
  </w:style>
  <w:style w:type="paragraph" w:styleId="TOC3">
    <w:name w:val="toc 3"/>
    <w:basedOn w:val="TOC2"/>
    <w:next w:val="Normal"/>
    <w:qFormat/>
    <w:pPr>
      <w:ind w:left="2269"/>
    </w:pPr>
  </w:style>
  <w:style w:type="paragraph" w:styleId="TOC2">
    <w:name w:val="toc 2"/>
    <w:basedOn w:val="TOC1"/>
    <w:next w:val="Normal"/>
    <w:uiPriority w:val="39"/>
    <w:qFormat/>
    <w:pPr>
      <w:spacing w:before="80"/>
      <w:ind w:left="1531" w:hanging="851"/>
    </w:pPr>
  </w:style>
  <w:style w:type="paragraph" w:styleId="TOC1">
    <w:name w:val="toc 1"/>
    <w:basedOn w:val="Normal"/>
    <w:next w:val="Normal"/>
    <w:uiPriority w:val="39"/>
    <w:qFormat/>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szCs w:val="20"/>
      <w:lang w:eastAsia="en-US"/>
    </w:r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Normal"/>
    <w:next w:val="Normal"/>
    <w:uiPriority w:val="39"/>
    <w:semiHidden/>
    <w:unhideWhenUsed/>
    <w:qFormat/>
    <w:pPr>
      <w:spacing w:after="100"/>
      <w:ind w:left="1680"/>
    </w:pPr>
  </w:style>
  <w:style w:type="paragraph" w:styleId="Index3">
    <w:name w:val="index 3"/>
    <w:basedOn w:val="Normal"/>
    <w:next w:val="Normal"/>
    <w:uiPriority w:val="99"/>
    <w:semiHidden/>
    <w:unhideWhenUsed/>
    <w:qFormat/>
    <w:pPr>
      <w:spacing w:before="0"/>
      <w:ind w:left="720" w:hanging="24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EndnoteText">
    <w:name w:val="endnote text"/>
    <w:basedOn w:val="Normal"/>
    <w:link w:val="EndnoteTextChar"/>
    <w:uiPriority w:val="99"/>
    <w:semiHidden/>
    <w:unhideWhenUsed/>
    <w:qFormat/>
    <w:pPr>
      <w:spacing w:before="0"/>
    </w:pPr>
    <w:rPr>
      <w:sz w:val="20"/>
      <w:szCs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uiPriority w:val="99"/>
    <w:semiHidden/>
    <w:unhideWhenUsed/>
    <w:qFormat/>
    <w:pPr>
      <w:spacing w:before="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pPr>
    <w:rPr>
      <w:sz w:val="20"/>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szCs w:val="20"/>
    </w:rPr>
  </w:style>
  <w:style w:type="paragraph" w:styleId="Header">
    <w:name w:val="header"/>
    <w:basedOn w:val="Normal"/>
    <w:link w:val="HeaderChar"/>
    <w:qFormat/>
    <w:pPr>
      <w:overflowPunct w:val="0"/>
      <w:autoSpaceDE w:val="0"/>
      <w:autoSpaceDN w:val="0"/>
      <w:adjustRightInd w:val="0"/>
      <w:spacing w:before="0"/>
      <w:jc w:val="center"/>
      <w:textAlignment w:val="baseline"/>
    </w:pPr>
    <w:rPr>
      <w:rFonts w:eastAsia="Times New Roman"/>
      <w:sz w:val="18"/>
      <w:szCs w:val="20"/>
      <w:lang w:eastAsia="en-US"/>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Normal"/>
    <w:next w:val="Normal"/>
    <w:uiPriority w:val="39"/>
    <w:semiHidden/>
    <w:unhideWhenUsed/>
    <w:qFormat/>
    <w:pPr>
      <w:spacing w:after="100"/>
      <w:ind w:left="7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uiPriority w:val="99"/>
    <w:semiHidden/>
    <w:unhideWhenUsed/>
    <w:qFormat/>
    <w:pPr>
      <w:spacing w:before="0"/>
      <w:ind w:left="240" w:hanging="240"/>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uiPriority w:val="99"/>
    <w:semiHidden/>
    <w:unhideWhenUsed/>
    <w:qFormat/>
    <w:pPr>
      <w:spacing w:before="0"/>
    </w:pPr>
    <w:rPr>
      <w:sz w:val="20"/>
      <w:szCs w:val="20"/>
    </w:rPr>
  </w:style>
  <w:style w:type="paragraph" w:styleId="TOC6">
    <w:name w:val="toc 6"/>
    <w:basedOn w:val="Normal"/>
    <w:next w:val="Normal"/>
    <w:uiPriority w:val="39"/>
    <w:semiHidden/>
    <w:unhideWhenUsed/>
    <w:qFormat/>
    <w:pPr>
      <w:spacing w:after="100"/>
      <w:ind w:left="1200"/>
    </w:pPr>
  </w:style>
  <w:style w:type="paragraph" w:styleId="List5">
    <w:name w:val="List 5"/>
    <w:basedOn w:val="Normal"/>
    <w:uiPriority w:val="99"/>
    <w:semiHidden/>
    <w:unhideWhenUsed/>
    <w:qFormat/>
    <w:pPr>
      <w:ind w:left="1800" w:hanging="360"/>
      <w:contextualSpacing/>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Normal"/>
    <w:next w:val="Normal"/>
    <w:uiPriority w:val="39"/>
    <w:semiHidden/>
    <w:unhideWhenUsed/>
    <w:qFormat/>
    <w:pPr>
      <w:spacing w:after="100"/>
      <w:ind w:left="1920"/>
    </w:pPr>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szCs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uiPriority w:val="99"/>
    <w:semiHidden/>
    <w:unhideWhenUsed/>
    <w:qFormat/>
    <w:pPr>
      <w:spacing w:before="0"/>
      <w:ind w:left="480" w:hanging="240"/>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paragraph" w:styleId="BodyTextFirstIndent">
    <w:name w:val="Body Text First Indent"/>
    <w:basedOn w:val="BodyText"/>
    <w:link w:val="BodyTextFirstIndentChar"/>
    <w:uiPriority w:val="99"/>
    <w:semiHidden/>
    <w:unhideWhenUsed/>
    <w:qFormat/>
    <w:pPr>
      <w:spacing w:after="0"/>
      <w:ind w:firstLine="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aliases w:val="超级链接,Style 58,超????,超?级链,하이퍼링크2"/>
    <w:basedOn w:val="DefaultParagraphFont"/>
    <w:uiPriority w:val="99"/>
    <w:qFormat/>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uiPriority w:val="99"/>
    <w:semiHidden/>
    <w:unhideWhenUsed/>
    <w:qFormat/>
    <w:rPr>
      <w:vertAlign w:val="superscript"/>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qFormat/>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qFormat/>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qFormat/>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qFormat/>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lang w:eastAsia="en-US"/>
    </w:rPr>
  </w:style>
  <w:style w:type="paragraph" w:customStyle="1" w:styleId="RecNo">
    <w:name w:val="Rec_No"/>
    <w:basedOn w:val="Normal"/>
    <w:next w:val="Normal"/>
    <w:qFormat/>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qFormat/>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szCs w:val="20"/>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szCs w:val="20"/>
      <w:lang w:val="en-GB" w:eastAsia="en-US"/>
    </w:rPr>
  </w:style>
  <w:style w:type="character" w:customStyle="1" w:styleId="FooterChar">
    <w:name w:val="Footer Char"/>
    <w:basedOn w:val="DefaultParagraphFont"/>
    <w:link w:val="Footer"/>
    <w:uiPriority w:val="99"/>
    <w:qFormat/>
    <w:rPr>
      <w:rFonts w:ascii="Times New Roman" w:hAnsi="Times New Roman" w:cs="Times New Roman"/>
      <w:sz w:val="20"/>
      <w:szCs w:val="24"/>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ja-JP"/>
    </w:rPr>
  </w:style>
  <w:style w:type="paragraph" w:customStyle="1" w:styleId="enumlev1">
    <w:name w:val="enumlev1"/>
    <w:basedOn w:val="Normal"/>
    <w:qFormat/>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1">
    <w:name w:val="修订1"/>
    <w:hidden/>
    <w:uiPriority w:val="99"/>
    <w:semiHidden/>
    <w:qFormat/>
    <w:rPr>
      <w:rFonts w:eastAsiaTheme="minorEastAsia"/>
      <w:sz w:val="24"/>
      <w:szCs w:val="24"/>
      <w:lang w:eastAsia="ja-JP"/>
    </w:rPr>
  </w:style>
  <w:style w:type="paragraph" w:customStyle="1" w:styleId="VenueDate">
    <w:name w:val="VenueDate"/>
    <w:basedOn w:val="Normal"/>
    <w:qFormat/>
    <w:pPr>
      <w:jc w:val="right"/>
    </w:p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lang w:val="en-GB" w:eastAsia="ja-JP"/>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ReftextArial9pt">
    <w:name w:val="Ref_text Arial 9 pt"/>
    <w:qFormat/>
    <w:rPr>
      <w:rFonts w:ascii="Arial" w:hAnsi="Arial" w:cs="Arial"/>
      <w:sz w:val="18"/>
      <w:szCs w:val="18"/>
    </w:rPr>
  </w:style>
  <w:style w:type="paragraph" w:customStyle="1" w:styleId="Title4">
    <w:name w:val="Title 4"/>
    <w:basedOn w:val="Normal"/>
    <w:next w:val="Heading1"/>
    <w:qFormat/>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qFormat/>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FootnoteTextChar">
    <w:name w:val="Footnote Text Char"/>
    <w:basedOn w:val="DefaultParagraphFont"/>
    <w:link w:val="FootnoteText"/>
    <w:uiPriority w:val="99"/>
    <w:semiHidden/>
    <w:qFormat/>
    <w:rPr>
      <w:rFonts w:ascii="Times New Roman" w:hAnsi="Times New Roman" w:cs="Times New Roman"/>
      <w:sz w:val="20"/>
      <w:szCs w:val="20"/>
      <w:lang w:val="en-GB" w:eastAsia="ja-JP"/>
    </w:rPr>
  </w:style>
  <w:style w:type="paragraph" w:customStyle="1" w:styleId="12">
    <w:name w:val="书目1"/>
    <w:basedOn w:val="Normal"/>
    <w:next w:val="Normal"/>
    <w:uiPriority w:val="37"/>
    <w:semiHidden/>
    <w:unhideWhenUsed/>
    <w:qFormat/>
  </w:style>
  <w:style w:type="character" w:customStyle="1" w:styleId="BodyTextChar">
    <w:name w:val="Body Text Char"/>
    <w:basedOn w:val="DefaultParagraphFont"/>
    <w:link w:val="BodyText"/>
    <w:uiPriority w:val="99"/>
    <w:qFormat/>
    <w:rPr>
      <w:rFonts w:ascii="Times New Roman" w:hAnsi="Times New Roman" w:cs="Times New Roman"/>
      <w:sz w:val="24"/>
      <w:szCs w:val="24"/>
      <w:lang w:val="en-GB" w:eastAsia="ja-JP"/>
    </w:rPr>
  </w:style>
  <w:style w:type="character" w:customStyle="1" w:styleId="BodyText2Char">
    <w:name w:val="Body Text 2 Char"/>
    <w:basedOn w:val="DefaultParagraphFont"/>
    <w:link w:val="BodyText2"/>
    <w:uiPriority w:val="99"/>
    <w:semiHidden/>
    <w:qFormat/>
    <w:rPr>
      <w:rFonts w:ascii="Times New Roman" w:hAnsi="Times New Roman" w:cs="Times New Roman"/>
      <w:sz w:val="24"/>
      <w:szCs w:val="24"/>
      <w:lang w:val="en-GB" w:eastAsia="ja-JP"/>
    </w:rPr>
  </w:style>
  <w:style w:type="character" w:customStyle="1" w:styleId="BodyText3Char">
    <w:name w:val="Body Text 3 Char"/>
    <w:basedOn w:val="DefaultParagraphFont"/>
    <w:link w:val="BodyText3"/>
    <w:uiPriority w:val="99"/>
    <w:semiHidden/>
    <w:qFormat/>
    <w:rPr>
      <w:rFonts w:ascii="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Times New Roman" w:hAnsi="Times New Roman" w:cs="Times New Roman"/>
      <w:sz w:val="24"/>
      <w:szCs w:val="24"/>
      <w:lang w:val="en-GB" w:eastAsia="ja-JP"/>
    </w:rPr>
  </w:style>
  <w:style w:type="character" w:customStyle="1" w:styleId="BodyTextIndentChar">
    <w:name w:val="Body Text Indent Char"/>
    <w:basedOn w:val="DefaultParagraphFont"/>
    <w:link w:val="BodyTextIndent"/>
    <w:uiPriority w:val="99"/>
    <w:semiHidden/>
    <w:qFormat/>
    <w:rPr>
      <w:rFonts w:ascii="Times New Roman" w:hAnsi="Times New Roman" w:cs="Times New Roman"/>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ascii="Times New Roman" w:hAnsi="Times New Roman" w:cs="Times New Roman"/>
      <w:sz w:val="24"/>
      <w:szCs w:val="24"/>
      <w:lang w:val="en-GB" w:eastAsia="ja-JP"/>
    </w:rPr>
  </w:style>
  <w:style w:type="character" w:customStyle="1" w:styleId="BodyTextIndent2Char">
    <w:name w:val="Body Text Indent 2 Char"/>
    <w:basedOn w:val="DefaultParagraphFont"/>
    <w:link w:val="BodyTextIndent2"/>
    <w:uiPriority w:val="99"/>
    <w:semiHidden/>
    <w:qFormat/>
    <w:rPr>
      <w:rFonts w:ascii="Times New Roman" w:hAnsi="Times New Roman" w:cs="Times New Roman"/>
      <w:sz w:val="24"/>
      <w:szCs w:val="24"/>
      <w:lang w:val="en-GB" w:eastAsia="ja-JP"/>
    </w:rPr>
  </w:style>
  <w:style w:type="character" w:customStyle="1" w:styleId="BodyTextIndent3Char">
    <w:name w:val="Body Text Indent 3 Char"/>
    <w:basedOn w:val="DefaultParagraphFont"/>
    <w:link w:val="BodyTextIndent3"/>
    <w:uiPriority w:val="99"/>
    <w:semiHidden/>
    <w:qFormat/>
    <w:rPr>
      <w:rFonts w:ascii="Times New Roman" w:hAnsi="Times New Roman" w:cs="Times New Roman"/>
      <w:sz w:val="16"/>
      <w:szCs w:val="16"/>
      <w:lang w:val="en-GB" w:eastAsia="ja-JP"/>
    </w:rPr>
  </w:style>
  <w:style w:type="character" w:customStyle="1" w:styleId="13">
    <w:name w:val="书籍标题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14">
    <w:name w:val="井号标签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15">
    <w:name w:val="明显强调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16">
    <w:name w:val="明显参考1"/>
    <w:basedOn w:val="DefaultParagraphFont"/>
    <w:uiPriority w:val="32"/>
    <w:qFormat/>
    <w:rPr>
      <w:b/>
      <w:bCs/>
      <w:smallCaps/>
      <w:color w:val="5B9BD5" w:themeColor="accent1"/>
      <w:spacing w:val="5"/>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EastAsia"/>
      <w:sz w:val="24"/>
      <w:szCs w:val="24"/>
      <w:lang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17">
    <w:name w:val="智能超链接1"/>
    <w:basedOn w:val="DefaultParagraphFont"/>
    <w:uiPriority w:val="99"/>
    <w:semiHidden/>
    <w:unhideWhenUsed/>
    <w:qFormat/>
    <w:rPr>
      <w:u w:val="dotted"/>
    </w:rPr>
  </w:style>
  <w:style w:type="character" w:customStyle="1" w:styleId="18">
    <w:name w:val="智能链接1"/>
    <w:basedOn w:val="DefaultParagraphFont"/>
    <w:uiPriority w:val="99"/>
    <w:semiHidden/>
    <w:unhideWhenUsed/>
    <w:qFormat/>
    <w:rPr>
      <w:color w:val="0000FF"/>
      <w:u w:val="single"/>
      <w:shd w:val="clear" w:color="auto" w:fill="F3F2F1"/>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character" w:customStyle="1" w:styleId="19">
    <w:name w:val="不明显强调1"/>
    <w:basedOn w:val="DefaultParagraphFont"/>
    <w:uiPriority w:val="19"/>
    <w:qFormat/>
    <w:rPr>
      <w:i/>
      <w:iCs/>
      <w:color w:val="404040" w:themeColor="text1" w:themeTint="BF"/>
    </w:rPr>
  </w:style>
  <w:style w:type="character" w:customStyle="1" w:styleId="1a">
    <w:name w:val="不明显参考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pPr>
      <w:jc w:val="right"/>
    </w:pPr>
    <w:rPr>
      <w:b/>
      <w:bCs/>
      <w:sz w:val="28"/>
      <w:szCs w:val="28"/>
    </w:r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paragraph" w:customStyle="1" w:styleId="LSForAction">
    <w:name w:val="LSForAction"/>
    <w:basedOn w:val="Normal"/>
    <w:next w:val="Normal"/>
    <w:qFormat/>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qFormat/>
    <w:rPr>
      <w:rFonts w:eastAsiaTheme="minorHAnsi"/>
      <w:bCs/>
    </w:rPr>
  </w:style>
  <w:style w:type="paragraph" w:customStyle="1" w:styleId="LSApproval">
    <w:name w:val="LSApproval"/>
    <w:basedOn w:val="Normal"/>
    <w:qFormat/>
    <w:rPr>
      <w:b/>
      <w:bCs/>
    </w:rPr>
  </w:style>
  <w:style w:type="paragraph" w:customStyle="1" w:styleId="LSDeadline">
    <w:name w:val="LSDeadline"/>
    <w:basedOn w:val="Normal"/>
    <w:next w:val="Normal"/>
    <w:qFormat/>
    <w:rPr>
      <w:rFonts w:eastAsiaTheme="minorHAnsi"/>
    </w:rPr>
  </w:style>
  <w:style w:type="paragraph" w:customStyle="1" w:styleId="Revision1">
    <w:name w:val="Revision1"/>
    <w:hidden/>
    <w:uiPriority w:val="99"/>
    <w:unhideWhenUsed/>
    <w:rPr>
      <w:rFonts w:eastAsiaTheme="minorEastAsia"/>
      <w:sz w:val="24"/>
      <w:szCs w:val="24"/>
      <w:lang w:eastAsia="ja-JP"/>
    </w:rPr>
  </w:style>
  <w:style w:type="paragraph" w:styleId="Revision">
    <w:name w:val="Revision"/>
    <w:hidden/>
    <w:uiPriority w:val="99"/>
    <w:unhideWhenUsed/>
    <w:rsid w:val="005D0C97"/>
    <w:rPr>
      <w:rFonts w:eastAsiaTheme="minorEastAsia"/>
      <w:sz w:val="24"/>
      <w:szCs w:val="24"/>
      <w:lang w:eastAsia="ja-JP"/>
    </w:rPr>
  </w:style>
  <w:style w:type="character" w:styleId="UnresolvedMention">
    <w:name w:val="Unresolved Mention"/>
    <w:basedOn w:val="DefaultParagraphFont"/>
    <w:uiPriority w:val="99"/>
    <w:semiHidden/>
    <w:unhideWhenUsed/>
    <w:rsid w:val="00D924C9"/>
    <w:rPr>
      <w:color w:val="605E5C"/>
      <w:shd w:val="clear" w:color="auto" w:fill="E1DFDD"/>
    </w:rPr>
  </w:style>
  <w:style w:type="table" w:customStyle="1" w:styleId="TableGrid1">
    <w:name w:val="Table Grid1"/>
    <w:basedOn w:val="TableNormal"/>
    <w:next w:val="TableGrid"/>
    <w:uiPriority w:val="39"/>
    <w:qFormat/>
    <w:rsid w:val="006C0459"/>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C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rnaud.taddei@broadcom.com" TargetMode="External"/><Relationship Id="rId18" Type="http://schemas.openxmlformats.org/officeDocument/2006/relationships/hyperlink" Target="http://www.itu.int/rec/T-REC-A.1/en" TargetMode="External"/><Relationship Id="rId26" Type="http://schemas.openxmlformats.org/officeDocument/2006/relationships/hyperlink" Target="https://www.itu.int/itu-t/workprog/wp_item.aspx?isn=21810" TargetMode="External"/><Relationship Id="rId3" Type="http://schemas.openxmlformats.org/officeDocument/2006/relationships/customXml" Target="../customXml/item3.xml"/><Relationship Id="rId21" Type="http://schemas.openxmlformats.org/officeDocument/2006/relationships/hyperlink" Target="https://www.itu.int/ITU-T/workprog/wp_item.aspx?isn=23435" TargetMode="External"/><Relationship Id="rId7" Type="http://schemas.openxmlformats.org/officeDocument/2006/relationships/settings" Target="settings.xml"/><Relationship Id="rId12" Type="http://schemas.openxmlformats.org/officeDocument/2006/relationships/hyperlink" Target="https://www.itu.int/ifa/t/2025/ls/sg17/sp18-sg17-00070.docx" TargetMode="External"/><Relationship Id="rId17" Type="http://schemas.openxmlformats.org/officeDocument/2006/relationships/hyperlink" Target="https://www.itu.int/md/T25-SG17-C-0287/en" TargetMode="External"/><Relationship Id="rId25" Type="http://schemas.openxmlformats.org/officeDocument/2006/relationships/hyperlink" Target="https://www.itu.int/ITU-T/workprog/wp_item.aspx?isn=2344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5-SG17-C-0222/en" TargetMode="External"/><Relationship Id="rId20" Type="http://schemas.openxmlformats.org/officeDocument/2006/relationships/hyperlink" Target="https://www.itu.int/md/T25-SG13-C-0255/en" TargetMode="External"/><Relationship Id="rId29" Type="http://schemas.openxmlformats.org/officeDocument/2006/relationships/hyperlink" Target="https://www.itu.int/ITU-T/workprog/wp_item.aspx?isn=222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item.aspx?isn=2143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andle.itu.int/11.1002/ls/sp18-sg13-00141.docx" TargetMode="External"/><Relationship Id="rId23" Type="http://schemas.openxmlformats.org/officeDocument/2006/relationships/hyperlink" Target="https://www.itu.int/itu-t/workprog/wp_item.aspx?isn=21444" TargetMode="External"/><Relationship Id="rId28" Type="http://schemas.openxmlformats.org/officeDocument/2006/relationships/hyperlink" Target="https://www.itu.int/itu-t/workprog/wp_item.aspx?isn=21809" TargetMode="External"/><Relationship Id="rId10" Type="http://schemas.openxmlformats.org/officeDocument/2006/relationships/endnotes" Target="endnotes.xml"/><Relationship Id="rId19" Type="http://schemas.openxmlformats.org/officeDocument/2006/relationships/hyperlink" Target="https://www.itu.int/itu-t/workprog/wp_item.aspx?isn=2140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oru.kenyoshi@nict.go.jp" TargetMode="External"/><Relationship Id="rId22" Type="http://schemas.openxmlformats.org/officeDocument/2006/relationships/hyperlink" Target="https://www.itu.int/itu-t/workprog/wp_item.aspx?isn=21437" TargetMode="External"/><Relationship Id="rId27" Type="http://schemas.openxmlformats.org/officeDocument/2006/relationships/hyperlink" Target="https://www.itu.int/itu-t/workprog/wp_item.aspx?isn=21808" TargetMode="External"/><Relationship Id="rId30" Type="http://schemas.openxmlformats.org/officeDocument/2006/relationships/hyperlink" Target="https://www.itu.int/ITU-T/workprog/wp_item.aspx?isn=21806"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4</TotalTime>
  <Pages>4</Pages>
  <Words>1428</Words>
  <Characters>8311</Characters>
  <Application>Microsoft Office Word</Application>
  <DocSecurity>0</DocSecurity>
  <Lines>251</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LS/o on transition of the existing CQR (Co-located Quantum Resistance) meeting into JRG (Joint Rapporteur meeting) [to TSAG, ITU SG11and SG13]</vt:lpstr>
      <vt:lpstr>LS/o on the progress of the Correspondence Group on AI Security (CG-AISEC) [to TSAG, ITU-T SGs, ETSI SAI, OECD, IEEE AIS Trust and Agency Committee, ISO/IEC JTC 1/SC 27/WG 4 &amp; WG5, and ISO/IEC JTC 1/SC 42/WG 3]</vt:lpstr>
    </vt:vector>
  </TitlesOfParts>
  <Manager>ITU-T</Manager>
  <Company>International Telecommunication Union (ITU)</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transition of the existing CQR (Co-located Quantum Resistance) meeting into JRG (Joint Rapporteur meeting)</dc:title>
  <dc:creator>ITU-T Study Group 17</dc:creator>
  <dc:description>TSAG-TD292  For: Geneva, 26-30 January 2026_x000d_Document date: _x000d_Saved by ITU51017913 at 11:38:46 AM on 1/12/2026</dc:description>
  <cp:lastModifiedBy>TSB</cp:lastModifiedBy>
  <cp:revision>6</cp:revision>
  <cp:lastPrinted>2016-12-23T12:52:00Z</cp:lastPrinted>
  <dcterms:created xsi:type="dcterms:W3CDTF">2026-01-12T10:38:00Z</dcterms:created>
  <dcterms:modified xsi:type="dcterms:W3CDTF">2026-01-12T10:41:00Z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TSAG-TD292</vt:lpwstr>
  </property>
  <property fmtid="{D5CDD505-2E9C-101B-9397-08002B2CF9AE}" pid="4" name="Docdate">
    <vt:lpwstr/>
  </property>
  <property fmtid="{D5CDD505-2E9C-101B-9397-08002B2CF9AE}" pid="5" name="Docorlang">
    <vt:lpwstr/>
  </property>
  <property fmtid="{D5CDD505-2E9C-101B-9397-08002B2CF9AE}" pid="6" name="Docbluepink">
    <vt:lpwstr>15/17</vt:lpwstr>
  </property>
  <property fmtid="{D5CDD505-2E9C-101B-9397-08002B2CF9AE}" pid="7" name="Docdest">
    <vt:lpwstr>Geneva, 26-30 January 2026</vt:lpwstr>
  </property>
  <property fmtid="{D5CDD505-2E9C-101B-9397-08002B2CF9AE}" pid="8" name="Docauthor">
    <vt:lpwstr>ITU-T Study Group 17</vt:lpwstr>
  </property>
  <property fmtid="{D5CDD505-2E9C-101B-9397-08002B2CF9AE}" pid="9" name="KSOProductBuildVer">
    <vt:lpwstr>2052-11.8.2.12265</vt:lpwstr>
  </property>
  <property fmtid="{D5CDD505-2E9C-101B-9397-08002B2CF9AE}" pid="10" name="ICV">
    <vt:lpwstr>7BA40E326F1643E5AF9458CC93C7EE4F</vt:lpwstr>
  </property>
  <property fmtid="{D5CDD505-2E9C-101B-9397-08002B2CF9AE}" pid="11" name="GrammarlyDocumentId">
    <vt:lpwstr>28b706dd-b117-4488-9464-12c86741a7c5</vt:lpwstr>
  </property>
  <property fmtid="{D5CDD505-2E9C-101B-9397-08002B2CF9AE}" pid="12" name="_AdHocReviewCycleID">
    <vt:i4>-420657557</vt:i4>
  </property>
  <property fmtid="{D5CDD505-2E9C-101B-9397-08002B2CF9AE}" pid="13" name="_NewReviewCycle">
    <vt:lpwstr/>
  </property>
  <property fmtid="{D5CDD505-2E9C-101B-9397-08002B2CF9AE}" pid="14" name="_EmailSubject">
    <vt:lpwstr>[T17Q15] Revised oLs on JRG in TD335/GEN</vt:lpwstr>
  </property>
  <property fmtid="{D5CDD505-2E9C-101B-9397-08002B2CF9AE}" pid="15" name="_AuthorEmail">
    <vt:lpwstr>oscar.avellaneda@ised-isde.gc.ca</vt:lpwstr>
  </property>
  <property fmtid="{D5CDD505-2E9C-101B-9397-08002B2CF9AE}" pid="16" name="_AuthorEmailDisplayName">
    <vt:lpwstr>Avellaneda, Oscar (ISED/ISDE)</vt:lpwstr>
  </property>
  <property fmtid="{D5CDD505-2E9C-101B-9397-08002B2CF9AE}" pid="17" name="_ReviewingToolsShownOnce">
    <vt:lpwstr/>
  </property>
</Properties>
</file>