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286"/>
        <w:gridCol w:w="169"/>
        <w:gridCol w:w="540"/>
        <w:gridCol w:w="2913"/>
        <w:gridCol w:w="573"/>
        <w:gridCol w:w="4026"/>
      </w:tblGrid>
      <w:tr w:rsidR="007763F3" w:rsidRPr="007763F3" w14:paraId="0E856329" w14:textId="77777777" w:rsidTr="007763F3">
        <w:trPr>
          <w:cantSplit/>
        </w:trPr>
        <w:tc>
          <w:tcPr>
            <w:tcW w:w="1132" w:type="dxa"/>
            <w:vMerge w:val="restart"/>
            <w:vAlign w:val="center"/>
          </w:tcPr>
          <w:p w14:paraId="616D45A5" w14:textId="77777777" w:rsidR="007763F3" w:rsidRPr="007763F3" w:rsidRDefault="007763F3" w:rsidP="007763F3">
            <w:pPr>
              <w:spacing w:before="0"/>
              <w:jc w:val="center"/>
              <w:rPr>
                <w:sz w:val="20"/>
                <w:szCs w:val="20"/>
              </w:rPr>
            </w:pPr>
            <w:bookmarkStart w:id="0" w:name="dnum" w:colFirst="2" w:colLast="2"/>
            <w:bookmarkStart w:id="1" w:name="dtableau"/>
            <w:r w:rsidRPr="007763F3">
              <w:rPr>
                <w:noProof/>
              </w:rPr>
              <w:drawing>
                <wp:inline distT="0" distB="0" distL="0" distR="0" wp14:anchorId="4C295C81" wp14:editId="69CE984D">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3815B544" w14:textId="77777777" w:rsidR="007763F3" w:rsidRPr="007763F3" w:rsidRDefault="007763F3" w:rsidP="007763F3">
            <w:pPr>
              <w:rPr>
                <w:sz w:val="16"/>
                <w:szCs w:val="16"/>
              </w:rPr>
            </w:pPr>
            <w:r w:rsidRPr="007763F3">
              <w:rPr>
                <w:sz w:val="16"/>
                <w:szCs w:val="16"/>
              </w:rPr>
              <w:t>INTERNATIONAL TELECOMMUNICATION UNION</w:t>
            </w:r>
          </w:p>
          <w:p w14:paraId="33D7C1E1" w14:textId="77777777" w:rsidR="007763F3" w:rsidRPr="007763F3" w:rsidRDefault="007763F3" w:rsidP="007763F3">
            <w:pPr>
              <w:rPr>
                <w:b/>
                <w:bCs/>
                <w:sz w:val="26"/>
                <w:szCs w:val="26"/>
              </w:rPr>
            </w:pPr>
            <w:r w:rsidRPr="007763F3">
              <w:rPr>
                <w:b/>
                <w:bCs/>
                <w:sz w:val="26"/>
                <w:szCs w:val="26"/>
              </w:rPr>
              <w:t>TELECOMMUNICATION</w:t>
            </w:r>
            <w:r w:rsidRPr="007763F3">
              <w:rPr>
                <w:b/>
                <w:bCs/>
                <w:sz w:val="26"/>
                <w:szCs w:val="26"/>
              </w:rPr>
              <w:br/>
              <w:t>STANDARDIZATION SECTOR</w:t>
            </w:r>
          </w:p>
          <w:p w14:paraId="773595D9" w14:textId="338CBDE5" w:rsidR="007763F3" w:rsidRPr="007763F3" w:rsidRDefault="007763F3" w:rsidP="007763F3">
            <w:pPr>
              <w:rPr>
                <w:sz w:val="20"/>
                <w:szCs w:val="20"/>
              </w:rPr>
            </w:pPr>
            <w:r w:rsidRPr="007763F3">
              <w:rPr>
                <w:sz w:val="20"/>
                <w:szCs w:val="20"/>
              </w:rPr>
              <w:t xml:space="preserve">STUDY PERIOD </w:t>
            </w:r>
            <w:r>
              <w:rPr>
                <w:sz w:val="20"/>
              </w:rPr>
              <w:t>2025-2028</w:t>
            </w:r>
          </w:p>
        </w:tc>
        <w:tc>
          <w:tcPr>
            <w:tcW w:w="4026" w:type="dxa"/>
            <w:vAlign w:val="center"/>
          </w:tcPr>
          <w:p w14:paraId="5DC2A01D" w14:textId="1A75F825" w:rsidR="007763F3" w:rsidRPr="007763F3" w:rsidRDefault="007763F3" w:rsidP="007763F3">
            <w:pPr>
              <w:pStyle w:val="Docnumber"/>
            </w:pPr>
            <w:r>
              <w:t>TSAG-TD290</w:t>
            </w:r>
          </w:p>
        </w:tc>
      </w:tr>
      <w:tr w:rsidR="007763F3" w:rsidRPr="007763F3" w14:paraId="680DA1BA" w14:textId="77777777" w:rsidTr="007763F3">
        <w:trPr>
          <w:cantSplit/>
        </w:trPr>
        <w:tc>
          <w:tcPr>
            <w:tcW w:w="1132" w:type="dxa"/>
            <w:vMerge/>
          </w:tcPr>
          <w:p w14:paraId="2E39E194" w14:textId="77777777" w:rsidR="007763F3" w:rsidRPr="007763F3" w:rsidRDefault="007763F3" w:rsidP="007763F3">
            <w:pPr>
              <w:rPr>
                <w:smallCaps/>
                <w:sz w:val="20"/>
              </w:rPr>
            </w:pPr>
            <w:bookmarkStart w:id="2" w:name="dsg" w:colFirst="2" w:colLast="2"/>
            <w:bookmarkEnd w:id="0"/>
          </w:p>
        </w:tc>
        <w:tc>
          <w:tcPr>
            <w:tcW w:w="4481" w:type="dxa"/>
            <w:gridSpan w:val="5"/>
            <w:vMerge/>
          </w:tcPr>
          <w:p w14:paraId="7D8FC1C1" w14:textId="77777777" w:rsidR="007763F3" w:rsidRPr="007763F3" w:rsidRDefault="007763F3" w:rsidP="007763F3">
            <w:pPr>
              <w:rPr>
                <w:smallCaps/>
                <w:sz w:val="20"/>
              </w:rPr>
            </w:pPr>
          </w:p>
        </w:tc>
        <w:tc>
          <w:tcPr>
            <w:tcW w:w="4026" w:type="dxa"/>
          </w:tcPr>
          <w:p w14:paraId="0F0904E6" w14:textId="5C393A14" w:rsidR="007763F3" w:rsidRPr="007763F3" w:rsidRDefault="007763F3" w:rsidP="007763F3">
            <w:pPr>
              <w:pStyle w:val="TSBHeaderRight14"/>
              <w:rPr>
                <w:smallCaps/>
              </w:rPr>
            </w:pPr>
            <w:r>
              <w:rPr>
                <w:smallCaps/>
              </w:rPr>
              <w:t>TSAG</w:t>
            </w:r>
          </w:p>
        </w:tc>
      </w:tr>
      <w:bookmarkEnd w:id="2"/>
      <w:tr w:rsidR="007763F3" w:rsidRPr="007763F3" w14:paraId="22108563" w14:textId="77777777" w:rsidTr="007763F3">
        <w:trPr>
          <w:cantSplit/>
        </w:trPr>
        <w:tc>
          <w:tcPr>
            <w:tcW w:w="1132" w:type="dxa"/>
            <w:vMerge/>
            <w:tcBorders>
              <w:bottom w:val="single" w:sz="12" w:space="0" w:color="auto"/>
            </w:tcBorders>
          </w:tcPr>
          <w:p w14:paraId="6E0242EB" w14:textId="77777777" w:rsidR="007763F3" w:rsidRPr="007763F3" w:rsidRDefault="007763F3" w:rsidP="007763F3">
            <w:pPr>
              <w:rPr>
                <w:b/>
                <w:bCs/>
                <w:sz w:val="26"/>
              </w:rPr>
            </w:pPr>
          </w:p>
        </w:tc>
        <w:tc>
          <w:tcPr>
            <w:tcW w:w="4481" w:type="dxa"/>
            <w:gridSpan w:val="5"/>
            <w:vMerge/>
            <w:tcBorders>
              <w:bottom w:val="single" w:sz="12" w:space="0" w:color="auto"/>
            </w:tcBorders>
          </w:tcPr>
          <w:p w14:paraId="67CE3638" w14:textId="77777777" w:rsidR="007763F3" w:rsidRPr="007763F3" w:rsidRDefault="007763F3" w:rsidP="007763F3">
            <w:pPr>
              <w:rPr>
                <w:b/>
                <w:bCs/>
                <w:sz w:val="26"/>
              </w:rPr>
            </w:pPr>
          </w:p>
        </w:tc>
        <w:tc>
          <w:tcPr>
            <w:tcW w:w="4026" w:type="dxa"/>
            <w:tcBorders>
              <w:bottom w:val="single" w:sz="12" w:space="0" w:color="auto"/>
            </w:tcBorders>
            <w:vAlign w:val="center"/>
          </w:tcPr>
          <w:p w14:paraId="6D02DE21" w14:textId="77777777" w:rsidR="007763F3" w:rsidRPr="007763F3" w:rsidRDefault="007763F3" w:rsidP="007763F3">
            <w:pPr>
              <w:pStyle w:val="TSBHeaderRight14"/>
            </w:pPr>
            <w:r w:rsidRPr="007763F3">
              <w:t>Original: English</w:t>
            </w:r>
          </w:p>
        </w:tc>
      </w:tr>
      <w:tr w:rsidR="007763F3" w:rsidRPr="007763F3" w14:paraId="540EDBD3" w14:textId="77777777" w:rsidTr="007763F3">
        <w:trPr>
          <w:cantSplit/>
        </w:trPr>
        <w:tc>
          <w:tcPr>
            <w:tcW w:w="1587" w:type="dxa"/>
            <w:gridSpan w:val="3"/>
          </w:tcPr>
          <w:p w14:paraId="6ED9E1EE" w14:textId="423BE2F4" w:rsidR="007763F3" w:rsidRPr="007763F3" w:rsidRDefault="007763F3" w:rsidP="007763F3">
            <w:pPr>
              <w:rPr>
                <w:b/>
                <w:bCs/>
              </w:rPr>
            </w:pPr>
            <w:bookmarkStart w:id="3" w:name="dbluepink" w:colFirst="1" w:colLast="1"/>
            <w:bookmarkStart w:id="4" w:name="dmeeting" w:colFirst="2" w:colLast="2"/>
          </w:p>
        </w:tc>
        <w:tc>
          <w:tcPr>
            <w:tcW w:w="4026" w:type="dxa"/>
            <w:gridSpan w:val="3"/>
          </w:tcPr>
          <w:p w14:paraId="37BD65CA" w14:textId="21D6A31A" w:rsidR="007763F3" w:rsidRPr="007763F3" w:rsidRDefault="007763F3" w:rsidP="007763F3">
            <w:pPr>
              <w:pStyle w:val="TSBHeaderQuestion"/>
            </w:pPr>
          </w:p>
        </w:tc>
        <w:tc>
          <w:tcPr>
            <w:tcW w:w="4026" w:type="dxa"/>
          </w:tcPr>
          <w:p w14:paraId="77F6D9CF" w14:textId="0EFE0D0D" w:rsidR="007763F3" w:rsidRPr="007763F3" w:rsidRDefault="007763F3" w:rsidP="007763F3">
            <w:pPr>
              <w:pStyle w:val="VenueDate"/>
            </w:pPr>
            <w:r w:rsidRPr="007763F3">
              <w:t>Geneva, 26-30 January 2026</w:t>
            </w:r>
          </w:p>
        </w:tc>
      </w:tr>
      <w:tr w:rsidR="007763F3" w:rsidRPr="007763F3" w14:paraId="71D4AE68" w14:textId="77777777" w:rsidTr="005F7827">
        <w:trPr>
          <w:cantSplit/>
        </w:trPr>
        <w:tc>
          <w:tcPr>
            <w:tcW w:w="9639" w:type="dxa"/>
            <w:gridSpan w:val="7"/>
          </w:tcPr>
          <w:p w14:paraId="617E88C2" w14:textId="77777777" w:rsidR="007763F3" w:rsidRPr="007763F3" w:rsidRDefault="007763F3" w:rsidP="007763F3">
            <w:pPr>
              <w:jc w:val="center"/>
              <w:rPr>
                <w:b/>
                <w:bCs/>
              </w:rPr>
            </w:pPr>
            <w:bookmarkStart w:id="5" w:name="ddoctype"/>
            <w:bookmarkEnd w:id="3"/>
            <w:bookmarkEnd w:id="4"/>
            <w:r w:rsidRPr="007763F3">
              <w:rPr>
                <w:b/>
                <w:bCs/>
              </w:rPr>
              <w:t>TD</w:t>
            </w:r>
          </w:p>
          <w:p w14:paraId="591410C8" w14:textId="1E92B6B3" w:rsidR="007763F3" w:rsidRPr="007763F3" w:rsidRDefault="007763F3" w:rsidP="007763F3">
            <w:pPr>
              <w:spacing w:before="0"/>
              <w:jc w:val="center"/>
              <w:rPr>
                <w:b/>
                <w:bCs/>
              </w:rPr>
            </w:pPr>
            <w:r w:rsidRPr="007763F3">
              <w:rPr>
                <w:b/>
                <w:bCs/>
              </w:rPr>
              <w:t xml:space="preserve">(Ref.: </w:t>
            </w:r>
            <w:hyperlink r:id="rId12" w:history="1">
              <w:r w:rsidRPr="007763F3">
                <w:rPr>
                  <w:rStyle w:val="Hyperlink"/>
                  <w:b/>
                  <w:bCs/>
                </w:rPr>
                <w:t>SG17-LS66</w:t>
              </w:r>
            </w:hyperlink>
            <w:r w:rsidRPr="007763F3">
              <w:rPr>
                <w:b/>
                <w:bCs/>
              </w:rPr>
              <w:t>)</w:t>
            </w:r>
          </w:p>
        </w:tc>
      </w:tr>
      <w:tr w:rsidR="007763F3" w:rsidRPr="007763F3" w14:paraId="1D5D5032" w14:textId="77777777" w:rsidTr="007763F3">
        <w:trPr>
          <w:cantSplit/>
        </w:trPr>
        <w:tc>
          <w:tcPr>
            <w:tcW w:w="1587" w:type="dxa"/>
            <w:gridSpan w:val="3"/>
          </w:tcPr>
          <w:p w14:paraId="0733BF40" w14:textId="77777777" w:rsidR="007763F3" w:rsidRPr="007763F3" w:rsidRDefault="007763F3" w:rsidP="007763F3">
            <w:pPr>
              <w:rPr>
                <w:b/>
                <w:bCs/>
              </w:rPr>
            </w:pPr>
            <w:bookmarkStart w:id="6" w:name="dsource" w:colFirst="1" w:colLast="1"/>
            <w:bookmarkEnd w:id="5"/>
            <w:r w:rsidRPr="007763F3">
              <w:rPr>
                <w:b/>
                <w:bCs/>
              </w:rPr>
              <w:t>Source:</w:t>
            </w:r>
          </w:p>
        </w:tc>
        <w:tc>
          <w:tcPr>
            <w:tcW w:w="8052" w:type="dxa"/>
            <w:gridSpan w:val="4"/>
          </w:tcPr>
          <w:p w14:paraId="673CAA47" w14:textId="43476E69" w:rsidR="007763F3" w:rsidRPr="007763F3" w:rsidRDefault="007763F3" w:rsidP="007763F3">
            <w:pPr>
              <w:pStyle w:val="TSBHeaderSource"/>
            </w:pPr>
            <w:r w:rsidRPr="007763F3">
              <w:t>ITU-T Study Group 17</w:t>
            </w:r>
          </w:p>
        </w:tc>
      </w:tr>
      <w:tr w:rsidR="007763F3" w:rsidRPr="007763F3" w14:paraId="261D4694" w14:textId="77777777" w:rsidTr="007763F3">
        <w:trPr>
          <w:cantSplit/>
        </w:trPr>
        <w:tc>
          <w:tcPr>
            <w:tcW w:w="1587" w:type="dxa"/>
            <w:gridSpan w:val="3"/>
            <w:tcBorders>
              <w:bottom w:val="single" w:sz="8" w:space="0" w:color="auto"/>
            </w:tcBorders>
          </w:tcPr>
          <w:p w14:paraId="1FDA3EF2" w14:textId="77777777" w:rsidR="007763F3" w:rsidRPr="007763F3" w:rsidRDefault="007763F3" w:rsidP="007763F3">
            <w:pPr>
              <w:rPr>
                <w:b/>
                <w:bCs/>
              </w:rPr>
            </w:pPr>
            <w:bookmarkStart w:id="7" w:name="dtitle1" w:colFirst="1" w:colLast="1"/>
            <w:bookmarkEnd w:id="6"/>
            <w:r w:rsidRPr="007763F3">
              <w:rPr>
                <w:b/>
                <w:bCs/>
              </w:rPr>
              <w:t>Title:</w:t>
            </w:r>
          </w:p>
        </w:tc>
        <w:tc>
          <w:tcPr>
            <w:tcW w:w="8052" w:type="dxa"/>
            <w:gridSpan w:val="4"/>
            <w:tcBorders>
              <w:bottom w:val="single" w:sz="8" w:space="0" w:color="auto"/>
            </w:tcBorders>
          </w:tcPr>
          <w:p w14:paraId="12AD86E9" w14:textId="19C6E095" w:rsidR="007763F3" w:rsidRPr="007763F3" w:rsidRDefault="007763F3" w:rsidP="007763F3">
            <w:pPr>
              <w:pStyle w:val="TSBHeaderTitle"/>
            </w:pPr>
            <w:r w:rsidRPr="007763F3">
              <w:t>LS/</w:t>
            </w:r>
            <w:r>
              <w:t>i/</w:t>
            </w:r>
            <w:r w:rsidRPr="007763F3">
              <w:t>r on SG17 inputs on the development of ITU-T Standards Success Stories (reply to TSAG-LS5 and TSAG-LS14)</w:t>
            </w:r>
            <w:r>
              <w:t xml:space="preserve"> [from ITU-T SG17]</w:t>
            </w:r>
          </w:p>
        </w:tc>
      </w:tr>
      <w:tr w:rsidR="00422F2B" w14:paraId="17CC4379" w14:textId="77777777">
        <w:tblPrEx>
          <w:tblLook w:val="04A0" w:firstRow="1" w:lastRow="0" w:firstColumn="1" w:lastColumn="0" w:noHBand="0" w:noVBand="1"/>
        </w:tblPrEx>
        <w:trPr>
          <w:cantSplit/>
        </w:trPr>
        <w:tc>
          <w:tcPr>
            <w:tcW w:w="9639" w:type="dxa"/>
            <w:gridSpan w:val="7"/>
            <w:tcBorders>
              <w:top w:val="single" w:sz="8" w:space="0" w:color="auto"/>
              <w:bottom w:val="nil"/>
            </w:tcBorders>
          </w:tcPr>
          <w:p w14:paraId="1162D684" w14:textId="77777777" w:rsidR="00422F2B" w:rsidRDefault="00422F2B" w:rsidP="00422F2B">
            <w:pPr>
              <w:jc w:val="center"/>
              <w:rPr>
                <w:lang w:val="fr-FR"/>
              </w:rPr>
            </w:pPr>
            <w:bookmarkStart w:id="8" w:name="dcontact2"/>
            <w:bookmarkStart w:id="9" w:name="dcontent2" w:colFirst="1" w:colLast="1"/>
            <w:bookmarkEnd w:id="1"/>
            <w:bookmarkEnd w:id="7"/>
            <w:r>
              <w:rPr>
                <w:b/>
              </w:rPr>
              <w:t>LIAISON STATEMENT</w:t>
            </w:r>
          </w:p>
        </w:tc>
      </w:tr>
      <w:tr w:rsidR="00422F2B" w14:paraId="11A445EC" w14:textId="77777777">
        <w:tblPrEx>
          <w:tblLook w:val="04A0" w:firstRow="1" w:lastRow="0" w:firstColumn="1" w:lastColumn="0" w:noHBand="0" w:noVBand="1"/>
        </w:tblPrEx>
        <w:trPr>
          <w:cantSplit/>
        </w:trPr>
        <w:tc>
          <w:tcPr>
            <w:tcW w:w="2127" w:type="dxa"/>
            <w:gridSpan w:val="4"/>
            <w:tcBorders>
              <w:top w:val="nil"/>
              <w:left w:val="nil"/>
              <w:bottom w:val="nil"/>
              <w:right w:val="nil"/>
            </w:tcBorders>
          </w:tcPr>
          <w:p w14:paraId="1245314E" w14:textId="77777777" w:rsidR="00422F2B" w:rsidRDefault="00422F2B" w:rsidP="00422F2B">
            <w:pPr>
              <w:spacing w:line="256" w:lineRule="auto"/>
              <w:rPr>
                <w:b/>
                <w:bCs/>
              </w:rPr>
            </w:pPr>
            <w:r>
              <w:rPr>
                <w:b/>
                <w:bCs/>
              </w:rPr>
              <w:t>For action to:</w:t>
            </w:r>
          </w:p>
        </w:tc>
        <w:tc>
          <w:tcPr>
            <w:tcW w:w="7512" w:type="dxa"/>
            <w:gridSpan w:val="3"/>
            <w:tcBorders>
              <w:top w:val="nil"/>
              <w:left w:val="nil"/>
              <w:bottom w:val="nil"/>
              <w:right w:val="nil"/>
            </w:tcBorders>
          </w:tcPr>
          <w:p w14:paraId="03814798" w14:textId="7D488660" w:rsidR="00422F2B" w:rsidRDefault="00482119" w:rsidP="00422F2B">
            <w:pPr>
              <w:pStyle w:val="LSForAction"/>
              <w:spacing w:line="256" w:lineRule="auto"/>
              <w:rPr>
                <w:rFonts w:eastAsiaTheme="minorEastAsia"/>
                <w:szCs w:val="24"/>
                <w:lang w:val="fr-FR" w:eastAsia="ja-JP"/>
              </w:rPr>
            </w:pPr>
            <w:r>
              <w:rPr>
                <w:rFonts w:eastAsiaTheme="minorEastAsia"/>
                <w:szCs w:val="24"/>
                <w:lang w:val="fr-FR" w:eastAsia="ja-JP"/>
              </w:rPr>
              <w:t>-</w:t>
            </w:r>
          </w:p>
        </w:tc>
      </w:tr>
      <w:tr w:rsidR="00422F2B" w:rsidRPr="003828BE" w14:paraId="587098AF" w14:textId="77777777">
        <w:tblPrEx>
          <w:tblLook w:val="04A0" w:firstRow="1" w:lastRow="0" w:firstColumn="1" w:lastColumn="0" w:noHBand="0" w:noVBand="1"/>
        </w:tblPrEx>
        <w:trPr>
          <w:cantSplit/>
        </w:trPr>
        <w:tc>
          <w:tcPr>
            <w:tcW w:w="2127" w:type="dxa"/>
            <w:gridSpan w:val="4"/>
            <w:tcBorders>
              <w:top w:val="nil"/>
              <w:left w:val="nil"/>
              <w:bottom w:val="nil"/>
              <w:right w:val="nil"/>
            </w:tcBorders>
          </w:tcPr>
          <w:p w14:paraId="661B2EF2" w14:textId="77777777" w:rsidR="00422F2B" w:rsidRDefault="00422F2B" w:rsidP="00422F2B">
            <w:pPr>
              <w:spacing w:line="256" w:lineRule="auto"/>
              <w:rPr>
                <w:b/>
                <w:bCs/>
              </w:rPr>
            </w:pPr>
            <w:r>
              <w:rPr>
                <w:b/>
                <w:bCs/>
              </w:rPr>
              <w:t>For information to:</w:t>
            </w:r>
          </w:p>
        </w:tc>
        <w:tc>
          <w:tcPr>
            <w:tcW w:w="7512" w:type="dxa"/>
            <w:gridSpan w:val="3"/>
            <w:tcBorders>
              <w:top w:val="nil"/>
              <w:left w:val="nil"/>
              <w:bottom w:val="nil"/>
              <w:right w:val="nil"/>
            </w:tcBorders>
          </w:tcPr>
          <w:p w14:paraId="3BE4ED4E" w14:textId="6195F449" w:rsidR="00422F2B" w:rsidRPr="003828BE" w:rsidRDefault="006B7E85" w:rsidP="00422F2B">
            <w:pPr>
              <w:pStyle w:val="LSForInfo"/>
              <w:spacing w:line="256" w:lineRule="auto"/>
              <w:rPr>
                <w:rFonts w:eastAsiaTheme="minorEastAsia"/>
              </w:rPr>
            </w:pPr>
            <w:r>
              <w:rPr>
                <w:rFonts w:eastAsia="SimSun"/>
                <w:kern w:val="2"/>
              </w:rPr>
              <w:t>TSAG and all ITU-T</w:t>
            </w:r>
            <w:r>
              <w:t xml:space="preserve"> SGs</w:t>
            </w:r>
          </w:p>
        </w:tc>
      </w:tr>
      <w:tr w:rsidR="00422F2B" w14:paraId="5C36B72A" w14:textId="77777777">
        <w:tblPrEx>
          <w:tblLook w:val="04A0" w:firstRow="1" w:lastRow="0" w:firstColumn="1" w:lastColumn="0" w:noHBand="0" w:noVBand="1"/>
        </w:tblPrEx>
        <w:trPr>
          <w:cantSplit/>
        </w:trPr>
        <w:tc>
          <w:tcPr>
            <w:tcW w:w="2127" w:type="dxa"/>
            <w:gridSpan w:val="4"/>
            <w:tcBorders>
              <w:top w:val="nil"/>
              <w:left w:val="nil"/>
              <w:bottom w:val="nil"/>
              <w:right w:val="nil"/>
            </w:tcBorders>
          </w:tcPr>
          <w:p w14:paraId="729E591F" w14:textId="77777777" w:rsidR="00422F2B" w:rsidRDefault="00422F2B" w:rsidP="00422F2B">
            <w:pPr>
              <w:spacing w:line="256" w:lineRule="auto"/>
              <w:rPr>
                <w:b/>
                <w:bCs/>
              </w:rPr>
            </w:pPr>
            <w:r>
              <w:rPr>
                <w:b/>
                <w:bCs/>
              </w:rPr>
              <w:t>Approval:</w:t>
            </w:r>
          </w:p>
        </w:tc>
        <w:tc>
          <w:tcPr>
            <w:tcW w:w="7512" w:type="dxa"/>
            <w:gridSpan w:val="3"/>
            <w:tcBorders>
              <w:top w:val="nil"/>
              <w:left w:val="nil"/>
              <w:bottom w:val="nil"/>
              <w:right w:val="nil"/>
            </w:tcBorders>
          </w:tcPr>
          <w:p w14:paraId="3FCDFB83" w14:textId="1E5C0EAE" w:rsidR="00422F2B" w:rsidRPr="007763F3" w:rsidRDefault="00422F2B" w:rsidP="00422F2B">
            <w:pPr>
              <w:pStyle w:val="LSApproval"/>
              <w:spacing w:line="256" w:lineRule="auto"/>
              <w:rPr>
                <w:b w:val="0"/>
              </w:rPr>
            </w:pPr>
            <w:r w:rsidRPr="007763F3">
              <w:rPr>
                <w:b w:val="0"/>
                <w:lang w:val="en-US"/>
              </w:rPr>
              <w:t xml:space="preserve">ITU-T Study Group </w:t>
            </w:r>
            <w:r w:rsidRPr="007763F3">
              <w:rPr>
                <w:rFonts w:hint="eastAsia"/>
                <w:b w:val="0"/>
                <w:lang w:val="en-US" w:eastAsia="zh-CN"/>
              </w:rPr>
              <w:t xml:space="preserve">17 </w:t>
            </w:r>
            <w:r w:rsidRPr="007763F3">
              <w:rPr>
                <w:b w:val="0"/>
                <w:lang w:val="en-US"/>
              </w:rPr>
              <w:t>meeting</w:t>
            </w:r>
            <w:r w:rsidRPr="007763F3">
              <w:rPr>
                <w:rFonts w:hint="eastAsia"/>
                <w:b w:val="0"/>
                <w:lang w:val="en-US" w:eastAsia="zh-CN"/>
              </w:rPr>
              <w:t xml:space="preserve"> (</w:t>
            </w:r>
            <w:r w:rsidR="00E456DA" w:rsidRPr="007763F3">
              <w:rPr>
                <w:b w:val="0"/>
                <w:lang w:val="en-US" w:eastAsia="zh-CN"/>
              </w:rPr>
              <w:t>Geneva,11 December 2025</w:t>
            </w:r>
            <w:r w:rsidRPr="007763F3">
              <w:rPr>
                <w:rFonts w:hint="eastAsia"/>
                <w:b w:val="0"/>
                <w:lang w:val="en-US" w:eastAsia="zh-CN"/>
              </w:rPr>
              <w:t>)</w:t>
            </w:r>
          </w:p>
        </w:tc>
      </w:tr>
      <w:tr w:rsidR="00422F2B" w14:paraId="29BBC238" w14:textId="77777777">
        <w:tblPrEx>
          <w:tblLook w:val="04A0" w:firstRow="1" w:lastRow="0" w:firstColumn="1" w:lastColumn="0" w:noHBand="0" w:noVBand="1"/>
        </w:tblPrEx>
        <w:trPr>
          <w:cantSplit/>
        </w:trPr>
        <w:tc>
          <w:tcPr>
            <w:tcW w:w="2127" w:type="dxa"/>
            <w:gridSpan w:val="4"/>
            <w:tcBorders>
              <w:top w:val="nil"/>
              <w:bottom w:val="single" w:sz="8" w:space="0" w:color="auto"/>
            </w:tcBorders>
          </w:tcPr>
          <w:p w14:paraId="3A1DB9A6" w14:textId="77777777" w:rsidR="00422F2B" w:rsidRDefault="00422F2B" w:rsidP="00422F2B">
            <w:pPr>
              <w:spacing w:line="256" w:lineRule="auto"/>
              <w:rPr>
                <w:b/>
                <w:bCs/>
              </w:rPr>
            </w:pPr>
            <w:r>
              <w:rPr>
                <w:b/>
                <w:bCs/>
              </w:rPr>
              <w:t>Deadline:</w:t>
            </w:r>
          </w:p>
        </w:tc>
        <w:tc>
          <w:tcPr>
            <w:tcW w:w="7512" w:type="dxa"/>
            <w:gridSpan w:val="3"/>
            <w:tcBorders>
              <w:top w:val="nil"/>
              <w:bottom w:val="single" w:sz="8" w:space="0" w:color="auto"/>
            </w:tcBorders>
          </w:tcPr>
          <w:p w14:paraId="2167E4A8" w14:textId="0880D10E" w:rsidR="00422F2B" w:rsidRPr="001C620E" w:rsidRDefault="007763F3" w:rsidP="00422F2B">
            <w:pPr>
              <w:pStyle w:val="LSDeadline"/>
              <w:spacing w:line="256" w:lineRule="auto"/>
              <w:rPr>
                <w:rFonts w:eastAsiaTheme="minorEastAsia"/>
              </w:rPr>
            </w:pPr>
            <w:r>
              <w:rPr>
                <w:lang w:eastAsia="zh-CN"/>
              </w:rPr>
              <w:t>-</w:t>
            </w:r>
          </w:p>
        </w:tc>
      </w:tr>
      <w:tr w:rsidR="00422F2B" w:rsidRPr="007763F3" w14:paraId="766CEF5B" w14:textId="77777777" w:rsidTr="002173E0">
        <w:tblPrEx>
          <w:tblLook w:val="04A0" w:firstRow="1" w:lastRow="0" w:firstColumn="1" w:lastColumn="0" w:noHBand="0" w:noVBand="1"/>
        </w:tblPrEx>
        <w:trPr>
          <w:cantSplit/>
        </w:trPr>
        <w:tc>
          <w:tcPr>
            <w:tcW w:w="1418" w:type="dxa"/>
            <w:gridSpan w:val="2"/>
            <w:tcBorders>
              <w:top w:val="single" w:sz="8" w:space="0" w:color="auto"/>
              <w:bottom w:val="single" w:sz="8" w:space="0" w:color="auto"/>
            </w:tcBorders>
          </w:tcPr>
          <w:p w14:paraId="2316B93C" w14:textId="77777777" w:rsidR="00422F2B" w:rsidRDefault="00422F2B" w:rsidP="00422F2B">
            <w:pPr>
              <w:rPr>
                <w:b/>
                <w:bCs/>
              </w:rPr>
            </w:pPr>
            <w:r>
              <w:rPr>
                <w:b/>
                <w:bCs/>
              </w:rPr>
              <w:t>Contact:</w:t>
            </w:r>
          </w:p>
        </w:tc>
        <w:tc>
          <w:tcPr>
            <w:tcW w:w="3622" w:type="dxa"/>
            <w:gridSpan w:val="3"/>
            <w:tcBorders>
              <w:top w:val="single" w:sz="8" w:space="0" w:color="auto"/>
              <w:bottom w:val="single" w:sz="8" w:space="0" w:color="auto"/>
            </w:tcBorders>
          </w:tcPr>
          <w:p w14:paraId="39CCF2F0" w14:textId="2B059036" w:rsidR="00422F2B" w:rsidRDefault="00422F2B" w:rsidP="00422F2B">
            <w:r>
              <w:rPr>
                <w:lang w:val="es-ES"/>
              </w:rPr>
              <w:t>Arnaud</w:t>
            </w:r>
            <w:r>
              <w:rPr>
                <w:lang w:val="es-ES" w:eastAsia="zh-CN"/>
              </w:rPr>
              <w:t xml:space="preserve"> </w:t>
            </w:r>
            <w:r>
              <w:rPr>
                <w:lang w:val="es-ES"/>
              </w:rPr>
              <w:t>TADDEI</w:t>
            </w:r>
            <w:r>
              <w:rPr>
                <w:lang w:val="es-ES"/>
              </w:rPr>
              <w:br/>
              <w:t>Chair, ITU-T SG17</w:t>
            </w:r>
          </w:p>
        </w:tc>
        <w:tc>
          <w:tcPr>
            <w:tcW w:w="4599" w:type="dxa"/>
            <w:gridSpan w:val="2"/>
            <w:tcBorders>
              <w:top w:val="single" w:sz="8" w:space="0" w:color="auto"/>
              <w:bottom w:val="single" w:sz="8" w:space="0" w:color="auto"/>
            </w:tcBorders>
          </w:tcPr>
          <w:p w14:paraId="0690A740" w14:textId="44B4D484" w:rsidR="00422F2B" w:rsidRPr="002173E0" w:rsidRDefault="00422F2B" w:rsidP="00422F2B">
            <w:pPr>
              <w:rPr>
                <w:lang w:val="it-IT"/>
              </w:rPr>
            </w:pPr>
            <w:r w:rsidRPr="002173E0">
              <w:rPr>
                <w:lang w:val="it-IT"/>
              </w:rPr>
              <w:t xml:space="preserve">E-mail: </w:t>
            </w:r>
            <w:hyperlink r:id="rId13" w:history="1">
              <w:r w:rsidRPr="002173E0">
                <w:rPr>
                  <w:rStyle w:val="Hyperlink"/>
                  <w:lang w:val="it-IT"/>
                </w:rPr>
                <w:t>arnaud.taddei@broadcom.com</w:t>
              </w:r>
            </w:hyperlink>
            <w:r w:rsidRPr="002173E0">
              <w:rPr>
                <w:lang w:val="it-IT"/>
              </w:rPr>
              <w:t xml:space="preserve"> </w:t>
            </w:r>
          </w:p>
        </w:tc>
      </w:tr>
      <w:tr w:rsidR="009546CF" w:rsidRPr="00DB4F92" w14:paraId="6545A913" w14:textId="77777777" w:rsidTr="002173E0">
        <w:tblPrEx>
          <w:tblLook w:val="04A0" w:firstRow="1" w:lastRow="0" w:firstColumn="1" w:lastColumn="0" w:noHBand="0" w:noVBand="1"/>
        </w:tblPrEx>
        <w:trPr>
          <w:cantSplit/>
        </w:trPr>
        <w:tc>
          <w:tcPr>
            <w:tcW w:w="1418" w:type="dxa"/>
            <w:gridSpan w:val="2"/>
            <w:tcBorders>
              <w:top w:val="single" w:sz="8" w:space="0" w:color="auto"/>
              <w:bottom w:val="single" w:sz="8" w:space="0" w:color="auto"/>
            </w:tcBorders>
          </w:tcPr>
          <w:p w14:paraId="4C275D3C" w14:textId="77777777" w:rsidR="009546CF" w:rsidRDefault="009546CF" w:rsidP="009546CF">
            <w:pPr>
              <w:rPr>
                <w:b/>
                <w:bCs/>
              </w:rPr>
            </w:pPr>
            <w:r>
              <w:rPr>
                <w:b/>
                <w:bCs/>
              </w:rPr>
              <w:t>Contact:</w:t>
            </w:r>
          </w:p>
        </w:tc>
        <w:tc>
          <w:tcPr>
            <w:tcW w:w="3622" w:type="dxa"/>
            <w:gridSpan w:val="3"/>
            <w:tcBorders>
              <w:top w:val="single" w:sz="8" w:space="0" w:color="auto"/>
              <w:bottom w:val="single" w:sz="8" w:space="0" w:color="auto"/>
            </w:tcBorders>
          </w:tcPr>
          <w:p w14:paraId="1D30A549" w14:textId="4C723BA9" w:rsidR="009546CF" w:rsidRPr="005A6F18" w:rsidRDefault="009546CF" w:rsidP="009546CF">
            <w:pPr>
              <w:rPr>
                <w:lang w:eastAsia="ko-KR"/>
              </w:rPr>
            </w:pPr>
            <w:r w:rsidRPr="00B024A8">
              <w:rPr>
                <w:lang w:eastAsia="zh-CN"/>
              </w:rPr>
              <w:t>Sungchae P</w:t>
            </w:r>
            <w:r w:rsidR="00416DDE">
              <w:rPr>
                <w:lang w:eastAsia="zh-CN"/>
              </w:rPr>
              <w:t>ARK</w:t>
            </w:r>
            <w:r w:rsidRPr="00B024A8">
              <w:rPr>
                <w:lang w:eastAsia="zh-CN"/>
              </w:rPr>
              <w:br/>
              <w:t>Soonchunhyang University</w:t>
            </w:r>
            <w:r w:rsidRPr="00B024A8">
              <w:rPr>
                <w:lang w:eastAsia="zh-CN"/>
              </w:rPr>
              <w:br/>
              <w:t>Korea (Republic of)</w:t>
            </w:r>
          </w:p>
        </w:tc>
        <w:tc>
          <w:tcPr>
            <w:tcW w:w="4599" w:type="dxa"/>
            <w:gridSpan w:val="2"/>
            <w:tcBorders>
              <w:top w:val="single" w:sz="8" w:space="0" w:color="auto"/>
              <w:bottom w:val="single" w:sz="8" w:space="0" w:color="auto"/>
            </w:tcBorders>
          </w:tcPr>
          <w:p w14:paraId="6E4196DE" w14:textId="4C04C488" w:rsidR="009546CF" w:rsidRPr="008A4EF6" w:rsidRDefault="009546CF" w:rsidP="009546CF">
            <w:pPr>
              <w:tabs>
                <w:tab w:val="left" w:pos="794"/>
              </w:tabs>
              <w:rPr>
                <w:lang w:val="fr-CH"/>
              </w:rPr>
            </w:pPr>
            <w:r w:rsidRPr="0015013B">
              <w:rPr>
                <w:lang w:val="fr-FR" w:eastAsia="zh-CN"/>
              </w:rPr>
              <w:t xml:space="preserve">Email: </w:t>
            </w:r>
            <w:hyperlink r:id="rId14" w:history="1">
              <w:r w:rsidRPr="0015013B">
                <w:rPr>
                  <w:rStyle w:val="Hyperlink"/>
                  <w:lang w:val="fr-FR" w:eastAsia="zh-CN"/>
                </w:rPr>
                <w:t>zoesc.park@sch.ac.kr</w:t>
              </w:r>
            </w:hyperlink>
            <w:r w:rsidRPr="0015013B">
              <w:rPr>
                <w:lang w:val="fr-FR" w:eastAsia="zh-CN"/>
              </w:rPr>
              <w:t xml:space="preserve">  </w:t>
            </w:r>
          </w:p>
        </w:tc>
      </w:tr>
      <w:tr w:rsidR="009546CF" w:rsidRPr="00DB4F92" w14:paraId="7751FD8A" w14:textId="77777777" w:rsidTr="002173E0">
        <w:tblPrEx>
          <w:tblLook w:val="04A0" w:firstRow="1" w:lastRow="0" w:firstColumn="1" w:lastColumn="0" w:noHBand="0" w:noVBand="1"/>
        </w:tblPrEx>
        <w:trPr>
          <w:cantSplit/>
        </w:trPr>
        <w:tc>
          <w:tcPr>
            <w:tcW w:w="1418" w:type="dxa"/>
            <w:gridSpan w:val="2"/>
            <w:tcBorders>
              <w:top w:val="single" w:sz="8" w:space="0" w:color="auto"/>
              <w:bottom w:val="single" w:sz="8" w:space="0" w:color="auto"/>
            </w:tcBorders>
          </w:tcPr>
          <w:p w14:paraId="05A12619" w14:textId="1A764F60" w:rsidR="009546CF" w:rsidRDefault="009546CF" w:rsidP="009546CF">
            <w:pPr>
              <w:rPr>
                <w:b/>
                <w:bCs/>
              </w:rPr>
            </w:pPr>
            <w:r>
              <w:rPr>
                <w:b/>
                <w:bCs/>
              </w:rPr>
              <w:t>Contact:</w:t>
            </w:r>
          </w:p>
        </w:tc>
        <w:tc>
          <w:tcPr>
            <w:tcW w:w="3622" w:type="dxa"/>
            <w:gridSpan w:val="3"/>
            <w:tcBorders>
              <w:top w:val="single" w:sz="8" w:space="0" w:color="auto"/>
              <w:bottom w:val="single" w:sz="8" w:space="0" w:color="auto"/>
            </w:tcBorders>
          </w:tcPr>
          <w:p w14:paraId="123F3E3D" w14:textId="6206D9D3" w:rsidR="009546CF" w:rsidRPr="009546CF" w:rsidRDefault="009546CF" w:rsidP="009546CF">
            <w:pPr>
              <w:rPr>
                <w:highlight w:val="yellow"/>
              </w:rPr>
            </w:pPr>
            <w:r w:rsidRPr="009769B2">
              <w:rPr>
                <w:lang w:val="it-CH"/>
              </w:rPr>
              <w:t>Chen Z</w:t>
            </w:r>
            <w:r w:rsidR="00416DDE">
              <w:rPr>
                <w:lang w:val="it-CH"/>
              </w:rPr>
              <w:t>HANG</w:t>
            </w:r>
            <w:r w:rsidRPr="009769B2">
              <w:rPr>
                <w:lang w:val="it-CH"/>
              </w:rPr>
              <w:br/>
              <w:t>China Mobile</w:t>
            </w:r>
            <w:r w:rsidRPr="009769B2">
              <w:rPr>
                <w:lang w:val="it-CH"/>
              </w:rPr>
              <w:br/>
              <w:t>China</w:t>
            </w:r>
          </w:p>
        </w:tc>
        <w:tc>
          <w:tcPr>
            <w:tcW w:w="4599" w:type="dxa"/>
            <w:gridSpan w:val="2"/>
            <w:tcBorders>
              <w:top w:val="single" w:sz="8" w:space="0" w:color="auto"/>
              <w:bottom w:val="single" w:sz="8" w:space="0" w:color="auto"/>
            </w:tcBorders>
          </w:tcPr>
          <w:p w14:paraId="1F4363A2" w14:textId="56EF0374" w:rsidR="009546CF" w:rsidRDefault="009546CF" w:rsidP="009546CF">
            <w:pPr>
              <w:tabs>
                <w:tab w:val="left" w:pos="794"/>
              </w:tabs>
              <w:rPr>
                <w:lang w:val="fr-CH"/>
              </w:rPr>
            </w:pPr>
            <w:r w:rsidRPr="0015013B">
              <w:rPr>
                <w:lang w:val="fr-FR" w:eastAsia="zh-CN"/>
              </w:rPr>
              <w:t xml:space="preserve">Email: </w:t>
            </w:r>
            <w:hyperlink r:id="rId15" w:history="1">
              <w:r w:rsidRPr="0015013B">
                <w:rPr>
                  <w:rStyle w:val="Hyperlink"/>
                  <w:lang w:val="fr-FR" w:eastAsia="zh-CN"/>
                </w:rPr>
                <w:t>zhangchen@cmdi.chinamobile.com</w:t>
              </w:r>
            </w:hyperlink>
            <w:r w:rsidRPr="0015013B">
              <w:rPr>
                <w:lang w:val="fr-FR" w:eastAsia="zh-CN"/>
              </w:rPr>
              <w:t xml:space="preserve"> </w:t>
            </w:r>
          </w:p>
        </w:tc>
      </w:tr>
    </w:tbl>
    <w:p w14:paraId="3C74236E" w14:textId="77777777" w:rsidR="00763737" w:rsidRDefault="00763737">
      <w:pPr>
        <w:rPr>
          <w:lang w:val="it-CH"/>
        </w:rPr>
      </w:pPr>
      <w:bookmarkStart w:id="10" w:name="_Hlk98768222"/>
      <w:bookmarkEnd w:id="8"/>
      <w:bookmarkEnd w:id="9"/>
    </w:p>
    <w:tbl>
      <w:tblPr>
        <w:tblW w:w="9639" w:type="dxa"/>
        <w:tblLayout w:type="fixed"/>
        <w:tblCellMar>
          <w:left w:w="57" w:type="dxa"/>
          <w:right w:w="57" w:type="dxa"/>
        </w:tblCellMar>
        <w:tblLook w:val="04A0" w:firstRow="1" w:lastRow="0" w:firstColumn="1" w:lastColumn="0" w:noHBand="0" w:noVBand="1"/>
      </w:tblPr>
      <w:tblGrid>
        <w:gridCol w:w="1588"/>
        <w:gridCol w:w="8051"/>
      </w:tblGrid>
      <w:tr w:rsidR="00763737" w:rsidRPr="00910AFE" w14:paraId="331901F2" w14:textId="77777777">
        <w:trPr>
          <w:cantSplit/>
        </w:trPr>
        <w:tc>
          <w:tcPr>
            <w:tcW w:w="1588" w:type="dxa"/>
          </w:tcPr>
          <w:p w14:paraId="4E801185" w14:textId="77777777" w:rsidR="00763737" w:rsidRDefault="008A4EF6">
            <w:pPr>
              <w:rPr>
                <w:b/>
                <w:bCs/>
              </w:rPr>
            </w:pPr>
            <w:r>
              <w:rPr>
                <w:b/>
                <w:bCs/>
              </w:rPr>
              <w:t>Abstract:</w:t>
            </w:r>
          </w:p>
        </w:tc>
        <w:tc>
          <w:tcPr>
            <w:tcW w:w="8051" w:type="dxa"/>
          </w:tcPr>
          <w:p w14:paraId="222CFE00" w14:textId="377A2BBF" w:rsidR="00763737" w:rsidRPr="005D3CC4" w:rsidRDefault="005D3CC4" w:rsidP="002A2278">
            <w:pPr>
              <w:rPr>
                <w:rFonts w:eastAsia="SimSun"/>
              </w:rPr>
            </w:pPr>
            <w:r w:rsidRPr="005D3CC4">
              <w:rPr>
                <w:rFonts w:eastAsia="SimSun"/>
              </w:rPr>
              <w:t>This liaison statement provides ITU-T SG17’s response to TSAG-LS5 and TSAG-LS14 regarding the request for input and support on identifying potential metrics, a suitable framework, and relevant standards for developing ITU-T standards success stories.</w:t>
            </w:r>
          </w:p>
        </w:tc>
      </w:tr>
    </w:tbl>
    <w:p w14:paraId="4E0E17E4" w14:textId="2CF31C0A" w:rsidR="006C45BD" w:rsidRDefault="00A90DF6" w:rsidP="002173E0">
      <w:pPr>
        <w:pStyle w:val="BodyText"/>
        <w:jc w:val="both"/>
      </w:pPr>
      <w:bookmarkStart w:id="11" w:name="_Hlk103679608"/>
      <w:bookmarkEnd w:id="10"/>
      <w:r w:rsidRPr="00A90DF6">
        <w:t>ITU-T Study Group 17 (SG17) is pleased to inform you that</w:t>
      </w:r>
      <w:r>
        <w:t xml:space="preserve"> </w:t>
      </w:r>
      <w:r w:rsidR="00A1760D">
        <w:t>we</w:t>
      </w:r>
      <w:r w:rsidR="00394179" w:rsidRPr="00394179">
        <w:t xml:space="preserve"> reviewed the liaison statements</w:t>
      </w:r>
      <w:r w:rsidR="000C2552">
        <w:t xml:space="preserve"> </w:t>
      </w:r>
      <w:hyperlink r:id="rId16" w:history="1">
        <w:r w:rsidR="000C2552" w:rsidRPr="00D31C10">
          <w:rPr>
            <w:rStyle w:val="Hyperlink"/>
            <w:rFonts w:eastAsia="SimSun"/>
          </w:rPr>
          <w:t>TSAG-LS5</w:t>
        </w:r>
      </w:hyperlink>
      <w:r w:rsidR="00D31C10">
        <w:rPr>
          <w:rFonts w:eastAsia="SimSun"/>
        </w:rPr>
        <w:t xml:space="preserve"> </w:t>
      </w:r>
      <w:r w:rsidR="000C2552">
        <w:rPr>
          <w:rFonts w:eastAsia="SimSun"/>
        </w:rPr>
        <w:t>(</w:t>
      </w:r>
      <w:hyperlink r:id="rId17" w:history="1">
        <w:r w:rsidR="000C2552" w:rsidRPr="00BC5AE9">
          <w:rPr>
            <w:rStyle w:val="Hyperlink"/>
            <w:rFonts w:eastAsia="SimSun"/>
          </w:rPr>
          <w:t>SG17-TD113/GEN</w:t>
        </w:r>
      </w:hyperlink>
      <w:r w:rsidR="000C2552">
        <w:rPr>
          <w:rFonts w:eastAsia="SimSun"/>
        </w:rPr>
        <w:t>)</w:t>
      </w:r>
      <w:r w:rsidR="000C2552" w:rsidRPr="005D3CC4">
        <w:rPr>
          <w:rFonts w:eastAsia="SimSun"/>
        </w:rPr>
        <w:t xml:space="preserve"> and </w:t>
      </w:r>
      <w:hyperlink r:id="rId18" w:history="1">
        <w:r w:rsidR="000C2552" w:rsidRPr="00CE1E54">
          <w:rPr>
            <w:rStyle w:val="Hyperlink"/>
            <w:rFonts w:eastAsia="SimSun"/>
          </w:rPr>
          <w:t>TSAG-LS14</w:t>
        </w:r>
      </w:hyperlink>
      <w:r w:rsidR="00D31C10">
        <w:rPr>
          <w:rFonts w:eastAsia="SimSun"/>
        </w:rPr>
        <w:t xml:space="preserve"> </w:t>
      </w:r>
      <w:r w:rsidR="000C2552">
        <w:rPr>
          <w:rFonts w:eastAsia="SimSun"/>
        </w:rPr>
        <w:t>(</w:t>
      </w:r>
      <w:hyperlink r:id="rId19" w:history="1">
        <w:r w:rsidR="000C2552" w:rsidRPr="00BC5AE9">
          <w:rPr>
            <w:rStyle w:val="Hyperlink"/>
            <w:rFonts w:eastAsia="SimSun"/>
          </w:rPr>
          <w:t>SG17-TD181/GEN</w:t>
        </w:r>
      </w:hyperlink>
      <w:r w:rsidR="000C2552">
        <w:rPr>
          <w:rFonts w:eastAsia="SimSun"/>
        </w:rPr>
        <w:t>)</w:t>
      </w:r>
      <w:r w:rsidR="00394179" w:rsidRPr="00394179">
        <w:t xml:space="preserve"> during </w:t>
      </w:r>
      <w:r w:rsidR="00A1760D">
        <w:t>our</w:t>
      </w:r>
      <w:r w:rsidR="00394179" w:rsidRPr="00394179">
        <w:t xml:space="preserve"> December 2025 meeting</w:t>
      </w:r>
      <w:r w:rsidR="00CF4D5B">
        <w:t xml:space="preserve">. </w:t>
      </w:r>
    </w:p>
    <w:p w14:paraId="295DF391" w14:textId="2FBE86E7" w:rsidR="00CF4D5B" w:rsidRDefault="000736A8" w:rsidP="002173E0">
      <w:pPr>
        <w:pStyle w:val="BodyText"/>
        <w:jc w:val="both"/>
      </w:pPr>
      <w:r>
        <w:t xml:space="preserve">Find </w:t>
      </w:r>
      <w:r w:rsidR="009C770B">
        <w:t xml:space="preserve">below the input from </w:t>
      </w:r>
      <w:r w:rsidR="007851B8">
        <w:t>ITU-T SG17 in response to your requests:</w:t>
      </w:r>
    </w:p>
    <w:p w14:paraId="0028D9C2" w14:textId="77777777" w:rsidR="00FE7660" w:rsidRPr="00F70325" w:rsidRDefault="00FE7660" w:rsidP="00A1760D">
      <w:pPr>
        <w:pStyle w:val="ListParagraph"/>
        <w:numPr>
          <w:ilvl w:val="0"/>
          <w:numId w:val="19"/>
        </w:numPr>
        <w:spacing w:after="120"/>
        <w:ind w:hanging="720"/>
        <w:contextualSpacing w:val="0"/>
        <w:jc w:val="both"/>
        <w:rPr>
          <w:rFonts w:asciiTheme="majorBidi" w:hAnsiTheme="majorBidi"/>
          <w:i/>
          <w:iCs/>
          <w:lang w:val="en-US"/>
        </w:rPr>
      </w:pPr>
      <w:r w:rsidRPr="00F70325">
        <w:rPr>
          <w:rFonts w:asciiTheme="majorBidi" w:hAnsiTheme="majorBidi"/>
          <w:i/>
          <w:iCs/>
          <w:lang w:val="en-US"/>
        </w:rPr>
        <w:t>Propose common framework/ structure that may be used for the development of ITU-T Standards Success Stories taking into account the unique value proposition offered by each study group</w:t>
      </w:r>
    </w:p>
    <w:p w14:paraId="1D720D28" w14:textId="2C0C471D" w:rsidR="00FE7660" w:rsidRDefault="00FE7660" w:rsidP="002173E0">
      <w:pPr>
        <w:pStyle w:val="ListParagraph"/>
        <w:spacing w:after="60"/>
        <w:jc w:val="both"/>
        <w:rPr>
          <w:rFonts w:asciiTheme="majorBidi" w:hAnsiTheme="majorBidi"/>
          <w:lang w:val="en-US"/>
        </w:rPr>
      </w:pPr>
      <w:r>
        <w:rPr>
          <w:rFonts w:asciiTheme="majorBidi" w:hAnsiTheme="majorBidi"/>
          <w:lang w:val="en-US"/>
        </w:rPr>
        <w:t xml:space="preserve">- </w:t>
      </w:r>
      <w:r w:rsidR="00ED65D2">
        <w:t xml:space="preserve">SG17 provides the Technical Report </w:t>
      </w:r>
      <w:hyperlink r:id="rId20" w:history="1">
        <w:r w:rsidR="00ED65D2" w:rsidRPr="00EA762E">
          <w:rPr>
            <w:rStyle w:val="Hyperlink"/>
          </w:rPr>
          <w:t>XSTR-SUSS (Successful use of security standards, 2nd edition)</w:t>
        </w:r>
      </w:hyperlink>
      <w:r w:rsidR="00ED65D2">
        <w:t xml:space="preserve"> for your consideration.</w:t>
      </w:r>
      <w:r w:rsidR="009C37E4">
        <w:t xml:space="preserve"> </w:t>
      </w:r>
      <w:r w:rsidR="009C37E4" w:rsidRPr="009C37E4">
        <w:t xml:space="preserve">This Technical Report on successful use of security standards presents examples of how ITU-T Recommendations are used today in the </w:t>
      </w:r>
      <w:r w:rsidR="00A1760D" w:rsidRPr="009C37E4">
        <w:t>marketplace</w:t>
      </w:r>
      <w:r w:rsidR="009C37E4" w:rsidRPr="009C37E4">
        <w:t xml:space="preserve"> to help protect networks, people, data and critical infrastructure. It is intended to help users, especially those from developing countries, to gain a better understanding of the value of using security-related ITU-T Recommendations in a variety of contexts (e.g., business, commerce, government, industry).</w:t>
      </w:r>
    </w:p>
    <w:p w14:paraId="3A36AA3D" w14:textId="77777777" w:rsidR="00FE7660" w:rsidRPr="00F70325" w:rsidRDefault="00FE7660" w:rsidP="00A1760D">
      <w:pPr>
        <w:pStyle w:val="ListParagraph"/>
        <w:numPr>
          <w:ilvl w:val="0"/>
          <w:numId w:val="19"/>
        </w:numPr>
        <w:spacing w:after="120"/>
        <w:ind w:hanging="720"/>
        <w:contextualSpacing w:val="0"/>
        <w:jc w:val="both"/>
        <w:rPr>
          <w:rFonts w:asciiTheme="majorBidi" w:hAnsiTheme="majorBidi"/>
          <w:i/>
          <w:iCs/>
          <w:lang w:val="en-US"/>
        </w:rPr>
      </w:pPr>
      <w:r w:rsidRPr="00F70325">
        <w:rPr>
          <w:rFonts w:asciiTheme="majorBidi" w:hAnsiTheme="majorBidi"/>
          <w:i/>
          <w:iCs/>
          <w:lang w:val="en-US"/>
        </w:rPr>
        <w:lastRenderedPageBreak/>
        <w:t>Identify key metrics that should be included in an ITU-T standards success story (e.g. references to ICT products, Government regulations/ policies, testimonials etc)</w:t>
      </w:r>
    </w:p>
    <w:p w14:paraId="31E0F053" w14:textId="60E7C005" w:rsidR="00FE7660" w:rsidRDefault="00FE7660" w:rsidP="002173E0">
      <w:pPr>
        <w:pStyle w:val="ListParagraph"/>
        <w:spacing w:after="60"/>
        <w:jc w:val="both"/>
        <w:rPr>
          <w:rFonts w:asciiTheme="majorBidi" w:hAnsiTheme="majorBidi"/>
          <w:lang w:val="en-US"/>
        </w:rPr>
      </w:pPr>
      <w:r w:rsidRPr="00965FA0">
        <w:rPr>
          <w:rFonts w:asciiTheme="majorBidi" w:hAnsiTheme="majorBidi"/>
          <w:lang w:val="en-US"/>
        </w:rPr>
        <w:t xml:space="preserve">- </w:t>
      </w:r>
      <w:r w:rsidR="00965FA0" w:rsidRPr="00965FA0">
        <w:rPr>
          <w:rFonts w:eastAsia="SimSun"/>
        </w:rPr>
        <w:t>SG17</w:t>
      </w:r>
      <w:r w:rsidR="00965FA0">
        <w:rPr>
          <w:rFonts w:eastAsia="SimSun"/>
        </w:rPr>
        <w:t xml:space="preserve"> </w:t>
      </w:r>
      <w:r w:rsidR="008F4E80">
        <w:rPr>
          <w:rFonts w:eastAsia="SimSun"/>
        </w:rPr>
        <w:t>may provide more feedback on the key metrics at a later stage</w:t>
      </w:r>
      <w:r w:rsidR="0095547B">
        <w:rPr>
          <w:rFonts w:eastAsia="SimSun"/>
        </w:rPr>
        <w:t xml:space="preserve"> as this is part of its strategic </w:t>
      </w:r>
      <w:r w:rsidR="008C7A86">
        <w:rPr>
          <w:rFonts w:eastAsia="SimSun"/>
        </w:rPr>
        <w:t xml:space="preserve">modernisation </w:t>
      </w:r>
      <w:r w:rsidR="0095547B">
        <w:rPr>
          <w:rFonts w:eastAsia="SimSun"/>
        </w:rPr>
        <w:t>realignment</w:t>
      </w:r>
      <w:r w:rsidR="008C7A86">
        <w:rPr>
          <w:rFonts w:eastAsia="SimSun"/>
        </w:rPr>
        <w:t>.</w:t>
      </w:r>
    </w:p>
    <w:p w14:paraId="5E2DB9EE" w14:textId="77777777" w:rsidR="00FE7660" w:rsidRPr="00F70325" w:rsidRDefault="00FE7660" w:rsidP="00A1760D">
      <w:pPr>
        <w:pStyle w:val="ListParagraph"/>
        <w:numPr>
          <w:ilvl w:val="0"/>
          <w:numId w:val="19"/>
        </w:numPr>
        <w:spacing w:after="120"/>
        <w:ind w:hanging="720"/>
        <w:contextualSpacing w:val="0"/>
        <w:jc w:val="both"/>
        <w:rPr>
          <w:rFonts w:asciiTheme="majorBidi" w:hAnsiTheme="majorBidi"/>
          <w:i/>
          <w:iCs/>
          <w:lang w:val="en-US"/>
        </w:rPr>
      </w:pPr>
      <w:r w:rsidRPr="00F70325">
        <w:rPr>
          <w:rFonts w:asciiTheme="majorBidi" w:hAnsiTheme="majorBidi"/>
          <w:i/>
          <w:iCs/>
          <w:lang w:val="en-US"/>
        </w:rPr>
        <w:t>Identify any relevant standards, published by the study group (preferably within the last two study periods) that may be appropriate for inclusion into an ITU-T standards success story</w:t>
      </w:r>
    </w:p>
    <w:p w14:paraId="162E1A4B" w14:textId="4C589B91" w:rsidR="000A7C06" w:rsidRDefault="00FE7660" w:rsidP="002173E0">
      <w:pPr>
        <w:pStyle w:val="ListParagraph"/>
        <w:spacing w:after="60"/>
        <w:jc w:val="both"/>
        <w:rPr>
          <w:rFonts w:eastAsia="SimSun"/>
        </w:rPr>
      </w:pPr>
      <w:r>
        <w:rPr>
          <w:rFonts w:asciiTheme="majorBidi" w:hAnsiTheme="majorBidi"/>
          <w:lang w:val="en-US"/>
        </w:rPr>
        <w:t xml:space="preserve">- </w:t>
      </w:r>
      <w:r w:rsidR="00A1760D">
        <w:rPr>
          <w:rFonts w:asciiTheme="majorBidi" w:hAnsiTheme="majorBidi"/>
          <w:lang w:val="en-US"/>
        </w:rPr>
        <w:t>Three Recommendations developed by SG17, ITU-T X.1236 “</w:t>
      </w:r>
      <w:r w:rsidR="00A1760D" w:rsidRPr="004474C8">
        <w:t>Security requirements and countermeasures for targeted email attacks</w:t>
      </w:r>
      <w:r w:rsidR="00A1760D">
        <w:t xml:space="preserve">”, </w:t>
      </w:r>
      <w:r w:rsidR="00A1760D">
        <w:rPr>
          <w:rFonts w:asciiTheme="majorBidi" w:hAnsiTheme="majorBidi"/>
          <w:lang w:val="en-US"/>
        </w:rPr>
        <w:t>X.1281</w:t>
      </w:r>
      <w:r w:rsidR="008F582E">
        <w:t xml:space="preserve"> </w:t>
      </w:r>
      <w:r w:rsidR="00A1760D">
        <w:t>“</w:t>
      </w:r>
      <w:r w:rsidR="00A1760D" w:rsidRPr="000E1F79">
        <w:rPr>
          <w:sz w:val="22"/>
          <w:szCs w:val="22"/>
        </w:rPr>
        <w:t>APIs for interoperability of identity management systems </w:t>
      </w:r>
      <w:r w:rsidR="00A1760D">
        <w:t>”, X.1285 “</w:t>
      </w:r>
      <w:r w:rsidR="00A1760D" w:rsidRPr="00A1760D">
        <w:t>OpenID Connect Core 1.0</w:t>
      </w:r>
      <w:r w:rsidR="00A1760D">
        <w:t xml:space="preserve">”, </w:t>
      </w:r>
      <w:r w:rsidR="008F582E">
        <w:t xml:space="preserve">are provided in </w:t>
      </w:r>
      <w:r w:rsidR="008F582E" w:rsidRPr="00856AD7">
        <w:rPr>
          <w:u w:val="single"/>
        </w:rPr>
        <w:t>Annex A</w:t>
      </w:r>
      <w:r w:rsidR="002103F6">
        <w:rPr>
          <w:rFonts w:asciiTheme="majorBidi" w:hAnsiTheme="majorBidi"/>
          <w:lang w:val="en-US"/>
        </w:rPr>
        <w:t xml:space="preserve">, </w:t>
      </w:r>
      <w:r w:rsidR="0066494C">
        <w:t xml:space="preserve">in accordance with the template proposed in </w:t>
      </w:r>
      <w:hyperlink r:id="rId21" w:history="1">
        <w:r w:rsidR="0066494C" w:rsidRPr="00CE1E54">
          <w:rPr>
            <w:rStyle w:val="Hyperlink"/>
            <w:rFonts w:eastAsia="SimSun"/>
          </w:rPr>
          <w:t>TSAG-LS14</w:t>
        </w:r>
      </w:hyperlink>
      <w:r w:rsidR="0066494C">
        <w:rPr>
          <w:rFonts w:eastAsia="SimSun"/>
        </w:rPr>
        <w:t>.</w:t>
      </w:r>
    </w:p>
    <w:p w14:paraId="0381A13B" w14:textId="00E0D710" w:rsidR="00825762" w:rsidRPr="00482119" w:rsidRDefault="00825762" w:rsidP="00482119">
      <w:r w:rsidRPr="00482119">
        <w:t>SG17 will investigate the possibility to provide more examples in the future.</w:t>
      </w:r>
    </w:p>
    <w:p w14:paraId="0AA380E7" w14:textId="77777777" w:rsidR="00241443" w:rsidRPr="00482119" w:rsidRDefault="00241443" w:rsidP="00482119">
      <w:pPr>
        <w:spacing w:after="60"/>
        <w:jc w:val="both"/>
        <w:rPr>
          <w:rFonts w:eastAsia="SimSun"/>
        </w:rPr>
      </w:pPr>
    </w:p>
    <w:p w14:paraId="4201D622" w14:textId="77777777" w:rsidR="00482119" w:rsidRDefault="00241443">
      <w:pPr>
        <w:spacing w:before="0"/>
        <w:rPr>
          <w:b/>
          <w:bCs/>
          <w:sz w:val="32"/>
          <w:szCs w:val="32"/>
          <w:u w:val="single"/>
        </w:rPr>
        <w:sectPr w:rsidR="00482119" w:rsidSect="007763F3">
          <w:headerReference w:type="default" r:id="rId22"/>
          <w:pgSz w:w="11907" w:h="16840"/>
          <w:pgMar w:top="1134" w:right="1134" w:bottom="1134" w:left="1134" w:header="720" w:footer="720" w:gutter="0"/>
          <w:cols w:space="720"/>
          <w:titlePg/>
          <w:docGrid w:linePitch="360"/>
        </w:sectPr>
      </w:pPr>
      <w:r>
        <w:rPr>
          <w:b/>
          <w:bCs/>
          <w:sz w:val="32"/>
          <w:szCs w:val="32"/>
          <w:u w:val="single"/>
        </w:rPr>
        <w:br w:type="page"/>
      </w:r>
    </w:p>
    <w:p w14:paraId="6A6C6063" w14:textId="1F293858" w:rsidR="004474C8" w:rsidRDefault="004474C8" w:rsidP="004474C8">
      <w:pPr>
        <w:jc w:val="center"/>
        <w:rPr>
          <w:b/>
          <w:bCs/>
          <w:sz w:val="32"/>
          <w:szCs w:val="32"/>
          <w:u w:val="single"/>
        </w:rPr>
      </w:pPr>
      <w:r w:rsidRPr="00530869">
        <w:rPr>
          <w:b/>
          <w:bCs/>
          <w:sz w:val="32"/>
          <w:szCs w:val="32"/>
          <w:u w:val="single"/>
        </w:rPr>
        <w:lastRenderedPageBreak/>
        <w:t>Annex A</w:t>
      </w:r>
    </w:p>
    <w:p w14:paraId="3058A074" w14:textId="77777777" w:rsidR="0087281D" w:rsidRPr="0087281D" w:rsidRDefault="0087281D" w:rsidP="0087281D">
      <w:pPr>
        <w:pStyle w:val="BodyText"/>
      </w:pPr>
    </w:p>
    <w:p w14:paraId="18EBD47F" w14:textId="61EE6810" w:rsidR="004474C8" w:rsidRPr="00075B4C" w:rsidRDefault="00075B4C" w:rsidP="00E87CDB">
      <w:pPr>
        <w:pStyle w:val="Heading1"/>
        <w:keepLines w:val="0"/>
        <w:numPr>
          <w:ilvl w:val="0"/>
          <w:numId w:val="20"/>
        </w:numPr>
        <w:tabs>
          <w:tab w:val="clear" w:pos="432"/>
          <w:tab w:val="clear" w:pos="794"/>
          <w:tab w:val="clear" w:pos="1191"/>
          <w:tab w:val="clear" w:pos="1588"/>
          <w:tab w:val="clear" w:pos="1985"/>
          <w:tab w:val="left" w:pos="720"/>
        </w:tabs>
        <w:overflowPunct/>
        <w:autoSpaceDE/>
        <w:autoSpaceDN/>
        <w:adjustRightInd/>
        <w:spacing w:before="240" w:after="60"/>
        <w:ind w:left="720" w:hanging="360"/>
        <w:textAlignment w:val="auto"/>
        <w:rPr>
          <w:sz w:val="22"/>
          <w:szCs w:val="22"/>
        </w:rPr>
      </w:pPr>
      <w:r>
        <w:rPr>
          <w:lang w:val="en-US" w:eastAsia="zh-CN"/>
        </w:rPr>
        <w:t>ITU</w:t>
      </w:r>
      <w:r w:rsidRPr="005A284B">
        <w:rPr>
          <w:lang w:val="en-US" w:eastAsia="zh-CN"/>
        </w:rPr>
        <w:t>-T X.1236</w:t>
      </w:r>
      <w:r w:rsidR="00D97FA3" w:rsidRPr="005A284B">
        <w:rPr>
          <w:lang w:val="en-US" w:eastAsia="zh-CN"/>
        </w:rPr>
        <w:t xml:space="preserve"> (</w:t>
      </w:r>
      <w:r w:rsidR="002F407B" w:rsidRPr="005A284B">
        <w:rPr>
          <w:lang w:val="en-US" w:eastAsia="zh-CN"/>
        </w:rPr>
        <w:t>Q</w:t>
      </w:r>
      <w:r w:rsidR="005A284B" w:rsidRPr="005A284B">
        <w:rPr>
          <w:lang w:val="en-US" w:eastAsia="zh-CN"/>
        </w:rPr>
        <w:t>4</w:t>
      </w:r>
      <w:r w:rsidR="002F407B" w:rsidRPr="005A284B">
        <w:rPr>
          <w:lang w:val="en-US" w:eastAsia="zh-CN"/>
        </w:rPr>
        <w:t>/17)</w:t>
      </w:r>
    </w:p>
    <w:tbl>
      <w:tblPr>
        <w:tblStyle w:val="TableGrid"/>
        <w:tblW w:w="5000" w:type="pct"/>
        <w:tblLook w:val="04A0" w:firstRow="1" w:lastRow="0" w:firstColumn="1" w:lastColumn="0" w:noHBand="0" w:noVBand="1"/>
      </w:tblPr>
      <w:tblGrid>
        <w:gridCol w:w="4078"/>
        <w:gridCol w:w="4942"/>
        <w:gridCol w:w="5542"/>
      </w:tblGrid>
      <w:tr w:rsidR="004474C8" w:rsidRPr="004474C8" w14:paraId="736BC50F" w14:textId="77777777" w:rsidTr="00482119">
        <w:trPr>
          <w:trHeight w:val="416"/>
        </w:trPr>
        <w:tc>
          <w:tcPr>
            <w:tcW w:w="5000" w:type="pct"/>
            <w:gridSpan w:val="3"/>
            <w:shd w:val="clear" w:color="auto" w:fill="D9D9D9" w:themeFill="background1" w:themeFillShade="D9"/>
            <w:vAlign w:val="center"/>
          </w:tcPr>
          <w:p w14:paraId="73252790" w14:textId="77777777" w:rsidR="004474C8" w:rsidRPr="004474C8" w:rsidRDefault="004474C8" w:rsidP="004474C8">
            <w:r w:rsidRPr="004474C8">
              <w:rPr>
                <w:b/>
                <w:bCs/>
                <w:u w:val="single"/>
              </w:rPr>
              <w:t>ITU-T RECOMMENDATION OVERVIEW</w:t>
            </w:r>
          </w:p>
        </w:tc>
      </w:tr>
      <w:tr w:rsidR="004474C8" w:rsidRPr="004474C8" w14:paraId="310B91F2" w14:textId="77777777" w:rsidTr="00482119">
        <w:trPr>
          <w:trHeight w:val="416"/>
        </w:trPr>
        <w:tc>
          <w:tcPr>
            <w:tcW w:w="1400" w:type="pct"/>
            <w:vAlign w:val="center"/>
          </w:tcPr>
          <w:p w14:paraId="0873B322" w14:textId="77777777" w:rsidR="004474C8" w:rsidRPr="004474C8" w:rsidRDefault="004474C8" w:rsidP="004474C8">
            <w:r w:rsidRPr="004474C8">
              <w:t>ITU-T Recommendation:</w:t>
            </w:r>
          </w:p>
        </w:tc>
        <w:tc>
          <w:tcPr>
            <w:tcW w:w="3600" w:type="pct"/>
            <w:gridSpan w:val="2"/>
            <w:vAlign w:val="center"/>
          </w:tcPr>
          <w:p w14:paraId="59ABDB5E" w14:textId="70F2C99F" w:rsidR="004474C8" w:rsidRPr="004474C8" w:rsidRDefault="004474C8" w:rsidP="004474C8">
            <w:r w:rsidRPr="004474C8">
              <w:t>X.1236</w:t>
            </w:r>
          </w:p>
        </w:tc>
      </w:tr>
      <w:tr w:rsidR="004474C8" w:rsidRPr="004474C8" w14:paraId="0F8EA1D8" w14:textId="77777777" w:rsidTr="00482119">
        <w:trPr>
          <w:trHeight w:val="416"/>
        </w:trPr>
        <w:tc>
          <w:tcPr>
            <w:tcW w:w="1400" w:type="pct"/>
            <w:vAlign w:val="center"/>
          </w:tcPr>
          <w:p w14:paraId="23EAC0DD" w14:textId="77777777" w:rsidR="004474C8" w:rsidRPr="004474C8" w:rsidRDefault="004474C8" w:rsidP="004474C8">
            <w:r w:rsidRPr="004474C8">
              <w:t>Title:</w:t>
            </w:r>
          </w:p>
        </w:tc>
        <w:tc>
          <w:tcPr>
            <w:tcW w:w="3600" w:type="pct"/>
            <w:gridSpan w:val="2"/>
            <w:vAlign w:val="center"/>
          </w:tcPr>
          <w:p w14:paraId="7FF5B0DA" w14:textId="68C584A4" w:rsidR="004474C8" w:rsidRPr="004474C8" w:rsidRDefault="004474C8" w:rsidP="004474C8">
            <w:r w:rsidRPr="004474C8">
              <w:t xml:space="preserve">Security requirements and countermeasures for targeted email attacks </w:t>
            </w:r>
          </w:p>
        </w:tc>
      </w:tr>
      <w:tr w:rsidR="004474C8" w:rsidRPr="004474C8" w14:paraId="74594FEB" w14:textId="77777777" w:rsidTr="00482119">
        <w:trPr>
          <w:trHeight w:val="416"/>
        </w:trPr>
        <w:tc>
          <w:tcPr>
            <w:tcW w:w="1400" w:type="pct"/>
            <w:vAlign w:val="center"/>
          </w:tcPr>
          <w:p w14:paraId="6DE39EAD" w14:textId="77777777" w:rsidR="004474C8" w:rsidRPr="004474C8" w:rsidRDefault="004474C8" w:rsidP="004474C8">
            <w:r w:rsidRPr="004474C8">
              <w:t>Effective period:</w:t>
            </w:r>
          </w:p>
        </w:tc>
        <w:tc>
          <w:tcPr>
            <w:tcW w:w="3600" w:type="pct"/>
            <w:gridSpan w:val="2"/>
            <w:vAlign w:val="center"/>
          </w:tcPr>
          <w:p w14:paraId="504B506D" w14:textId="2CB1FD32" w:rsidR="004474C8" w:rsidRPr="004474C8" w:rsidRDefault="004474C8" w:rsidP="004474C8">
            <w:r w:rsidRPr="004474C8">
              <w:t>11/2023 - Present</w:t>
            </w:r>
          </w:p>
        </w:tc>
      </w:tr>
      <w:tr w:rsidR="004474C8" w:rsidRPr="004474C8" w14:paraId="3465A523" w14:textId="77777777" w:rsidTr="00482119">
        <w:trPr>
          <w:trHeight w:val="708"/>
        </w:trPr>
        <w:tc>
          <w:tcPr>
            <w:tcW w:w="1400" w:type="pct"/>
            <w:vAlign w:val="center"/>
          </w:tcPr>
          <w:p w14:paraId="215BE0E9" w14:textId="77777777" w:rsidR="004474C8" w:rsidRPr="004474C8" w:rsidRDefault="004474C8" w:rsidP="004474C8">
            <w:r w:rsidRPr="004474C8">
              <w:t xml:space="preserve">Summary: </w:t>
            </w:r>
          </w:p>
        </w:tc>
        <w:tc>
          <w:tcPr>
            <w:tcW w:w="3600" w:type="pct"/>
            <w:gridSpan w:val="2"/>
            <w:vAlign w:val="center"/>
          </w:tcPr>
          <w:p w14:paraId="5CD00BE8" w14:textId="37ACD314" w:rsidR="004474C8" w:rsidRPr="004474C8" w:rsidRDefault="004474C8" w:rsidP="004474C8">
            <w:r w:rsidRPr="004474C8">
              <w:t>Brief overview of the ITU-T Recommendation</w:t>
            </w:r>
          </w:p>
        </w:tc>
      </w:tr>
      <w:tr w:rsidR="004474C8" w:rsidRPr="004474C8" w14:paraId="6B2C0F83" w14:textId="77777777" w:rsidTr="00482119">
        <w:trPr>
          <w:trHeight w:val="413"/>
        </w:trPr>
        <w:tc>
          <w:tcPr>
            <w:tcW w:w="5000" w:type="pct"/>
            <w:gridSpan w:val="3"/>
            <w:shd w:val="clear" w:color="auto" w:fill="D9D9D9" w:themeFill="background1" w:themeFillShade="D9"/>
            <w:vAlign w:val="center"/>
          </w:tcPr>
          <w:p w14:paraId="3A7D1219" w14:textId="77777777" w:rsidR="004474C8" w:rsidRPr="004474C8" w:rsidRDefault="004474C8" w:rsidP="004474C8">
            <w:r w:rsidRPr="004474C8">
              <w:rPr>
                <w:b/>
                <w:bCs/>
                <w:u w:val="single"/>
              </w:rPr>
              <w:t>SUCCESS STORY</w:t>
            </w:r>
          </w:p>
        </w:tc>
      </w:tr>
      <w:tr w:rsidR="004474C8" w:rsidRPr="004474C8" w14:paraId="6B1C38FF" w14:textId="77777777" w:rsidTr="00482119">
        <w:trPr>
          <w:trHeight w:val="1246"/>
        </w:trPr>
        <w:tc>
          <w:tcPr>
            <w:tcW w:w="1400" w:type="pct"/>
            <w:vAlign w:val="center"/>
          </w:tcPr>
          <w:p w14:paraId="145C0AE8" w14:textId="77777777" w:rsidR="004474C8" w:rsidRPr="004474C8" w:rsidRDefault="004474C8" w:rsidP="004474C8">
            <w:r w:rsidRPr="004474C8">
              <w:t>Implementation type:</w:t>
            </w:r>
          </w:p>
          <w:p w14:paraId="2A1B1291" w14:textId="77777777" w:rsidR="004474C8" w:rsidRPr="004474C8" w:rsidRDefault="004474C8" w:rsidP="004474C8">
            <w:r w:rsidRPr="004474C8">
              <w:rPr>
                <w:i/>
                <w:iCs/>
              </w:rPr>
              <w:t>(Select all that apply and provide information below)</w:t>
            </w:r>
          </w:p>
        </w:tc>
        <w:tc>
          <w:tcPr>
            <w:tcW w:w="3600" w:type="pct"/>
            <w:gridSpan w:val="2"/>
          </w:tcPr>
          <w:p w14:paraId="6BA40590" w14:textId="77777777" w:rsidR="004474C8" w:rsidRPr="004474C8" w:rsidRDefault="004474C8" w:rsidP="004474C8">
            <w:r w:rsidRPr="004474C8">
              <w:rPr>
                <w:rFonts w:ascii="Segoe UI Symbol" w:hAnsi="Segoe UI Symbol" w:cs="Segoe UI Symbol"/>
              </w:rPr>
              <w:t>☐</w:t>
            </w:r>
            <w:r w:rsidRPr="004474C8">
              <w:t xml:space="preserve"> Telecom/ICT products/services</w:t>
            </w:r>
            <w:r w:rsidRPr="004474C8">
              <w:br/>
            </w:r>
            <w:r w:rsidRPr="004474C8">
              <w:rPr>
                <w:rFonts w:ascii="Segoe UI Symbol" w:hAnsi="Segoe UI Symbol" w:cs="Segoe UI Symbol"/>
              </w:rPr>
              <w:t>☐</w:t>
            </w:r>
            <w:r w:rsidRPr="004474C8">
              <w:t xml:space="preserve"> Telecom/ICT regulations/policies/national standards</w:t>
            </w:r>
            <w:r w:rsidRPr="004474C8">
              <w:br/>
            </w:r>
            <w:r w:rsidRPr="004474C8">
              <w:rPr>
                <w:rFonts w:ascii="Segoe UI Symbol" w:hAnsi="Segoe UI Symbol" w:cs="Segoe UI Symbol"/>
              </w:rPr>
              <w:t>☐</w:t>
            </w:r>
            <w:r w:rsidRPr="004474C8">
              <w:t xml:space="preserve"> International standards/ Recommendations</w:t>
            </w:r>
          </w:p>
          <w:p w14:paraId="0E764AB2" w14:textId="77777777" w:rsidR="004474C8" w:rsidRPr="004474C8" w:rsidRDefault="004474C8" w:rsidP="004474C8">
            <w:r w:rsidRPr="004474C8">
              <w:rPr>
                <w:rFonts w:ascii="Batang" w:eastAsia="Batang" w:hAnsi="Batang" w:cs="Batang" w:hint="eastAsia"/>
              </w:rPr>
              <w:t>▣</w:t>
            </w:r>
            <w:r w:rsidRPr="004474C8">
              <w:t xml:space="preserve"> Other</w:t>
            </w:r>
          </w:p>
        </w:tc>
      </w:tr>
      <w:tr w:rsidR="004474C8" w:rsidRPr="004474C8" w14:paraId="6C324DBD" w14:textId="77777777" w:rsidTr="00482119">
        <w:trPr>
          <w:trHeight w:val="848"/>
        </w:trPr>
        <w:tc>
          <w:tcPr>
            <w:tcW w:w="1400" w:type="pct"/>
            <w:vMerge w:val="restart"/>
            <w:vAlign w:val="center"/>
          </w:tcPr>
          <w:p w14:paraId="34C38087" w14:textId="77777777" w:rsidR="004474C8" w:rsidRPr="004474C8" w:rsidRDefault="004474C8" w:rsidP="004474C8">
            <w:pPr>
              <w:rPr>
                <w:b/>
                <w:bCs/>
                <w:u w:val="single"/>
              </w:rPr>
            </w:pPr>
            <w:r w:rsidRPr="004474C8">
              <w:rPr>
                <w:b/>
                <w:bCs/>
                <w:u w:val="single"/>
              </w:rPr>
              <w:t>Telecom/ICT products/services</w:t>
            </w:r>
          </w:p>
        </w:tc>
        <w:tc>
          <w:tcPr>
            <w:tcW w:w="1697" w:type="pct"/>
          </w:tcPr>
          <w:p w14:paraId="4B26987A" w14:textId="77777777" w:rsidR="004474C8" w:rsidRPr="004474C8" w:rsidRDefault="004474C8" w:rsidP="004474C8">
            <w:pPr>
              <w:rPr>
                <w:b/>
                <w:bCs/>
              </w:rPr>
            </w:pPr>
            <w:r w:rsidRPr="004474C8">
              <w:rPr>
                <w:b/>
                <w:bCs/>
              </w:rPr>
              <w:t xml:space="preserve">Implementing body: </w:t>
            </w:r>
          </w:p>
          <w:p w14:paraId="22B46D91" w14:textId="77777777" w:rsidR="004474C8" w:rsidRPr="004474C8" w:rsidRDefault="004474C8" w:rsidP="004474C8">
            <w:r w:rsidRPr="004474C8">
              <w:t>&lt;Organizations&gt;</w:t>
            </w:r>
          </w:p>
        </w:tc>
        <w:tc>
          <w:tcPr>
            <w:tcW w:w="1903" w:type="pct"/>
          </w:tcPr>
          <w:p w14:paraId="7EDC2711" w14:textId="77777777" w:rsidR="004474C8" w:rsidRPr="004474C8" w:rsidRDefault="004474C8" w:rsidP="004474C8">
            <w:pPr>
              <w:rPr>
                <w:b/>
                <w:bCs/>
              </w:rPr>
            </w:pPr>
            <w:r w:rsidRPr="004474C8">
              <w:rPr>
                <w:b/>
                <w:bCs/>
              </w:rPr>
              <w:t>Implementation:</w:t>
            </w:r>
          </w:p>
          <w:p w14:paraId="5ED3BDBF" w14:textId="77777777" w:rsidR="004474C8" w:rsidRPr="004474C8" w:rsidRDefault="004474C8" w:rsidP="004474C8">
            <w:r w:rsidRPr="004474C8">
              <w:t>&lt; Telecom/ICT products / services&gt;</w:t>
            </w:r>
          </w:p>
          <w:p w14:paraId="7C232AEA" w14:textId="77777777" w:rsidR="004474C8" w:rsidRPr="004474C8" w:rsidRDefault="004474C8" w:rsidP="004474C8">
            <w:pPr>
              <w:rPr>
                <w:i/>
                <w:iCs/>
              </w:rPr>
            </w:pPr>
            <w:r w:rsidRPr="004474C8">
              <w:rPr>
                <w:i/>
                <w:iCs/>
              </w:rPr>
              <w:t>(With references)</w:t>
            </w:r>
          </w:p>
        </w:tc>
      </w:tr>
      <w:tr w:rsidR="004474C8" w:rsidRPr="004474C8" w14:paraId="57A69824" w14:textId="77777777" w:rsidTr="00482119">
        <w:trPr>
          <w:trHeight w:val="1232"/>
        </w:trPr>
        <w:tc>
          <w:tcPr>
            <w:tcW w:w="1400" w:type="pct"/>
            <w:vMerge/>
            <w:vAlign w:val="center"/>
          </w:tcPr>
          <w:p w14:paraId="60DD39E1" w14:textId="77777777" w:rsidR="004474C8" w:rsidRPr="004474C8" w:rsidRDefault="004474C8" w:rsidP="004474C8">
            <w:pPr>
              <w:rPr>
                <w:b/>
                <w:bCs/>
                <w:u w:val="single"/>
              </w:rPr>
            </w:pPr>
          </w:p>
        </w:tc>
        <w:tc>
          <w:tcPr>
            <w:tcW w:w="3600" w:type="pct"/>
            <w:gridSpan w:val="2"/>
          </w:tcPr>
          <w:p w14:paraId="22024E13" w14:textId="77777777" w:rsidR="004474C8" w:rsidRPr="004474C8" w:rsidRDefault="004474C8" w:rsidP="004474C8">
            <w:pPr>
              <w:rPr>
                <w:b/>
                <w:bCs/>
              </w:rPr>
            </w:pPr>
            <w:r w:rsidRPr="004474C8">
              <w:rPr>
                <w:b/>
                <w:bCs/>
              </w:rPr>
              <w:t>Implementation summary:</w:t>
            </w:r>
          </w:p>
          <w:p w14:paraId="4D79E081" w14:textId="77777777" w:rsidR="004474C8" w:rsidRPr="004474C8" w:rsidRDefault="004474C8" w:rsidP="004474C8">
            <w:r w:rsidRPr="004474C8">
              <w:t>&lt;Brief description on how the ITU-T Recommendation is used in the above-mentioned Telecom/ICT products/services &gt;</w:t>
            </w:r>
          </w:p>
        </w:tc>
      </w:tr>
      <w:tr w:rsidR="004474C8" w:rsidRPr="004474C8" w14:paraId="105A8A7C" w14:textId="77777777" w:rsidTr="00482119">
        <w:trPr>
          <w:trHeight w:val="1169"/>
        </w:trPr>
        <w:tc>
          <w:tcPr>
            <w:tcW w:w="1400" w:type="pct"/>
            <w:vMerge w:val="restart"/>
            <w:vAlign w:val="center"/>
          </w:tcPr>
          <w:p w14:paraId="2D2790C5" w14:textId="77777777" w:rsidR="004474C8" w:rsidRPr="004474C8" w:rsidRDefault="004474C8" w:rsidP="004474C8">
            <w:pPr>
              <w:rPr>
                <w:b/>
                <w:bCs/>
                <w:u w:val="single"/>
              </w:rPr>
            </w:pPr>
            <w:r w:rsidRPr="004474C8">
              <w:rPr>
                <w:b/>
                <w:bCs/>
                <w:u w:val="single"/>
              </w:rPr>
              <w:lastRenderedPageBreak/>
              <w:t>Telecom/ICT regulations/policies/ national Standards</w:t>
            </w:r>
          </w:p>
        </w:tc>
        <w:tc>
          <w:tcPr>
            <w:tcW w:w="1697" w:type="pct"/>
          </w:tcPr>
          <w:p w14:paraId="61E99A6C" w14:textId="77777777" w:rsidR="004474C8" w:rsidRPr="004474C8" w:rsidRDefault="004474C8" w:rsidP="004474C8">
            <w:pPr>
              <w:rPr>
                <w:b/>
                <w:bCs/>
              </w:rPr>
            </w:pPr>
            <w:r w:rsidRPr="004474C8">
              <w:rPr>
                <w:b/>
                <w:bCs/>
              </w:rPr>
              <w:t xml:space="preserve">Implementing body: </w:t>
            </w:r>
          </w:p>
          <w:p w14:paraId="59D61EAA" w14:textId="77777777" w:rsidR="004474C8" w:rsidRPr="004474C8" w:rsidRDefault="004474C8" w:rsidP="004474C8">
            <w:r w:rsidRPr="004474C8">
              <w:t>&lt;Member States&gt;</w:t>
            </w:r>
          </w:p>
        </w:tc>
        <w:tc>
          <w:tcPr>
            <w:tcW w:w="1903" w:type="pct"/>
          </w:tcPr>
          <w:p w14:paraId="06633C26" w14:textId="77777777" w:rsidR="004474C8" w:rsidRPr="004474C8" w:rsidRDefault="004474C8" w:rsidP="004474C8">
            <w:pPr>
              <w:rPr>
                <w:b/>
                <w:bCs/>
              </w:rPr>
            </w:pPr>
            <w:r w:rsidRPr="004474C8">
              <w:rPr>
                <w:b/>
                <w:bCs/>
              </w:rPr>
              <w:t>Implementation:</w:t>
            </w:r>
          </w:p>
          <w:p w14:paraId="28072FDC" w14:textId="77777777" w:rsidR="004474C8" w:rsidRPr="004474C8" w:rsidRDefault="004474C8" w:rsidP="004474C8">
            <w:r w:rsidRPr="004474C8">
              <w:t>&lt; Telecom/ICT regulations/policies/ national standards&gt;</w:t>
            </w:r>
          </w:p>
          <w:p w14:paraId="36C3CB49" w14:textId="77777777" w:rsidR="004474C8" w:rsidRPr="004474C8" w:rsidRDefault="004474C8" w:rsidP="004474C8">
            <w:r w:rsidRPr="004474C8">
              <w:rPr>
                <w:i/>
                <w:iCs/>
              </w:rPr>
              <w:t>(With references)</w:t>
            </w:r>
          </w:p>
        </w:tc>
      </w:tr>
      <w:tr w:rsidR="004474C8" w:rsidRPr="004474C8" w14:paraId="446F1558" w14:textId="77777777" w:rsidTr="00482119">
        <w:trPr>
          <w:trHeight w:val="1142"/>
        </w:trPr>
        <w:tc>
          <w:tcPr>
            <w:tcW w:w="1400" w:type="pct"/>
            <w:vMerge/>
            <w:vAlign w:val="center"/>
          </w:tcPr>
          <w:p w14:paraId="7C7F7E27" w14:textId="77777777" w:rsidR="004474C8" w:rsidRPr="004474C8" w:rsidRDefault="004474C8" w:rsidP="004474C8">
            <w:pPr>
              <w:rPr>
                <w:b/>
                <w:bCs/>
                <w:u w:val="single"/>
              </w:rPr>
            </w:pPr>
          </w:p>
        </w:tc>
        <w:tc>
          <w:tcPr>
            <w:tcW w:w="3600" w:type="pct"/>
            <w:gridSpan w:val="2"/>
          </w:tcPr>
          <w:p w14:paraId="42178678" w14:textId="77777777" w:rsidR="004474C8" w:rsidRPr="004474C8" w:rsidRDefault="004474C8" w:rsidP="004474C8">
            <w:pPr>
              <w:rPr>
                <w:b/>
                <w:bCs/>
              </w:rPr>
            </w:pPr>
            <w:r w:rsidRPr="004474C8">
              <w:rPr>
                <w:b/>
                <w:bCs/>
              </w:rPr>
              <w:t>Implementation summary:</w:t>
            </w:r>
          </w:p>
          <w:p w14:paraId="1B8E7D71" w14:textId="77777777" w:rsidR="004474C8" w:rsidRPr="004474C8" w:rsidRDefault="004474C8" w:rsidP="004474C8">
            <w:r w:rsidRPr="004474C8">
              <w:t>&lt;Brief description on how the ITU-T Recommendation is used in the above-mentioned Telecom/ICT regulations/policies/national standards&gt;</w:t>
            </w:r>
          </w:p>
        </w:tc>
      </w:tr>
      <w:tr w:rsidR="004474C8" w:rsidRPr="004474C8" w14:paraId="63AFF922" w14:textId="77777777" w:rsidTr="00482119">
        <w:trPr>
          <w:trHeight w:val="1234"/>
        </w:trPr>
        <w:tc>
          <w:tcPr>
            <w:tcW w:w="1400" w:type="pct"/>
            <w:vMerge w:val="restart"/>
            <w:vAlign w:val="center"/>
          </w:tcPr>
          <w:p w14:paraId="74929AC5" w14:textId="77777777" w:rsidR="004474C8" w:rsidRPr="004474C8" w:rsidRDefault="004474C8" w:rsidP="004474C8">
            <w:pPr>
              <w:rPr>
                <w:b/>
                <w:bCs/>
                <w:u w:val="single"/>
              </w:rPr>
            </w:pPr>
            <w:r w:rsidRPr="004474C8">
              <w:rPr>
                <w:b/>
                <w:bCs/>
                <w:u w:val="single"/>
              </w:rPr>
              <w:t>International standards/ Recommendations</w:t>
            </w:r>
          </w:p>
        </w:tc>
        <w:tc>
          <w:tcPr>
            <w:tcW w:w="1697" w:type="pct"/>
          </w:tcPr>
          <w:p w14:paraId="3748748C" w14:textId="77777777" w:rsidR="004474C8" w:rsidRPr="004474C8" w:rsidRDefault="004474C8" w:rsidP="004474C8">
            <w:pPr>
              <w:rPr>
                <w:b/>
                <w:bCs/>
              </w:rPr>
            </w:pPr>
            <w:r w:rsidRPr="004474C8">
              <w:rPr>
                <w:b/>
                <w:bCs/>
              </w:rPr>
              <w:t xml:space="preserve">Implementing body: </w:t>
            </w:r>
          </w:p>
          <w:p w14:paraId="71ABF7CC" w14:textId="77777777" w:rsidR="004474C8" w:rsidRPr="004474C8" w:rsidRDefault="004474C8" w:rsidP="004474C8">
            <w:r w:rsidRPr="004474C8">
              <w:t>&lt;International standards bodies &gt;</w:t>
            </w:r>
          </w:p>
        </w:tc>
        <w:tc>
          <w:tcPr>
            <w:tcW w:w="1903" w:type="pct"/>
          </w:tcPr>
          <w:p w14:paraId="6D4E3E40" w14:textId="77777777" w:rsidR="004474C8" w:rsidRPr="004474C8" w:rsidRDefault="004474C8" w:rsidP="004474C8">
            <w:pPr>
              <w:rPr>
                <w:b/>
                <w:bCs/>
              </w:rPr>
            </w:pPr>
            <w:r w:rsidRPr="004474C8">
              <w:rPr>
                <w:b/>
                <w:bCs/>
              </w:rPr>
              <w:t>Implementation</w:t>
            </w:r>
          </w:p>
          <w:p w14:paraId="6DB701E0" w14:textId="77777777" w:rsidR="004474C8" w:rsidRPr="004474C8" w:rsidRDefault="004474C8" w:rsidP="004474C8">
            <w:r w:rsidRPr="004474C8">
              <w:t>&lt;International standards/ Recommendations&gt;</w:t>
            </w:r>
          </w:p>
          <w:p w14:paraId="20CFEC7B" w14:textId="77777777" w:rsidR="004474C8" w:rsidRPr="004474C8" w:rsidRDefault="004474C8" w:rsidP="004474C8">
            <w:r w:rsidRPr="004474C8">
              <w:rPr>
                <w:i/>
                <w:iCs/>
              </w:rPr>
              <w:t>(With references)</w:t>
            </w:r>
          </w:p>
        </w:tc>
      </w:tr>
      <w:tr w:rsidR="004474C8" w:rsidRPr="004474C8" w14:paraId="491CE9E1" w14:textId="77777777" w:rsidTr="00482119">
        <w:trPr>
          <w:trHeight w:val="1353"/>
        </w:trPr>
        <w:tc>
          <w:tcPr>
            <w:tcW w:w="1400" w:type="pct"/>
            <w:vMerge/>
            <w:vAlign w:val="center"/>
          </w:tcPr>
          <w:p w14:paraId="70F56E02" w14:textId="77777777" w:rsidR="004474C8" w:rsidRPr="004474C8" w:rsidRDefault="004474C8" w:rsidP="004474C8"/>
        </w:tc>
        <w:tc>
          <w:tcPr>
            <w:tcW w:w="3600" w:type="pct"/>
            <w:gridSpan w:val="2"/>
          </w:tcPr>
          <w:p w14:paraId="128A28B5" w14:textId="77777777" w:rsidR="004474C8" w:rsidRPr="004474C8" w:rsidRDefault="004474C8" w:rsidP="004474C8">
            <w:pPr>
              <w:rPr>
                <w:b/>
                <w:bCs/>
              </w:rPr>
            </w:pPr>
            <w:r w:rsidRPr="004474C8">
              <w:rPr>
                <w:b/>
                <w:bCs/>
              </w:rPr>
              <w:t>Implementation summary:</w:t>
            </w:r>
          </w:p>
          <w:p w14:paraId="59486378" w14:textId="77777777" w:rsidR="004474C8" w:rsidRPr="004474C8" w:rsidRDefault="004474C8" w:rsidP="004474C8">
            <w:r w:rsidRPr="004474C8">
              <w:t>&lt;Brief description on how the ITU-T Recommendation has been incorporated into the above-mentioned international standards from another industry recognized standardization body&gt;</w:t>
            </w:r>
          </w:p>
        </w:tc>
      </w:tr>
      <w:tr w:rsidR="004474C8" w:rsidRPr="004474C8" w14:paraId="4D49CED2" w14:textId="77777777" w:rsidTr="00482119">
        <w:trPr>
          <w:trHeight w:val="1034"/>
        </w:trPr>
        <w:tc>
          <w:tcPr>
            <w:tcW w:w="1400" w:type="pct"/>
            <w:vAlign w:val="center"/>
          </w:tcPr>
          <w:p w14:paraId="75453D2B" w14:textId="77777777" w:rsidR="004474C8" w:rsidRPr="004474C8" w:rsidRDefault="004474C8" w:rsidP="004474C8">
            <w:pPr>
              <w:rPr>
                <w:b/>
                <w:bCs/>
              </w:rPr>
            </w:pPr>
            <w:r w:rsidRPr="004474C8">
              <w:rPr>
                <w:b/>
                <w:bCs/>
                <w:u w:val="single"/>
              </w:rPr>
              <w:t>Other</w:t>
            </w:r>
          </w:p>
        </w:tc>
        <w:tc>
          <w:tcPr>
            <w:tcW w:w="3600" w:type="pct"/>
            <w:gridSpan w:val="2"/>
            <w:vAlign w:val="center"/>
          </w:tcPr>
          <w:p w14:paraId="41683E27" w14:textId="3456D5C9" w:rsidR="004474C8" w:rsidRPr="004474C8" w:rsidRDefault="004474C8" w:rsidP="004474C8">
            <w:r w:rsidRPr="004474C8">
              <w:rPr>
                <w:b/>
                <w:bCs/>
              </w:rPr>
              <w:t>Implementation summary:</w:t>
            </w:r>
          </w:p>
          <w:p w14:paraId="572525A6" w14:textId="77777777" w:rsidR="004474C8" w:rsidRPr="004474C8" w:rsidRDefault="004474C8" w:rsidP="004474C8">
            <w:pPr>
              <w:rPr>
                <w:b/>
                <w:bCs/>
              </w:rPr>
            </w:pPr>
            <w:r w:rsidRPr="004474C8">
              <w:rPr>
                <w:b/>
                <w:bCs/>
              </w:rPr>
              <w:t>1. Motivation</w:t>
            </w:r>
          </w:p>
          <w:p w14:paraId="0681A93C" w14:textId="451101F8" w:rsidR="004474C8" w:rsidRPr="004474C8" w:rsidRDefault="004474C8" w:rsidP="004474C8">
            <w:r w:rsidRPr="004474C8">
              <w:t>Despite the widespread use of email, organisations such as large enterprises and research institutes have faced critical security "Pain-Points" that traditional solutions could not address. These challenges include:</w:t>
            </w:r>
          </w:p>
          <w:p w14:paraId="374621F6" w14:textId="77777777" w:rsidR="004474C8" w:rsidRPr="004474C8" w:rsidRDefault="004474C8" w:rsidP="004474C8">
            <w:r w:rsidRPr="004474C8">
              <w:t>(1) Sophisticated Fraud &amp; Impersonation: Financial losses and security breaches caused by targeted attacks like Business Email Compromise (BEC) and AI-generated phishing.</w:t>
            </w:r>
          </w:p>
          <w:p w14:paraId="1891B8EE" w14:textId="77777777" w:rsidR="004474C8" w:rsidRPr="004474C8" w:rsidRDefault="004474C8" w:rsidP="004474C8">
            <w:r w:rsidRPr="004474C8">
              <w:t>(2) Internal Security Gaps: The lack of standardised mechanisms to verify and approve outbound emails, leading to unauthorised information leakage or the approval of fraudulent internal requests.</w:t>
            </w:r>
          </w:p>
          <w:p w14:paraId="29703EC8" w14:textId="77777777" w:rsidR="004474C8" w:rsidRPr="004474C8" w:rsidRDefault="004474C8" w:rsidP="004474C8">
            <w:r w:rsidRPr="004474C8">
              <w:t>(3) Need for Verification: The absence of tools to objectively diagnose whether an organisation's email security posture meets global standards or to measure the volume of attempted attacks.</w:t>
            </w:r>
          </w:p>
          <w:p w14:paraId="52253A99" w14:textId="77777777" w:rsidR="004474C8" w:rsidRPr="004474C8" w:rsidRDefault="004474C8" w:rsidP="004474C8"/>
          <w:p w14:paraId="7945E568" w14:textId="77777777" w:rsidR="004474C8" w:rsidRPr="004474C8" w:rsidRDefault="004474C8" w:rsidP="004474C8">
            <w:r w:rsidRPr="004474C8">
              <w:lastRenderedPageBreak/>
              <w:t>To address these industry-wide challenges, ITU-T X.1236 was utilised not just as a reference but as a core technical specification to develop practical solutions and educational frameworks</w:t>
            </w:r>
          </w:p>
          <w:p w14:paraId="097EC138" w14:textId="77777777" w:rsidR="004474C8" w:rsidRPr="004474C8" w:rsidRDefault="004474C8" w:rsidP="004474C8"/>
          <w:p w14:paraId="5EC72D53" w14:textId="77777777" w:rsidR="004474C8" w:rsidRPr="004474C8" w:rsidRDefault="004474C8" w:rsidP="004474C8">
            <w:pPr>
              <w:rPr>
                <w:b/>
                <w:bCs/>
              </w:rPr>
            </w:pPr>
            <w:r w:rsidRPr="004474C8">
              <w:rPr>
                <w:b/>
                <w:bCs/>
              </w:rPr>
              <w:t>2. Activities</w:t>
            </w:r>
          </w:p>
          <w:p w14:paraId="4168B2B1" w14:textId="78B1E800" w:rsidR="004474C8" w:rsidRPr="004474C8" w:rsidRDefault="004474C8" w:rsidP="004474C8">
            <w:r w:rsidRPr="004474C8">
              <w:t>To bridge the gap between the international standard and the real-world market, the following activities were executed based on the functional requirements of ITU-T X.1236:</w:t>
            </w:r>
          </w:p>
          <w:p w14:paraId="689BFF6C" w14:textId="77777777" w:rsidR="004474C8" w:rsidRPr="004474C8" w:rsidRDefault="004474C8" w:rsidP="004474C8">
            <w:r w:rsidRPr="004474C8">
              <w:t>(1) Commercialisation of Solutions Solving Pain-Points: Standard-compliant security solutions were developed and commercialised to directly address enterprise pain points. These solutions implemented X.1236 specifications for "Outbound Email Approval" and "Countermeasures against Targeted Email Attacks" providing a technical guarantee for secure internal communication and fraud prevention.</w:t>
            </w:r>
          </w:p>
          <w:p w14:paraId="43A2CB3E" w14:textId="77777777" w:rsidR="004474C8" w:rsidRPr="004474C8" w:rsidRDefault="004474C8" w:rsidP="004474C8">
            <w:r w:rsidRPr="004474C8">
              <w:t>(2) Development of Diagnostic Solutions: A diagnostic tool was developed to verify compliance with the security requirements of X.1236. This solution enables organisations to diagnose their current security status and quantitatively measure the volume of attempted attacks (e.g., malware, social engineering, header forgery) in real-time.</w:t>
            </w:r>
          </w:p>
          <w:p w14:paraId="575BF0C6" w14:textId="77777777" w:rsidR="004474C8" w:rsidRPr="004474C8" w:rsidRDefault="004474C8" w:rsidP="004474C8">
            <w:r w:rsidRPr="004474C8">
              <w:t>(3) Global Education and Curriculum Development: The content of X.1236 was adapted into a comprehensive educational curriculum featuring scenarios and use cases of cyberattacks, including fraud, malware, information leakage, and AI-generated phishing. This curriculum is currently provided via online and offline training courses in various regions, including the Middle East and Japan.</w:t>
            </w:r>
          </w:p>
          <w:p w14:paraId="7D30C14E" w14:textId="77777777" w:rsidR="004474C8" w:rsidRPr="004474C8" w:rsidRDefault="004474C8" w:rsidP="004474C8"/>
          <w:p w14:paraId="5274C452" w14:textId="77777777" w:rsidR="004474C8" w:rsidRPr="004474C8" w:rsidRDefault="004474C8" w:rsidP="004474C8">
            <w:pPr>
              <w:rPr>
                <w:b/>
                <w:bCs/>
              </w:rPr>
            </w:pPr>
            <w:r w:rsidRPr="004474C8">
              <w:rPr>
                <w:b/>
                <w:bCs/>
              </w:rPr>
              <w:t>3. Results</w:t>
            </w:r>
          </w:p>
          <w:p w14:paraId="649C68B6" w14:textId="77777777" w:rsidR="004474C8" w:rsidRPr="004474C8" w:rsidRDefault="004474C8" w:rsidP="004474C8">
            <w:r w:rsidRPr="004474C8">
              <w:t>The implementation of ITU-T X.1236 has achieved tangible results in the global ICT ecosystem</w:t>
            </w:r>
          </w:p>
          <w:p w14:paraId="5F69EFAC" w14:textId="77777777" w:rsidR="004474C8" w:rsidRPr="004474C8" w:rsidRDefault="004474C8" w:rsidP="004474C8"/>
          <w:p w14:paraId="7E1C865A" w14:textId="77777777" w:rsidR="004474C8" w:rsidRPr="004474C8" w:rsidRDefault="004474C8" w:rsidP="004474C8">
            <w:r w:rsidRPr="004474C8">
              <w:t>(1) Widespread Industry Adoption: The commercialised solutions based on X.1236 have been widely adopted by major conglomerates and research institutes. These organisations have successfully utilised the standard’s technical specifications to resolve their chronic pain points regarding internal approval processes and protection against sophisticated fraud.</w:t>
            </w:r>
          </w:p>
          <w:p w14:paraId="275B27FA" w14:textId="77777777" w:rsidR="004474C8" w:rsidRPr="004474C8" w:rsidRDefault="004474C8" w:rsidP="004474C8">
            <w:r w:rsidRPr="004474C8">
              <w:lastRenderedPageBreak/>
              <w:t>(2) Verification of Safety: Through the X.1236-based diagnostic solution, numerous companies have been able to objectively verify the safety of their email environments and visualise the threat landscape, ensuring compliance with international standards.</w:t>
            </w:r>
          </w:p>
          <w:p w14:paraId="776A8A55" w14:textId="430D5324" w:rsidR="004474C8" w:rsidRPr="004474C8" w:rsidRDefault="004474C8" w:rsidP="004474C8">
            <w:r w:rsidRPr="004474C8">
              <w:t>(3) Global Capacity Building: ITU-T X.1236 is currently serving as a primary textbook for cybersecurity students, training the next generation of experts to defend against emerging threats like AI-generated phishing. The expansion of this curriculum to Indonesia and Vietnam demonstrates the standard's global reach and educational value.</w:t>
            </w:r>
          </w:p>
        </w:tc>
      </w:tr>
    </w:tbl>
    <w:p w14:paraId="788020C0" w14:textId="77777777" w:rsidR="00363AFB" w:rsidRDefault="00363AFB" w:rsidP="00363AFB"/>
    <w:p w14:paraId="58895FFE" w14:textId="7D89F150" w:rsidR="00DA5F1A" w:rsidRPr="0070000F" w:rsidRDefault="00DA5F1A" w:rsidP="00DA5F1A">
      <w:pPr>
        <w:pStyle w:val="Heading1"/>
        <w:keepLines w:val="0"/>
        <w:numPr>
          <w:ilvl w:val="0"/>
          <w:numId w:val="20"/>
        </w:numPr>
        <w:tabs>
          <w:tab w:val="clear" w:pos="432"/>
          <w:tab w:val="clear" w:pos="794"/>
          <w:tab w:val="clear" w:pos="1191"/>
          <w:tab w:val="clear" w:pos="1588"/>
          <w:tab w:val="clear" w:pos="1985"/>
          <w:tab w:val="left" w:pos="720"/>
        </w:tabs>
        <w:overflowPunct/>
        <w:autoSpaceDE/>
        <w:autoSpaceDN/>
        <w:adjustRightInd/>
        <w:spacing w:before="0" w:after="60"/>
        <w:textAlignment w:val="auto"/>
        <w:rPr>
          <w:rFonts w:eastAsia="SimSun"/>
        </w:rPr>
      </w:pPr>
      <w:r w:rsidRPr="0070000F">
        <w:rPr>
          <w:lang w:val="en-US" w:eastAsia="zh-CN"/>
        </w:rPr>
        <w:t>ITU-T X.12</w:t>
      </w:r>
      <w:r>
        <w:rPr>
          <w:lang w:val="en-US" w:eastAsia="zh-CN"/>
        </w:rPr>
        <w:t>81(Q10/17)</w:t>
      </w:r>
    </w:p>
    <w:tbl>
      <w:tblPr>
        <w:tblStyle w:val="TableGrid"/>
        <w:tblW w:w="5000" w:type="pct"/>
        <w:tblLook w:val="04A0" w:firstRow="1" w:lastRow="0" w:firstColumn="1" w:lastColumn="0" w:noHBand="0" w:noVBand="1"/>
      </w:tblPr>
      <w:tblGrid>
        <w:gridCol w:w="4004"/>
        <w:gridCol w:w="5103"/>
        <w:gridCol w:w="5443"/>
        <w:gridCol w:w="12"/>
      </w:tblGrid>
      <w:tr w:rsidR="00DA5F1A" w:rsidRPr="00D17209" w14:paraId="4CD2CA2B" w14:textId="77777777" w:rsidTr="00482119">
        <w:trPr>
          <w:trHeight w:val="416"/>
        </w:trPr>
        <w:tc>
          <w:tcPr>
            <w:tcW w:w="5000" w:type="pct"/>
            <w:gridSpan w:val="4"/>
            <w:shd w:val="clear" w:color="auto" w:fill="D9D9D9" w:themeFill="background1" w:themeFillShade="D9"/>
            <w:vAlign w:val="center"/>
          </w:tcPr>
          <w:p w14:paraId="4E27180F" w14:textId="77777777" w:rsidR="00DA5F1A" w:rsidRPr="00D17209" w:rsidRDefault="00DA5F1A" w:rsidP="008D7F7B">
            <w:pPr>
              <w:jc w:val="center"/>
              <w:rPr>
                <w:sz w:val="22"/>
                <w:szCs w:val="22"/>
              </w:rPr>
            </w:pPr>
            <w:r w:rsidRPr="00D17209">
              <w:rPr>
                <w:b/>
                <w:bCs/>
                <w:sz w:val="22"/>
                <w:szCs w:val="22"/>
                <w:u w:val="single"/>
              </w:rPr>
              <w:t>ITU-T RECOMMENDATION OVERVIEW</w:t>
            </w:r>
          </w:p>
        </w:tc>
      </w:tr>
      <w:tr w:rsidR="00DA5F1A" w:rsidRPr="00D17209" w14:paraId="48795EC8" w14:textId="77777777" w:rsidTr="00482119">
        <w:trPr>
          <w:trHeight w:val="416"/>
        </w:trPr>
        <w:tc>
          <w:tcPr>
            <w:tcW w:w="1375" w:type="pct"/>
            <w:vAlign w:val="center"/>
          </w:tcPr>
          <w:p w14:paraId="4DA2C1D7" w14:textId="77777777" w:rsidR="00DA5F1A" w:rsidRPr="00D17209" w:rsidRDefault="00DA5F1A" w:rsidP="008D7F7B">
            <w:pPr>
              <w:rPr>
                <w:sz w:val="22"/>
                <w:szCs w:val="22"/>
              </w:rPr>
            </w:pPr>
            <w:r w:rsidRPr="00D17209">
              <w:rPr>
                <w:sz w:val="22"/>
                <w:szCs w:val="22"/>
              </w:rPr>
              <w:t>ITU-T Recommendation:</w:t>
            </w:r>
          </w:p>
        </w:tc>
        <w:tc>
          <w:tcPr>
            <w:tcW w:w="3625" w:type="pct"/>
            <w:gridSpan w:val="3"/>
            <w:vAlign w:val="center"/>
          </w:tcPr>
          <w:p w14:paraId="77F3365C" w14:textId="77777777" w:rsidR="00DA5F1A" w:rsidRPr="00D17209" w:rsidRDefault="00DA5F1A" w:rsidP="008D7F7B">
            <w:pPr>
              <w:rPr>
                <w:sz w:val="22"/>
                <w:szCs w:val="22"/>
              </w:rPr>
            </w:pPr>
            <w:r>
              <w:rPr>
                <w:sz w:val="22"/>
                <w:szCs w:val="22"/>
              </w:rPr>
              <w:t>X.1281</w:t>
            </w:r>
          </w:p>
        </w:tc>
      </w:tr>
      <w:tr w:rsidR="00DA5F1A" w:rsidRPr="00D17209" w14:paraId="6B7AB3B0" w14:textId="77777777" w:rsidTr="00482119">
        <w:trPr>
          <w:trHeight w:val="416"/>
        </w:trPr>
        <w:tc>
          <w:tcPr>
            <w:tcW w:w="1375" w:type="pct"/>
            <w:vAlign w:val="center"/>
          </w:tcPr>
          <w:p w14:paraId="73360621" w14:textId="77777777" w:rsidR="00DA5F1A" w:rsidRPr="00D17209" w:rsidRDefault="00DA5F1A" w:rsidP="008D7F7B">
            <w:pPr>
              <w:rPr>
                <w:sz w:val="22"/>
                <w:szCs w:val="22"/>
              </w:rPr>
            </w:pPr>
            <w:r w:rsidRPr="00D17209">
              <w:rPr>
                <w:sz w:val="22"/>
                <w:szCs w:val="22"/>
              </w:rPr>
              <w:t>Title:</w:t>
            </w:r>
          </w:p>
        </w:tc>
        <w:tc>
          <w:tcPr>
            <w:tcW w:w="3625" w:type="pct"/>
            <w:gridSpan w:val="3"/>
            <w:vAlign w:val="center"/>
          </w:tcPr>
          <w:p w14:paraId="7A961A45" w14:textId="77777777" w:rsidR="00DA5F1A" w:rsidRPr="00D17209" w:rsidRDefault="00DA5F1A" w:rsidP="008D7F7B">
            <w:pPr>
              <w:rPr>
                <w:sz w:val="22"/>
                <w:szCs w:val="22"/>
              </w:rPr>
            </w:pPr>
            <w:r w:rsidRPr="000E1F79">
              <w:rPr>
                <w:sz w:val="22"/>
                <w:szCs w:val="22"/>
              </w:rPr>
              <w:t>APIs for interoperability of identity management systems </w:t>
            </w:r>
          </w:p>
        </w:tc>
      </w:tr>
      <w:tr w:rsidR="00DA5F1A" w:rsidRPr="00D17209" w14:paraId="351F2150" w14:textId="77777777" w:rsidTr="00482119">
        <w:trPr>
          <w:trHeight w:val="416"/>
        </w:trPr>
        <w:tc>
          <w:tcPr>
            <w:tcW w:w="1375" w:type="pct"/>
            <w:vAlign w:val="center"/>
          </w:tcPr>
          <w:p w14:paraId="5D4C530F" w14:textId="77777777" w:rsidR="00DA5F1A" w:rsidRPr="00D17209" w:rsidRDefault="00DA5F1A" w:rsidP="008D7F7B">
            <w:pPr>
              <w:rPr>
                <w:sz w:val="22"/>
                <w:szCs w:val="22"/>
              </w:rPr>
            </w:pPr>
            <w:r w:rsidRPr="00D17209">
              <w:rPr>
                <w:sz w:val="22"/>
                <w:szCs w:val="22"/>
              </w:rPr>
              <w:t xml:space="preserve">Effective </w:t>
            </w:r>
            <w:r>
              <w:rPr>
                <w:sz w:val="22"/>
                <w:szCs w:val="22"/>
              </w:rPr>
              <w:t>p</w:t>
            </w:r>
            <w:r w:rsidRPr="00D17209">
              <w:rPr>
                <w:sz w:val="22"/>
                <w:szCs w:val="22"/>
              </w:rPr>
              <w:t>eriod:</w:t>
            </w:r>
          </w:p>
        </w:tc>
        <w:tc>
          <w:tcPr>
            <w:tcW w:w="3625" w:type="pct"/>
            <w:gridSpan w:val="3"/>
            <w:vAlign w:val="center"/>
          </w:tcPr>
          <w:p w14:paraId="541B447C" w14:textId="77777777" w:rsidR="00DA5F1A" w:rsidRPr="00D17209" w:rsidRDefault="00DA5F1A" w:rsidP="008D7F7B">
            <w:pPr>
              <w:rPr>
                <w:sz w:val="22"/>
                <w:szCs w:val="22"/>
              </w:rPr>
            </w:pPr>
            <w:r>
              <w:rPr>
                <w:sz w:val="22"/>
                <w:szCs w:val="22"/>
              </w:rPr>
              <w:t>03</w:t>
            </w:r>
            <w:r w:rsidRPr="00D17209">
              <w:rPr>
                <w:sz w:val="22"/>
                <w:szCs w:val="22"/>
              </w:rPr>
              <w:t>/</w:t>
            </w:r>
            <w:r>
              <w:rPr>
                <w:sz w:val="22"/>
                <w:szCs w:val="22"/>
              </w:rPr>
              <w:t>2024</w:t>
            </w:r>
            <w:r w:rsidRPr="00D17209">
              <w:rPr>
                <w:sz w:val="22"/>
                <w:szCs w:val="22"/>
              </w:rPr>
              <w:t xml:space="preserve"> - Present</w:t>
            </w:r>
          </w:p>
        </w:tc>
      </w:tr>
      <w:tr w:rsidR="00DA5F1A" w:rsidRPr="00D17209" w14:paraId="1077745A" w14:textId="77777777" w:rsidTr="00482119">
        <w:trPr>
          <w:trHeight w:val="708"/>
        </w:trPr>
        <w:tc>
          <w:tcPr>
            <w:tcW w:w="1375" w:type="pct"/>
            <w:vAlign w:val="center"/>
          </w:tcPr>
          <w:p w14:paraId="064DD2DB" w14:textId="77777777" w:rsidR="00DA5F1A" w:rsidRPr="00D17209" w:rsidRDefault="00DA5F1A" w:rsidP="008D7F7B">
            <w:pPr>
              <w:rPr>
                <w:sz w:val="22"/>
                <w:szCs w:val="22"/>
              </w:rPr>
            </w:pPr>
            <w:r w:rsidRPr="00D17209">
              <w:rPr>
                <w:sz w:val="22"/>
                <w:szCs w:val="22"/>
              </w:rPr>
              <w:t xml:space="preserve">Summary: </w:t>
            </w:r>
          </w:p>
        </w:tc>
        <w:tc>
          <w:tcPr>
            <w:tcW w:w="3625" w:type="pct"/>
            <w:gridSpan w:val="3"/>
            <w:vAlign w:val="center"/>
          </w:tcPr>
          <w:p w14:paraId="729ED866" w14:textId="77777777" w:rsidR="00DA5F1A" w:rsidRPr="000E1F79" w:rsidRDefault="00DA5F1A" w:rsidP="008D7F7B">
            <w:pPr>
              <w:rPr>
                <w:sz w:val="22"/>
                <w:szCs w:val="22"/>
                <w:lang w:val="en-CA"/>
              </w:rPr>
            </w:pPr>
            <w:r w:rsidRPr="000E1F79">
              <w:rPr>
                <w:sz w:val="22"/>
                <w:szCs w:val="22"/>
                <w:lang w:val="en-CA"/>
              </w:rPr>
              <w:t xml:space="preserve">Recommendation ITU-T X.1281 describes a set of standardized application </w:t>
            </w:r>
            <w:r>
              <w:rPr>
                <w:sz w:val="22"/>
                <w:szCs w:val="22"/>
                <w:lang w:val="en-CA"/>
              </w:rPr>
              <w:t>programming</w:t>
            </w:r>
            <w:r w:rsidRPr="000E1F79">
              <w:rPr>
                <w:sz w:val="22"/>
                <w:szCs w:val="22"/>
                <w:lang w:val="en-CA"/>
              </w:rPr>
              <w:t xml:space="preserve"> interfaces (APIs) needed to connect the multiple building blocks of an identity management solution.</w:t>
            </w:r>
            <w:r>
              <w:rPr>
                <w:sz w:val="22"/>
                <w:szCs w:val="22"/>
                <w:lang w:val="en-CA"/>
              </w:rPr>
              <w:t xml:space="preserve"> </w:t>
            </w:r>
            <w:r w:rsidRPr="00F017D1">
              <w:rPr>
                <w:sz w:val="22"/>
                <w:szCs w:val="22"/>
              </w:rPr>
              <w:t>That is, it provides a standard programming interface so that identity management components (population registry, biometric sub-systems, credential systems, identity-provider modules, etc.) from different vendors can interoperate</w:t>
            </w:r>
            <w:r>
              <w:rPr>
                <w:sz w:val="22"/>
                <w:szCs w:val="22"/>
              </w:rPr>
              <w:t>.</w:t>
            </w:r>
          </w:p>
          <w:p w14:paraId="52E0ADC6" w14:textId="77777777" w:rsidR="00DA5F1A" w:rsidRPr="00D73715" w:rsidRDefault="00DA5F1A" w:rsidP="008D7F7B">
            <w:pPr>
              <w:rPr>
                <w:sz w:val="22"/>
                <w:szCs w:val="22"/>
                <w:lang w:val="en-CA"/>
              </w:rPr>
            </w:pPr>
            <w:r w:rsidRPr="000E1F79">
              <w:rPr>
                <w:sz w:val="22"/>
                <w:szCs w:val="22"/>
                <w:lang w:val="en-CA"/>
              </w:rPr>
              <w:t>NOTE – </w:t>
            </w:r>
            <w:r w:rsidRPr="00BF3B8A">
              <w:rPr>
                <w:sz w:val="22"/>
                <w:szCs w:val="22"/>
              </w:rPr>
              <w:t>Because it is technically equivalent to the OSIA specification, implementations of OSIA count as implementations of X.1281</w:t>
            </w:r>
            <w:r>
              <w:rPr>
                <w:sz w:val="22"/>
                <w:szCs w:val="22"/>
              </w:rPr>
              <w:t>.</w:t>
            </w:r>
          </w:p>
        </w:tc>
      </w:tr>
      <w:tr w:rsidR="00DA5F1A" w:rsidRPr="00D17209" w14:paraId="01B78711" w14:textId="77777777" w:rsidTr="00482119">
        <w:trPr>
          <w:trHeight w:val="413"/>
        </w:trPr>
        <w:tc>
          <w:tcPr>
            <w:tcW w:w="5000" w:type="pct"/>
            <w:gridSpan w:val="4"/>
            <w:shd w:val="clear" w:color="auto" w:fill="D9D9D9" w:themeFill="background1" w:themeFillShade="D9"/>
            <w:vAlign w:val="center"/>
          </w:tcPr>
          <w:p w14:paraId="51B757FE" w14:textId="77777777" w:rsidR="00DA5F1A" w:rsidRPr="00D17209" w:rsidRDefault="00DA5F1A" w:rsidP="008D7F7B">
            <w:pPr>
              <w:jc w:val="center"/>
              <w:rPr>
                <w:sz w:val="22"/>
                <w:szCs w:val="22"/>
              </w:rPr>
            </w:pPr>
            <w:r w:rsidRPr="00D17209">
              <w:rPr>
                <w:b/>
                <w:bCs/>
                <w:sz w:val="22"/>
                <w:szCs w:val="22"/>
                <w:u w:val="single"/>
              </w:rPr>
              <w:t>SUCCESS STORY</w:t>
            </w:r>
          </w:p>
        </w:tc>
      </w:tr>
      <w:tr w:rsidR="00DA5F1A" w:rsidRPr="00D17209" w14:paraId="298D44DB" w14:textId="77777777" w:rsidTr="00482119">
        <w:trPr>
          <w:trHeight w:val="1246"/>
        </w:trPr>
        <w:tc>
          <w:tcPr>
            <w:tcW w:w="1375" w:type="pct"/>
            <w:vAlign w:val="center"/>
          </w:tcPr>
          <w:p w14:paraId="78C537D7" w14:textId="77777777" w:rsidR="00DA5F1A" w:rsidRDefault="00DA5F1A" w:rsidP="008D7F7B">
            <w:pPr>
              <w:rPr>
                <w:sz w:val="22"/>
                <w:szCs w:val="22"/>
              </w:rPr>
            </w:pPr>
            <w:r w:rsidRPr="00D17209">
              <w:rPr>
                <w:sz w:val="22"/>
                <w:szCs w:val="22"/>
              </w:rPr>
              <w:t xml:space="preserve">Implementation </w:t>
            </w:r>
            <w:r>
              <w:rPr>
                <w:sz w:val="22"/>
                <w:szCs w:val="22"/>
              </w:rPr>
              <w:t>t</w:t>
            </w:r>
            <w:r w:rsidRPr="00D17209">
              <w:rPr>
                <w:sz w:val="22"/>
                <w:szCs w:val="22"/>
              </w:rPr>
              <w:t>ype:</w:t>
            </w:r>
          </w:p>
          <w:p w14:paraId="40FC3ACE" w14:textId="77777777" w:rsidR="00DA5F1A" w:rsidRPr="00D17209" w:rsidRDefault="00DA5F1A" w:rsidP="008D7F7B">
            <w:pPr>
              <w:rPr>
                <w:sz w:val="22"/>
                <w:szCs w:val="22"/>
              </w:rPr>
            </w:pPr>
            <w:r w:rsidRPr="00D17209">
              <w:rPr>
                <w:i/>
                <w:iCs/>
                <w:sz w:val="22"/>
                <w:szCs w:val="22"/>
              </w:rPr>
              <w:t>(</w:t>
            </w:r>
            <w:r>
              <w:rPr>
                <w:i/>
                <w:iCs/>
                <w:sz w:val="22"/>
                <w:szCs w:val="22"/>
              </w:rPr>
              <w:t>Select all that apply and provide information below</w:t>
            </w:r>
            <w:r w:rsidRPr="00D17209">
              <w:rPr>
                <w:i/>
                <w:iCs/>
                <w:sz w:val="22"/>
                <w:szCs w:val="22"/>
              </w:rPr>
              <w:t>)</w:t>
            </w:r>
          </w:p>
        </w:tc>
        <w:tc>
          <w:tcPr>
            <w:tcW w:w="3625" w:type="pct"/>
            <w:gridSpan w:val="3"/>
          </w:tcPr>
          <w:p w14:paraId="2768B971" w14:textId="77777777" w:rsidR="00DA5F1A" w:rsidRDefault="00DA5F1A" w:rsidP="008D7F7B">
            <w:pPr>
              <w:spacing w:before="0"/>
              <w:rPr>
                <w:sz w:val="22"/>
                <w:szCs w:val="22"/>
              </w:rPr>
            </w:pPr>
            <w:r>
              <w:rPr>
                <w:rFonts w:ascii="Segoe UI Symbol" w:hAnsi="Segoe UI Symbol" w:cs="Segoe UI Symbol"/>
                <w:sz w:val="22"/>
                <w:szCs w:val="22"/>
              </w:rPr>
              <w:t>X</w:t>
            </w:r>
            <w:r w:rsidRPr="00D17209">
              <w:rPr>
                <w:sz w:val="22"/>
                <w:szCs w:val="22"/>
              </w:rPr>
              <w:t xml:space="preserve"> </w:t>
            </w:r>
            <w:r>
              <w:rPr>
                <w:sz w:val="22"/>
                <w:szCs w:val="22"/>
              </w:rPr>
              <w:t>Telecom/</w:t>
            </w:r>
            <w:r w:rsidRPr="00D17209">
              <w:rPr>
                <w:sz w:val="22"/>
                <w:szCs w:val="22"/>
              </w:rPr>
              <w:t xml:space="preserve">ICT </w:t>
            </w:r>
            <w:r>
              <w:rPr>
                <w:sz w:val="22"/>
                <w:szCs w:val="22"/>
              </w:rPr>
              <w:t>p</w:t>
            </w:r>
            <w:r w:rsidRPr="00D17209">
              <w:rPr>
                <w:sz w:val="22"/>
                <w:szCs w:val="22"/>
              </w:rPr>
              <w:t>roducts/</w:t>
            </w:r>
            <w:r>
              <w:rPr>
                <w:sz w:val="22"/>
                <w:szCs w:val="22"/>
              </w:rPr>
              <w:t>s</w:t>
            </w:r>
            <w:r w:rsidRPr="00D17209">
              <w:rPr>
                <w:sz w:val="22"/>
                <w:szCs w:val="22"/>
              </w:rPr>
              <w:t>ervices</w:t>
            </w:r>
            <w:r w:rsidRPr="00D17209">
              <w:rPr>
                <w:sz w:val="22"/>
                <w:szCs w:val="22"/>
              </w:rPr>
              <w:br/>
            </w:r>
            <w:r w:rsidRPr="00D17209">
              <w:rPr>
                <w:rFonts w:ascii="Segoe UI Symbol" w:hAnsi="Segoe UI Symbol" w:cs="Segoe UI Symbol"/>
                <w:sz w:val="22"/>
                <w:szCs w:val="22"/>
              </w:rPr>
              <w:t>☐</w:t>
            </w:r>
            <w:r w:rsidRPr="00D17209">
              <w:rPr>
                <w:sz w:val="22"/>
                <w:szCs w:val="22"/>
              </w:rPr>
              <w:t xml:space="preserve"> </w:t>
            </w:r>
            <w:r>
              <w:rPr>
                <w:sz w:val="22"/>
                <w:szCs w:val="22"/>
              </w:rPr>
              <w:t>Telecom/</w:t>
            </w:r>
            <w:r w:rsidRPr="00D17209">
              <w:rPr>
                <w:sz w:val="22"/>
                <w:szCs w:val="22"/>
              </w:rPr>
              <w:t xml:space="preserve">ICT </w:t>
            </w:r>
            <w:r>
              <w:rPr>
                <w:sz w:val="22"/>
                <w:szCs w:val="22"/>
              </w:rPr>
              <w:t>r</w:t>
            </w:r>
            <w:r w:rsidRPr="00D17209">
              <w:rPr>
                <w:sz w:val="22"/>
                <w:szCs w:val="22"/>
              </w:rPr>
              <w:t>egulations/</w:t>
            </w:r>
            <w:r>
              <w:rPr>
                <w:sz w:val="22"/>
                <w:szCs w:val="22"/>
              </w:rPr>
              <w:t>p</w:t>
            </w:r>
            <w:r w:rsidRPr="00D17209">
              <w:rPr>
                <w:sz w:val="22"/>
                <w:szCs w:val="22"/>
              </w:rPr>
              <w:t>olicies</w:t>
            </w:r>
            <w:r>
              <w:rPr>
                <w:sz w:val="22"/>
                <w:szCs w:val="22"/>
              </w:rPr>
              <w:t xml:space="preserve">/national standards </w:t>
            </w:r>
            <w:r w:rsidRPr="00D17209">
              <w:rPr>
                <w:sz w:val="22"/>
                <w:szCs w:val="22"/>
              </w:rPr>
              <w:br/>
            </w:r>
            <w:r w:rsidRPr="00D17209">
              <w:rPr>
                <w:rFonts w:ascii="Segoe UI Symbol" w:hAnsi="Segoe UI Symbol" w:cs="Segoe UI Symbol"/>
                <w:sz w:val="22"/>
                <w:szCs w:val="22"/>
              </w:rPr>
              <w:t>☐</w:t>
            </w:r>
            <w:r w:rsidRPr="00D17209">
              <w:rPr>
                <w:sz w:val="22"/>
                <w:szCs w:val="22"/>
              </w:rPr>
              <w:t xml:space="preserve"> International </w:t>
            </w:r>
            <w:r>
              <w:rPr>
                <w:sz w:val="22"/>
                <w:szCs w:val="22"/>
              </w:rPr>
              <w:t>s</w:t>
            </w:r>
            <w:r w:rsidRPr="00D17209">
              <w:rPr>
                <w:sz w:val="22"/>
                <w:szCs w:val="22"/>
              </w:rPr>
              <w:t>tandards</w:t>
            </w:r>
            <w:r>
              <w:rPr>
                <w:sz w:val="22"/>
                <w:szCs w:val="22"/>
              </w:rPr>
              <w:t>/ Recommendations</w:t>
            </w:r>
          </w:p>
          <w:p w14:paraId="779EFE43" w14:textId="77777777" w:rsidR="00DA5F1A" w:rsidRPr="00D17209" w:rsidRDefault="00DA5F1A" w:rsidP="008D7F7B">
            <w:pPr>
              <w:spacing w:before="0"/>
              <w:rPr>
                <w:sz w:val="22"/>
                <w:szCs w:val="22"/>
              </w:rPr>
            </w:pPr>
            <w:r w:rsidRPr="00D17209">
              <w:rPr>
                <w:rFonts w:ascii="Segoe UI Symbol" w:hAnsi="Segoe UI Symbol" w:cs="Segoe UI Symbol"/>
                <w:sz w:val="22"/>
                <w:szCs w:val="22"/>
              </w:rPr>
              <w:t>☐</w:t>
            </w:r>
            <w:r w:rsidRPr="00D17209">
              <w:rPr>
                <w:sz w:val="22"/>
                <w:szCs w:val="22"/>
              </w:rPr>
              <w:t xml:space="preserve"> </w:t>
            </w:r>
            <w:r w:rsidRPr="00085E95">
              <w:rPr>
                <w:sz w:val="22"/>
                <w:szCs w:val="22"/>
              </w:rPr>
              <w:t>Other</w:t>
            </w:r>
          </w:p>
        </w:tc>
      </w:tr>
      <w:tr w:rsidR="00DA5F1A" w:rsidRPr="00D17209" w14:paraId="6F995C0C" w14:textId="77777777" w:rsidTr="00482119">
        <w:trPr>
          <w:gridAfter w:val="1"/>
          <w:wAfter w:w="5" w:type="pct"/>
          <w:trHeight w:val="848"/>
        </w:trPr>
        <w:tc>
          <w:tcPr>
            <w:tcW w:w="1375" w:type="pct"/>
            <w:vMerge w:val="restart"/>
            <w:vAlign w:val="center"/>
          </w:tcPr>
          <w:p w14:paraId="2B974A6B" w14:textId="77777777" w:rsidR="00DA5F1A" w:rsidRPr="00ED5AC1" w:rsidRDefault="00DA5F1A" w:rsidP="008D7F7B">
            <w:pPr>
              <w:rPr>
                <w:rFonts w:ascii="Segoe UI Symbol" w:hAnsi="Segoe UI Symbol" w:cs="Segoe UI Symbol"/>
                <w:b/>
                <w:bCs/>
                <w:u w:val="single"/>
              </w:rPr>
            </w:pPr>
            <w:r>
              <w:rPr>
                <w:b/>
                <w:bCs/>
                <w:u w:val="single"/>
              </w:rPr>
              <w:t>Telecom/</w:t>
            </w:r>
            <w:r w:rsidRPr="00ED5AC1">
              <w:rPr>
                <w:b/>
                <w:bCs/>
                <w:u w:val="single"/>
              </w:rPr>
              <w:t xml:space="preserve">ICT </w:t>
            </w:r>
            <w:r>
              <w:rPr>
                <w:b/>
                <w:bCs/>
                <w:u w:val="single"/>
              </w:rPr>
              <w:t>p</w:t>
            </w:r>
            <w:r w:rsidRPr="00ED5AC1">
              <w:rPr>
                <w:b/>
                <w:bCs/>
                <w:u w:val="single"/>
              </w:rPr>
              <w:t>roducts/</w:t>
            </w:r>
            <w:r>
              <w:rPr>
                <w:b/>
                <w:bCs/>
                <w:u w:val="single"/>
              </w:rPr>
              <w:t>s</w:t>
            </w:r>
            <w:r w:rsidRPr="00ED5AC1">
              <w:rPr>
                <w:b/>
                <w:bCs/>
                <w:u w:val="single"/>
              </w:rPr>
              <w:t>ervices</w:t>
            </w:r>
          </w:p>
        </w:tc>
        <w:tc>
          <w:tcPr>
            <w:tcW w:w="1752" w:type="pct"/>
          </w:tcPr>
          <w:p w14:paraId="660EC1F0" w14:textId="77777777" w:rsidR="00DA5F1A" w:rsidRPr="00D17209" w:rsidRDefault="00DA5F1A" w:rsidP="008D7F7B">
            <w:pPr>
              <w:rPr>
                <w:b/>
                <w:bCs/>
                <w:sz w:val="22"/>
                <w:szCs w:val="22"/>
              </w:rPr>
            </w:pPr>
            <w:r w:rsidRPr="00D17209">
              <w:rPr>
                <w:b/>
                <w:bCs/>
                <w:sz w:val="22"/>
                <w:szCs w:val="22"/>
              </w:rPr>
              <w:t xml:space="preserve">Implementing </w:t>
            </w:r>
            <w:r>
              <w:rPr>
                <w:b/>
                <w:bCs/>
                <w:sz w:val="22"/>
                <w:szCs w:val="22"/>
              </w:rPr>
              <w:t>b</w:t>
            </w:r>
            <w:r w:rsidRPr="00D17209">
              <w:rPr>
                <w:b/>
                <w:bCs/>
                <w:sz w:val="22"/>
                <w:szCs w:val="22"/>
              </w:rPr>
              <w:t xml:space="preserve">ody: </w:t>
            </w:r>
          </w:p>
          <w:p w14:paraId="5F32F093" w14:textId="77777777" w:rsidR="00DA5F1A" w:rsidRDefault="00DA5F1A" w:rsidP="008D7F7B">
            <w:pPr>
              <w:rPr>
                <w:sz w:val="22"/>
                <w:szCs w:val="22"/>
              </w:rPr>
            </w:pPr>
            <w:r w:rsidRPr="005F5F31">
              <w:rPr>
                <w:sz w:val="22"/>
                <w:szCs w:val="22"/>
              </w:rPr>
              <w:t>- IDEMIA</w:t>
            </w:r>
          </w:p>
          <w:p w14:paraId="40440FD1" w14:textId="77777777" w:rsidR="00DA5F1A" w:rsidRDefault="00DA5F1A" w:rsidP="008D7F7B">
            <w:pPr>
              <w:rPr>
                <w:sz w:val="22"/>
                <w:szCs w:val="22"/>
              </w:rPr>
            </w:pPr>
          </w:p>
          <w:p w14:paraId="0E1FABA8" w14:textId="77777777" w:rsidR="00DA5F1A" w:rsidRPr="00D17209" w:rsidRDefault="00DA5F1A" w:rsidP="008D7F7B">
            <w:pPr>
              <w:rPr>
                <w:sz w:val="22"/>
                <w:szCs w:val="22"/>
              </w:rPr>
            </w:pPr>
            <w:r w:rsidRPr="005F5F31">
              <w:rPr>
                <w:sz w:val="22"/>
                <w:szCs w:val="22"/>
              </w:rPr>
              <w:lastRenderedPageBreak/>
              <w:br/>
              <w:t xml:space="preserve">- TECH5  </w:t>
            </w:r>
          </w:p>
        </w:tc>
        <w:tc>
          <w:tcPr>
            <w:tcW w:w="1869" w:type="pct"/>
          </w:tcPr>
          <w:p w14:paraId="700900A1" w14:textId="77777777" w:rsidR="00DA5F1A" w:rsidRPr="00D17209" w:rsidRDefault="00DA5F1A" w:rsidP="008D7F7B">
            <w:pPr>
              <w:rPr>
                <w:b/>
                <w:bCs/>
                <w:sz w:val="22"/>
                <w:szCs w:val="22"/>
              </w:rPr>
            </w:pPr>
            <w:r w:rsidRPr="00D17209">
              <w:rPr>
                <w:b/>
                <w:bCs/>
                <w:sz w:val="22"/>
                <w:szCs w:val="22"/>
              </w:rPr>
              <w:lastRenderedPageBreak/>
              <w:t>Implementation:</w:t>
            </w:r>
          </w:p>
          <w:p w14:paraId="246A0DF6" w14:textId="77777777" w:rsidR="00DA5F1A" w:rsidRPr="00B7146E" w:rsidRDefault="00DA5F1A" w:rsidP="00DA5F1A">
            <w:pPr>
              <w:pStyle w:val="ListParagraph"/>
              <w:numPr>
                <w:ilvl w:val="0"/>
                <w:numId w:val="23"/>
              </w:numPr>
              <w:ind w:left="240" w:hanging="180"/>
              <w:rPr>
                <w:sz w:val="22"/>
                <w:szCs w:val="22"/>
              </w:rPr>
            </w:pPr>
            <w:r w:rsidRPr="00662B83">
              <w:rPr>
                <w:sz w:val="22"/>
                <w:szCs w:val="22"/>
              </w:rPr>
              <w:t xml:space="preserve">“Smart Identity / IBRS” multimodal biometric-recognition service has been awarded “OSIA-qualified” status. </w:t>
            </w:r>
            <w:hyperlink r:id="rId23" w:history="1">
              <w:r w:rsidRPr="00662B83">
                <w:rPr>
                  <w:rStyle w:val="Hyperlink"/>
                  <w:sz w:val="22"/>
                  <w:szCs w:val="22"/>
                </w:rPr>
                <w:t>Biometric Update</w:t>
              </w:r>
            </w:hyperlink>
          </w:p>
          <w:p w14:paraId="13A65862" w14:textId="77777777" w:rsidR="00DA5F1A" w:rsidRPr="00662B83" w:rsidRDefault="00DA5F1A" w:rsidP="00DA5F1A">
            <w:pPr>
              <w:pStyle w:val="ListParagraph"/>
              <w:numPr>
                <w:ilvl w:val="0"/>
                <w:numId w:val="23"/>
              </w:numPr>
              <w:ind w:left="240" w:hanging="180"/>
              <w:rPr>
                <w:sz w:val="22"/>
                <w:szCs w:val="22"/>
              </w:rPr>
            </w:pPr>
            <w:r w:rsidRPr="00662B83">
              <w:rPr>
                <w:sz w:val="22"/>
                <w:szCs w:val="22"/>
              </w:rPr>
              <w:lastRenderedPageBreak/>
              <w:t xml:space="preserve">ABIS (Automated Biometric Identification System) engine (T5-OmniMatch) claims compliance with OSIA APIs (Population Registry, Biometric Systems modules) for identity-management / national-ID deployment. </w:t>
            </w:r>
            <w:hyperlink r:id="rId24" w:tgtFrame="_blank" w:history="1">
              <w:r w:rsidRPr="00662B83">
                <w:rPr>
                  <w:rStyle w:val="Hyperlink"/>
                  <w:sz w:val="22"/>
                  <w:szCs w:val="22"/>
                </w:rPr>
                <w:t>I</w:t>
              </w:r>
              <w:r w:rsidRPr="00276252">
                <w:rPr>
                  <w:rStyle w:val="Hyperlink"/>
                  <w:sz w:val="22"/>
                  <w:szCs w:val="22"/>
                </w:rPr>
                <w:t>D Tech</w:t>
              </w:r>
            </w:hyperlink>
          </w:p>
        </w:tc>
      </w:tr>
      <w:tr w:rsidR="00DA5F1A" w:rsidRPr="00D17209" w14:paraId="011E0FB8" w14:textId="77777777" w:rsidTr="00482119">
        <w:trPr>
          <w:trHeight w:val="1232"/>
        </w:trPr>
        <w:tc>
          <w:tcPr>
            <w:tcW w:w="1375" w:type="pct"/>
            <w:vMerge/>
            <w:vAlign w:val="center"/>
          </w:tcPr>
          <w:p w14:paraId="696D3E41" w14:textId="77777777" w:rsidR="00DA5F1A" w:rsidRPr="00ED5AC1" w:rsidRDefault="00DA5F1A" w:rsidP="008D7F7B">
            <w:pPr>
              <w:rPr>
                <w:b/>
                <w:bCs/>
                <w:u w:val="single"/>
              </w:rPr>
            </w:pPr>
          </w:p>
        </w:tc>
        <w:tc>
          <w:tcPr>
            <w:tcW w:w="3625" w:type="pct"/>
            <w:gridSpan w:val="3"/>
          </w:tcPr>
          <w:p w14:paraId="1EFA343C" w14:textId="77777777" w:rsidR="00DA5F1A" w:rsidRPr="00D17209" w:rsidRDefault="00DA5F1A" w:rsidP="008D7F7B">
            <w:pPr>
              <w:rPr>
                <w:b/>
                <w:bCs/>
                <w:sz w:val="22"/>
                <w:szCs w:val="22"/>
              </w:rPr>
            </w:pPr>
            <w:r w:rsidRPr="00D17209">
              <w:rPr>
                <w:b/>
                <w:bCs/>
                <w:sz w:val="22"/>
                <w:szCs w:val="22"/>
              </w:rPr>
              <w:t xml:space="preserve">Implementation </w:t>
            </w:r>
            <w:r>
              <w:rPr>
                <w:b/>
                <w:bCs/>
                <w:sz w:val="22"/>
                <w:szCs w:val="22"/>
              </w:rPr>
              <w:t>s</w:t>
            </w:r>
            <w:r w:rsidRPr="00D17209">
              <w:rPr>
                <w:b/>
                <w:bCs/>
                <w:sz w:val="22"/>
                <w:szCs w:val="22"/>
              </w:rPr>
              <w:t>ummary:</w:t>
            </w:r>
          </w:p>
          <w:p w14:paraId="7FB2957E" w14:textId="77777777" w:rsidR="00DA5F1A" w:rsidRPr="00D17209" w:rsidRDefault="00DA5F1A" w:rsidP="008D7F7B">
            <w:pPr>
              <w:rPr>
                <w:sz w:val="22"/>
                <w:szCs w:val="22"/>
              </w:rPr>
            </w:pPr>
            <w:r w:rsidRPr="00965069">
              <w:rPr>
                <w:sz w:val="22"/>
                <w:szCs w:val="22"/>
              </w:rPr>
              <w:t>Vendors integrate X.1281/OSIA APIs into identity-management and biometric systems to ensure their components can interoperate within multi-vendor national ID ecosystems. Qualification programs further strengthen confidence that products conform to the standard and can be deployed interchangeably.</w:t>
            </w:r>
          </w:p>
        </w:tc>
      </w:tr>
      <w:tr w:rsidR="00DA5F1A" w:rsidRPr="00D17209" w14:paraId="659DEAD9" w14:textId="77777777" w:rsidTr="00482119">
        <w:trPr>
          <w:gridAfter w:val="1"/>
          <w:wAfter w:w="5" w:type="pct"/>
          <w:trHeight w:val="1169"/>
        </w:trPr>
        <w:tc>
          <w:tcPr>
            <w:tcW w:w="1375" w:type="pct"/>
            <w:vMerge w:val="restart"/>
            <w:vAlign w:val="center"/>
          </w:tcPr>
          <w:p w14:paraId="794DAC94" w14:textId="77777777" w:rsidR="00DA5F1A" w:rsidRPr="00ED5AC1" w:rsidRDefault="00DA5F1A" w:rsidP="008D7F7B">
            <w:pPr>
              <w:rPr>
                <w:rFonts w:ascii="Segoe UI Symbol" w:hAnsi="Segoe UI Symbol" w:cs="Segoe UI Symbol"/>
                <w:b/>
                <w:bCs/>
                <w:u w:val="single"/>
              </w:rPr>
            </w:pPr>
            <w:r>
              <w:rPr>
                <w:b/>
                <w:bCs/>
                <w:u w:val="single"/>
              </w:rPr>
              <w:t>Telecom/</w:t>
            </w:r>
            <w:r w:rsidRPr="00ED5AC1">
              <w:rPr>
                <w:b/>
                <w:bCs/>
                <w:u w:val="single"/>
              </w:rPr>
              <w:t xml:space="preserve">ICT </w:t>
            </w:r>
            <w:r>
              <w:rPr>
                <w:b/>
                <w:bCs/>
                <w:u w:val="single"/>
              </w:rPr>
              <w:t>r</w:t>
            </w:r>
            <w:r w:rsidRPr="00ED5AC1">
              <w:rPr>
                <w:b/>
                <w:bCs/>
                <w:u w:val="single"/>
              </w:rPr>
              <w:t>egulations/</w:t>
            </w:r>
            <w:r>
              <w:rPr>
                <w:b/>
                <w:bCs/>
                <w:u w:val="single"/>
              </w:rPr>
              <w:t>p</w:t>
            </w:r>
            <w:r w:rsidRPr="00ED5AC1">
              <w:rPr>
                <w:b/>
                <w:bCs/>
                <w:u w:val="single"/>
              </w:rPr>
              <w:t>olicies</w:t>
            </w:r>
            <w:r>
              <w:rPr>
                <w:b/>
                <w:bCs/>
                <w:u w:val="single"/>
              </w:rPr>
              <w:t>/ national Standards</w:t>
            </w:r>
          </w:p>
        </w:tc>
        <w:tc>
          <w:tcPr>
            <w:tcW w:w="1752" w:type="pct"/>
          </w:tcPr>
          <w:p w14:paraId="33E2A673" w14:textId="77777777" w:rsidR="00DA5F1A" w:rsidRPr="00D17209" w:rsidRDefault="00DA5F1A" w:rsidP="008D7F7B">
            <w:pPr>
              <w:rPr>
                <w:b/>
                <w:bCs/>
                <w:sz w:val="22"/>
                <w:szCs w:val="22"/>
              </w:rPr>
            </w:pPr>
            <w:r w:rsidRPr="00D17209">
              <w:rPr>
                <w:b/>
                <w:bCs/>
                <w:sz w:val="22"/>
                <w:szCs w:val="22"/>
              </w:rPr>
              <w:t xml:space="preserve">Implementing </w:t>
            </w:r>
            <w:r>
              <w:rPr>
                <w:b/>
                <w:bCs/>
                <w:sz w:val="22"/>
                <w:szCs w:val="22"/>
              </w:rPr>
              <w:t>b</w:t>
            </w:r>
            <w:r w:rsidRPr="00D17209">
              <w:rPr>
                <w:b/>
                <w:bCs/>
                <w:sz w:val="22"/>
                <w:szCs w:val="22"/>
              </w:rPr>
              <w:t xml:space="preserve">ody: </w:t>
            </w:r>
          </w:p>
          <w:p w14:paraId="19185263" w14:textId="77777777" w:rsidR="00DA5F1A" w:rsidRPr="003979E7" w:rsidRDefault="00DA5F1A" w:rsidP="00DA5F1A">
            <w:pPr>
              <w:pStyle w:val="ListParagraph"/>
              <w:numPr>
                <w:ilvl w:val="0"/>
                <w:numId w:val="22"/>
              </w:numPr>
              <w:ind w:left="260" w:hanging="180"/>
              <w:rPr>
                <w:rFonts w:ascii="Segoe UI Symbol" w:hAnsi="Segoe UI Symbol" w:cs="Segoe UI Symbol"/>
                <w:sz w:val="22"/>
                <w:szCs w:val="22"/>
              </w:rPr>
            </w:pPr>
            <w:r w:rsidRPr="00D954FA">
              <w:rPr>
                <w:sz w:val="22"/>
                <w:szCs w:val="22"/>
              </w:rPr>
              <w:t>Government of ANIES (Guinea)</w:t>
            </w:r>
            <w:r>
              <w:rPr>
                <w:sz w:val="22"/>
                <w:szCs w:val="22"/>
              </w:rPr>
              <w:t>,</w:t>
            </w:r>
            <w:r w:rsidRPr="00D954FA">
              <w:rPr>
                <w:sz w:val="22"/>
                <w:szCs w:val="22"/>
              </w:rPr>
              <w:t xml:space="preserve"> </w:t>
            </w:r>
            <w:r>
              <w:rPr>
                <w:sz w:val="22"/>
                <w:szCs w:val="22"/>
              </w:rPr>
              <w:t>t</w:t>
            </w:r>
            <w:r w:rsidRPr="00D954FA">
              <w:rPr>
                <w:sz w:val="22"/>
                <w:szCs w:val="22"/>
              </w:rPr>
              <w:t>he national agency responsible for social &amp; economic inclusion in Guinea</w:t>
            </w:r>
          </w:p>
          <w:p w14:paraId="551D53D0" w14:textId="77777777" w:rsidR="00DA5F1A" w:rsidRDefault="00DA5F1A" w:rsidP="008D7F7B">
            <w:pPr>
              <w:pStyle w:val="ListParagraph"/>
              <w:ind w:left="260"/>
              <w:rPr>
                <w:rFonts w:ascii="Segoe UI Symbol" w:hAnsi="Segoe UI Symbol" w:cs="Segoe UI Symbol"/>
                <w:sz w:val="22"/>
                <w:szCs w:val="22"/>
              </w:rPr>
            </w:pPr>
          </w:p>
          <w:p w14:paraId="61254713" w14:textId="77777777" w:rsidR="00DA5F1A" w:rsidRDefault="00DA5F1A" w:rsidP="008D7F7B">
            <w:pPr>
              <w:pStyle w:val="ListParagraph"/>
              <w:ind w:left="260"/>
              <w:rPr>
                <w:rFonts w:ascii="Segoe UI Symbol" w:hAnsi="Segoe UI Symbol" w:cs="Segoe UI Symbol"/>
                <w:sz w:val="22"/>
                <w:szCs w:val="22"/>
              </w:rPr>
            </w:pPr>
          </w:p>
          <w:p w14:paraId="6E248F0C" w14:textId="77777777" w:rsidR="00DA5F1A" w:rsidRDefault="00DA5F1A" w:rsidP="008D7F7B">
            <w:pPr>
              <w:pStyle w:val="ListParagraph"/>
              <w:ind w:left="260"/>
              <w:rPr>
                <w:rFonts w:ascii="Segoe UI Symbol" w:hAnsi="Segoe UI Symbol" w:cs="Segoe UI Symbol"/>
                <w:sz w:val="22"/>
                <w:szCs w:val="22"/>
              </w:rPr>
            </w:pPr>
          </w:p>
          <w:p w14:paraId="0B90B5D3" w14:textId="77777777" w:rsidR="00DA5F1A" w:rsidRPr="003979E7" w:rsidRDefault="00DA5F1A" w:rsidP="008D7F7B">
            <w:pPr>
              <w:pStyle w:val="ListParagraph"/>
              <w:ind w:left="260"/>
              <w:rPr>
                <w:rFonts w:ascii="Segoe UI Symbol" w:hAnsi="Segoe UI Symbol" w:cs="Segoe UI Symbol"/>
                <w:sz w:val="22"/>
                <w:szCs w:val="22"/>
              </w:rPr>
            </w:pPr>
          </w:p>
          <w:p w14:paraId="499C19DF" w14:textId="77777777" w:rsidR="00DA5F1A" w:rsidRPr="00D954FA" w:rsidRDefault="00DA5F1A" w:rsidP="00DA5F1A">
            <w:pPr>
              <w:pStyle w:val="ListParagraph"/>
              <w:numPr>
                <w:ilvl w:val="0"/>
                <w:numId w:val="22"/>
              </w:numPr>
              <w:ind w:left="260" w:hanging="180"/>
              <w:rPr>
                <w:rFonts w:ascii="Segoe UI Symbol" w:hAnsi="Segoe UI Symbol" w:cs="Segoe UI Symbol"/>
                <w:sz w:val="22"/>
                <w:szCs w:val="22"/>
              </w:rPr>
            </w:pPr>
            <w:r w:rsidRPr="00D376BA">
              <w:rPr>
                <w:rFonts w:ascii="Segoe UI Symbol" w:hAnsi="Segoe UI Symbol" w:cs="Segoe UI Symbol"/>
                <w:sz w:val="22"/>
                <w:szCs w:val="22"/>
              </w:rPr>
              <w:t>(</w:t>
            </w:r>
            <w:r w:rsidRPr="00D376BA">
              <w:rPr>
                <w:sz w:val="22"/>
                <w:szCs w:val="22"/>
              </w:rPr>
              <w:t>Potential / planned) national identity infrastructures where OSIA is used as the interoperability foundation</w:t>
            </w:r>
            <w:r>
              <w:rPr>
                <w:sz w:val="22"/>
                <w:szCs w:val="22"/>
              </w:rPr>
              <w:t>,</w:t>
            </w:r>
            <w:r w:rsidRPr="00D376BA">
              <w:rPr>
                <w:sz w:val="22"/>
                <w:szCs w:val="22"/>
              </w:rPr>
              <w:t xml:space="preserve"> as noted in public-sector project descriptions by SIA</w:t>
            </w:r>
          </w:p>
        </w:tc>
        <w:tc>
          <w:tcPr>
            <w:tcW w:w="1869" w:type="pct"/>
          </w:tcPr>
          <w:p w14:paraId="04995F06" w14:textId="77777777" w:rsidR="00DA5F1A" w:rsidRPr="00D17209" w:rsidRDefault="00DA5F1A" w:rsidP="008D7F7B">
            <w:pPr>
              <w:rPr>
                <w:b/>
                <w:bCs/>
                <w:sz w:val="22"/>
                <w:szCs w:val="22"/>
              </w:rPr>
            </w:pPr>
            <w:r w:rsidRPr="00D17209">
              <w:rPr>
                <w:b/>
                <w:bCs/>
                <w:sz w:val="22"/>
                <w:szCs w:val="22"/>
              </w:rPr>
              <w:t>Implementation:</w:t>
            </w:r>
          </w:p>
          <w:p w14:paraId="0ADF28F2" w14:textId="77777777" w:rsidR="00DA5F1A" w:rsidRDefault="00DA5F1A" w:rsidP="008D7F7B">
            <w:pPr>
              <w:ind w:left="250" w:hanging="180"/>
              <w:rPr>
                <w:sz w:val="22"/>
                <w:szCs w:val="22"/>
              </w:rPr>
            </w:pPr>
            <w:r w:rsidRPr="00FE1033">
              <w:rPr>
                <w:sz w:val="22"/>
                <w:szCs w:val="22"/>
              </w:rPr>
              <w:t xml:space="preserve">- </w:t>
            </w:r>
            <w:r>
              <w:rPr>
                <w:sz w:val="22"/>
                <w:szCs w:val="22"/>
              </w:rPr>
              <w:t xml:space="preserve">The </w:t>
            </w:r>
            <w:r w:rsidRPr="00D954FA">
              <w:rPr>
                <w:sz w:val="22"/>
                <w:szCs w:val="22"/>
              </w:rPr>
              <w:t xml:space="preserve">national ID /inclusion programme uses OSIA APIs to build a population registry + biometric enrolment + beneficiary-card system that can interoperate across vendors — leveraging open-standard interfaces instead of proprietary ones. </w:t>
            </w:r>
            <w:hyperlink r:id="rId25" w:tgtFrame="_blank" w:history="1">
              <w:r w:rsidRPr="008F5226">
                <w:rPr>
                  <w:color w:val="0000FF"/>
                  <w:u w:val="single"/>
                </w:rPr>
                <w:t>Identity Week</w:t>
              </w:r>
            </w:hyperlink>
          </w:p>
          <w:p w14:paraId="2E32957F" w14:textId="77777777" w:rsidR="00DA5F1A" w:rsidRPr="00D17209" w:rsidRDefault="00DA5F1A" w:rsidP="008D7F7B">
            <w:pPr>
              <w:ind w:left="250" w:hanging="180"/>
              <w:rPr>
                <w:rFonts w:ascii="Segoe UI Symbol" w:hAnsi="Segoe UI Symbol" w:cs="Segoe UI Symbol"/>
                <w:sz w:val="22"/>
                <w:szCs w:val="22"/>
              </w:rPr>
            </w:pPr>
            <w:r w:rsidRPr="00FE1033">
              <w:rPr>
                <w:sz w:val="22"/>
                <w:szCs w:val="22"/>
              </w:rPr>
              <w:t xml:space="preserve">- </w:t>
            </w:r>
            <w:r w:rsidRPr="00BA56E9">
              <w:rPr>
                <w:sz w:val="22"/>
                <w:szCs w:val="22"/>
              </w:rPr>
              <w:t xml:space="preserve">Governments (or national ID authorities) using OSIA as a reference standard for tendering identity-management systems — meaning that any vendor wishing to supply ID systems must support X.1281/OSIA APIs, helping avoid vendor lock-in and enabling multi-vendor interoperability. SIA and its qualification program are explicitly positioned to support this. </w:t>
            </w:r>
            <w:hyperlink r:id="rId26" w:tgtFrame="_blank" w:history="1">
              <w:r w:rsidRPr="00BA56E9">
                <w:rPr>
                  <w:rStyle w:val="Hyperlink"/>
                  <w:sz w:val="22"/>
                  <w:szCs w:val="22"/>
                </w:rPr>
                <w:t>PR Newswire</w:t>
              </w:r>
            </w:hyperlink>
          </w:p>
        </w:tc>
      </w:tr>
      <w:tr w:rsidR="00DA5F1A" w:rsidRPr="00D17209" w14:paraId="1F7B4DDB" w14:textId="77777777" w:rsidTr="00482119">
        <w:trPr>
          <w:trHeight w:val="1142"/>
        </w:trPr>
        <w:tc>
          <w:tcPr>
            <w:tcW w:w="1375" w:type="pct"/>
            <w:vMerge/>
            <w:vAlign w:val="center"/>
          </w:tcPr>
          <w:p w14:paraId="76476C22" w14:textId="77777777" w:rsidR="00DA5F1A" w:rsidRPr="00ED5AC1" w:rsidRDefault="00DA5F1A" w:rsidP="008D7F7B">
            <w:pPr>
              <w:rPr>
                <w:rFonts w:ascii="Segoe UI Symbol" w:hAnsi="Segoe UI Symbol" w:cs="Segoe UI Symbol"/>
                <w:b/>
                <w:bCs/>
                <w:u w:val="single"/>
              </w:rPr>
            </w:pPr>
          </w:p>
        </w:tc>
        <w:tc>
          <w:tcPr>
            <w:tcW w:w="3625" w:type="pct"/>
            <w:gridSpan w:val="3"/>
          </w:tcPr>
          <w:p w14:paraId="2D0C445F" w14:textId="77777777" w:rsidR="00DA5F1A" w:rsidRPr="00D17209" w:rsidRDefault="00DA5F1A" w:rsidP="008D7F7B">
            <w:pPr>
              <w:rPr>
                <w:b/>
                <w:bCs/>
                <w:sz w:val="22"/>
                <w:szCs w:val="22"/>
              </w:rPr>
            </w:pPr>
            <w:r w:rsidRPr="00D17209">
              <w:rPr>
                <w:b/>
                <w:bCs/>
                <w:sz w:val="22"/>
                <w:szCs w:val="22"/>
              </w:rPr>
              <w:t xml:space="preserve">Implementation </w:t>
            </w:r>
            <w:r>
              <w:rPr>
                <w:b/>
                <w:bCs/>
                <w:sz w:val="22"/>
                <w:szCs w:val="22"/>
              </w:rPr>
              <w:t>s</w:t>
            </w:r>
            <w:r w:rsidRPr="00D17209">
              <w:rPr>
                <w:b/>
                <w:bCs/>
                <w:sz w:val="22"/>
                <w:szCs w:val="22"/>
              </w:rPr>
              <w:t>ummary:</w:t>
            </w:r>
          </w:p>
          <w:p w14:paraId="4AA7B944" w14:textId="77777777" w:rsidR="00DA5F1A" w:rsidRPr="00D17209" w:rsidRDefault="00DA5F1A" w:rsidP="008D7F7B">
            <w:pPr>
              <w:rPr>
                <w:rFonts w:ascii="Segoe UI Symbol" w:hAnsi="Segoe UI Symbol" w:cs="Segoe UI Symbol"/>
                <w:sz w:val="22"/>
                <w:szCs w:val="22"/>
              </w:rPr>
            </w:pPr>
            <w:r w:rsidRPr="001849AF">
              <w:rPr>
                <w:sz w:val="22"/>
                <w:szCs w:val="22"/>
              </w:rPr>
              <w:t xml:space="preserve">Governments use X.1281/OSIA as a reference to guide national ID modernization, procurement, and system architecture, ensuring different components can be sourced competitively and integrated without vendor lock-in. Some countries have begun deploying OSIA-based national identity systems as part of their </w:t>
            </w:r>
            <w:r>
              <w:rPr>
                <w:sz w:val="22"/>
                <w:szCs w:val="22"/>
              </w:rPr>
              <w:t>digital identity</w:t>
            </w:r>
            <w:r w:rsidRPr="001849AF">
              <w:rPr>
                <w:sz w:val="22"/>
                <w:szCs w:val="22"/>
              </w:rPr>
              <w:t xml:space="preserve"> policies</w:t>
            </w:r>
            <w:r>
              <w:rPr>
                <w:sz w:val="22"/>
                <w:szCs w:val="22"/>
              </w:rPr>
              <w:t>.</w:t>
            </w:r>
          </w:p>
        </w:tc>
      </w:tr>
      <w:tr w:rsidR="00DA5F1A" w:rsidRPr="00D17209" w14:paraId="230EBBF7" w14:textId="77777777" w:rsidTr="00482119">
        <w:trPr>
          <w:gridAfter w:val="1"/>
          <w:wAfter w:w="5" w:type="pct"/>
          <w:trHeight w:val="1234"/>
        </w:trPr>
        <w:tc>
          <w:tcPr>
            <w:tcW w:w="1375" w:type="pct"/>
            <w:vMerge w:val="restart"/>
            <w:vAlign w:val="center"/>
          </w:tcPr>
          <w:p w14:paraId="58669077" w14:textId="77777777" w:rsidR="00DA5F1A" w:rsidRPr="00ED5AC1" w:rsidRDefault="00DA5F1A" w:rsidP="008D7F7B">
            <w:pPr>
              <w:rPr>
                <w:rFonts w:ascii="Segoe UI Symbol" w:hAnsi="Segoe UI Symbol" w:cs="Segoe UI Symbol"/>
                <w:b/>
                <w:bCs/>
                <w:u w:val="single"/>
              </w:rPr>
            </w:pPr>
            <w:r w:rsidRPr="00ED5AC1">
              <w:rPr>
                <w:b/>
                <w:bCs/>
                <w:u w:val="single"/>
              </w:rPr>
              <w:t xml:space="preserve">International </w:t>
            </w:r>
            <w:r>
              <w:rPr>
                <w:b/>
                <w:bCs/>
                <w:u w:val="single"/>
              </w:rPr>
              <w:t>s</w:t>
            </w:r>
            <w:r w:rsidRPr="00ED5AC1">
              <w:rPr>
                <w:b/>
                <w:bCs/>
                <w:u w:val="single"/>
              </w:rPr>
              <w:t>tandards</w:t>
            </w:r>
            <w:r>
              <w:rPr>
                <w:b/>
                <w:bCs/>
                <w:u w:val="single"/>
              </w:rPr>
              <w:t>/ Recommendations</w:t>
            </w:r>
          </w:p>
        </w:tc>
        <w:tc>
          <w:tcPr>
            <w:tcW w:w="1752" w:type="pct"/>
          </w:tcPr>
          <w:p w14:paraId="71C11120" w14:textId="77777777" w:rsidR="00DA5F1A" w:rsidRPr="00D17209" w:rsidRDefault="00DA5F1A" w:rsidP="008D7F7B">
            <w:pPr>
              <w:rPr>
                <w:b/>
                <w:bCs/>
                <w:sz w:val="22"/>
                <w:szCs w:val="22"/>
              </w:rPr>
            </w:pPr>
            <w:r w:rsidRPr="00D17209">
              <w:rPr>
                <w:b/>
                <w:bCs/>
                <w:sz w:val="22"/>
                <w:szCs w:val="22"/>
              </w:rPr>
              <w:t xml:space="preserve">Implementing </w:t>
            </w:r>
            <w:r>
              <w:rPr>
                <w:b/>
                <w:bCs/>
                <w:sz w:val="22"/>
                <w:szCs w:val="22"/>
              </w:rPr>
              <w:t>b</w:t>
            </w:r>
            <w:r w:rsidRPr="00D17209">
              <w:rPr>
                <w:b/>
                <w:bCs/>
                <w:sz w:val="22"/>
                <w:szCs w:val="22"/>
              </w:rPr>
              <w:t xml:space="preserve">ody: </w:t>
            </w:r>
          </w:p>
          <w:p w14:paraId="16BAE80C" w14:textId="77777777" w:rsidR="00DA5F1A" w:rsidRDefault="00DA5F1A" w:rsidP="008D7F7B">
            <w:pPr>
              <w:rPr>
                <w:sz w:val="22"/>
                <w:szCs w:val="22"/>
              </w:rPr>
            </w:pPr>
            <w:r w:rsidRPr="008E75A7">
              <w:rPr>
                <w:sz w:val="22"/>
                <w:szCs w:val="22"/>
              </w:rPr>
              <w:t xml:space="preserve">- </w:t>
            </w:r>
            <w:r>
              <w:rPr>
                <w:sz w:val="22"/>
                <w:szCs w:val="22"/>
              </w:rPr>
              <w:t>ITU</w:t>
            </w:r>
            <w:r w:rsidRPr="008E75A7">
              <w:rPr>
                <w:sz w:val="22"/>
                <w:szCs w:val="22"/>
              </w:rPr>
              <w:t>-T / S</w:t>
            </w:r>
            <w:r>
              <w:rPr>
                <w:sz w:val="22"/>
                <w:szCs w:val="22"/>
              </w:rPr>
              <w:t>G</w:t>
            </w:r>
            <w:r w:rsidRPr="008E75A7">
              <w:rPr>
                <w:sz w:val="22"/>
                <w:szCs w:val="22"/>
              </w:rPr>
              <w:t xml:space="preserve"> 17 </w:t>
            </w:r>
          </w:p>
          <w:p w14:paraId="1B64CBBC" w14:textId="77777777" w:rsidR="00DA5F1A" w:rsidRDefault="00DA5F1A" w:rsidP="008D7F7B">
            <w:pPr>
              <w:rPr>
                <w:sz w:val="22"/>
                <w:szCs w:val="22"/>
              </w:rPr>
            </w:pPr>
          </w:p>
          <w:p w14:paraId="04E8A7B1" w14:textId="77777777" w:rsidR="00DA5F1A" w:rsidRDefault="00DA5F1A" w:rsidP="008D7F7B">
            <w:pPr>
              <w:rPr>
                <w:sz w:val="22"/>
                <w:szCs w:val="22"/>
              </w:rPr>
            </w:pPr>
          </w:p>
          <w:p w14:paraId="6C75F436" w14:textId="77777777" w:rsidR="00DA5F1A" w:rsidRDefault="00DA5F1A" w:rsidP="008D7F7B">
            <w:pPr>
              <w:rPr>
                <w:sz w:val="22"/>
                <w:szCs w:val="22"/>
              </w:rPr>
            </w:pPr>
          </w:p>
          <w:p w14:paraId="04269D54" w14:textId="77777777" w:rsidR="00DA5F1A" w:rsidRPr="00D17209" w:rsidRDefault="00DA5F1A" w:rsidP="008D7F7B">
            <w:pPr>
              <w:rPr>
                <w:rFonts w:ascii="Segoe UI Symbol" w:hAnsi="Segoe UI Symbol" w:cs="Segoe UI Symbol"/>
                <w:sz w:val="22"/>
                <w:szCs w:val="22"/>
              </w:rPr>
            </w:pPr>
            <w:r w:rsidRPr="008E75A7">
              <w:rPr>
                <w:sz w:val="22"/>
                <w:szCs w:val="22"/>
              </w:rPr>
              <w:lastRenderedPageBreak/>
              <w:br/>
              <w:t>- Secure Identity Alliance (SIA) as the spec originator and contributor</w:t>
            </w:r>
          </w:p>
        </w:tc>
        <w:tc>
          <w:tcPr>
            <w:tcW w:w="1869" w:type="pct"/>
          </w:tcPr>
          <w:p w14:paraId="586E4D98" w14:textId="77777777" w:rsidR="00DA5F1A" w:rsidRPr="00D17209" w:rsidRDefault="00DA5F1A" w:rsidP="008D7F7B">
            <w:pPr>
              <w:rPr>
                <w:b/>
                <w:bCs/>
                <w:sz w:val="22"/>
                <w:szCs w:val="22"/>
              </w:rPr>
            </w:pPr>
            <w:r w:rsidRPr="00D17209">
              <w:rPr>
                <w:b/>
                <w:bCs/>
                <w:sz w:val="22"/>
                <w:szCs w:val="22"/>
              </w:rPr>
              <w:lastRenderedPageBreak/>
              <w:t>Implementation</w:t>
            </w:r>
          </w:p>
          <w:p w14:paraId="1AA3B542" w14:textId="77777777" w:rsidR="00DA5F1A" w:rsidRDefault="00DA5F1A" w:rsidP="008D7F7B">
            <w:pPr>
              <w:rPr>
                <w:sz w:val="22"/>
                <w:szCs w:val="22"/>
              </w:rPr>
            </w:pPr>
            <w:r w:rsidRPr="00FE1033">
              <w:rPr>
                <w:sz w:val="22"/>
                <w:szCs w:val="22"/>
              </w:rPr>
              <w:t xml:space="preserve">- In March 2024, the OSIA specification was formally approved as ITU-T Recommendation X.1281, making it part of the global ICT standards framework. </w:t>
            </w:r>
            <w:hyperlink r:id="rId27" w:tgtFrame="_blank" w:history="1">
              <w:r w:rsidRPr="003C7177">
                <w:rPr>
                  <w:rStyle w:val="Hyperlink"/>
                  <w:sz w:val="22"/>
                  <w:szCs w:val="22"/>
                </w:rPr>
                <w:t>ITU-X.1281</w:t>
              </w:r>
            </w:hyperlink>
            <w:r w:rsidRPr="00FE1033">
              <w:rPr>
                <w:sz w:val="22"/>
                <w:szCs w:val="22"/>
              </w:rPr>
              <w:t xml:space="preserve"> </w:t>
            </w:r>
          </w:p>
          <w:p w14:paraId="156D742E" w14:textId="77777777" w:rsidR="00DA5F1A" w:rsidRPr="00D17209" w:rsidRDefault="00DA5F1A" w:rsidP="008D7F7B">
            <w:pPr>
              <w:ind w:left="70" w:hanging="70"/>
              <w:rPr>
                <w:rFonts w:ascii="Segoe UI Symbol" w:hAnsi="Segoe UI Symbol" w:cs="Segoe UI Symbol"/>
                <w:sz w:val="22"/>
                <w:szCs w:val="22"/>
              </w:rPr>
            </w:pPr>
            <w:r>
              <w:rPr>
                <w:sz w:val="22"/>
                <w:szCs w:val="22"/>
              </w:rPr>
              <w:lastRenderedPageBreak/>
              <w:t xml:space="preserve">- </w:t>
            </w:r>
            <w:r w:rsidRPr="00FE1033">
              <w:rPr>
                <w:sz w:val="22"/>
                <w:szCs w:val="22"/>
              </w:rPr>
              <w:t>ITU-T SG17 now maintains X.1281 as a normative Recommendation, meaning it</w:t>
            </w:r>
            <w:r>
              <w:rPr>
                <w:sz w:val="22"/>
                <w:szCs w:val="22"/>
              </w:rPr>
              <w:t xml:space="preserve"> i</w:t>
            </w:r>
            <w:r w:rsidRPr="00FE1033">
              <w:rPr>
                <w:sz w:val="22"/>
                <w:szCs w:val="22"/>
              </w:rPr>
              <w:t xml:space="preserve">s globally available, recognized, and usable by all member states. </w:t>
            </w:r>
          </w:p>
        </w:tc>
      </w:tr>
      <w:tr w:rsidR="00DA5F1A" w:rsidRPr="00D17209" w14:paraId="3730BBC7" w14:textId="77777777" w:rsidTr="00482119">
        <w:trPr>
          <w:trHeight w:val="1353"/>
        </w:trPr>
        <w:tc>
          <w:tcPr>
            <w:tcW w:w="1375" w:type="pct"/>
            <w:vMerge/>
            <w:vAlign w:val="center"/>
          </w:tcPr>
          <w:p w14:paraId="074DAF80" w14:textId="77777777" w:rsidR="00DA5F1A" w:rsidRPr="00D17209" w:rsidRDefault="00DA5F1A" w:rsidP="008D7F7B">
            <w:pPr>
              <w:rPr>
                <w:rFonts w:ascii="Segoe UI Symbol" w:hAnsi="Segoe UI Symbol" w:cs="Segoe UI Symbol"/>
                <w:sz w:val="22"/>
                <w:szCs w:val="22"/>
              </w:rPr>
            </w:pPr>
          </w:p>
        </w:tc>
        <w:tc>
          <w:tcPr>
            <w:tcW w:w="3625" w:type="pct"/>
            <w:gridSpan w:val="3"/>
          </w:tcPr>
          <w:p w14:paraId="4A5280E4" w14:textId="77777777" w:rsidR="00DA5F1A" w:rsidRPr="00D17209" w:rsidRDefault="00DA5F1A" w:rsidP="008D7F7B">
            <w:pPr>
              <w:rPr>
                <w:b/>
                <w:bCs/>
                <w:sz w:val="22"/>
                <w:szCs w:val="22"/>
              </w:rPr>
            </w:pPr>
            <w:r w:rsidRPr="00D17209">
              <w:rPr>
                <w:b/>
                <w:bCs/>
                <w:sz w:val="22"/>
                <w:szCs w:val="22"/>
              </w:rPr>
              <w:t xml:space="preserve">Implementation </w:t>
            </w:r>
            <w:r>
              <w:rPr>
                <w:b/>
                <w:bCs/>
                <w:sz w:val="22"/>
                <w:szCs w:val="22"/>
              </w:rPr>
              <w:t>s</w:t>
            </w:r>
            <w:r w:rsidRPr="00D17209">
              <w:rPr>
                <w:b/>
                <w:bCs/>
                <w:sz w:val="22"/>
                <w:szCs w:val="22"/>
              </w:rPr>
              <w:t>ummary:</w:t>
            </w:r>
          </w:p>
          <w:p w14:paraId="5A2777EE" w14:textId="77777777" w:rsidR="00DA5F1A" w:rsidRPr="00D17209" w:rsidRDefault="00DA5F1A" w:rsidP="008D7F7B">
            <w:pPr>
              <w:rPr>
                <w:rFonts w:ascii="Segoe UI Symbol" w:hAnsi="Segoe UI Symbol" w:cs="Segoe UI Symbol"/>
                <w:sz w:val="22"/>
                <w:szCs w:val="22"/>
              </w:rPr>
            </w:pPr>
            <w:r w:rsidRPr="0060529B">
              <w:rPr>
                <w:sz w:val="22"/>
                <w:szCs w:val="22"/>
              </w:rPr>
              <w:t>X.1281’s adoption by ITU-T formalizes OSIA as an internationally recognized interoperability standard, providing a global normative reference that other standards bodies, development agencies, and cross-border identity initiatives can align with to ensure consistent API-level interoperability.</w:t>
            </w:r>
          </w:p>
        </w:tc>
      </w:tr>
      <w:tr w:rsidR="00DA5F1A" w:rsidRPr="00D17209" w14:paraId="0A8952B1" w14:textId="77777777" w:rsidTr="00482119">
        <w:trPr>
          <w:trHeight w:val="1034"/>
        </w:trPr>
        <w:tc>
          <w:tcPr>
            <w:tcW w:w="1375" w:type="pct"/>
            <w:vAlign w:val="center"/>
          </w:tcPr>
          <w:p w14:paraId="63A0A4B9" w14:textId="77777777" w:rsidR="00DA5F1A" w:rsidRPr="00D17209" w:rsidRDefault="00DA5F1A" w:rsidP="008D7F7B">
            <w:pPr>
              <w:rPr>
                <w:b/>
                <w:bCs/>
                <w:sz w:val="22"/>
                <w:szCs w:val="22"/>
              </w:rPr>
            </w:pPr>
            <w:r w:rsidRPr="00085E95">
              <w:rPr>
                <w:b/>
                <w:bCs/>
                <w:u w:val="single"/>
              </w:rPr>
              <w:t>Other</w:t>
            </w:r>
          </w:p>
        </w:tc>
        <w:tc>
          <w:tcPr>
            <w:tcW w:w="3625" w:type="pct"/>
            <w:gridSpan w:val="3"/>
            <w:vAlign w:val="center"/>
          </w:tcPr>
          <w:p w14:paraId="24DC2879" w14:textId="77777777" w:rsidR="00DA5F1A" w:rsidRPr="00D17209" w:rsidRDefault="00DA5F1A" w:rsidP="008D7F7B">
            <w:pPr>
              <w:rPr>
                <w:b/>
                <w:bCs/>
                <w:sz w:val="22"/>
                <w:szCs w:val="22"/>
              </w:rPr>
            </w:pPr>
            <w:r w:rsidRPr="00D17209">
              <w:rPr>
                <w:b/>
                <w:bCs/>
                <w:sz w:val="22"/>
                <w:szCs w:val="22"/>
              </w:rPr>
              <w:t xml:space="preserve">Implementation </w:t>
            </w:r>
            <w:r>
              <w:rPr>
                <w:b/>
                <w:bCs/>
                <w:sz w:val="22"/>
                <w:szCs w:val="22"/>
              </w:rPr>
              <w:t>s</w:t>
            </w:r>
            <w:r w:rsidRPr="00D17209">
              <w:rPr>
                <w:b/>
                <w:bCs/>
                <w:sz w:val="22"/>
                <w:szCs w:val="22"/>
              </w:rPr>
              <w:t>ummary:</w:t>
            </w:r>
          </w:p>
          <w:p w14:paraId="2D096693" w14:textId="77777777" w:rsidR="00DA5F1A" w:rsidRDefault="00DA5F1A" w:rsidP="008D7F7B">
            <w:pPr>
              <w:rPr>
                <w:sz w:val="22"/>
                <w:szCs w:val="22"/>
              </w:rPr>
            </w:pPr>
            <w:r w:rsidRPr="00D17209">
              <w:rPr>
                <w:sz w:val="22"/>
                <w:szCs w:val="22"/>
              </w:rPr>
              <w:t>&lt;</w:t>
            </w:r>
            <w:r>
              <w:rPr>
                <w:sz w:val="22"/>
                <w:szCs w:val="22"/>
              </w:rPr>
              <w:t>If none of the categories above are suitable, provide a br</w:t>
            </w:r>
            <w:r w:rsidRPr="00D17209">
              <w:rPr>
                <w:sz w:val="22"/>
                <w:szCs w:val="22"/>
              </w:rPr>
              <w:t xml:space="preserve">ief description on how the ITU-T </w:t>
            </w:r>
            <w:r>
              <w:rPr>
                <w:sz w:val="22"/>
                <w:szCs w:val="22"/>
              </w:rPr>
              <w:t>R</w:t>
            </w:r>
            <w:r w:rsidRPr="00D17209">
              <w:rPr>
                <w:sz w:val="22"/>
                <w:szCs w:val="22"/>
              </w:rPr>
              <w:t xml:space="preserve">ecommendation </w:t>
            </w:r>
            <w:r>
              <w:rPr>
                <w:sz w:val="22"/>
                <w:szCs w:val="22"/>
              </w:rPr>
              <w:t xml:space="preserve">has impacted the global telecom/ICT landscape&gt; </w:t>
            </w:r>
          </w:p>
          <w:p w14:paraId="5CB0ED38" w14:textId="77777777" w:rsidR="00DA5F1A" w:rsidRPr="00D17209" w:rsidRDefault="00DA5F1A" w:rsidP="008D7F7B">
            <w:pPr>
              <w:rPr>
                <w:b/>
                <w:bCs/>
                <w:sz w:val="22"/>
                <w:szCs w:val="22"/>
              </w:rPr>
            </w:pPr>
            <w:r w:rsidRPr="00D17209">
              <w:rPr>
                <w:i/>
                <w:iCs/>
                <w:sz w:val="22"/>
                <w:szCs w:val="22"/>
              </w:rPr>
              <w:t xml:space="preserve">(With </w:t>
            </w:r>
            <w:r>
              <w:rPr>
                <w:i/>
                <w:iCs/>
                <w:sz w:val="22"/>
                <w:szCs w:val="22"/>
              </w:rPr>
              <w:t>r</w:t>
            </w:r>
            <w:r w:rsidRPr="00D17209">
              <w:rPr>
                <w:i/>
                <w:iCs/>
                <w:sz w:val="22"/>
                <w:szCs w:val="22"/>
              </w:rPr>
              <w:t>eferences)</w:t>
            </w:r>
          </w:p>
        </w:tc>
      </w:tr>
    </w:tbl>
    <w:p w14:paraId="2CB0BA1D" w14:textId="1CF361A4" w:rsidR="00482119" w:rsidRDefault="00482119" w:rsidP="00DA5F1A">
      <w:pPr>
        <w:pStyle w:val="BodyText"/>
      </w:pPr>
    </w:p>
    <w:p w14:paraId="3FF5A0AD" w14:textId="77777777" w:rsidR="00482119" w:rsidRDefault="00482119" w:rsidP="00482119">
      <w:pPr>
        <w:pStyle w:val="BodyText"/>
      </w:pPr>
      <w:r>
        <w:br w:type="page"/>
      </w:r>
    </w:p>
    <w:p w14:paraId="19907132" w14:textId="6727AEC2" w:rsidR="00DA5F1A" w:rsidRPr="0070000F" w:rsidRDefault="00DA5F1A" w:rsidP="00DA5F1A">
      <w:pPr>
        <w:pStyle w:val="Heading1"/>
        <w:keepLines w:val="0"/>
        <w:numPr>
          <w:ilvl w:val="0"/>
          <w:numId w:val="20"/>
        </w:numPr>
        <w:tabs>
          <w:tab w:val="clear" w:pos="432"/>
          <w:tab w:val="clear" w:pos="794"/>
          <w:tab w:val="clear" w:pos="1191"/>
          <w:tab w:val="clear" w:pos="1588"/>
          <w:tab w:val="clear" w:pos="1985"/>
          <w:tab w:val="left" w:pos="720"/>
        </w:tabs>
        <w:overflowPunct/>
        <w:autoSpaceDE/>
        <w:autoSpaceDN/>
        <w:adjustRightInd/>
        <w:spacing w:before="0" w:after="60"/>
        <w:textAlignment w:val="auto"/>
        <w:rPr>
          <w:rFonts w:eastAsia="SimSun"/>
        </w:rPr>
      </w:pPr>
      <w:r w:rsidRPr="0070000F">
        <w:rPr>
          <w:lang w:val="en-US" w:eastAsia="zh-CN"/>
        </w:rPr>
        <w:lastRenderedPageBreak/>
        <w:t>ITU-T X.12</w:t>
      </w:r>
      <w:r>
        <w:rPr>
          <w:lang w:val="en-US" w:eastAsia="zh-CN"/>
        </w:rPr>
        <w:t>8</w:t>
      </w:r>
      <w:r w:rsidR="000A16BA">
        <w:rPr>
          <w:lang w:val="en-US" w:eastAsia="zh-CN"/>
        </w:rPr>
        <w:t>5</w:t>
      </w:r>
      <w:r>
        <w:rPr>
          <w:lang w:val="en-US" w:eastAsia="zh-CN"/>
        </w:rPr>
        <w:t>(Q10/17)</w:t>
      </w:r>
    </w:p>
    <w:tbl>
      <w:tblPr>
        <w:tblStyle w:val="TableGrid"/>
        <w:tblW w:w="5000" w:type="pct"/>
        <w:tblLook w:val="04A0" w:firstRow="1" w:lastRow="0" w:firstColumn="1" w:lastColumn="0" w:noHBand="0" w:noVBand="1"/>
      </w:tblPr>
      <w:tblGrid>
        <w:gridCol w:w="4078"/>
        <w:gridCol w:w="4942"/>
        <w:gridCol w:w="5542"/>
      </w:tblGrid>
      <w:tr w:rsidR="000A16BA" w:rsidRPr="00D17209" w14:paraId="3393D283" w14:textId="77777777" w:rsidTr="00482119">
        <w:trPr>
          <w:trHeight w:val="416"/>
        </w:trPr>
        <w:tc>
          <w:tcPr>
            <w:tcW w:w="5000" w:type="pct"/>
            <w:gridSpan w:val="3"/>
            <w:shd w:val="clear" w:color="auto" w:fill="D9D9D9" w:themeFill="background1" w:themeFillShade="D9"/>
            <w:vAlign w:val="center"/>
          </w:tcPr>
          <w:p w14:paraId="09559723" w14:textId="77777777" w:rsidR="000A16BA" w:rsidRPr="00D17209" w:rsidRDefault="000A16BA" w:rsidP="003D3345">
            <w:pPr>
              <w:jc w:val="center"/>
              <w:rPr>
                <w:sz w:val="22"/>
                <w:szCs w:val="22"/>
              </w:rPr>
            </w:pPr>
            <w:r w:rsidRPr="00D17209">
              <w:rPr>
                <w:b/>
                <w:bCs/>
                <w:sz w:val="22"/>
                <w:szCs w:val="22"/>
                <w:u w:val="single"/>
              </w:rPr>
              <w:t>ITU-T RECOMMENDATION OVERVIEW</w:t>
            </w:r>
          </w:p>
        </w:tc>
      </w:tr>
      <w:tr w:rsidR="000A16BA" w:rsidRPr="00D17209" w14:paraId="25EBC3F5" w14:textId="77777777" w:rsidTr="00482119">
        <w:trPr>
          <w:trHeight w:val="416"/>
        </w:trPr>
        <w:tc>
          <w:tcPr>
            <w:tcW w:w="1400" w:type="pct"/>
            <w:vAlign w:val="center"/>
          </w:tcPr>
          <w:p w14:paraId="48FFB94A" w14:textId="77777777" w:rsidR="000A16BA" w:rsidRPr="00D17209" w:rsidRDefault="000A16BA" w:rsidP="003D3345">
            <w:pPr>
              <w:rPr>
                <w:sz w:val="22"/>
                <w:szCs w:val="22"/>
              </w:rPr>
            </w:pPr>
            <w:r w:rsidRPr="00D17209">
              <w:rPr>
                <w:sz w:val="22"/>
                <w:szCs w:val="22"/>
              </w:rPr>
              <w:t>ITU-T Recommendation:</w:t>
            </w:r>
          </w:p>
        </w:tc>
        <w:tc>
          <w:tcPr>
            <w:tcW w:w="3600" w:type="pct"/>
            <w:gridSpan w:val="2"/>
            <w:vAlign w:val="center"/>
          </w:tcPr>
          <w:p w14:paraId="15743396" w14:textId="77777777" w:rsidR="000A16BA" w:rsidRPr="00D17209" w:rsidRDefault="000A16BA" w:rsidP="003D3345">
            <w:pPr>
              <w:rPr>
                <w:sz w:val="22"/>
                <w:szCs w:val="22"/>
              </w:rPr>
            </w:pPr>
            <w:r w:rsidRPr="4B9079D1">
              <w:rPr>
                <w:rFonts w:ascii="serif" w:eastAsia="Times New Roman" w:hAnsi="serif" w:cs="serif"/>
                <w:sz w:val="22"/>
                <w:szCs w:val="22"/>
              </w:rPr>
              <w:t>X.1285</w:t>
            </w:r>
          </w:p>
        </w:tc>
      </w:tr>
      <w:tr w:rsidR="000A16BA" w:rsidRPr="00D17209" w14:paraId="15302D00" w14:textId="77777777" w:rsidTr="00482119">
        <w:trPr>
          <w:trHeight w:val="416"/>
        </w:trPr>
        <w:tc>
          <w:tcPr>
            <w:tcW w:w="1400" w:type="pct"/>
            <w:vAlign w:val="center"/>
          </w:tcPr>
          <w:p w14:paraId="60C945E6" w14:textId="77777777" w:rsidR="000A16BA" w:rsidRPr="00D17209" w:rsidRDefault="000A16BA" w:rsidP="003D3345">
            <w:pPr>
              <w:rPr>
                <w:sz w:val="22"/>
                <w:szCs w:val="22"/>
              </w:rPr>
            </w:pPr>
            <w:r w:rsidRPr="00D17209">
              <w:rPr>
                <w:sz w:val="22"/>
                <w:szCs w:val="22"/>
              </w:rPr>
              <w:t>Title:</w:t>
            </w:r>
          </w:p>
        </w:tc>
        <w:tc>
          <w:tcPr>
            <w:tcW w:w="3600" w:type="pct"/>
            <w:gridSpan w:val="2"/>
            <w:vAlign w:val="center"/>
          </w:tcPr>
          <w:p w14:paraId="248B75BA" w14:textId="77777777" w:rsidR="000A16BA" w:rsidRPr="00D17209" w:rsidRDefault="000A16BA" w:rsidP="003D3345">
            <w:bookmarkStart w:id="12" w:name="_Hlk218612403"/>
            <w:r w:rsidRPr="4B9079D1">
              <w:rPr>
                <w:rFonts w:ascii="serif" w:eastAsia="Times New Roman" w:hAnsi="serif" w:cs="serif"/>
                <w:sz w:val="22"/>
                <w:szCs w:val="22"/>
              </w:rPr>
              <w:t>OpenID Connect Core 1.0</w:t>
            </w:r>
            <w:bookmarkEnd w:id="12"/>
          </w:p>
        </w:tc>
      </w:tr>
      <w:tr w:rsidR="000A16BA" w:rsidRPr="00D17209" w14:paraId="2FEF5382" w14:textId="77777777" w:rsidTr="00482119">
        <w:trPr>
          <w:trHeight w:val="416"/>
        </w:trPr>
        <w:tc>
          <w:tcPr>
            <w:tcW w:w="1400" w:type="pct"/>
            <w:vAlign w:val="center"/>
          </w:tcPr>
          <w:p w14:paraId="743B16F6" w14:textId="77777777" w:rsidR="000A16BA" w:rsidRPr="00D17209" w:rsidRDefault="000A16BA" w:rsidP="003D3345">
            <w:pPr>
              <w:rPr>
                <w:sz w:val="22"/>
                <w:szCs w:val="22"/>
              </w:rPr>
            </w:pPr>
            <w:r w:rsidRPr="00D17209">
              <w:rPr>
                <w:sz w:val="22"/>
                <w:szCs w:val="22"/>
              </w:rPr>
              <w:t xml:space="preserve">Effective </w:t>
            </w:r>
            <w:r>
              <w:rPr>
                <w:sz w:val="22"/>
                <w:szCs w:val="22"/>
              </w:rPr>
              <w:t>p</w:t>
            </w:r>
            <w:r w:rsidRPr="00D17209">
              <w:rPr>
                <w:sz w:val="22"/>
                <w:szCs w:val="22"/>
              </w:rPr>
              <w:t>eriod:</w:t>
            </w:r>
          </w:p>
        </w:tc>
        <w:tc>
          <w:tcPr>
            <w:tcW w:w="3600" w:type="pct"/>
            <w:gridSpan w:val="2"/>
            <w:vAlign w:val="center"/>
          </w:tcPr>
          <w:p w14:paraId="19ECE3E4" w14:textId="77777777" w:rsidR="000A16BA" w:rsidRPr="00D17209" w:rsidRDefault="000A16BA" w:rsidP="003D3345">
            <w:r w:rsidRPr="4B9079D1">
              <w:rPr>
                <w:sz w:val="22"/>
                <w:szCs w:val="22"/>
              </w:rPr>
              <w:t>April 2025-present</w:t>
            </w:r>
          </w:p>
        </w:tc>
      </w:tr>
      <w:tr w:rsidR="000A16BA" w:rsidRPr="00D17209" w14:paraId="0FB72486" w14:textId="77777777" w:rsidTr="00482119">
        <w:trPr>
          <w:trHeight w:val="708"/>
        </w:trPr>
        <w:tc>
          <w:tcPr>
            <w:tcW w:w="1400" w:type="pct"/>
            <w:vAlign w:val="center"/>
          </w:tcPr>
          <w:p w14:paraId="0B63661D" w14:textId="77777777" w:rsidR="000A16BA" w:rsidRPr="00D17209" w:rsidRDefault="000A16BA" w:rsidP="003D3345">
            <w:pPr>
              <w:rPr>
                <w:sz w:val="22"/>
                <w:szCs w:val="22"/>
              </w:rPr>
            </w:pPr>
            <w:r w:rsidRPr="00D17209">
              <w:rPr>
                <w:sz w:val="22"/>
                <w:szCs w:val="22"/>
              </w:rPr>
              <w:t xml:space="preserve">Summary: </w:t>
            </w:r>
          </w:p>
        </w:tc>
        <w:tc>
          <w:tcPr>
            <w:tcW w:w="3600" w:type="pct"/>
            <w:gridSpan w:val="2"/>
            <w:vAlign w:val="center"/>
          </w:tcPr>
          <w:p w14:paraId="7F512FBD" w14:textId="77777777" w:rsidR="000A16BA" w:rsidRDefault="000A16BA" w:rsidP="003D3345">
            <w:pPr>
              <w:spacing w:before="240" w:after="240"/>
              <w:rPr>
                <w:rFonts w:eastAsia="Times New Roman"/>
                <w:sz w:val="22"/>
                <w:szCs w:val="22"/>
              </w:rPr>
            </w:pPr>
            <w:r w:rsidRPr="000B7DFB">
              <w:rPr>
                <w:rFonts w:eastAsia="Times New Roman"/>
                <w:sz w:val="22"/>
                <w:szCs w:val="22"/>
              </w:rPr>
              <w:t>X.1285 is the ITU-T Recommendation that formalizes the specification OpenID Connect (Core 1.0, with errata set 2) as an international standard. It defines protocols for authentication built on top of OAuth 2.0, using “claims” to communicate information about end-users; it also describes security and privacy considerations for using OpenID Connect.</w:t>
            </w:r>
          </w:p>
          <w:p w14:paraId="68A15141" w14:textId="77777777" w:rsidR="000A16BA" w:rsidRPr="00E57996" w:rsidRDefault="000A16BA" w:rsidP="003D3345">
            <w:pPr>
              <w:spacing w:before="240" w:after="240"/>
              <w:rPr>
                <w:rFonts w:eastAsia="Times New Roman"/>
                <w:sz w:val="22"/>
                <w:szCs w:val="22"/>
              </w:rPr>
            </w:pPr>
            <w:r w:rsidRPr="00EF03CF">
              <w:rPr>
                <w:rFonts w:eastAsia="Times New Roman"/>
                <w:sz w:val="22"/>
                <w:szCs w:val="22"/>
              </w:rPr>
              <w:t>Because many existing web and identity-management systems worldwide already implement OpenID Connect, X.1285 provides global normative backing to those implementations</w:t>
            </w:r>
            <w:r>
              <w:rPr>
                <w:rFonts w:eastAsia="Times New Roman"/>
                <w:sz w:val="22"/>
                <w:szCs w:val="22"/>
              </w:rPr>
              <w:t xml:space="preserve">. </w:t>
            </w:r>
            <w:hyperlink r:id="rId28" w:history="1">
              <w:r w:rsidRPr="00982ED1">
                <w:rPr>
                  <w:rStyle w:val="Hyperlink"/>
                  <w:rFonts w:eastAsia="Times New Roman"/>
                  <w:sz w:val="22"/>
                  <w:szCs w:val="22"/>
                </w:rPr>
                <w:t>OpenID</w:t>
              </w:r>
            </w:hyperlink>
          </w:p>
        </w:tc>
      </w:tr>
      <w:tr w:rsidR="000A16BA" w:rsidRPr="00D17209" w14:paraId="3F15B928" w14:textId="77777777" w:rsidTr="00482119">
        <w:trPr>
          <w:trHeight w:val="413"/>
        </w:trPr>
        <w:tc>
          <w:tcPr>
            <w:tcW w:w="5000" w:type="pct"/>
            <w:gridSpan w:val="3"/>
            <w:shd w:val="clear" w:color="auto" w:fill="D9D9D9" w:themeFill="background1" w:themeFillShade="D9"/>
            <w:vAlign w:val="center"/>
          </w:tcPr>
          <w:p w14:paraId="0000F077" w14:textId="77777777" w:rsidR="000A16BA" w:rsidRPr="00D17209" w:rsidRDefault="000A16BA" w:rsidP="003D3345">
            <w:pPr>
              <w:jc w:val="center"/>
              <w:rPr>
                <w:sz w:val="22"/>
                <w:szCs w:val="22"/>
              </w:rPr>
            </w:pPr>
            <w:r w:rsidRPr="00D17209">
              <w:rPr>
                <w:b/>
                <w:bCs/>
                <w:sz w:val="22"/>
                <w:szCs w:val="22"/>
                <w:u w:val="single"/>
              </w:rPr>
              <w:t>SUCCESS STORY</w:t>
            </w:r>
          </w:p>
        </w:tc>
      </w:tr>
      <w:tr w:rsidR="000A16BA" w:rsidRPr="00D17209" w14:paraId="49621752" w14:textId="77777777" w:rsidTr="00482119">
        <w:trPr>
          <w:trHeight w:val="1246"/>
        </w:trPr>
        <w:tc>
          <w:tcPr>
            <w:tcW w:w="1400" w:type="pct"/>
            <w:vAlign w:val="center"/>
          </w:tcPr>
          <w:p w14:paraId="3F6D08A7" w14:textId="77777777" w:rsidR="000A16BA" w:rsidRDefault="000A16BA" w:rsidP="003D3345">
            <w:pPr>
              <w:rPr>
                <w:sz w:val="22"/>
                <w:szCs w:val="22"/>
              </w:rPr>
            </w:pPr>
            <w:r w:rsidRPr="00D17209">
              <w:rPr>
                <w:sz w:val="22"/>
                <w:szCs w:val="22"/>
              </w:rPr>
              <w:t xml:space="preserve">Implementation </w:t>
            </w:r>
            <w:r>
              <w:rPr>
                <w:sz w:val="22"/>
                <w:szCs w:val="22"/>
              </w:rPr>
              <w:t>t</w:t>
            </w:r>
            <w:r w:rsidRPr="00D17209">
              <w:rPr>
                <w:sz w:val="22"/>
                <w:szCs w:val="22"/>
              </w:rPr>
              <w:t>ype:</w:t>
            </w:r>
          </w:p>
          <w:p w14:paraId="54F1BD1E" w14:textId="77777777" w:rsidR="000A16BA" w:rsidRPr="00D17209" w:rsidRDefault="000A16BA" w:rsidP="003D3345">
            <w:pPr>
              <w:rPr>
                <w:sz w:val="22"/>
                <w:szCs w:val="22"/>
              </w:rPr>
            </w:pPr>
            <w:r w:rsidRPr="00D17209">
              <w:rPr>
                <w:i/>
                <w:iCs/>
                <w:sz w:val="22"/>
                <w:szCs w:val="22"/>
              </w:rPr>
              <w:t>(</w:t>
            </w:r>
            <w:r>
              <w:rPr>
                <w:i/>
                <w:iCs/>
                <w:sz w:val="22"/>
                <w:szCs w:val="22"/>
              </w:rPr>
              <w:t>Select all that apply and provide information below</w:t>
            </w:r>
            <w:r w:rsidRPr="00D17209">
              <w:rPr>
                <w:i/>
                <w:iCs/>
                <w:sz w:val="22"/>
                <w:szCs w:val="22"/>
              </w:rPr>
              <w:t>)</w:t>
            </w:r>
          </w:p>
        </w:tc>
        <w:tc>
          <w:tcPr>
            <w:tcW w:w="3600" w:type="pct"/>
            <w:gridSpan w:val="2"/>
          </w:tcPr>
          <w:p w14:paraId="58F1088E" w14:textId="77777777" w:rsidR="000A16BA" w:rsidRDefault="000A16BA" w:rsidP="003D3345">
            <w:pPr>
              <w:spacing w:before="0"/>
              <w:rPr>
                <w:sz w:val="22"/>
                <w:szCs w:val="22"/>
              </w:rPr>
            </w:pPr>
            <w:r>
              <w:rPr>
                <w:rFonts w:ascii="Segoe UI Symbol" w:hAnsi="Segoe UI Symbol" w:cs="Segoe UI Symbol"/>
                <w:sz w:val="22"/>
                <w:szCs w:val="22"/>
              </w:rPr>
              <w:t>X</w:t>
            </w:r>
            <w:r w:rsidRPr="4B9079D1">
              <w:rPr>
                <w:sz w:val="22"/>
                <w:szCs w:val="22"/>
              </w:rPr>
              <w:t xml:space="preserve"> Telecom/ICT products/services</w:t>
            </w:r>
            <w:r>
              <w:br/>
            </w:r>
            <w:r>
              <w:rPr>
                <w:rFonts w:ascii="Segoe UI Symbol" w:hAnsi="Segoe UI Symbol" w:cs="Segoe UI Symbol"/>
                <w:sz w:val="22"/>
                <w:szCs w:val="22"/>
              </w:rPr>
              <w:t>X</w:t>
            </w:r>
            <w:r w:rsidRPr="4B9079D1">
              <w:rPr>
                <w:sz w:val="22"/>
                <w:szCs w:val="22"/>
              </w:rPr>
              <w:t xml:space="preserve"> Telecom/ICT regulations/policies/national standards</w:t>
            </w:r>
            <w:r>
              <w:br/>
            </w:r>
            <w:r>
              <w:rPr>
                <w:rFonts w:ascii="Segoe UI Symbol" w:hAnsi="Segoe UI Symbol" w:cs="Segoe UI Symbol"/>
                <w:sz w:val="22"/>
                <w:szCs w:val="22"/>
              </w:rPr>
              <w:t>X</w:t>
            </w:r>
            <w:r w:rsidRPr="4B9079D1">
              <w:rPr>
                <w:sz w:val="22"/>
                <w:szCs w:val="22"/>
              </w:rPr>
              <w:t xml:space="preserve"> International standards/ Recommendations</w:t>
            </w:r>
          </w:p>
          <w:p w14:paraId="31E21591" w14:textId="77777777" w:rsidR="000A16BA" w:rsidRPr="00D17209" w:rsidRDefault="000A16BA" w:rsidP="003D3345">
            <w:pPr>
              <w:spacing w:before="0"/>
              <w:rPr>
                <w:sz w:val="22"/>
                <w:szCs w:val="22"/>
              </w:rPr>
            </w:pPr>
            <w:r w:rsidRPr="00D17209">
              <w:rPr>
                <w:rFonts w:ascii="Segoe UI Symbol" w:hAnsi="Segoe UI Symbol" w:cs="Segoe UI Symbol"/>
                <w:sz w:val="22"/>
                <w:szCs w:val="22"/>
              </w:rPr>
              <w:t>☐</w:t>
            </w:r>
            <w:r w:rsidRPr="4B9079D1">
              <w:rPr>
                <w:sz w:val="22"/>
                <w:szCs w:val="22"/>
              </w:rPr>
              <w:t xml:space="preserve"> Other</w:t>
            </w:r>
          </w:p>
        </w:tc>
      </w:tr>
      <w:tr w:rsidR="000A16BA" w:rsidRPr="00D17209" w14:paraId="457A64A7" w14:textId="77777777" w:rsidTr="00482119">
        <w:trPr>
          <w:trHeight w:val="848"/>
        </w:trPr>
        <w:tc>
          <w:tcPr>
            <w:tcW w:w="1400" w:type="pct"/>
            <w:vMerge w:val="restart"/>
            <w:vAlign w:val="center"/>
          </w:tcPr>
          <w:p w14:paraId="53256EBE" w14:textId="77777777" w:rsidR="000A16BA" w:rsidRPr="00ED5AC1" w:rsidRDefault="000A16BA" w:rsidP="003D3345">
            <w:pPr>
              <w:rPr>
                <w:rFonts w:ascii="Segoe UI Symbol" w:hAnsi="Segoe UI Symbol" w:cs="Segoe UI Symbol"/>
                <w:b/>
                <w:bCs/>
                <w:u w:val="single"/>
              </w:rPr>
            </w:pPr>
            <w:r>
              <w:rPr>
                <w:b/>
                <w:bCs/>
                <w:u w:val="single"/>
              </w:rPr>
              <w:t>Telecom/</w:t>
            </w:r>
            <w:r w:rsidRPr="00ED5AC1">
              <w:rPr>
                <w:b/>
                <w:bCs/>
                <w:u w:val="single"/>
              </w:rPr>
              <w:t xml:space="preserve">ICT </w:t>
            </w:r>
            <w:r>
              <w:rPr>
                <w:b/>
                <w:bCs/>
                <w:u w:val="single"/>
              </w:rPr>
              <w:t>p</w:t>
            </w:r>
            <w:r w:rsidRPr="00ED5AC1">
              <w:rPr>
                <w:b/>
                <w:bCs/>
                <w:u w:val="single"/>
              </w:rPr>
              <w:t>roducts/</w:t>
            </w:r>
            <w:r>
              <w:rPr>
                <w:b/>
                <w:bCs/>
                <w:u w:val="single"/>
              </w:rPr>
              <w:t>s</w:t>
            </w:r>
            <w:r w:rsidRPr="00ED5AC1">
              <w:rPr>
                <w:b/>
                <w:bCs/>
                <w:u w:val="single"/>
              </w:rPr>
              <w:t>ervices</w:t>
            </w:r>
          </w:p>
        </w:tc>
        <w:tc>
          <w:tcPr>
            <w:tcW w:w="1697" w:type="pct"/>
          </w:tcPr>
          <w:p w14:paraId="5E165393" w14:textId="77777777" w:rsidR="000A16BA" w:rsidRPr="00D17209" w:rsidRDefault="000A16BA" w:rsidP="003D3345">
            <w:pPr>
              <w:rPr>
                <w:b/>
                <w:bCs/>
                <w:sz w:val="22"/>
                <w:szCs w:val="22"/>
              </w:rPr>
            </w:pPr>
            <w:r w:rsidRPr="4B9079D1">
              <w:rPr>
                <w:b/>
                <w:bCs/>
                <w:sz w:val="22"/>
                <w:szCs w:val="22"/>
              </w:rPr>
              <w:t xml:space="preserve">Implementing body: </w:t>
            </w:r>
          </w:p>
          <w:p w14:paraId="19912577" w14:textId="77777777" w:rsidR="000A16BA" w:rsidRDefault="000A16BA" w:rsidP="000A16BA">
            <w:pPr>
              <w:pStyle w:val="ListParagraph"/>
              <w:numPr>
                <w:ilvl w:val="0"/>
                <w:numId w:val="24"/>
              </w:numPr>
              <w:rPr>
                <w:sz w:val="22"/>
                <w:szCs w:val="22"/>
              </w:rPr>
            </w:pPr>
            <w:r w:rsidRPr="0031103B">
              <w:rPr>
                <w:sz w:val="22"/>
                <w:szCs w:val="22"/>
              </w:rPr>
              <w:t>Broad industry implementing OpenID Connect (web applications, identity providers, SaaS, cloud services, mobile apps)</w:t>
            </w:r>
          </w:p>
          <w:p w14:paraId="705711C1" w14:textId="77777777" w:rsidR="000A16BA" w:rsidRDefault="000A16BA" w:rsidP="003D3345">
            <w:pPr>
              <w:pStyle w:val="ListParagraph"/>
              <w:ind w:left="360"/>
              <w:rPr>
                <w:sz w:val="22"/>
                <w:szCs w:val="22"/>
              </w:rPr>
            </w:pPr>
          </w:p>
          <w:p w14:paraId="57511CE9" w14:textId="77777777" w:rsidR="000A16BA" w:rsidRDefault="000A16BA" w:rsidP="003D3345">
            <w:pPr>
              <w:pStyle w:val="ListParagraph"/>
              <w:ind w:left="360"/>
              <w:rPr>
                <w:sz w:val="22"/>
                <w:szCs w:val="22"/>
              </w:rPr>
            </w:pPr>
          </w:p>
          <w:p w14:paraId="5DCF03F7" w14:textId="77777777" w:rsidR="000A16BA" w:rsidRPr="000831F0" w:rsidRDefault="000A16BA" w:rsidP="000A16BA">
            <w:pPr>
              <w:pStyle w:val="ListParagraph"/>
              <w:numPr>
                <w:ilvl w:val="0"/>
                <w:numId w:val="24"/>
              </w:numPr>
              <w:rPr>
                <w:sz w:val="22"/>
                <w:szCs w:val="22"/>
              </w:rPr>
            </w:pPr>
            <w:r w:rsidRPr="000831F0">
              <w:rPr>
                <w:sz w:val="22"/>
                <w:szCs w:val="22"/>
              </w:rPr>
              <w:t>GSMA</w:t>
            </w:r>
          </w:p>
          <w:p w14:paraId="69D7F517" w14:textId="77777777" w:rsidR="000A16BA" w:rsidRDefault="000A16BA" w:rsidP="003D3345">
            <w:pPr>
              <w:rPr>
                <w:sz w:val="22"/>
                <w:szCs w:val="22"/>
              </w:rPr>
            </w:pPr>
          </w:p>
          <w:p w14:paraId="1CE275CF" w14:textId="77777777" w:rsidR="000A16BA" w:rsidRDefault="000A16BA" w:rsidP="003D3345">
            <w:pPr>
              <w:rPr>
                <w:sz w:val="22"/>
                <w:szCs w:val="22"/>
              </w:rPr>
            </w:pPr>
          </w:p>
          <w:p w14:paraId="36CE42BE" w14:textId="77777777" w:rsidR="000A16BA" w:rsidRDefault="000A16BA" w:rsidP="003D3345">
            <w:pPr>
              <w:rPr>
                <w:sz w:val="22"/>
                <w:szCs w:val="22"/>
              </w:rPr>
            </w:pPr>
          </w:p>
          <w:p w14:paraId="21E343E0" w14:textId="77777777" w:rsidR="000A16BA" w:rsidRDefault="000A16BA" w:rsidP="003D3345">
            <w:pPr>
              <w:rPr>
                <w:sz w:val="22"/>
                <w:szCs w:val="22"/>
              </w:rPr>
            </w:pPr>
          </w:p>
          <w:p w14:paraId="26AF9B7A" w14:textId="77777777" w:rsidR="000A16BA" w:rsidRPr="000831F0" w:rsidRDefault="000A16BA" w:rsidP="003D3345">
            <w:pPr>
              <w:rPr>
                <w:sz w:val="22"/>
                <w:szCs w:val="22"/>
              </w:rPr>
            </w:pPr>
          </w:p>
          <w:p w14:paraId="39EC6C84" w14:textId="77777777" w:rsidR="000A16BA" w:rsidRPr="000831F0" w:rsidRDefault="000A16BA" w:rsidP="000A16BA">
            <w:pPr>
              <w:pStyle w:val="ListParagraph"/>
              <w:numPr>
                <w:ilvl w:val="0"/>
                <w:numId w:val="24"/>
              </w:numPr>
              <w:rPr>
                <w:sz w:val="22"/>
                <w:szCs w:val="22"/>
              </w:rPr>
            </w:pPr>
            <w:r w:rsidRPr="000D4D41">
              <w:t xml:space="preserve">Developers, service providers, </w:t>
            </w:r>
            <w:r>
              <w:t xml:space="preserve">and </w:t>
            </w:r>
            <w:r w:rsidRPr="000D4D41">
              <w:t>identity-management platforms participating in interop testing and adoption programs.</w:t>
            </w:r>
          </w:p>
          <w:p w14:paraId="3E0BCB96" w14:textId="77777777" w:rsidR="000A16BA" w:rsidRPr="00D17209" w:rsidRDefault="000A16BA" w:rsidP="003D3345"/>
        </w:tc>
        <w:tc>
          <w:tcPr>
            <w:tcW w:w="1903" w:type="pct"/>
          </w:tcPr>
          <w:p w14:paraId="658E05D8" w14:textId="77777777" w:rsidR="000A16BA" w:rsidRPr="00D17209" w:rsidRDefault="000A16BA" w:rsidP="003D3345">
            <w:pPr>
              <w:rPr>
                <w:b/>
                <w:bCs/>
                <w:sz w:val="22"/>
                <w:szCs w:val="22"/>
              </w:rPr>
            </w:pPr>
            <w:r w:rsidRPr="00D17209">
              <w:rPr>
                <w:b/>
                <w:bCs/>
                <w:sz w:val="22"/>
                <w:szCs w:val="22"/>
              </w:rPr>
              <w:lastRenderedPageBreak/>
              <w:t>Implementation:</w:t>
            </w:r>
          </w:p>
          <w:p w14:paraId="14830CD5" w14:textId="77777777" w:rsidR="000A16BA" w:rsidRDefault="000A16BA" w:rsidP="003D3345">
            <w:pPr>
              <w:rPr>
                <w:i/>
                <w:iCs/>
                <w:sz w:val="22"/>
                <w:szCs w:val="22"/>
              </w:rPr>
            </w:pPr>
            <w:r w:rsidRPr="4B9079D1">
              <w:rPr>
                <w:rFonts w:eastAsia="Times New Roman"/>
                <w:sz w:val="22"/>
                <w:szCs w:val="22"/>
              </w:rPr>
              <w:t>T</w:t>
            </w:r>
            <w:r>
              <w:rPr>
                <w:rFonts w:eastAsia="Times New Roman"/>
                <w:sz w:val="22"/>
                <w:szCs w:val="22"/>
              </w:rPr>
              <w:t>h</w:t>
            </w:r>
            <w:r w:rsidRPr="4B9079D1">
              <w:rPr>
                <w:rFonts w:eastAsia="Times New Roman"/>
                <w:sz w:val="22"/>
                <w:szCs w:val="22"/>
              </w:rPr>
              <w:t xml:space="preserve">ere are </w:t>
            </w:r>
            <w:r w:rsidRPr="00FA74B5">
              <w:rPr>
                <w:rFonts w:eastAsia="Times New Roman"/>
                <w:sz w:val="22"/>
                <w:szCs w:val="22"/>
              </w:rPr>
              <w:t>billions of people across millions of applications</w:t>
            </w:r>
            <w:r>
              <w:rPr>
                <w:rFonts w:eastAsia="Times New Roman"/>
                <w:sz w:val="22"/>
                <w:szCs w:val="22"/>
              </w:rPr>
              <w:t xml:space="preserve"> </w:t>
            </w:r>
            <w:r w:rsidRPr="4B9079D1">
              <w:rPr>
                <w:rFonts w:eastAsia="Times New Roman"/>
                <w:sz w:val="22"/>
                <w:szCs w:val="22"/>
              </w:rPr>
              <w:t>using this standard</w:t>
            </w:r>
            <w:r w:rsidRPr="00FA74B5">
              <w:rPr>
                <w:rFonts w:eastAsia="Times New Roman"/>
                <w:sz w:val="22"/>
                <w:szCs w:val="22"/>
              </w:rPr>
              <w:t>. </w:t>
            </w:r>
            <w:hyperlink r:id="rId29" w:anchor=":~:text=Digital%20identity%20security%20is%20entering,of%20networks'%20to%20interoperate%20globally." w:history="1">
              <w:r w:rsidRPr="00635540">
                <w:rPr>
                  <w:rStyle w:val="Hyperlink"/>
                  <w:rFonts w:eastAsia="Times New Roman"/>
                  <w:sz w:val="22"/>
                  <w:szCs w:val="22"/>
                </w:rPr>
                <w:t>OpenID</w:t>
              </w:r>
            </w:hyperlink>
          </w:p>
          <w:p w14:paraId="0290074C" w14:textId="77777777" w:rsidR="000A16BA" w:rsidRDefault="000A16BA" w:rsidP="003D3345">
            <w:pPr>
              <w:rPr>
                <w:i/>
                <w:iCs/>
                <w:sz w:val="22"/>
                <w:szCs w:val="22"/>
              </w:rPr>
            </w:pPr>
          </w:p>
          <w:p w14:paraId="6A749FC3" w14:textId="77777777" w:rsidR="000A16BA" w:rsidRDefault="000A16BA" w:rsidP="003D3345">
            <w:pPr>
              <w:rPr>
                <w:i/>
                <w:iCs/>
                <w:sz w:val="22"/>
                <w:szCs w:val="22"/>
              </w:rPr>
            </w:pPr>
          </w:p>
          <w:p w14:paraId="1721DBAE" w14:textId="77777777" w:rsidR="000A16BA" w:rsidRDefault="000A16BA" w:rsidP="003D3345">
            <w:pPr>
              <w:rPr>
                <w:i/>
                <w:iCs/>
                <w:sz w:val="22"/>
                <w:szCs w:val="22"/>
              </w:rPr>
            </w:pPr>
            <w:r w:rsidRPr="4B9079D1">
              <w:rPr>
                <w:rFonts w:eastAsia="Times New Roman"/>
                <w:sz w:val="22"/>
                <w:szCs w:val="22"/>
              </w:rPr>
              <w:t xml:space="preserve">OIDC Core 1.0 is prominently implemented through GSMA Mobile Connect, a secure mobile-based identity and authentication service developed by the GSMA (representing mobile network operators worldwide). </w:t>
            </w:r>
            <w:hyperlink r:id="rId30" w:tgtFrame="_blank" w:history="1">
              <w:r w:rsidRPr="0031103B">
                <w:rPr>
                  <w:rStyle w:val="Hyperlink"/>
                  <w:rFonts w:eastAsia="Times New Roman"/>
                  <w:sz w:val="22"/>
                  <w:szCs w:val="22"/>
                </w:rPr>
                <w:t>IDY.06 v1.0 - GSMA</w:t>
              </w:r>
            </w:hyperlink>
          </w:p>
          <w:p w14:paraId="08F5528B" w14:textId="77777777" w:rsidR="000A16BA" w:rsidRDefault="000A16BA" w:rsidP="003D3345">
            <w:pPr>
              <w:rPr>
                <w:sz w:val="22"/>
                <w:szCs w:val="22"/>
              </w:rPr>
            </w:pPr>
          </w:p>
          <w:p w14:paraId="466C580A" w14:textId="77777777" w:rsidR="000A16BA" w:rsidRPr="00EC63E1" w:rsidRDefault="000A16BA" w:rsidP="003D3345">
            <w:pPr>
              <w:rPr>
                <w:sz w:val="22"/>
                <w:szCs w:val="22"/>
              </w:rPr>
            </w:pPr>
            <w:r w:rsidRPr="00EC63E1">
              <w:rPr>
                <w:sz w:val="22"/>
                <w:szCs w:val="22"/>
              </w:rPr>
              <w:t>Implementation of interoperable identity and authentication flows under X.1285 standard, leveraging REST/OAuth + claims, for cross-platform login and identity federation</w:t>
            </w:r>
            <w:r>
              <w:rPr>
                <w:sz w:val="22"/>
                <w:szCs w:val="22"/>
              </w:rPr>
              <w:t xml:space="preserve">. </w:t>
            </w:r>
            <w:r w:rsidRPr="00A81B59">
              <w:rPr>
                <w:sz w:val="22"/>
                <w:szCs w:val="22"/>
              </w:rPr>
              <w:t>The OIDF announced a public “real-world interoperability demonstration” in May 2025, showing multi-platform, multi-provider identity/data sharing under the new standard.</w:t>
            </w:r>
            <w:hyperlink r:id="rId31" w:tgtFrame="_blank" w:history="1">
              <w:r w:rsidRPr="00091E24">
                <w:rPr>
                  <w:rStyle w:val="Hyperlink"/>
                  <w:sz w:val="22"/>
                  <w:szCs w:val="22"/>
                </w:rPr>
                <w:t xml:space="preserve"> OpenID Foundation</w:t>
              </w:r>
            </w:hyperlink>
          </w:p>
        </w:tc>
      </w:tr>
      <w:tr w:rsidR="000A16BA" w:rsidRPr="00D17209" w14:paraId="746FDFF1" w14:textId="77777777" w:rsidTr="00482119">
        <w:trPr>
          <w:trHeight w:val="1232"/>
        </w:trPr>
        <w:tc>
          <w:tcPr>
            <w:tcW w:w="1400" w:type="pct"/>
            <w:vMerge/>
            <w:vAlign w:val="center"/>
          </w:tcPr>
          <w:p w14:paraId="03743F87" w14:textId="77777777" w:rsidR="000A16BA" w:rsidRPr="00ED5AC1" w:rsidRDefault="000A16BA" w:rsidP="003D3345">
            <w:pPr>
              <w:rPr>
                <w:b/>
                <w:bCs/>
                <w:u w:val="single"/>
              </w:rPr>
            </w:pPr>
          </w:p>
        </w:tc>
        <w:tc>
          <w:tcPr>
            <w:tcW w:w="3600" w:type="pct"/>
            <w:gridSpan w:val="2"/>
          </w:tcPr>
          <w:p w14:paraId="1DB5BDE4" w14:textId="77777777" w:rsidR="000A16BA" w:rsidRPr="00D17209" w:rsidRDefault="000A16BA" w:rsidP="003D3345">
            <w:pPr>
              <w:rPr>
                <w:b/>
                <w:bCs/>
                <w:sz w:val="22"/>
                <w:szCs w:val="22"/>
              </w:rPr>
            </w:pPr>
            <w:r w:rsidRPr="4B9079D1">
              <w:rPr>
                <w:b/>
                <w:bCs/>
                <w:sz w:val="22"/>
                <w:szCs w:val="22"/>
              </w:rPr>
              <w:t>Implementation summary:</w:t>
            </w:r>
          </w:p>
          <w:p w14:paraId="60428EDF" w14:textId="77777777" w:rsidR="000A16BA" w:rsidRPr="00D50060" w:rsidRDefault="000A16BA" w:rsidP="003D3345">
            <w:pPr>
              <w:spacing w:before="240" w:after="240"/>
            </w:pPr>
            <w:r>
              <w:rPr>
                <w:rFonts w:eastAsia="Times New Roman"/>
                <w:sz w:val="22"/>
                <w:szCs w:val="22"/>
              </w:rPr>
              <w:t xml:space="preserve"> </w:t>
            </w:r>
            <w:r w:rsidRPr="003850F9">
              <w:rPr>
                <w:rFonts w:eastAsia="Times New Roman"/>
                <w:sz w:val="22"/>
                <w:szCs w:val="22"/>
              </w:rPr>
              <w:t>Many existing identity services, SaaS platforms, and applications already implement OpenID Connect; with X.1285</w:t>
            </w:r>
            <w:r>
              <w:rPr>
                <w:rFonts w:eastAsia="Times New Roman"/>
                <w:sz w:val="22"/>
                <w:szCs w:val="22"/>
              </w:rPr>
              <w:t>,</w:t>
            </w:r>
            <w:r w:rsidRPr="003850F9">
              <w:rPr>
                <w:rFonts w:eastAsia="Times New Roman"/>
                <w:sz w:val="22"/>
                <w:szCs w:val="22"/>
              </w:rPr>
              <w:t xml:space="preserve"> they now align under a formal international standard</w:t>
            </w:r>
            <w:r>
              <w:rPr>
                <w:rFonts w:eastAsia="Times New Roman"/>
                <w:sz w:val="22"/>
                <w:szCs w:val="22"/>
              </w:rPr>
              <w:t xml:space="preserve">, </w:t>
            </w:r>
            <w:r w:rsidRPr="003850F9">
              <w:rPr>
                <w:rFonts w:eastAsia="Times New Roman"/>
                <w:sz w:val="22"/>
                <w:szCs w:val="22"/>
              </w:rPr>
              <w:t>improving the credibility, interoperability, and regulatory compliance of identity and authentication services. The 2025 interoperability demonstration shows active real-world integration across platforms.</w:t>
            </w:r>
          </w:p>
        </w:tc>
      </w:tr>
      <w:tr w:rsidR="000A16BA" w:rsidRPr="00D17209" w14:paraId="38210A1F" w14:textId="77777777" w:rsidTr="00482119">
        <w:trPr>
          <w:trHeight w:val="1169"/>
        </w:trPr>
        <w:tc>
          <w:tcPr>
            <w:tcW w:w="1400" w:type="pct"/>
            <w:vMerge w:val="restart"/>
            <w:vAlign w:val="center"/>
          </w:tcPr>
          <w:p w14:paraId="02EF2614" w14:textId="77777777" w:rsidR="000A16BA" w:rsidRPr="00ED5AC1" w:rsidRDefault="000A16BA" w:rsidP="003D3345">
            <w:pPr>
              <w:rPr>
                <w:rFonts w:ascii="Segoe UI Symbol" w:hAnsi="Segoe UI Symbol" w:cs="Segoe UI Symbol"/>
                <w:b/>
                <w:bCs/>
                <w:u w:val="single"/>
              </w:rPr>
            </w:pPr>
            <w:r>
              <w:rPr>
                <w:b/>
                <w:bCs/>
                <w:u w:val="single"/>
              </w:rPr>
              <w:t>Telecom/</w:t>
            </w:r>
            <w:r w:rsidRPr="00ED5AC1">
              <w:rPr>
                <w:b/>
                <w:bCs/>
                <w:u w:val="single"/>
              </w:rPr>
              <w:t xml:space="preserve">ICT </w:t>
            </w:r>
            <w:r>
              <w:rPr>
                <w:b/>
                <w:bCs/>
                <w:u w:val="single"/>
              </w:rPr>
              <w:t>r</w:t>
            </w:r>
            <w:r w:rsidRPr="00ED5AC1">
              <w:rPr>
                <w:b/>
                <w:bCs/>
                <w:u w:val="single"/>
              </w:rPr>
              <w:t>egulations/</w:t>
            </w:r>
            <w:r>
              <w:rPr>
                <w:b/>
                <w:bCs/>
                <w:u w:val="single"/>
              </w:rPr>
              <w:t>p</w:t>
            </w:r>
            <w:r w:rsidRPr="00ED5AC1">
              <w:rPr>
                <w:b/>
                <w:bCs/>
                <w:u w:val="single"/>
              </w:rPr>
              <w:t>olicies</w:t>
            </w:r>
            <w:r>
              <w:rPr>
                <w:b/>
                <w:bCs/>
                <w:u w:val="single"/>
              </w:rPr>
              <w:t>/ national Standards</w:t>
            </w:r>
          </w:p>
        </w:tc>
        <w:tc>
          <w:tcPr>
            <w:tcW w:w="1697" w:type="pct"/>
          </w:tcPr>
          <w:p w14:paraId="2B9474C1" w14:textId="77777777" w:rsidR="000A16BA" w:rsidRPr="00D17209" w:rsidRDefault="000A16BA" w:rsidP="003D3345">
            <w:pPr>
              <w:rPr>
                <w:b/>
                <w:bCs/>
                <w:sz w:val="22"/>
                <w:szCs w:val="22"/>
              </w:rPr>
            </w:pPr>
            <w:r w:rsidRPr="00D17209">
              <w:rPr>
                <w:b/>
                <w:bCs/>
                <w:sz w:val="22"/>
                <w:szCs w:val="22"/>
              </w:rPr>
              <w:t xml:space="preserve">Implementing </w:t>
            </w:r>
            <w:r>
              <w:rPr>
                <w:b/>
                <w:bCs/>
                <w:sz w:val="22"/>
                <w:szCs w:val="22"/>
              </w:rPr>
              <w:t>b</w:t>
            </w:r>
            <w:r w:rsidRPr="00D17209">
              <w:rPr>
                <w:b/>
                <w:bCs/>
                <w:sz w:val="22"/>
                <w:szCs w:val="22"/>
              </w:rPr>
              <w:t xml:space="preserve">ody: </w:t>
            </w:r>
          </w:p>
          <w:p w14:paraId="794FDF63" w14:textId="77777777" w:rsidR="000A16BA" w:rsidRPr="00D17209" w:rsidRDefault="000A16BA" w:rsidP="003D3345">
            <w:pPr>
              <w:rPr>
                <w:rFonts w:ascii="Segoe UI Symbol" w:hAnsi="Segoe UI Symbol" w:cs="Segoe UI Symbol"/>
                <w:sz w:val="22"/>
                <w:szCs w:val="22"/>
              </w:rPr>
            </w:pPr>
            <w:r w:rsidRPr="00D17209">
              <w:rPr>
                <w:sz w:val="22"/>
                <w:szCs w:val="22"/>
              </w:rPr>
              <w:t>&lt;Member State</w:t>
            </w:r>
            <w:r>
              <w:rPr>
                <w:sz w:val="22"/>
                <w:szCs w:val="22"/>
              </w:rPr>
              <w:t>s</w:t>
            </w:r>
            <w:r w:rsidRPr="00D17209">
              <w:rPr>
                <w:sz w:val="22"/>
                <w:szCs w:val="22"/>
              </w:rPr>
              <w:t>&gt;</w:t>
            </w:r>
          </w:p>
        </w:tc>
        <w:tc>
          <w:tcPr>
            <w:tcW w:w="1903" w:type="pct"/>
          </w:tcPr>
          <w:p w14:paraId="0839D08E" w14:textId="77777777" w:rsidR="000A16BA" w:rsidRPr="00D17209" w:rsidRDefault="000A16BA" w:rsidP="003D3345">
            <w:pPr>
              <w:rPr>
                <w:b/>
                <w:bCs/>
                <w:sz w:val="22"/>
                <w:szCs w:val="22"/>
              </w:rPr>
            </w:pPr>
            <w:r w:rsidRPr="00D17209">
              <w:rPr>
                <w:b/>
                <w:bCs/>
                <w:sz w:val="22"/>
                <w:szCs w:val="22"/>
              </w:rPr>
              <w:t>Implementation:</w:t>
            </w:r>
          </w:p>
          <w:p w14:paraId="2D02872B" w14:textId="77777777" w:rsidR="000A16BA" w:rsidRPr="00D17209" w:rsidRDefault="000A16BA" w:rsidP="003D3345">
            <w:pPr>
              <w:rPr>
                <w:sz w:val="22"/>
                <w:szCs w:val="22"/>
              </w:rPr>
            </w:pPr>
            <w:r w:rsidRPr="00D17209">
              <w:rPr>
                <w:sz w:val="22"/>
                <w:szCs w:val="22"/>
              </w:rPr>
              <w:t>&lt;</w:t>
            </w:r>
            <w:r>
              <w:rPr>
                <w:sz w:val="22"/>
                <w:szCs w:val="22"/>
              </w:rPr>
              <w:t xml:space="preserve"> Telecom/</w:t>
            </w:r>
            <w:r w:rsidRPr="00D17209">
              <w:rPr>
                <w:sz w:val="22"/>
                <w:szCs w:val="22"/>
              </w:rPr>
              <w:t xml:space="preserve">ICT </w:t>
            </w:r>
            <w:r>
              <w:rPr>
                <w:sz w:val="22"/>
                <w:szCs w:val="22"/>
              </w:rPr>
              <w:t>r</w:t>
            </w:r>
            <w:r w:rsidRPr="00D17209">
              <w:rPr>
                <w:sz w:val="22"/>
                <w:szCs w:val="22"/>
              </w:rPr>
              <w:t>egulation</w:t>
            </w:r>
            <w:r>
              <w:rPr>
                <w:sz w:val="22"/>
                <w:szCs w:val="22"/>
              </w:rPr>
              <w:t>s</w:t>
            </w:r>
            <w:r w:rsidRPr="00D17209">
              <w:rPr>
                <w:sz w:val="22"/>
                <w:szCs w:val="22"/>
              </w:rPr>
              <w:t>/</w:t>
            </w:r>
            <w:r>
              <w:rPr>
                <w:sz w:val="22"/>
                <w:szCs w:val="22"/>
              </w:rPr>
              <w:t>p</w:t>
            </w:r>
            <w:r w:rsidRPr="00D17209">
              <w:rPr>
                <w:sz w:val="22"/>
                <w:szCs w:val="22"/>
              </w:rPr>
              <w:t>olic</w:t>
            </w:r>
            <w:r>
              <w:rPr>
                <w:sz w:val="22"/>
                <w:szCs w:val="22"/>
              </w:rPr>
              <w:t>ies/ national standards</w:t>
            </w:r>
            <w:r w:rsidRPr="00D17209">
              <w:rPr>
                <w:sz w:val="22"/>
                <w:szCs w:val="22"/>
              </w:rPr>
              <w:t>&gt;</w:t>
            </w:r>
          </w:p>
          <w:p w14:paraId="55083D35" w14:textId="77777777" w:rsidR="000A16BA" w:rsidRPr="00D17209" w:rsidRDefault="000A16BA" w:rsidP="003D3345">
            <w:pPr>
              <w:rPr>
                <w:rFonts w:ascii="Segoe UI Symbol" w:hAnsi="Segoe UI Symbol" w:cs="Segoe UI Symbol"/>
                <w:sz w:val="22"/>
                <w:szCs w:val="22"/>
              </w:rPr>
            </w:pPr>
            <w:r w:rsidRPr="00D17209">
              <w:rPr>
                <w:i/>
                <w:iCs/>
                <w:sz w:val="22"/>
                <w:szCs w:val="22"/>
              </w:rPr>
              <w:t xml:space="preserve">(With </w:t>
            </w:r>
            <w:r>
              <w:rPr>
                <w:i/>
                <w:iCs/>
                <w:sz w:val="22"/>
                <w:szCs w:val="22"/>
              </w:rPr>
              <w:t>r</w:t>
            </w:r>
            <w:r w:rsidRPr="00D17209">
              <w:rPr>
                <w:i/>
                <w:iCs/>
                <w:sz w:val="22"/>
                <w:szCs w:val="22"/>
              </w:rPr>
              <w:t>eferences)</w:t>
            </w:r>
          </w:p>
        </w:tc>
      </w:tr>
      <w:tr w:rsidR="000A16BA" w:rsidRPr="00D17209" w14:paraId="212894EE" w14:textId="77777777" w:rsidTr="00482119">
        <w:trPr>
          <w:trHeight w:val="1142"/>
        </w:trPr>
        <w:tc>
          <w:tcPr>
            <w:tcW w:w="1400" w:type="pct"/>
            <w:vMerge/>
            <w:vAlign w:val="center"/>
          </w:tcPr>
          <w:p w14:paraId="668E285E" w14:textId="77777777" w:rsidR="000A16BA" w:rsidRPr="00ED5AC1" w:rsidRDefault="000A16BA" w:rsidP="003D3345">
            <w:pPr>
              <w:rPr>
                <w:rFonts w:ascii="Segoe UI Symbol" w:hAnsi="Segoe UI Symbol" w:cs="Segoe UI Symbol"/>
                <w:b/>
                <w:bCs/>
                <w:u w:val="single"/>
              </w:rPr>
            </w:pPr>
          </w:p>
        </w:tc>
        <w:tc>
          <w:tcPr>
            <w:tcW w:w="3600" w:type="pct"/>
            <w:gridSpan w:val="2"/>
          </w:tcPr>
          <w:p w14:paraId="76AF8792" w14:textId="77777777" w:rsidR="000A16BA" w:rsidRPr="00D17209" w:rsidRDefault="000A16BA" w:rsidP="003D3345">
            <w:pPr>
              <w:rPr>
                <w:b/>
                <w:bCs/>
                <w:sz w:val="22"/>
                <w:szCs w:val="22"/>
              </w:rPr>
            </w:pPr>
            <w:r w:rsidRPr="00D17209">
              <w:rPr>
                <w:b/>
                <w:bCs/>
                <w:sz w:val="22"/>
                <w:szCs w:val="22"/>
              </w:rPr>
              <w:t xml:space="preserve">Implementation </w:t>
            </w:r>
            <w:r>
              <w:rPr>
                <w:b/>
                <w:bCs/>
                <w:sz w:val="22"/>
                <w:szCs w:val="22"/>
              </w:rPr>
              <w:t>s</w:t>
            </w:r>
            <w:r w:rsidRPr="00D17209">
              <w:rPr>
                <w:b/>
                <w:bCs/>
                <w:sz w:val="22"/>
                <w:szCs w:val="22"/>
              </w:rPr>
              <w:t>ummary:</w:t>
            </w:r>
          </w:p>
          <w:p w14:paraId="46F0DBAF" w14:textId="77777777" w:rsidR="000A16BA" w:rsidRPr="00D17209" w:rsidRDefault="000A16BA" w:rsidP="003D3345">
            <w:pPr>
              <w:rPr>
                <w:rFonts w:ascii="Segoe UI Symbol" w:hAnsi="Segoe UI Symbol" w:cs="Segoe UI Symbol"/>
                <w:sz w:val="22"/>
                <w:szCs w:val="22"/>
              </w:rPr>
            </w:pPr>
            <w:r w:rsidRPr="00FC4D62">
              <w:rPr>
                <w:sz w:val="22"/>
                <w:szCs w:val="22"/>
              </w:rPr>
              <w:t>As yet, there is no confirmed public case of a government or regulator formally embedding X.1285 into legislation or national identity-management policy.</w:t>
            </w:r>
            <w:r>
              <w:rPr>
                <w:sz w:val="22"/>
                <w:szCs w:val="22"/>
              </w:rPr>
              <w:t xml:space="preserve"> </w:t>
            </w:r>
            <w:r w:rsidRPr="00647803">
              <w:rPr>
                <w:sz w:val="22"/>
                <w:szCs w:val="22"/>
              </w:rPr>
              <w:t xml:space="preserve">However, the formal standardization of OpenID Connect via X.1285 is positioned by the OIDF and ITU as an enabler for governments to reference in future digital-identity policies, e-authentication regulations, or national identity frameworks. </w:t>
            </w:r>
            <w:hyperlink r:id="rId32" w:tgtFrame="_blank" w:history="1">
              <w:r w:rsidRPr="00647803">
                <w:rPr>
                  <w:rStyle w:val="Hyperlink"/>
                  <w:sz w:val="22"/>
                  <w:szCs w:val="22"/>
                </w:rPr>
                <w:t>OpenID Foundation</w:t>
              </w:r>
            </w:hyperlink>
          </w:p>
        </w:tc>
      </w:tr>
      <w:tr w:rsidR="000A16BA" w:rsidRPr="00D17209" w14:paraId="3B3BE8CC" w14:textId="77777777" w:rsidTr="00482119">
        <w:trPr>
          <w:trHeight w:val="1234"/>
        </w:trPr>
        <w:tc>
          <w:tcPr>
            <w:tcW w:w="1400" w:type="pct"/>
            <w:vMerge w:val="restart"/>
            <w:vAlign w:val="center"/>
          </w:tcPr>
          <w:p w14:paraId="2CE62576" w14:textId="77777777" w:rsidR="000A16BA" w:rsidRPr="00ED5AC1" w:rsidRDefault="000A16BA" w:rsidP="003D3345">
            <w:pPr>
              <w:rPr>
                <w:rFonts w:ascii="Segoe UI Symbol" w:hAnsi="Segoe UI Symbol" w:cs="Segoe UI Symbol"/>
                <w:b/>
                <w:bCs/>
                <w:u w:val="single"/>
              </w:rPr>
            </w:pPr>
            <w:r w:rsidRPr="00ED5AC1">
              <w:rPr>
                <w:b/>
                <w:bCs/>
                <w:u w:val="single"/>
              </w:rPr>
              <w:t xml:space="preserve">International </w:t>
            </w:r>
            <w:r>
              <w:rPr>
                <w:b/>
                <w:bCs/>
                <w:u w:val="single"/>
              </w:rPr>
              <w:t>s</w:t>
            </w:r>
            <w:r w:rsidRPr="00ED5AC1">
              <w:rPr>
                <w:b/>
                <w:bCs/>
                <w:u w:val="single"/>
              </w:rPr>
              <w:t>tandards</w:t>
            </w:r>
            <w:r>
              <w:rPr>
                <w:b/>
                <w:bCs/>
                <w:u w:val="single"/>
              </w:rPr>
              <w:t>/ Recommendations</w:t>
            </w:r>
          </w:p>
        </w:tc>
        <w:tc>
          <w:tcPr>
            <w:tcW w:w="1697" w:type="pct"/>
          </w:tcPr>
          <w:p w14:paraId="1437DFC9" w14:textId="77777777" w:rsidR="000A16BA" w:rsidRPr="00D17209" w:rsidRDefault="000A16BA" w:rsidP="003D3345">
            <w:r w:rsidRPr="00857AEF">
              <w:rPr>
                <w:b/>
                <w:bCs/>
                <w:sz w:val="22"/>
                <w:szCs w:val="22"/>
              </w:rPr>
              <w:t xml:space="preserve">ISO/IEC JTC 1 </w:t>
            </w:r>
          </w:p>
        </w:tc>
        <w:tc>
          <w:tcPr>
            <w:tcW w:w="1903" w:type="pct"/>
          </w:tcPr>
          <w:p w14:paraId="3E90D32C" w14:textId="77777777" w:rsidR="000A16BA" w:rsidRPr="00D17209" w:rsidRDefault="000A16BA" w:rsidP="003D3345">
            <w:pPr>
              <w:rPr>
                <w:b/>
                <w:bCs/>
                <w:sz w:val="22"/>
                <w:szCs w:val="22"/>
              </w:rPr>
            </w:pPr>
            <w:r w:rsidRPr="00D17209">
              <w:rPr>
                <w:b/>
                <w:bCs/>
                <w:sz w:val="22"/>
                <w:szCs w:val="22"/>
              </w:rPr>
              <w:t>Implementation</w:t>
            </w:r>
          </w:p>
          <w:p w14:paraId="55021ED1" w14:textId="77777777" w:rsidR="000A16BA" w:rsidRDefault="000A16BA" w:rsidP="003D3345">
            <w:pPr>
              <w:rPr>
                <w:sz w:val="22"/>
                <w:szCs w:val="22"/>
              </w:rPr>
            </w:pPr>
            <w:hyperlink r:id="rId33" w:history="1">
              <w:r w:rsidRPr="00E40FDD">
                <w:rPr>
                  <w:rStyle w:val="Hyperlink"/>
                  <w:sz w:val="22"/>
                  <w:szCs w:val="22"/>
                </w:rPr>
                <w:t>ISO/IEC 26131:2024</w:t>
              </w:r>
            </w:hyperlink>
            <w:r w:rsidRPr="00BA3209">
              <w:rPr>
                <w:sz w:val="22"/>
                <w:szCs w:val="22"/>
              </w:rPr>
              <w:t xml:space="preserve"> — OpenID Connect 1.0 core functionality standardized under ISO/IEC</w:t>
            </w:r>
            <w:r>
              <w:rPr>
                <w:sz w:val="22"/>
                <w:szCs w:val="22"/>
              </w:rPr>
              <w:t xml:space="preserve">. </w:t>
            </w:r>
          </w:p>
          <w:p w14:paraId="4D651DFA" w14:textId="77777777" w:rsidR="000A16BA" w:rsidRPr="00D17209" w:rsidRDefault="000A16BA" w:rsidP="003D3345">
            <w:pPr>
              <w:rPr>
                <w:rFonts w:ascii="Segoe UI Symbol" w:hAnsi="Segoe UI Symbol" w:cs="Segoe UI Symbol"/>
                <w:sz w:val="22"/>
                <w:szCs w:val="22"/>
              </w:rPr>
            </w:pPr>
          </w:p>
        </w:tc>
      </w:tr>
      <w:tr w:rsidR="000A16BA" w:rsidRPr="00D17209" w14:paraId="2D4DF136" w14:textId="77777777" w:rsidTr="00482119">
        <w:trPr>
          <w:trHeight w:val="1353"/>
        </w:trPr>
        <w:tc>
          <w:tcPr>
            <w:tcW w:w="1400" w:type="pct"/>
            <w:vMerge/>
            <w:vAlign w:val="center"/>
          </w:tcPr>
          <w:p w14:paraId="045E9FF2" w14:textId="77777777" w:rsidR="000A16BA" w:rsidRPr="00D17209" w:rsidRDefault="000A16BA" w:rsidP="003D3345">
            <w:pPr>
              <w:rPr>
                <w:rFonts w:ascii="Segoe UI Symbol" w:hAnsi="Segoe UI Symbol" w:cs="Segoe UI Symbol"/>
                <w:sz w:val="22"/>
                <w:szCs w:val="22"/>
              </w:rPr>
            </w:pPr>
          </w:p>
        </w:tc>
        <w:tc>
          <w:tcPr>
            <w:tcW w:w="3600" w:type="pct"/>
            <w:gridSpan w:val="2"/>
          </w:tcPr>
          <w:p w14:paraId="3D2AC57B" w14:textId="77777777" w:rsidR="000A16BA" w:rsidRPr="00D17209" w:rsidRDefault="000A16BA" w:rsidP="003D3345">
            <w:pPr>
              <w:rPr>
                <w:b/>
                <w:bCs/>
                <w:sz w:val="22"/>
                <w:szCs w:val="22"/>
              </w:rPr>
            </w:pPr>
            <w:r w:rsidRPr="4B9079D1">
              <w:rPr>
                <w:b/>
                <w:bCs/>
                <w:sz w:val="22"/>
                <w:szCs w:val="22"/>
              </w:rPr>
              <w:t>Implementation summary:</w:t>
            </w:r>
          </w:p>
          <w:p w14:paraId="2CE6CCDC" w14:textId="77777777" w:rsidR="000A16BA" w:rsidRPr="00E20127" w:rsidRDefault="000A16BA" w:rsidP="003D3345">
            <w:pPr>
              <w:spacing w:before="240" w:after="240"/>
              <w:rPr>
                <w:rFonts w:eastAsia="Times New Roman"/>
                <w:sz w:val="22"/>
                <w:szCs w:val="22"/>
              </w:rPr>
            </w:pPr>
            <w:r w:rsidRPr="00B601A5">
              <w:rPr>
                <w:rFonts w:eastAsia="Times New Roman"/>
                <w:sz w:val="22"/>
                <w:szCs w:val="22"/>
              </w:rPr>
              <w:t>X.1285’s transformation from an open spec (by OIDF) to an official ITU-T Recommendation</w:t>
            </w:r>
            <w:r>
              <w:rPr>
                <w:rFonts w:eastAsia="Times New Roman"/>
                <w:sz w:val="22"/>
                <w:szCs w:val="22"/>
              </w:rPr>
              <w:t xml:space="preserve">, </w:t>
            </w:r>
            <w:r w:rsidRPr="00B601A5">
              <w:rPr>
                <w:rFonts w:eastAsia="Times New Roman"/>
                <w:sz w:val="22"/>
                <w:szCs w:val="22"/>
              </w:rPr>
              <w:t>together with ISO/IEC standardization</w:t>
            </w:r>
            <w:r>
              <w:rPr>
                <w:rFonts w:eastAsia="Times New Roman"/>
                <w:sz w:val="22"/>
                <w:szCs w:val="22"/>
              </w:rPr>
              <w:t>,</w:t>
            </w:r>
            <w:r w:rsidRPr="00B601A5">
              <w:rPr>
                <w:rFonts w:eastAsia="Times New Roman"/>
                <w:sz w:val="22"/>
                <w:szCs w:val="22"/>
              </w:rPr>
              <w:t xml:space="preserve"> embeds OpenID Connect Core 1.0 into the global international-standards landscape, giving the protocol formal normative status across major standardization bodies.</w:t>
            </w:r>
          </w:p>
        </w:tc>
      </w:tr>
      <w:tr w:rsidR="000A16BA" w:rsidRPr="00D17209" w14:paraId="290C0BF9" w14:textId="77777777" w:rsidTr="00482119">
        <w:trPr>
          <w:trHeight w:val="1034"/>
        </w:trPr>
        <w:tc>
          <w:tcPr>
            <w:tcW w:w="1400" w:type="pct"/>
            <w:vAlign w:val="center"/>
          </w:tcPr>
          <w:p w14:paraId="222B5D91" w14:textId="77777777" w:rsidR="000A16BA" w:rsidRPr="00D17209" w:rsidRDefault="000A16BA" w:rsidP="003D3345">
            <w:pPr>
              <w:rPr>
                <w:b/>
                <w:bCs/>
                <w:sz w:val="22"/>
                <w:szCs w:val="22"/>
              </w:rPr>
            </w:pPr>
            <w:r w:rsidRPr="00085E95">
              <w:rPr>
                <w:b/>
                <w:bCs/>
                <w:u w:val="single"/>
              </w:rPr>
              <w:t>Other</w:t>
            </w:r>
          </w:p>
        </w:tc>
        <w:tc>
          <w:tcPr>
            <w:tcW w:w="3600" w:type="pct"/>
            <w:gridSpan w:val="2"/>
            <w:vAlign w:val="center"/>
          </w:tcPr>
          <w:p w14:paraId="74B138F2" w14:textId="77777777" w:rsidR="000A16BA" w:rsidRPr="00D17209" w:rsidRDefault="000A16BA" w:rsidP="003D3345">
            <w:pPr>
              <w:rPr>
                <w:b/>
                <w:bCs/>
                <w:sz w:val="22"/>
                <w:szCs w:val="22"/>
              </w:rPr>
            </w:pPr>
            <w:r w:rsidRPr="00D17209">
              <w:rPr>
                <w:b/>
                <w:bCs/>
                <w:sz w:val="22"/>
                <w:szCs w:val="22"/>
              </w:rPr>
              <w:t xml:space="preserve">Implementation </w:t>
            </w:r>
            <w:r>
              <w:rPr>
                <w:b/>
                <w:bCs/>
                <w:sz w:val="22"/>
                <w:szCs w:val="22"/>
              </w:rPr>
              <w:t>s</w:t>
            </w:r>
            <w:r w:rsidRPr="00D17209">
              <w:rPr>
                <w:b/>
                <w:bCs/>
                <w:sz w:val="22"/>
                <w:szCs w:val="22"/>
              </w:rPr>
              <w:t>ummary:</w:t>
            </w:r>
          </w:p>
          <w:p w14:paraId="4DE2A1BC" w14:textId="77777777" w:rsidR="000A16BA" w:rsidRDefault="000A16BA" w:rsidP="003D3345">
            <w:pPr>
              <w:rPr>
                <w:sz w:val="22"/>
                <w:szCs w:val="22"/>
              </w:rPr>
            </w:pPr>
            <w:r w:rsidRPr="00D17209">
              <w:rPr>
                <w:sz w:val="22"/>
                <w:szCs w:val="22"/>
              </w:rPr>
              <w:t>&lt;</w:t>
            </w:r>
            <w:r>
              <w:rPr>
                <w:sz w:val="22"/>
                <w:szCs w:val="22"/>
              </w:rPr>
              <w:t>If none of the categories above are suitable, provide a br</w:t>
            </w:r>
            <w:r w:rsidRPr="00D17209">
              <w:rPr>
                <w:sz w:val="22"/>
                <w:szCs w:val="22"/>
              </w:rPr>
              <w:t xml:space="preserve">ief description on how the ITU-T </w:t>
            </w:r>
            <w:r>
              <w:rPr>
                <w:sz w:val="22"/>
                <w:szCs w:val="22"/>
              </w:rPr>
              <w:t>R</w:t>
            </w:r>
            <w:r w:rsidRPr="00D17209">
              <w:rPr>
                <w:sz w:val="22"/>
                <w:szCs w:val="22"/>
              </w:rPr>
              <w:t xml:space="preserve">ecommendation </w:t>
            </w:r>
            <w:r>
              <w:rPr>
                <w:sz w:val="22"/>
                <w:szCs w:val="22"/>
              </w:rPr>
              <w:t xml:space="preserve">has impacted the global telecom/ICT landscape&gt; </w:t>
            </w:r>
          </w:p>
          <w:p w14:paraId="0A639306" w14:textId="77777777" w:rsidR="000A16BA" w:rsidRPr="00D17209" w:rsidRDefault="000A16BA" w:rsidP="003D3345">
            <w:pPr>
              <w:rPr>
                <w:b/>
                <w:bCs/>
                <w:sz w:val="22"/>
                <w:szCs w:val="22"/>
              </w:rPr>
            </w:pPr>
            <w:r w:rsidRPr="00D17209">
              <w:rPr>
                <w:i/>
                <w:iCs/>
                <w:sz w:val="22"/>
                <w:szCs w:val="22"/>
              </w:rPr>
              <w:t xml:space="preserve">(With </w:t>
            </w:r>
            <w:r>
              <w:rPr>
                <w:i/>
                <w:iCs/>
                <w:sz w:val="22"/>
                <w:szCs w:val="22"/>
              </w:rPr>
              <w:t>r</w:t>
            </w:r>
            <w:r w:rsidRPr="00D17209">
              <w:rPr>
                <w:i/>
                <w:iCs/>
                <w:sz w:val="22"/>
                <w:szCs w:val="22"/>
              </w:rPr>
              <w:t>eferences)</w:t>
            </w:r>
          </w:p>
        </w:tc>
      </w:tr>
    </w:tbl>
    <w:p w14:paraId="5EE26323" w14:textId="77777777" w:rsidR="00DA5F1A" w:rsidRDefault="00DA5F1A" w:rsidP="00DA5F1A">
      <w:pPr>
        <w:pStyle w:val="BodyText"/>
      </w:pPr>
    </w:p>
    <w:p w14:paraId="4D73D789" w14:textId="7143BE7A" w:rsidR="00CF0CD5" w:rsidRDefault="00CF0CD5" w:rsidP="00E376E6">
      <w:pPr>
        <w:spacing w:before="0"/>
        <w:jc w:val="center"/>
      </w:pPr>
      <w:bookmarkStart w:id="13" w:name="_Hlk98856042"/>
      <w:bookmarkEnd w:id="11"/>
      <w:r>
        <w:t>_______________________</w:t>
      </w:r>
      <w:bookmarkEnd w:id="13"/>
    </w:p>
    <w:sectPr w:rsidR="00CF0CD5" w:rsidSect="007763F3">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ED2C" w14:textId="77777777" w:rsidR="00D92572" w:rsidRDefault="00D92572">
      <w:pPr>
        <w:spacing w:before="0"/>
      </w:pPr>
      <w:r>
        <w:separator/>
      </w:r>
    </w:p>
  </w:endnote>
  <w:endnote w:type="continuationSeparator" w:id="0">
    <w:p w14:paraId="12F28CFC" w14:textId="77777777" w:rsidR="00D92572" w:rsidRDefault="00D925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
    <w:altName w:val="Yu Gothic"/>
    <w:charset w:val="80"/>
    <w:family w:val="auto"/>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rif">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4655" w14:textId="77777777" w:rsidR="00D92572" w:rsidRDefault="00D92572">
      <w:pPr>
        <w:spacing w:before="0"/>
      </w:pPr>
      <w:r>
        <w:separator/>
      </w:r>
    </w:p>
  </w:footnote>
  <w:footnote w:type="continuationSeparator" w:id="0">
    <w:p w14:paraId="147FDDC0" w14:textId="77777777" w:rsidR="00D92572" w:rsidRDefault="00D9257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B593" w14:textId="5CBEDC73" w:rsidR="002173E0" w:rsidRPr="007763F3" w:rsidRDefault="007763F3" w:rsidP="007763F3">
    <w:pPr>
      <w:pStyle w:val="Header"/>
    </w:pPr>
    <w:r w:rsidRPr="007763F3">
      <w:t xml:space="preserve">- </w:t>
    </w:r>
    <w:r w:rsidRPr="007763F3">
      <w:fldChar w:fldCharType="begin"/>
    </w:r>
    <w:r w:rsidRPr="007763F3">
      <w:instrText xml:space="preserve"> PAGE  \* MERGEFORMAT </w:instrText>
    </w:r>
    <w:r w:rsidRPr="007763F3">
      <w:fldChar w:fldCharType="separate"/>
    </w:r>
    <w:r w:rsidRPr="007763F3">
      <w:rPr>
        <w:noProof/>
      </w:rPr>
      <w:t>1</w:t>
    </w:r>
    <w:r w:rsidRPr="007763F3">
      <w:fldChar w:fldCharType="end"/>
    </w:r>
    <w:r w:rsidRPr="007763F3">
      <w:t xml:space="preserve"> -</w:t>
    </w:r>
  </w:p>
  <w:p w14:paraId="4DEC343D" w14:textId="21D865F8" w:rsidR="007763F3" w:rsidRPr="007763F3" w:rsidRDefault="007763F3" w:rsidP="007763F3">
    <w:pPr>
      <w:pStyle w:val="Header"/>
      <w:spacing w:after="240"/>
    </w:pPr>
    <w:r w:rsidRPr="007763F3">
      <w:fldChar w:fldCharType="begin"/>
    </w:r>
    <w:r w:rsidRPr="007763F3">
      <w:instrText xml:space="preserve"> STYLEREF  Docnumber  </w:instrText>
    </w:r>
    <w:r>
      <w:fldChar w:fldCharType="separate"/>
    </w:r>
    <w:r>
      <w:rPr>
        <w:noProof/>
      </w:rPr>
      <w:t>TSAG-TD290</w:t>
    </w:r>
    <w:r w:rsidRPr="007763F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F4B49B"/>
    <w:multiLevelType w:val="multilevel"/>
    <w:tmpl w:val="A4F4B49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FFFFFFFB"/>
    <w:multiLevelType w:val="multilevel"/>
    <w:tmpl w:val="2B6E6F08"/>
    <w:lvl w:ilvl="0">
      <w:start w:val="1"/>
      <w:numFmt w:val="decimal"/>
      <w:lvlText w:val="%1"/>
      <w:lvlJc w:val="left"/>
      <w:pPr>
        <w:tabs>
          <w:tab w:val="num" w:pos="432"/>
        </w:tabs>
        <w:ind w:left="432"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1836AB"/>
    <w:multiLevelType w:val="multilevel"/>
    <w:tmpl w:val="041836AB"/>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ind w:left="1443"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1C483EBA"/>
    <w:multiLevelType w:val="hybridMultilevel"/>
    <w:tmpl w:val="FFFFFFFF"/>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23E95449"/>
    <w:multiLevelType w:val="multilevel"/>
    <w:tmpl w:val="FFFFFFFB"/>
    <w:lvl w:ilvl="0">
      <w:start w:val="1"/>
      <w:numFmt w:val="decimal"/>
      <w:lvlText w:val="%1"/>
      <w:lvlJc w:val="left"/>
      <w:pPr>
        <w:tabs>
          <w:tab w:val="left" w:pos="432"/>
        </w:tabs>
        <w:ind w:left="432" w:hanging="432"/>
      </w:pPr>
      <w:rPr>
        <w:rFonts w:hint="default"/>
        <w:lang w:val="en-GB"/>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24312B6A"/>
    <w:multiLevelType w:val="hybridMultilevel"/>
    <w:tmpl w:val="FFFFFFFF"/>
    <w:lvl w:ilvl="0" w:tplc="99E8DEF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293F0C06"/>
    <w:multiLevelType w:val="hybridMultilevel"/>
    <w:tmpl w:val="C5FE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A7301"/>
    <w:multiLevelType w:val="hybridMultilevel"/>
    <w:tmpl w:val="FFFFFFFF"/>
    <w:lvl w:ilvl="0" w:tplc="62583042">
      <w:start w:val="10"/>
      <w:numFmt w:val="bullet"/>
      <w:lvlText w:val="-"/>
      <w:lvlJc w:val="left"/>
      <w:pPr>
        <w:ind w:left="720" w:hanging="360"/>
      </w:pPr>
      <w:rPr>
        <w:rFonts w:ascii="Times New Roman" w:eastAsiaTheme="minorEastAsia"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50360F"/>
    <w:multiLevelType w:val="hybridMultilevel"/>
    <w:tmpl w:val="FFFFFFFF"/>
    <w:lvl w:ilvl="0" w:tplc="50367CC6">
      <w:start w:val="10"/>
      <w:numFmt w:val="bullet"/>
      <w:lvlText w:val="-"/>
      <w:lvlJc w:val="left"/>
      <w:pPr>
        <w:ind w:left="360" w:hanging="360"/>
      </w:pPr>
      <w:rPr>
        <w:rFonts w:ascii="Times New Roman" w:eastAsiaTheme="minorEastAsia" w:hAnsi="Times New Roman"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EF544F8"/>
    <w:multiLevelType w:val="hybridMultilevel"/>
    <w:tmpl w:val="A3FEEB0A"/>
    <w:lvl w:ilvl="0" w:tplc="43B28242">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60A50"/>
    <w:multiLevelType w:val="hybridMultilevel"/>
    <w:tmpl w:val="FFFFFFFF"/>
    <w:lvl w:ilvl="0" w:tplc="2CF4EC78">
      <w:start w:val="10"/>
      <w:numFmt w:val="bullet"/>
      <w:lvlText w:val="-"/>
      <w:lvlJc w:val="left"/>
      <w:pPr>
        <w:ind w:left="720" w:hanging="360"/>
      </w:pPr>
      <w:rPr>
        <w:rFonts w:ascii="Times New Roman" w:eastAsiaTheme="minorEastAsia"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D12FB9"/>
    <w:multiLevelType w:val="hybridMultilevel"/>
    <w:tmpl w:val="0DC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30480"/>
    <w:multiLevelType w:val="multilevel"/>
    <w:tmpl w:val="6D630480"/>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ind w:left="1443"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5FE70C8"/>
    <w:multiLevelType w:val="hybridMultilevel"/>
    <w:tmpl w:val="B2223DFC"/>
    <w:lvl w:ilvl="0" w:tplc="BD307D1A">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168428">
    <w:abstractNumId w:val="4"/>
  </w:num>
  <w:num w:numId="2" w16cid:durableId="943998941">
    <w:abstractNumId w:val="6"/>
  </w:num>
  <w:num w:numId="3" w16cid:durableId="1905021758">
    <w:abstractNumId w:val="9"/>
  </w:num>
  <w:num w:numId="4" w16cid:durableId="2005890031">
    <w:abstractNumId w:val="10"/>
  </w:num>
  <w:num w:numId="5" w16cid:durableId="2001687671">
    <w:abstractNumId w:val="7"/>
  </w:num>
  <w:num w:numId="6" w16cid:durableId="1988900796">
    <w:abstractNumId w:val="3"/>
  </w:num>
  <w:num w:numId="7" w16cid:durableId="2081517186">
    <w:abstractNumId w:val="8"/>
  </w:num>
  <w:num w:numId="8" w16cid:durableId="887183146">
    <w:abstractNumId w:val="5"/>
  </w:num>
  <w:num w:numId="9" w16cid:durableId="115680744">
    <w:abstractNumId w:val="2"/>
  </w:num>
  <w:num w:numId="10" w16cid:durableId="2081824110">
    <w:abstractNumId w:val="1"/>
  </w:num>
  <w:num w:numId="11" w16cid:durableId="1610895666">
    <w:abstractNumId w:val="0"/>
  </w:num>
  <w:num w:numId="12" w16cid:durableId="567771060">
    <w:abstractNumId w:val="22"/>
  </w:num>
  <w:num w:numId="13" w16cid:durableId="1947496521">
    <w:abstractNumId w:val="12"/>
  </w:num>
  <w:num w:numId="14" w16cid:durableId="1717778666">
    <w:abstractNumId w:val="19"/>
  </w:num>
  <w:num w:numId="15" w16cid:durableId="1494101360">
    <w:abstractNumId w:val="23"/>
  </w:num>
  <w:num w:numId="16" w16cid:durableId="681905721">
    <w:abstractNumId w:val="15"/>
  </w:num>
  <w:num w:numId="17" w16cid:durableId="1574313417">
    <w:abstractNumId w:val="21"/>
  </w:num>
  <w:num w:numId="18" w16cid:durableId="212232866">
    <w:abstractNumId w:val="16"/>
  </w:num>
  <w:num w:numId="19" w16cid:durableId="102001373">
    <w:abstractNumId w:val="13"/>
  </w:num>
  <w:num w:numId="20" w16cid:durableId="1422750672">
    <w:abstractNumId w:val="11"/>
  </w:num>
  <w:num w:numId="21" w16cid:durableId="950479066">
    <w:abstractNumId w:val="14"/>
  </w:num>
  <w:num w:numId="22" w16cid:durableId="210507667">
    <w:abstractNumId w:val="20"/>
  </w:num>
  <w:num w:numId="23" w16cid:durableId="599484919">
    <w:abstractNumId w:val="17"/>
  </w:num>
  <w:num w:numId="24" w16cid:durableId="937371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02F5"/>
    <w:rsid w:val="00002637"/>
    <w:rsid w:val="00014F69"/>
    <w:rsid w:val="000163FB"/>
    <w:rsid w:val="000171DB"/>
    <w:rsid w:val="00023D9A"/>
    <w:rsid w:val="00034D3D"/>
    <w:rsid w:val="00034DCC"/>
    <w:rsid w:val="0003582E"/>
    <w:rsid w:val="00040E77"/>
    <w:rsid w:val="00043D75"/>
    <w:rsid w:val="00053160"/>
    <w:rsid w:val="00055271"/>
    <w:rsid w:val="00057000"/>
    <w:rsid w:val="000640E0"/>
    <w:rsid w:val="000671EE"/>
    <w:rsid w:val="000736A8"/>
    <w:rsid w:val="00075B4C"/>
    <w:rsid w:val="00083C88"/>
    <w:rsid w:val="00086D80"/>
    <w:rsid w:val="00087D68"/>
    <w:rsid w:val="000966A8"/>
    <w:rsid w:val="00097C14"/>
    <w:rsid w:val="000A0A5C"/>
    <w:rsid w:val="000A16BA"/>
    <w:rsid w:val="000A2915"/>
    <w:rsid w:val="000A5CA2"/>
    <w:rsid w:val="000A7C06"/>
    <w:rsid w:val="000C2552"/>
    <w:rsid w:val="000D2EEE"/>
    <w:rsid w:val="000E3C61"/>
    <w:rsid w:val="000E3E55"/>
    <w:rsid w:val="000E6083"/>
    <w:rsid w:val="000E6125"/>
    <w:rsid w:val="000F3D7D"/>
    <w:rsid w:val="00100BAF"/>
    <w:rsid w:val="00105006"/>
    <w:rsid w:val="00111D5C"/>
    <w:rsid w:val="00113DBE"/>
    <w:rsid w:val="001200A6"/>
    <w:rsid w:val="001215DD"/>
    <w:rsid w:val="001251DA"/>
    <w:rsid w:val="00125432"/>
    <w:rsid w:val="00136DDD"/>
    <w:rsid w:val="00137F40"/>
    <w:rsid w:val="00144BDF"/>
    <w:rsid w:val="001501B5"/>
    <w:rsid w:val="00155DDC"/>
    <w:rsid w:val="00156E3B"/>
    <w:rsid w:val="001763D1"/>
    <w:rsid w:val="001871EC"/>
    <w:rsid w:val="00190332"/>
    <w:rsid w:val="0019737B"/>
    <w:rsid w:val="001A20C3"/>
    <w:rsid w:val="001A670F"/>
    <w:rsid w:val="001B6A45"/>
    <w:rsid w:val="001C1003"/>
    <w:rsid w:val="001C4B91"/>
    <w:rsid w:val="001C620E"/>
    <w:rsid w:val="001C62B8"/>
    <w:rsid w:val="001D033C"/>
    <w:rsid w:val="001D22D8"/>
    <w:rsid w:val="001D4296"/>
    <w:rsid w:val="001E3576"/>
    <w:rsid w:val="001E7B0E"/>
    <w:rsid w:val="001F141D"/>
    <w:rsid w:val="00200A06"/>
    <w:rsid w:val="00200A98"/>
    <w:rsid w:val="002015BD"/>
    <w:rsid w:val="00201AFA"/>
    <w:rsid w:val="00203D41"/>
    <w:rsid w:val="002054AD"/>
    <w:rsid w:val="002103F6"/>
    <w:rsid w:val="002173E0"/>
    <w:rsid w:val="002229F1"/>
    <w:rsid w:val="00227F32"/>
    <w:rsid w:val="00230B96"/>
    <w:rsid w:val="00233F75"/>
    <w:rsid w:val="00241443"/>
    <w:rsid w:val="0025233B"/>
    <w:rsid w:val="002528F9"/>
    <w:rsid w:val="00253DBE"/>
    <w:rsid w:val="00253DC6"/>
    <w:rsid w:val="0025489C"/>
    <w:rsid w:val="002622FA"/>
    <w:rsid w:val="00263518"/>
    <w:rsid w:val="002759E7"/>
    <w:rsid w:val="00277326"/>
    <w:rsid w:val="002878EB"/>
    <w:rsid w:val="00290724"/>
    <w:rsid w:val="002A11C4"/>
    <w:rsid w:val="002A2278"/>
    <w:rsid w:val="002A399B"/>
    <w:rsid w:val="002A6579"/>
    <w:rsid w:val="002B0D7B"/>
    <w:rsid w:val="002C18D6"/>
    <w:rsid w:val="002C26C0"/>
    <w:rsid w:val="002C2BC5"/>
    <w:rsid w:val="002D4EA6"/>
    <w:rsid w:val="002E0407"/>
    <w:rsid w:val="002E1937"/>
    <w:rsid w:val="002E79CB"/>
    <w:rsid w:val="002F0471"/>
    <w:rsid w:val="002F1714"/>
    <w:rsid w:val="002F407B"/>
    <w:rsid w:val="002F5CA7"/>
    <w:rsid w:val="002F7F55"/>
    <w:rsid w:val="003068E2"/>
    <w:rsid w:val="0030745F"/>
    <w:rsid w:val="0030780E"/>
    <w:rsid w:val="00314630"/>
    <w:rsid w:val="0032090A"/>
    <w:rsid w:val="00321CDE"/>
    <w:rsid w:val="00333E15"/>
    <w:rsid w:val="00334331"/>
    <w:rsid w:val="003416D3"/>
    <w:rsid w:val="0034386C"/>
    <w:rsid w:val="00353304"/>
    <w:rsid w:val="0035435B"/>
    <w:rsid w:val="00354363"/>
    <w:rsid w:val="0035646C"/>
    <w:rsid w:val="003571BC"/>
    <w:rsid w:val="0036090C"/>
    <w:rsid w:val="00362EAB"/>
    <w:rsid w:val="00363AFB"/>
    <w:rsid w:val="00364979"/>
    <w:rsid w:val="003652F4"/>
    <w:rsid w:val="00366AA2"/>
    <w:rsid w:val="003828BE"/>
    <w:rsid w:val="003848D7"/>
    <w:rsid w:val="00385B9C"/>
    <w:rsid w:val="00385FB5"/>
    <w:rsid w:val="0038715D"/>
    <w:rsid w:val="00392E84"/>
    <w:rsid w:val="00394179"/>
    <w:rsid w:val="00394DBF"/>
    <w:rsid w:val="003957A6"/>
    <w:rsid w:val="00397713"/>
    <w:rsid w:val="003A43EF"/>
    <w:rsid w:val="003A5A61"/>
    <w:rsid w:val="003B60A2"/>
    <w:rsid w:val="003C7445"/>
    <w:rsid w:val="003D7252"/>
    <w:rsid w:val="003E04FF"/>
    <w:rsid w:val="003E0546"/>
    <w:rsid w:val="003E39A2"/>
    <w:rsid w:val="003E57AB"/>
    <w:rsid w:val="003F2BED"/>
    <w:rsid w:val="00400B49"/>
    <w:rsid w:val="0040415B"/>
    <w:rsid w:val="00413029"/>
    <w:rsid w:val="004139E4"/>
    <w:rsid w:val="00415999"/>
    <w:rsid w:val="00416DDE"/>
    <w:rsid w:val="004215F3"/>
    <w:rsid w:val="00422F2B"/>
    <w:rsid w:val="004255A7"/>
    <w:rsid w:val="004363DF"/>
    <w:rsid w:val="00441868"/>
    <w:rsid w:val="00443878"/>
    <w:rsid w:val="004442FE"/>
    <w:rsid w:val="004474C8"/>
    <w:rsid w:val="004539A8"/>
    <w:rsid w:val="0045770E"/>
    <w:rsid w:val="004646F1"/>
    <w:rsid w:val="00467ECD"/>
    <w:rsid w:val="004712CA"/>
    <w:rsid w:val="0047422E"/>
    <w:rsid w:val="00476D6F"/>
    <w:rsid w:val="00480F41"/>
    <w:rsid w:val="00482119"/>
    <w:rsid w:val="00492DCB"/>
    <w:rsid w:val="0049674B"/>
    <w:rsid w:val="00496C89"/>
    <w:rsid w:val="004A00F4"/>
    <w:rsid w:val="004B77B5"/>
    <w:rsid w:val="004C0673"/>
    <w:rsid w:val="004C4E4E"/>
    <w:rsid w:val="004D0FA5"/>
    <w:rsid w:val="004D39F6"/>
    <w:rsid w:val="004D3FB6"/>
    <w:rsid w:val="004D5989"/>
    <w:rsid w:val="004E08F2"/>
    <w:rsid w:val="004F3816"/>
    <w:rsid w:val="004F500A"/>
    <w:rsid w:val="005126A0"/>
    <w:rsid w:val="0051389B"/>
    <w:rsid w:val="0051668B"/>
    <w:rsid w:val="0052754F"/>
    <w:rsid w:val="00543D41"/>
    <w:rsid w:val="00545472"/>
    <w:rsid w:val="005465EB"/>
    <w:rsid w:val="005571A4"/>
    <w:rsid w:val="005604FC"/>
    <w:rsid w:val="00566EDA"/>
    <w:rsid w:val="0057081A"/>
    <w:rsid w:val="00572654"/>
    <w:rsid w:val="00585A04"/>
    <w:rsid w:val="00592F95"/>
    <w:rsid w:val="005976A1"/>
    <w:rsid w:val="005A284B"/>
    <w:rsid w:val="005A34E7"/>
    <w:rsid w:val="005A43FB"/>
    <w:rsid w:val="005A56BA"/>
    <w:rsid w:val="005A69A3"/>
    <w:rsid w:val="005A6F18"/>
    <w:rsid w:val="005B5629"/>
    <w:rsid w:val="005B64D2"/>
    <w:rsid w:val="005C0300"/>
    <w:rsid w:val="005C27A2"/>
    <w:rsid w:val="005C2F6A"/>
    <w:rsid w:val="005C3FFA"/>
    <w:rsid w:val="005C44E4"/>
    <w:rsid w:val="005C59B9"/>
    <w:rsid w:val="005D0C97"/>
    <w:rsid w:val="005D3CC4"/>
    <w:rsid w:val="005D4FEB"/>
    <w:rsid w:val="005D65ED"/>
    <w:rsid w:val="005E0E6C"/>
    <w:rsid w:val="005E415A"/>
    <w:rsid w:val="005E67BF"/>
    <w:rsid w:val="005F4B6A"/>
    <w:rsid w:val="006010F3"/>
    <w:rsid w:val="0060512B"/>
    <w:rsid w:val="006139B8"/>
    <w:rsid w:val="00615A0A"/>
    <w:rsid w:val="0062094C"/>
    <w:rsid w:val="006333D4"/>
    <w:rsid w:val="006369B2"/>
    <w:rsid w:val="0063718D"/>
    <w:rsid w:val="006374F8"/>
    <w:rsid w:val="00647525"/>
    <w:rsid w:val="00647A71"/>
    <w:rsid w:val="006530A8"/>
    <w:rsid w:val="006570B0"/>
    <w:rsid w:val="0066022F"/>
    <w:rsid w:val="0066416B"/>
    <w:rsid w:val="006645EB"/>
    <w:rsid w:val="0066494C"/>
    <w:rsid w:val="006823F3"/>
    <w:rsid w:val="0069210B"/>
    <w:rsid w:val="00693139"/>
    <w:rsid w:val="00695DD7"/>
    <w:rsid w:val="006A0F3F"/>
    <w:rsid w:val="006A239D"/>
    <w:rsid w:val="006A2A02"/>
    <w:rsid w:val="006A4055"/>
    <w:rsid w:val="006A5562"/>
    <w:rsid w:val="006A597D"/>
    <w:rsid w:val="006A7C27"/>
    <w:rsid w:val="006B2FE4"/>
    <w:rsid w:val="006B37B0"/>
    <w:rsid w:val="006B6BA2"/>
    <w:rsid w:val="006B7E85"/>
    <w:rsid w:val="006C45BD"/>
    <w:rsid w:val="006C5641"/>
    <w:rsid w:val="006C6B6C"/>
    <w:rsid w:val="006C70E4"/>
    <w:rsid w:val="006D1089"/>
    <w:rsid w:val="006D1B86"/>
    <w:rsid w:val="006D7355"/>
    <w:rsid w:val="006F0797"/>
    <w:rsid w:val="006F7DEE"/>
    <w:rsid w:val="0070000F"/>
    <w:rsid w:val="00704638"/>
    <w:rsid w:val="0071269D"/>
    <w:rsid w:val="00715CA6"/>
    <w:rsid w:val="007206DB"/>
    <w:rsid w:val="00723C44"/>
    <w:rsid w:val="00731135"/>
    <w:rsid w:val="007324AF"/>
    <w:rsid w:val="0073674D"/>
    <w:rsid w:val="007409B4"/>
    <w:rsid w:val="00741974"/>
    <w:rsid w:val="0074280F"/>
    <w:rsid w:val="007454B6"/>
    <w:rsid w:val="00745B82"/>
    <w:rsid w:val="0075525E"/>
    <w:rsid w:val="00756A02"/>
    <w:rsid w:val="00756D3D"/>
    <w:rsid w:val="0076311E"/>
    <w:rsid w:val="00763737"/>
    <w:rsid w:val="007763F3"/>
    <w:rsid w:val="007806C2"/>
    <w:rsid w:val="00781FEE"/>
    <w:rsid w:val="007851B8"/>
    <w:rsid w:val="007903F8"/>
    <w:rsid w:val="00794F4F"/>
    <w:rsid w:val="007974BE"/>
    <w:rsid w:val="007A0916"/>
    <w:rsid w:val="007A0DFD"/>
    <w:rsid w:val="007B660B"/>
    <w:rsid w:val="007C56B1"/>
    <w:rsid w:val="007C5ED4"/>
    <w:rsid w:val="007C7122"/>
    <w:rsid w:val="007D0A20"/>
    <w:rsid w:val="007D3F11"/>
    <w:rsid w:val="007E02D0"/>
    <w:rsid w:val="007E2C69"/>
    <w:rsid w:val="007E53E4"/>
    <w:rsid w:val="007E656A"/>
    <w:rsid w:val="007F3CAA"/>
    <w:rsid w:val="007F664D"/>
    <w:rsid w:val="00801B42"/>
    <w:rsid w:val="00806DC8"/>
    <w:rsid w:val="00811BFF"/>
    <w:rsid w:val="008249A7"/>
    <w:rsid w:val="00825762"/>
    <w:rsid w:val="00836D45"/>
    <w:rsid w:val="00837203"/>
    <w:rsid w:val="00842137"/>
    <w:rsid w:val="008445D9"/>
    <w:rsid w:val="00850C3B"/>
    <w:rsid w:val="00851E6C"/>
    <w:rsid w:val="00853F5F"/>
    <w:rsid w:val="00856AD7"/>
    <w:rsid w:val="00856C7A"/>
    <w:rsid w:val="008623ED"/>
    <w:rsid w:val="0087281D"/>
    <w:rsid w:val="00873C13"/>
    <w:rsid w:val="00875AA6"/>
    <w:rsid w:val="00876BD3"/>
    <w:rsid w:val="00880064"/>
    <w:rsid w:val="00880944"/>
    <w:rsid w:val="0089088E"/>
    <w:rsid w:val="008911DC"/>
    <w:rsid w:val="00892297"/>
    <w:rsid w:val="008964D6"/>
    <w:rsid w:val="008A1C88"/>
    <w:rsid w:val="008A4EF6"/>
    <w:rsid w:val="008B5123"/>
    <w:rsid w:val="008B6809"/>
    <w:rsid w:val="008C5A9A"/>
    <w:rsid w:val="008C7A86"/>
    <w:rsid w:val="008D1E1E"/>
    <w:rsid w:val="008E0172"/>
    <w:rsid w:val="008E436B"/>
    <w:rsid w:val="008F4E80"/>
    <w:rsid w:val="008F582E"/>
    <w:rsid w:val="008F649E"/>
    <w:rsid w:val="00901B81"/>
    <w:rsid w:val="00902091"/>
    <w:rsid w:val="00910AFE"/>
    <w:rsid w:val="00915566"/>
    <w:rsid w:val="009333EB"/>
    <w:rsid w:val="00936852"/>
    <w:rsid w:val="0094045D"/>
    <w:rsid w:val="009406B5"/>
    <w:rsid w:val="00946166"/>
    <w:rsid w:val="009476FA"/>
    <w:rsid w:val="009546CF"/>
    <w:rsid w:val="00954958"/>
    <w:rsid w:val="0095547B"/>
    <w:rsid w:val="00965E85"/>
    <w:rsid w:val="00965FA0"/>
    <w:rsid w:val="00966B5C"/>
    <w:rsid w:val="00966C78"/>
    <w:rsid w:val="00983164"/>
    <w:rsid w:val="00984252"/>
    <w:rsid w:val="00984393"/>
    <w:rsid w:val="0099353E"/>
    <w:rsid w:val="009972EF"/>
    <w:rsid w:val="009A4B43"/>
    <w:rsid w:val="009B5035"/>
    <w:rsid w:val="009C3160"/>
    <w:rsid w:val="009C37E4"/>
    <w:rsid w:val="009C4E0B"/>
    <w:rsid w:val="009C770B"/>
    <w:rsid w:val="009D399E"/>
    <w:rsid w:val="009D644B"/>
    <w:rsid w:val="009D6532"/>
    <w:rsid w:val="009E4B6B"/>
    <w:rsid w:val="009E766E"/>
    <w:rsid w:val="009F1960"/>
    <w:rsid w:val="009F4B1A"/>
    <w:rsid w:val="009F715E"/>
    <w:rsid w:val="009F78FE"/>
    <w:rsid w:val="00A00C5F"/>
    <w:rsid w:val="00A10DBB"/>
    <w:rsid w:val="00A11720"/>
    <w:rsid w:val="00A12447"/>
    <w:rsid w:val="00A1760D"/>
    <w:rsid w:val="00A21247"/>
    <w:rsid w:val="00A25242"/>
    <w:rsid w:val="00A30347"/>
    <w:rsid w:val="00A311F0"/>
    <w:rsid w:val="00A31D47"/>
    <w:rsid w:val="00A33582"/>
    <w:rsid w:val="00A34531"/>
    <w:rsid w:val="00A378DD"/>
    <w:rsid w:val="00A4013E"/>
    <w:rsid w:val="00A4045F"/>
    <w:rsid w:val="00A427CD"/>
    <w:rsid w:val="00A438AF"/>
    <w:rsid w:val="00A45FEE"/>
    <w:rsid w:val="00A4600B"/>
    <w:rsid w:val="00A46C5D"/>
    <w:rsid w:val="00A50506"/>
    <w:rsid w:val="00A51EF0"/>
    <w:rsid w:val="00A5697C"/>
    <w:rsid w:val="00A600CD"/>
    <w:rsid w:val="00A67A81"/>
    <w:rsid w:val="00A730A6"/>
    <w:rsid w:val="00A73D80"/>
    <w:rsid w:val="00A827B0"/>
    <w:rsid w:val="00A829D3"/>
    <w:rsid w:val="00A877E9"/>
    <w:rsid w:val="00A90DF6"/>
    <w:rsid w:val="00A95EB1"/>
    <w:rsid w:val="00A96899"/>
    <w:rsid w:val="00A971A0"/>
    <w:rsid w:val="00A97CB3"/>
    <w:rsid w:val="00AA1186"/>
    <w:rsid w:val="00AA1F22"/>
    <w:rsid w:val="00AB37FB"/>
    <w:rsid w:val="00AB397E"/>
    <w:rsid w:val="00AC3E73"/>
    <w:rsid w:val="00AC63B0"/>
    <w:rsid w:val="00AD4751"/>
    <w:rsid w:val="00AE185C"/>
    <w:rsid w:val="00AE265D"/>
    <w:rsid w:val="00AE7989"/>
    <w:rsid w:val="00AF0CA4"/>
    <w:rsid w:val="00B0042B"/>
    <w:rsid w:val="00B05821"/>
    <w:rsid w:val="00B100D6"/>
    <w:rsid w:val="00B1044E"/>
    <w:rsid w:val="00B1215E"/>
    <w:rsid w:val="00B14ADA"/>
    <w:rsid w:val="00B164C9"/>
    <w:rsid w:val="00B2251A"/>
    <w:rsid w:val="00B2519B"/>
    <w:rsid w:val="00B26C28"/>
    <w:rsid w:val="00B330E6"/>
    <w:rsid w:val="00B339DF"/>
    <w:rsid w:val="00B368A1"/>
    <w:rsid w:val="00B4174C"/>
    <w:rsid w:val="00B453F5"/>
    <w:rsid w:val="00B5162E"/>
    <w:rsid w:val="00B61624"/>
    <w:rsid w:val="00B66481"/>
    <w:rsid w:val="00B7189C"/>
    <w:rsid w:val="00B718A5"/>
    <w:rsid w:val="00B76724"/>
    <w:rsid w:val="00B82A14"/>
    <w:rsid w:val="00B86602"/>
    <w:rsid w:val="00BA7411"/>
    <w:rsid w:val="00BA788A"/>
    <w:rsid w:val="00BB2C44"/>
    <w:rsid w:val="00BB4120"/>
    <w:rsid w:val="00BB4983"/>
    <w:rsid w:val="00BB7597"/>
    <w:rsid w:val="00BC1F97"/>
    <w:rsid w:val="00BC4AB4"/>
    <w:rsid w:val="00BC5AE9"/>
    <w:rsid w:val="00BC62E2"/>
    <w:rsid w:val="00BD084D"/>
    <w:rsid w:val="00BE075D"/>
    <w:rsid w:val="00BE4AC3"/>
    <w:rsid w:val="00BE643C"/>
    <w:rsid w:val="00C279EE"/>
    <w:rsid w:val="00C40A3E"/>
    <w:rsid w:val="00C42125"/>
    <w:rsid w:val="00C42F1E"/>
    <w:rsid w:val="00C47120"/>
    <w:rsid w:val="00C52918"/>
    <w:rsid w:val="00C557CE"/>
    <w:rsid w:val="00C62534"/>
    <w:rsid w:val="00C62814"/>
    <w:rsid w:val="00C644CD"/>
    <w:rsid w:val="00C67B25"/>
    <w:rsid w:val="00C748F7"/>
    <w:rsid w:val="00C74937"/>
    <w:rsid w:val="00C8148D"/>
    <w:rsid w:val="00CA748B"/>
    <w:rsid w:val="00CB2599"/>
    <w:rsid w:val="00CC2047"/>
    <w:rsid w:val="00CC386F"/>
    <w:rsid w:val="00CC41D3"/>
    <w:rsid w:val="00CD2139"/>
    <w:rsid w:val="00CE1E54"/>
    <w:rsid w:val="00CE5986"/>
    <w:rsid w:val="00CF0CD5"/>
    <w:rsid w:val="00CF4D5B"/>
    <w:rsid w:val="00D10A47"/>
    <w:rsid w:val="00D1590A"/>
    <w:rsid w:val="00D1771A"/>
    <w:rsid w:val="00D2335B"/>
    <w:rsid w:val="00D26477"/>
    <w:rsid w:val="00D31C10"/>
    <w:rsid w:val="00D31FDA"/>
    <w:rsid w:val="00D4347E"/>
    <w:rsid w:val="00D525A3"/>
    <w:rsid w:val="00D56CC3"/>
    <w:rsid w:val="00D61A45"/>
    <w:rsid w:val="00D647EF"/>
    <w:rsid w:val="00D73137"/>
    <w:rsid w:val="00D7339F"/>
    <w:rsid w:val="00D8315E"/>
    <w:rsid w:val="00D8486F"/>
    <w:rsid w:val="00D8534C"/>
    <w:rsid w:val="00D87AAC"/>
    <w:rsid w:val="00D91982"/>
    <w:rsid w:val="00D924B7"/>
    <w:rsid w:val="00D924C9"/>
    <w:rsid w:val="00D92572"/>
    <w:rsid w:val="00D977A2"/>
    <w:rsid w:val="00D97FA3"/>
    <w:rsid w:val="00DA098E"/>
    <w:rsid w:val="00DA1D47"/>
    <w:rsid w:val="00DA4A17"/>
    <w:rsid w:val="00DA5F1A"/>
    <w:rsid w:val="00DB0706"/>
    <w:rsid w:val="00DB4F92"/>
    <w:rsid w:val="00DC5079"/>
    <w:rsid w:val="00DD4826"/>
    <w:rsid w:val="00DD50DE"/>
    <w:rsid w:val="00DD626B"/>
    <w:rsid w:val="00DE0967"/>
    <w:rsid w:val="00DE1204"/>
    <w:rsid w:val="00DE3062"/>
    <w:rsid w:val="00DE5051"/>
    <w:rsid w:val="00DF0EAE"/>
    <w:rsid w:val="00DF568A"/>
    <w:rsid w:val="00DF5875"/>
    <w:rsid w:val="00E04AE6"/>
    <w:rsid w:val="00E0581D"/>
    <w:rsid w:val="00E1590B"/>
    <w:rsid w:val="00E204DD"/>
    <w:rsid w:val="00E228B7"/>
    <w:rsid w:val="00E353EC"/>
    <w:rsid w:val="00E376E6"/>
    <w:rsid w:val="00E42B60"/>
    <w:rsid w:val="00E456DA"/>
    <w:rsid w:val="00E51F61"/>
    <w:rsid w:val="00E53C24"/>
    <w:rsid w:val="00E56E77"/>
    <w:rsid w:val="00E6075E"/>
    <w:rsid w:val="00E961FB"/>
    <w:rsid w:val="00EA0BE7"/>
    <w:rsid w:val="00EA762E"/>
    <w:rsid w:val="00EB1D8E"/>
    <w:rsid w:val="00EB444D"/>
    <w:rsid w:val="00ED1B45"/>
    <w:rsid w:val="00ED65D2"/>
    <w:rsid w:val="00EE1A06"/>
    <w:rsid w:val="00EE5C0D"/>
    <w:rsid w:val="00EE5CA0"/>
    <w:rsid w:val="00EF169E"/>
    <w:rsid w:val="00EF2F0C"/>
    <w:rsid w:val="00EF4792"/>
    <w:rsid w:val="00EF76DC"/>
    <w:rsid w:val="00F02294"/>
    <w:rsid w:val="00F04F59"/>
    <w:rsid w:val="00F07F3A"/>
    <w:rsid w:val="00F30DE7"/>
    <w:rsid w:val="00F317AE"/>
    <w:rsid w:val="00F3202B"/>
    <w:rsid w:val="00F35F57"/>
    <w:rsid w:val="00F36194"/>
    <w:rsid w:val="00F50467"/>
    <w:rsid w:val="00F562A0"/>
    <w:rsid w:val="00F57FA4"/>
    <w:rsid w:val="00F70325"/>
    <w:rsid w:val="00F72B88"/>
    <w:rsid w:val="00F7674A"/>
    <w:rsid w:val="00F9547A"/>
    <w:rsid w:val="00FA02CB"/>
    <w:rsid w:val="00FA2177"/>
    <w:rsid w:val="00FA4A67"/>
    <w:rsid w:val="00FB0783"/>
    <w:rsid w:val="00FB32C7"/>
    <w:rsid w:val="00FB7A8B"/>
    <w:rsid w:val="00FC2485"/>
    <w:rsid w:val="00FC770F"/>
    <w:rsid w:val="00FD439E"/>
    <w:rsid w:val="00FD4FCB"/>
    <w:rsid w:val="00FD76CB"/>
    <w:rsid w:val="00FE152B"/>
    <w:rsid w:val="00FE2042"/>
    <w:rsid w:val="00FE239E"/>
    <w:rsid w:val="00FE2528"/>
    <w:rsid w:val="00FE399B"/>
    <w:rsid w:val="00FE7660"/>
    <w:rsid w:val="00FF1151"/>
    <w:rsid w:val="00FF4546"/>
    <w:rsid w:val="00FF538F"/>
    <w:rsid w:val="02680435"/>
    <w:rsid w:val="05F20B5E"/>
    <w:rsid w:val="06EB77C7"/>
    <w:rsid w:val="07C43EF1"/>
    <w:rsid w:val="07F44DFF"/>
    <w:rsid w:val="08FE7BBB"/>
    <w:rsid w:val="096F6197"/>
    <w:rsid w:val="0BA505C9"/>
    <w:rsid w:val="0BE80E47"/>
    <w:rsid w:val="0C115437"/>
    <w:rsid w:val="0D62036A"/>
    <w:rsid w:val="0D867784"/>
    <w:rsid w:val="0F472D9F"/>
    <w:rsid w:val="0F721887"/>
    <w:rsid w:val="0FAA12BA"/>
    <w:rsid w:val="0FE27882"/>
    <w:rsid w:val="125B73FF"/>
    <w:rsid w:val="126C21DF"/>
    <w:rsid w:val="160C53F2"/>
    <w:rsid w:val="16EA37EA"/>
    <w:rsid w:val="1A0F4E12"/>
    <w:rsid w:val="1CEA2117"/>
    <w:rsid w:val="1F39493F"/>
    <w:rsid w:val="1FC7596E"/>
    <w:rsid w:val="2149A48D"/>
    <w:rsid w:val="227A2A68"/>
    <w:rsid w:val="24B66B14"/>
    <w:rsid w:val="252B095C"/>
    <w:rsid w:val="29E101C5"/>
    <w:rsid w:val="2A9F5DA0"/>
    <w:rsid w:val="2EAE298C"/>
    <w:rsid w:val="2EE039D2"/>
    <w:rsid w:val="2F815E2F"/>
    <w:rsid w:val="31921376"/>
    <w:rsid w:val="33CE27F2"/>
    <w:rsid w:val="3439E286"/>
    <w:rsid w:val="36F947F6"/>
    <w:rsid w:val="3961769A"/>
    <w:rsid w:val="3993191B"/>
    <w:rsid w:val="3CEA0FE1"/>
    <w:rsid w:val="3D292976"/>
    <w:rsid w:val="426423AD"/>
    <w:rsid w:val="42E37A1D"/>
    <w:rsid w:val="4D04047B"/>
    <w:rsid w:val="4FAC2A11"/>
    <w:rsid w:val="504238DD"/>
    <w:rsid w:val="51AD9656"/>
    <w:rsid w:val="5299729C"/>
    <w:rsid w:val="534364E0"/>
    <w:rsid w:val="56703215"/>
    <w:rsid w:val="586665A7"/>
    <w:rsid w:val="59B72C30"/>
    <w:rsid w:val="59FB6560"/>
    <w:rsid w:val="5C4F4919"/>
    <w:rsid w:val="5DEB67C3"/>
    <w:rsid w:val="5E9E6F81"/>
    <w:rsid w:val="5F2257EC"/>
    <w:rsid w:val="622B1464"/>
    <w:rsid w:val="63336AE7"/>
    <w:rsid w:val="65422E2C"/>
    <w:rsid w:val="669C340C"/>
    <w:rsid w:val="669C40CA"/>
    <w:rsid w:val="674435D5"/>
    <w:rsid w:val="6808013C"/>
    <w:rsid w:val="699A1E3F"/>
    <w:rsid w:val="69AA4EE0"/>
    <w:rsid w:val="69B042A0"/>
    <w:rsid w:val="6A6F6FF2"/>
    <w:rsid w:val="6AEF7BA8"/>
    <w:rsid w:val="6C177787"/>
    <w:rsid w:val="6D282F0A"/>
    <w:rsid w:val="6DF53E3B"/>
    <w:rsid w:val="72340598"/>
    <w:rsid w:val="728668AA"/>
    <w:rsid w:val="72C675D0"/>
    <w:rsid w:val="75D835A3"/>
    <w:rsid w:val="787B2127"/>
    <w:rsid w:val="792A23DD"/>
    <w:rsid w:val="7B8C497F"/>
    <w:rsid w:val="7BD71E91"/>
    <w:rsid w:val="7FB817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C7E1"/>
  <w15:docId w15:val="{15DDC544-455B-433A-88DA-78863B89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semiHidden="1" w:unhideWhenUsed="1" w:qFormat="1"/>
    <w:lsdException w:name="caption" w:semiHidden="1"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pPr>
      <w:spacing w:before="120"/>
    </w:pPr>
    <w:rPr>
      <w:rFonts w:eastAsiaTheme="minorEastAsia"/>
      <w:sz w:val="24"/>
      <w:szCs w:val="24"/>
      <w:lang w:eastAsia="ja-JP"/>
    </w:rPr>
  </w:style>
  <w:style w:type="paragraph" w:styleId="Heading1">
    <w:name w:val="heading 1"/>
    <w:basedOn w:val="Normal"/>
    <w:next w:val="Normal"/>
    <w:link w:val="Heading1Char"/>
    <w:qFormat/>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Normal"/>
    <w:next w:val="Normal"/>
    <w:uiPriority w:val="39"/>
    <w:semiHidden/>
    <w:unhideWhenUsed/>
    <w:qFormat/>
    <w:pPr>
      <w:spacing w:after="100"/>
      <w:ind w:left="1440"/>
    </w:pPr>
  </w:style>
  <w:style w:type="paragraph" w:styleId="ListNumber2">
    <w:name w:val="List Number 2"/>
    <w:basedOn w:val="Normal"/>
    <w:uiPriority w:val="99"/>
    <w:semiHidden/>
    <w:unhideWhenUsed/>
    <w:qFormat/>
    <w:pPr>
      <w:numPr>
        <w:numId w:val="1"/>
      </w:numPr>
      <w:tabs>
        <w:tab w:val="clear" w:pos="643"/>
        <w:tab w:val="left" w:pos="360"/>
      </w:tabs>
      <w:ind w:left="0" w:firstLine="0"/>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uiPriority w:val="99"/>
    <w:unhideWhenUsed/>
    <w:qFormat/>
    <w:rPr>
      <w:sz w:val="20"/>
      <w:szCs w:val="20"/>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Normal"/>
    <w:next w:val="Normal"/>
    <w:uiPriority w:val="39"/>
    <w:semiHidden/>
    <w:unhideWhenUsed/>
    <w:qFormat/>
    <w:pPr>
      <w:spacing w:after="100"/>
      <w:ind w:left="960"/>
    </w:pPr>
  </w:style>
  <w:style w:type="paragraph" w:styleId="TOC3">
    <w:name w:val="toc 3"/>
    <w:basedOn w:val="TOC2"/>
    <w:next w:val="Normal"/>
    <w:qFormat/>
    <w:pPr>
      <w:ind w:left="2269"/>
    </w:pPr>
  </w:style>
  <w:style w:type="paragraph" w:styleId="TOC2">
    <w:name w:val="toc 2"/>
    <w:basedOn w:val="TOC1"/>
    <w:next w:val="Normal"/>
    <w:uiPriority w:val="39"/>
    <w:qFormat/>
    <w:pPr>
      <w:spacing w:before="80"/>
      <w:ind w:left="1531" w:hanging="851"/>
    </w:pPr>
  </w:style>
  <w:style w:type="paragraph" w:styleId="TOC1">
    <w:name w:val="toc 1"/>
    <w:basedOn w:val="Normal"/>
    <w:next w:val="Normal"/>
    <w:uiPriority w:val="39"/>
    <w:qFormat/>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Normal"/>
    <w:next w:val="Normal"/>
    <w:uiPriority w:val="39"/>
    <w:semiHidden/>
    <w:unhideWhenUsed/>
    <w:qFormat/>
    <w:pPr>
      <w:spacing w:after="100"/>
      <w:ind w:left="1680"/>
    </w:pPr>
  </w:style>
  <w:style w:type="paragraph" w:styleId="Index3">
    <w:name w:val="index 3"/>
    <w:basedOn w:val="Normal"/>
    <w:next w:val="Normal"/>
    <w:uiPriority w:val="99"/>
    <w:semiHidden/>
    <w:unhideWhenUsed/>
    <w:qFormat/>
    <w:pPr>
      <w:spacing w:before="0"/>
      <w:ind w:left="720" w:hanging="24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
    <w:uiPriority w:val="99"/>
    <w:semiHidden/>
    <w:unhideWhenUsed/>
    <w:qFormat/>
    <w:pPr>
      <w:spacing w:before="0"/>
    </w:pPr>
    <w:rPr>
      <w:sz w:val="20"/>
      <w:szCs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uiPriority w:val="99"/>
    <w:semiHidden/>
    <w:unhideWhenUsed/>
    <w:qFormat/>
    <w:pPr>
      <w:spacing w:before="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pPr>
    <w:rPr>
      <w:sz w:val="20"/>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szCs w:val="20"/>
    </w:rPr>
  </w:style>
  <w:style w:type="paragraph" w:styleId="Header">
    <w:name w:val="header"/>
    <w:basedOn w:val="Normal"/>
    <w:link w:val="HeaderChar"/>
    <w:qFormat/>
    <w:pPr>
      <w:overflowPunct w:val="0"/>
      <w:autoSpaceDE w:val="0"/>
      <w:autoSpaceDN w:val="0"/>
      <w:adjustRightInd w:val="0"/>
      <w:spacing w:before="0"/>
      <w:jc w:val="center"/>
      <w:textAlignment w:val="baseline"/>
    </w:pPr>
    <w:rPr>
      <w:rFonts w:eastAsia="Times New Roman"/>
      <w:sz w:val="18"/>
      <w:szCs w:val="20"/>
      <w:lang w:eastAsia="en-US"/>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Normal"/>
    <w:next w:val="Normal"/>
    <w:uiPriority w:val="39"/>
    <w:semiHidden/>
    <w:unhideWhenUsed/>
    <w:qFormat/>
    <w:pPr>
      <w:spacing w:after="100"/>
      <w:ind w:left="72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uiPriority w:val="99"/>
    <w:semiHidden/>
    <w:unhideWhenUsed/>
    <w:qFormat/>
    <w:pPr>
      <w:spacing w:before="0"/>
      <w:ind w:left="240" w:hanging="240"/>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uiPriority w:val="99"/>
    <w:semiHidden/>
    <w:unhideWhenUsed/>
    <w:qFormat/>
    <w:pPr>
      <w:spacing w:before="0"/>
    </w:pPr>
    <w:rPr>
      <w:sz w:val="20"/>
      <w:szCs w:val="20"/>
    </w:rPr>
  </w:style>
  <w:style w:type="paragraph" w:styleId="TOC6">
    <w:name w:val="toc 6"/>
    <w:basedOn w:val="Normal"/>
    <w:next w:val="Normal"/>
    <w:uiPriority w:val="39"/>
    <w:semiHidden/>
    <w:unhideWhenUsed/>
    <w:qFormat/>
    <w:pPr>
      <w:spacing w:after="100"/>
      <w:ind w:left="1200"/>
    </w:pPr>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Normal"/>
    <w:next w:val="Normal"/>
    <w:uiPriority w:val="39"/>
    <w:semiHidden/>
    <w:unhideWhenUsed/>
    <w:qFormat/>
    <w:pPr>
      <w:spacing w:after="100"/>
      <w:ind w:left="1920"/>
    </w:pPr>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szCs w:val="20"/>
    </w:rPr>
  </w:style>
  <w:style w:type="paragraph" w:styleId="NormalWeb">
    <w:name w:val="Normal (Web)"/>
    <w:basedOn w:val="Normal"/>
    <w:uiPriority w:val="99"/>
    <w:semiHidden/>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uiPriority w:val="99"/>
    <w:semiHidden/>
    <w:unhideWhenUsed/>
    <w:qFormat/>
    <w:pPr>
      <w:spacing w:before="0"/>
      <w:ind w:left="480" w:hanging="240"/>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spacing w:after="0"/>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uiPriority w:val="99"/>
    <w:semiHidden/>
    <w:unhideWhenUsed/>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aliases w:val="超级链接,Style 58,超????,超?级链,超??级链Ú,fL????,fL?级,하이퍼링크2,超??级链,하이퍼링크21,CEO_Hyperlink,超?级链Ú,’´?级链,’´????,’´??级链Ú,’´??级,超?级链ïÈ,õ±?级链,õ±????,ÇÏÀÌÆÛ¸µÅ©2,ÇÏÀÌÆÛ¸µÅ©21,õ±??级链Ú,õ±??级链,õ±?级链Ú,¡¯¢¥?级链,¡¯¢¥????,¡¯¢¥??级链Ú,¡¯¢¥??,超链接1,¡¯¢¥??级"/>
    <w:basedOn w:val="DefaultParagraphFont"/>
    <w:uiPriority w:val="99"/>
    <w:qFormat/>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uiPriority w:val="99"/>
    <w:semiHidden/>
    <w:unhideWhenUsed/>
    <w:qFormat/>
    <w:rPr>
      <w:vertAlign w:val="superscript"/>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PlaceholderText">
    <w:name w:val="Placeholder Text"/>
    <w:basedOn w:val="DefaultParagraphFont"/>
    <w:uiPriority w:val="99"/>
    <w:semiHidden/>
    <w:qFormat/>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qFormat/>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Pr>
      <w:b/>
      <w:bCs/>
    </w:rPr>
  </w:style>
  <w:style w:type="paragraph" w:customStyle="1" w:styleId="Normalbeforetable">
    <w:name w:val="Normal before table"/>
    <w:basedOn w:val="Normal"/>
    <w:qFormat/>
    <w:pPr>
      <w:keepNext/>
      <w:spacing w:after="120"/>
    </w:pPr>
    <w:rPr>
      <w:rFonts w:eastAsia="????"/>
      <w:lang w:eastAsia="en-US"/>
    </w:rPr>
  </w:style>
  <w:style w:type="paragraph" w:customStyle="1" w:styleId="RecNo">
    <w:name w:val="Rec_No"/>
    <w:basedOn w:val="Normal"/>
    <w:next w:val="Normal"/>
    <w:qFormat/>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szCs w:val="20"/>
      <w:lang w:val="en-GB" w:eastAsia="en-US"/>
    </w:rPr>
  </w:style>
  <w:style w:type="character" w:customStyle="1" w:styleId="HeaderChar">
    <w:name w:val="Header Char"/>
    <w:basedOn w:val="DefaultParagraphFont"/>
    <w:link w:val="Header"/>
    <w:qFormat/>
    <w:rPr>
      <w:rFonts w:ascii="Times New Roman" w:eastAsia="Times New Roman" w:hAnsi="Times New Roman" w:cs="Times New Roman"/>
      <w:sz w:val="18"/>
      <w:szCs w:val="20"/>
      <w:lang w:val="en-GB" w:eastAsia="en-US"/>
    </w:rPr>
  </w:style>
  <w:style w:type="character" w:customStyle="1" w:styleId="FooterChar">
    <w:name w:val="Footer Char"/>
    <w:basedOn w:val="DefaultParagraphFont"/>
    <w:link w:val="Footer"/>
    <w:uiPriority w:val="99"/>
    <w:qFormat/>
    <w:rPr>
      <w:rFonts w:ascii="Times New Roman" w:hAnsi="Times New Roman" w:cs="Times New Roman"/>
      <w:sz w:val="20"/>
      <w:szCs w:val="24"/>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eastAsia="ja-JP"/>
    </w:rPr>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1">
    <w:name w:val="修订1"/>
    <w:hidden/>
    <w:uiPriority w:val="99"/>
    <w:semiHidden/>
    <w:qFormat/>
    <w:rPr>
      <w:rFonts w:eastAsiaTheme="minorEastAsia"/>
      <w:sz w:val="24"/>
      <w:szCs w:val="24"/>
      <w:lang w:eastAsia="ja-JP"/>
    </w:rPr>
  </w:style>
  <w:style w:type="paragraph" w:customStyle="1" w:styleId="VenueDate">
    <w:name w:val="VenueDate"/>
    <w:basedOn w:val="Normal"/>
    <w:qFormat/>
    <w:pPr>
      <w:jc w:val="right"/>
    </w:p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ja-JP"/>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ReftextArial9pt">
    <w:name w:val="Ref_text Arial 9 pt"/>
    <w:qFormat/>
    <w:rPr>
      <w:rFonts w:ascii="Arial" w:hAnsi="Arial" w:cs="Arial"/>
      <w:sz w:val="18"/>
      <w:szCs w:val="18"/>
    </w:rPr>
  </w:style>
  <w:style w:type="paragraph" w:customStyle="1" w:styleId="Title4">
    <w:name w:val="Title 4"/>
    <w:basedOn w:val="Normal"/>
    <w:next w:val="Heading1"/>
    <w:qFormat/>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qFormat/>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semiHidden/>
    <w:qFormat/>
    <w:rPr>
      <w:rFonts w:ascii="Times New Roman" w:hAnsi="Times New Roman" w:cs="Times New Roman"/>
      <w:sz w:val="20"/>
      <w:szCs w:val="20"/>
      <w:lang w:val="en-GB" w:eastAsia="ja-JP"/>
    </w:rPr>
  </w:style>
  <w:style w:type="paragraph" w:customStyle="1" w:styleId="12">
    <w:name w:val="书目1"/>
    <w:basedOn w:val="Normal"/>
    <w:next w:val="Normal"/>
    <w:uiPriority w:val="37"/>
    <w:semiHidden/>
    <w:unhideWhenUsed/>
    <w:qFormat/>
  </w:style>
  <w:style w:type="character" w:customStyle="1" w:styleId="BodyTextChar">
    <w:name w:val="Body Text Char"/>
    <w:basedOn w:val="DefaultParagraphFont"/>
    <w:link w:val="BodyText"/>
    <w:uiPriority w:val="99"/>
    <w:qFormat/>
    <w:rPr>
      <w:rFonts w:ascii="Times New Roman" w:hAnsi="Times New Roman" w:cs="Times New Roman"/>
      <w:sz w:val="24"/>
      <w:szCs w:val="24"/>
      <w:lang w:val="en-GB" w:eastAsia="ja-JP"/>
    </w:rPr>
  </w:style>
  <w:style w:type="character" w:customStyle="1" w:styleId="BodyText2Char">
    <w:name w:val="Body Text 2 Char"/>
    <w:basedOn w:val="DefaultParagraphFont"/>
    <w:link w:val="BodyText2"/>
    <w:uiPriority w:val="99"/>
    <w:semiHidden/>
    <w:qFormat/>
    <w:rPr>
      <w:rFonts w:ascii="Times New Roman" w:hAnsi="Times New Roman" w:cs="Times New Roman"/>
      <w:sz w:val="24"/>
      <w:szCs w:val="24"/>
      <w:lang w:val="en-GB" w:eastAsia="ja-JP"/>
    </w:rPr>
  </w:style>
  <w:style w:type="character" w:customStyle="1" w:styleId="BodyText3Char">
    <w:name w:val="Body Text 3 Char"/>
    <w:basedOn w:val="DefaultParagraphFont"/>
    <w:link w:val="BodyText3"/>
    <w:uiPriority w:val="99"/>
    <w:semiHidden/>
    <w:qFormat/>
    <w:rPr>
      <w:rFonts w:ascii="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Times New Roman" w:hAnsi="Times New Roman" w:cs="Times New Roman"/>
      <w:sz w:val="24"/>
      <w:szCs w:val="24"/>
      <w:lang w:val="en-GB" w:eastAsia="ja-JP"/>
    </w:rPr>
  </w:style>
  <w:style w:type="character" w:customStyle="1" w:styleId="BodyTextIndentChar">
    <w:name w:val="Body Text Indent Char"/>
    <w:basedOn w:val="DefaultParagraphFont"/>
    <w:link w:val="BodyTextIndent"/>
    <w:uiPriority w:val="99"/>
    <w:semiHidden/>
    <w:qFormat/>
    <w:rPr>
      <w:rFonts w:ascii="Times New Roman" w:hAnsi="Times New Roman" w:cs="Times New Roman"/>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ascii="Times New Roman" w:hAnsi="Times New Roman" w:cs="Times New Roman"/>
      <w:sz w:val="24"/>
      <w:szCs w:val="24"/>
      <w:lang w:val="en-GB" w:eastAsia="ja-JP"/>
    </w:rPr>
  </w:style>
  <w:style w:type="character" w:customStyle="1" w:styleId="BodyTextIndent2Char">
    <w:name w:val="Body Text Indent 2 Char"/>
    <w:basedOn w:val="DefaultParagraphFont"/>
    <w:link w:val="BodyTextIndent2"/>
    <w:uiPriority w:val="99"/>
    <w:semiHidden/>
    <w:qFormat/>
    <w:rPr>
      <w:rFonts w:ascii="Times New Roman" w:hAnsi="Times New Roman" w:cs="Times New Roman"/>
      <w:sz w:val="24"/>
      <w:szCs w:val="24"/>
      <w:lang w:val="en-GB" w:eastAsia="ja-JP"/>
    </w:rPr>
  </w:style>
  <w:style w:type="character" w:customStyle="1" w:styleId="BodyTextIndent3Char">
    <w:name w:val="Body Text Indent 3 Char"/>
    <w:basedOn w:val="DefaultParagraphFont"/>
    <w:link w:val="BodyTextIndent3"/>
    <w:uiPriority w:val="99"/>
    <w:semiHidden/>
    <w:qFormat/>
    <w:rPr>
      <w:rFonts w:ascii="Times New Roman" w:hAnsi="Times New Roman" w:cs="Times New Roman"/>
      <w:sz w:val="16"/>
      <w:szCs w:val="16"/>
      <w:lang w:val="en-GB" w:eastAsia="ja-JP"/>
    </w:rPr>
  </w:style>
  <w:style w:type="character" w:customStyle="1" w:styleId="13">
    <w:name w:val="书籍标题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qFormat/>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14">
    <w:name w:val="井号标签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character" w:customStyle="1" w:styleId="15">
    <w:name w:val="明显强调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character" w:customStyle="1" w:styleId="16">
    <w:name w:val="明显参考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EastAsia"/>
      <w:sz w:val="24"/>
      <w:szCs w:val="24"/>
      <w:lang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qFormat/>
    <w:rPr>
      <w:rFonts w:ascii="Times New Roman" w:hAnsi="Times New Roman" w:cs="Times New Roman"/>
      <w:sz w:val="24"/>
      <w:szCs w:val="24"/>
      <w:lang w:val="en-GB" w:eastAsia="ja-JP"/>
    </w:rPr>
  </w:style>
  <w:style w:type="character" w:customStyle="1" w:styleId="17">
    <w:name w:val="智能超链接1"/>
    <w:basedOn w:val="DefaultParagraphFont"/>
    <w:uiPriority w:val="99"/>
    <w:semiHidden/>
    <w:unhideWhenUsed/>
    <w:qFormat/>
    <w:rPr>
      <w:u w:val="dotted"/>
    </w:rPr>
  </w:style>
  <w:style w:type="character" w:customStyle="1" w:styleId="18">
    <w:name w:val="智能链接1"/>
    <w:basedOn w:val="DefaultParagraphFont"/>
    <w:uiPriority w:val="99"/>
    <w:semiHidden/>
    <w:unhideWhenUsed/>
    <w:qFormat/>
    <w:rPr>
      <w:color w:val="0000FF"/>
      <w:u w:val="single"/>
      <w:shd w:val="clear" w:color="auto" w:fill="F3F2F1"/>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character" w:customStyle="1" w:styleId="19">
    <w:name w:val="不明显强调1"/>
    <w:basedOn w:val="DefaultParagraphFont"/>
    <w:uiPriority w:val="19"/>
    <w:qFormat/>
    <w:rPr>
      <w:i/>
      <w:iCs/>
      <w:color w:val="404040" w:themeColor="text1" w:themeTint="BF"/>
    </w:rPr>
  </w:style>
  <w:style w:type="character" w:customStyle="1" w:styleId="1a">
    <w:name w:val="不明显参考1"/>
    <w:basedOn w:val="DefaultParagraphFont"/>
    <w:uiPriority w:val="31"/>
    <w:qFormat/>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pPr>
      <w:jc w:val="right"/>
    </w:pPr>
    <w:rPr>
      <w:b/>
      <w:bCs/>
      <w:sz w:val="28"/>
      <w:szCs w:val="28"/>
    </w:r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paragraph" w:customStyle="1" w:styleId="LSForAction">
    <w:name w:val="LSForAction"/>
    <w:basedOn w:val="Normal"/>
    <w:next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qFormat/>
    <w:rPr>
      <w:rFonts w:eastAsiaTheme="minorHAnsi"/>
      <w:bCs/>
    </w:rPr>
  </w:style>
  <w:style w:type="paragraph" w:customStyle="1" w:styleId="LSApproval">
    <w:name w:val="LSApproval"/>
    <w:basedOn w:val="Normal"/>
    <w:qFormat/>
    <w:rPr>
      <w:b/>
      <w:bCs/>
    </w:rPr>
  </w:style>
  <w:style w:type="paragraph" w:customStyle="1" w:styleId="LSDeadline">
    <w:name w:val="LSDeadline"/>
    <w:basedOn w:val="Normal"/>
    <w:next w:val="Normal"/>
    <w:qFormat/>
    <w:rPr>
      <w:rFonts w:eastAsiaTheme="minorHAnsi"/>
    </w:rPr>
  </w:style>
  <w:style w:type="paragraph" w:customStyle="1" w:styleId="Revision1">
    <w:name w:val="Revision1"/>
    <w:hidden/>
    <w:uiPriority w:val="99"/>
    <w:unhideWhenUsed/>
    <w:rPr>
      <w:rFonts w:eastAsiaTheme="minorEastAsia"/>
      <w:sz w:val="24"/>
      <w:szCs w:val="24"/>
      <w:lang w:eastAsia="ja-JP"/>
    </w:rPr>
  </w:style>
  <w:style w:type="paragraph" w:styleId="Revision">
    <w:name w:val="Revision"/>
    <w:hidden/>
    <w:uiPriority w:val="99"/>
    <w:unhideWhenUsed/>
    <w:rsid w:val="005D0C97"/>
    <w:rPr>
      <w:rFonts w:eastAsiaTheme="minorEastAsia"/>
      <w:sz w:val="24"/>
      <w:szCs w:val="24"/>
      <w:lang w:eastAsia="ja-JP"/>
    </w:rPr>
  </w:style>
  <w:style w:type="character" w:styleId="UnresolvedMention">
    <w:name w:val="Unresolved Mention"/>
    <w:basedOn w:val="DefaultParagraphFont"/>
    <w:uiPriority w:val="99"/>
    <w:semiHidden/>
    <w:unhideWhenUsed/>
    <w:rsid w:val="00D924C9"/>
    <w:rPr>
      <w:color w:val="605E5C"/>
      <w:shd w:val="clear" w:color="auto" w:fill="E1DFDD"/>
    </w:rPr>
  </w:style>
  <w:style w:type="character" w:customStyle="1" w:styleId="ListParagraphChar">
    <w:name w:val="List Paragraph Char"/>
    <w:link w:val="ListParagraph"/>
    <w:uiPriority w:val="34"/>
    <w:rsid w:val="00FE7660"/>
    <w:rPr>
      <w:rFonts w:eastAsiaTheme="minorEastAsia"/>
      <w:sz w:val="24"/>
      <w:szCs w:val="24"/>
      <w:lang w:eastAsia="ja-JP"/>
    </w:rPr>
  </w:style>
  <w:style w:type="table" w:styleId="TableGrid">
    <w:name w:val="Table Grid"/>
    <w:basedOn w:val="TableNormal"/>
    <w:uiPriority w:val="39"/>
    <w:rsid w:val="004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8823">
      <w:bodyDiv w:val="1"/>
      <w:marLeft w:val="0"/>
      <w:marRight w:val="0"/>
      <w:marTop w:val="0"/>
      <w:marBottom w:val="0"/>
      <w:divBdr>
        <w:top w:val="none" w:sz="0" w:space="0" w:color="auto"/>
        <w:left w:val="none" w:sz="0" w:space="0" w:color="auto"/>
        <w:bottom w:val="none" w:sz="0" w:space="0" w:color="auto"/>
        <w:right w:val="none" w:sz="0" w:space="0" w:color="auto"/>
      </w:divBdr>
    </w:div>
    <w:div w:id="732315129">
      <w:bodyDiv w:val="1"/>
      <w:marLeft w:val="0"/>
      <w:marRight w:val="0"/>
      <w:marTop w:val="0"/>
      <w:marBottom w:val="0"/>
      <w:divBdr>
        <w:top w:val="none" w:sz="0" w:space="0" w:color="auto"/>
        <w:left w:val="none" w:sz="0" w:space="0" w:color="auto"/>
        <w:bottom w:val="none" w:sz="0" w:space="0" w:color="auto"/>
        <w:right w:val="none" w:sz="0" w:space="0" w:color="auto"/>
      </w:divBdr>
    </w:div>
    <w:div w:id="109806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rnaud.taddei@broadcom.com" TargetMode="External"/><Relationship Id="rId18" Type="http://schemas.openxmlformats.org/officeDocument/2006/relationships/hyperlink" Target="http://handle.itu.int/11.1002/ls/sp18-tsag-00014.docx" TargetMode="External"/><Relationship Id="rId26" Type="http://schemas.openxmlformats.org/officeDocument/2006/relationships/hyperlink" Target="https://www.prnewswire.com/news-releases/secure-identity-alliance-launches-osia-qualification-program-at-id4africa-301568739.html?utm_source" TargetMode="External"/><Relationship Id="rId3" Type="http://schemas.openxmlformats.org/officeDocument/2006/relationships/customXml" Target="../customXml/item3.xml"/><Relationship Id="rId21" Type="http://schemas.openxmlformats.org/officeDocument/2006/relationships/hyperlink" Target="http://handle.itu.int/11.1002/ls/sp18-tsag-00014.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ifa/t/2025/ls/sg17/sp18-sg17-00066.docx" TargetMode="External"/><Relationship Id="rId17" Type="http://schemas.openxmlformats.org/officeDocument/2006/relationships/hyperlink" Target="https://www.itu.int/md/meetingdoc.asp?lang=en&amp;parent=T25-SG17-251203-TD-GEN-0113" TargetMode="External"/><Relationship Id="rId25" Type="http://schemas.openxmlformats.org/officeDocument/2006/relationships/hyperlink" Target="https://identityweek.net/guinea-adopts-osia-based-identity-management-system/?" TargetMode="External"/><Relationship Id="rId33" Type="http://schemas.openxmlformats.org/officeDocument/2006/relationships/hyperlink" Target="https://www.iso.org/standard/89056.html?" TargetMode="External"/><Relationship Id="rId2" Type="http://schemas.openxmlformats.org/officeDocument/2006/relationships/customXml" Target="../customXml/item2.xml"/><Relationship Id="rId16" Type="http://schemas.openxmlformats.org/officeDocument/2006/relationships/hyperlink" Target="https://www.itu.int/ifa/t/2025/ls/tsag/sp18-tsag-oLS-00005.docx" TargetMode="External"/><Relationship Id="rId20" Type="http://schemas.openxmlformats.org/officeDocument/2006/relationships/hyperlink" Target="https://www.itu.int/pub/T-TUT-ICTSS-2020-3" TargetMode="External"/><Relationship Id="rId29" Type="http://schemas.openxmlformats.org/officeDocument/2006/relationships/hyperlink" Target="https://openid.net/a-new-itu-t-standard-ushers-in-a-new-era-for-open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dtechwire.com/tech5s-abis-engine-complies-with-key-digital-id-standards-in-telecommunications/?" TargetMode="External"/><Relationship Id="rId32" Type="http://schemas.openxmlformats.org/officeDocument/2006/relationships/hyperlink" Target="https://openid.net/a-new-itu-t-standard-ushers-in-a-new-era-for-openid/?" TargetMode="External"/><Relationship Id="rId5" Type="http://schemas.openxmlformats.org/officeDocument/2006/relationships/numbering" Target="numbering.xml"/><Relationship Id="rId15" Type="http://schemas.openxmlformats.org/officeDocument/2006/relationships/hyperlink" Target="mailto:zhangchen@cmdi.chinamobile.com" TargetMode="External"/><Relationship Id="rId23" Type="http://schemas.openxmlformats.org/officeDocument/2006/relationships/hyperlink" Target="https://www.biometricupdate.com/202412/idemia-smart-identitys-multimodal-biometrics-service-gets-osia-qualification?" TargetMode="External"/><Relationship Id="rId28" Type="http://schemas.openxmlformats.org/officeDocument/2006/relationships/hyperlink" Target="https://openid.net/a-new-itu-t-standard-ushers-in-a-new-era-for-openid/?" TargetMode="External"/><Relationship Id="rId10" Type="http://schemas.openxmlformats.org/officeDocument/2006/relationships/endnotes" Target="endnotes.xml"/><Relationship Id="rId19" Type="http://schemas.openxmlformats.org/officeDocument/2006/relationships/hyperlink" Target="https://www.itu.int/md/meetingdoc.asp?lang=en&amp;parent=T25-SG17-251203-TD-GEN-0181" TargetMode="External"/><Relationship Id="rId31" Type="http://schemas.openxmlformats.org/officeDocument/2006/relationships/hyperlink" Target="https://openid.net/openid-foundation-demonstrates-real-world-interoperabiity-of-new-digital-identity-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esc.park@sch.ac.kr" TargetMode="External"/><Relationship Id="rId22" Type="http://schemas.openxmlformats.org/officeDocument/2006/relationships/header" Target="header1.xml"/><Relationship Id="rId27" Type="http://schemas.openxmlformats.org/officeDocument/2006/relationships/hyperlink" Target="https://www.itu.int/rec/T-REC-X.1281-202403-I?utm_source=chatgpt.com" TargetMode="External"/><Relationship Id="rId30" Type="http://schemas.openxmlformats.org/officeDocument/2006/relationships/hyperlink" Target="https://www.gsma.com/solutions-and-impact/technologies/mobile-identity/wp-content/uploads/2022/12/IDY.06-Mobile-Connect-Implementation-Guidelines-1.0.doc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4.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Basic_Document.dotx</Template>
  <TotalTime>2</TotalTime>
  <Pages>11</Pages>
  <Words>2250</Words>
  <Characters>15307</Characters>
  <Application>Microsoft Office Word</Application>
  <DocSecurity>0</DocSecurity>
  <Lines>437</Lines>
  <Paragraphs>254</Paragraphs>
  <ScaleCrop>false</ScaleCrop>
  <HeadingPairs>
    <vt:vector size="2" baseType="variant">
      <vt:variant>
        <vt:lpstr>제목</vt:lpstr>
      </vt:variant>
      <vt:variant>
        <vt:i4>1</vt:i4>
      </vt:variant>
    </vt:vector>
  </HeadingPairs>
  <TitlesOfParts>
    <vt:vector size="1" baseType="lpstr">
      <vt:lpstr>LS/o on the progress of the Correspondence Group on AI Security (CG-AISEC) [to TSAG, ITU-T SGs, ETSI SAI, OECD, IEEE AIS Trust and Agency Committee, ISO/IEC JTC 1/SC 27/WG 4 &amp; WG5, and ISO/IEC JTC 1/SC 42/WG 3]</vt:lpstr>
    </vt:vector>
  </TitlesOfParts>
  <Manager>ITU-T</Manager>
  <Company>International Telecommunication Union (ITU)</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SG17 inputs on the development of ITU-T Standards Success Stories (reply to TSAG-LS5 and TSAG-LS14)</dc:title>
  <dc:creator>ITU-T Study Group 17</dc:creator>
  <dc:description>TSAG-TD290  For: Geneva, 26-30 January 2026_x000d_Document date: _x000d_Saved by ITU51017913 at 11:32:04 AM on 1/12/2026</dc:description>
  <cp:lastModifiedBy>TSB</cp:lastModifiedBy>
  <cp:revision>2</cp:revision>
  <cp:lastPrinted>2016-12-23T12:52:00Z</cp:lastPrinted>
  <dcterms:created xsi:type="dcterms:W3CDTF">2026-01-12T10:34:00Z</dcterms:created>
  <dcterms:modified xsi:type="dcterms:W3CDTF">2026-01-12T10:34:00Z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TSAG-TD290</vt:lpwstr>
  </property>
  <property fmtid="{D5CDD505-2E9C-101B-9397-08002B2CF9AE}" pid="4" name="Docdate">
    <vt:lpwstr/>
  </property>
  <property fmtid="{D5CDD505-2E9C-101B-9397-08002B2CF9AE}" pid="5" name="Docorlang">
    <vt:lpwstr/>
  </property>
  <property fmtid="{D5CDD505-2E9C-101B-9397-08002B2CF9AE}" pid="6" name="Docbluepink">
    <vt:lpwstr>1/17, ALL/17</vt:lpwstr>
  </property>
  <property fmtid="{D5CDD505-2E9C-101B-9397-08002B2CF9AE}" pid="7" name="Docdest">
    <vt:lpwstr>Geneva, 26-30 January 2026</vt:lpwstr>
  </property>
  <property fmtid="{D5CDD505-2E9C-101B-9397-08002B2CF9AE}" pid="8" name="Docauthor">
    <vt:lpwstr>ITU-T Study Group 17</vt:lpwstr>
  </property>
  <property fmtid="{D5CDD505-2E9C-101B-9397-08002B2CF9AE}" pid="9" name="KSOProductBuildVer">
    <vt:lpwstr>2052-11.8.2.12265</vt:lpwstr>
  </property>
  <property fmtid="{D5CDD505-2E9C-101B-9397-08002B2CF9AE}" pid="10" name="ICV">
    <vt:lpwstr>7BA40E326F1643E5AF9458CC93C7EE4F</vt:lpwstr>
  </property>
</Properties>
</file>