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6FFAA" w14:textId="6F32C1BE" w:rsidR="0077239C" w:rsidRDefault="00962CD9">
      <w:pPr>
        <w:spacing w:after="120"/>
        <w:jc w:val="center"/>
        <w:rPr>
          <w:b/>
          <w:bCs/>
          <w:sz w:val="32"/>
          <w:szCs w:val="32"/>
          <w:u w:val="single"/>
        </w:rPr>
      </w:pPr>
      <w:r>
        <w:rPr>
          <w:b/>
          <w:bCs/>
          <w:sz w:val="32"/>
          <w:szCs w:val="32"/>
          <w:u w:val="single"/>
        </w:rPr>
        <w:t xml:space="preserve">Attachment 9 - </w:t>
      </w:r>
      <w:r w:rsidR="00C510DD">
        <w:rPr>
          <w:b/>
          <w:bCs/>
          <w:sz w:val="32"/>
          <w:szCs w:val="32"/>
          <w:u w:val="single"/>
        </w:rPr>
        <w:t>Success story on ITU-T L.1210</w:t>
      </w:r>
    </w:p>
    <w:tbl>
      <w:tblPr>
        <w:tblStyle w:val="TableGrid"/>
        <w:tblW w:w="9604" w:type="dxa"/>
        <w:tblLook w:val="04A0" w:firstRow="1" w:lastRow="0" w:firstColumn="1" w:lastColumn="0" w:noHBand="0" w:noVBand="1"/>
      </w:tblPr>
      <w:tblGrid>
        <w:gridCol w:w="2689"/>
        <w:gridCol w:w="3260"/>
        <w:gridCol w:w="3655"/>
      </w:tblGrid>
      <w:tr w:rsidR="0077239C" w14:paraId="51107972" w14:textId="77777777">
        <w:trPr>
          <w:trHeight w:val="416"/>
        </w:trPr>
        <w:tc>
          <w:tcPr>
            <w:tcW w:w="9604" w:type="dxa"/>
            <w:gridSpan w:val="3"/>
            <w:shd w:val="clear" w:color="auto" w:fill="D9D9D9" w:themeFill="background1" w:themeFillShade="D9"/>
            <w:vAlign w:val="center"/>
          </w:tcPr>
          <w:p w14:paraId="656AE643" w14:textId="77777777" w:rsidR="0077239C" w:rsidRDefault="004304E6">
            <w:pPr>
              <w:jc w:val="center"/>
              <w:rPr>
                <w:sz w:val="22"/>
                <w:szCs w:val="22"/>
              </w:rPr>
            </w:pPr>
            <w:r>
              <w:rPr>
                <w:b/>
                <w:bCs/>
                <w:sz w:val="22"/>
                <w:szCs w:val="22"/>
                <w:u w:val="single"/>
              </w:rPr>
              <w:t>ITU-T RECOMMENDATION OVERVIEW</w:t>
            </w:r>
          </w:p>
        </w:tc>
      </w:tr>
      <w:tr w:rsidR="0077239C" w14:paraId="4887CA2B" w14:textId="77777777">
        <w:trPr>
          <w:trHeight w:val="416"/>
        </w:trPr>
        <w:tc>
          <w:tcPr>
            <w:tcW w:w="2689" w:type="dxa"/>
            <w:vAlign w:val="center"/>
          </w:tcPr>
          <w:p w14:paraId="000FF3D8" w14:textId="77777777" w:rsidR="0077239C" w:rsidRDefault="004304E6">
            <w:pPr>
              <w:rPr>
                <w:sz w:val="22"/>
                <w:szCs w:val="22"/>
              </w:rPr>
            </w:pPr>
            <w:r>
              <w:rPr>
                <w:sz w:val="22"/>
                <w:szCs w:val="22"/>
              </w:rPr>
              <w:t>ITU-T Recommendation:</w:t>
            </w:r>
          </w:p>
        </w:tc>
        <w:tc>
          <w:tcPr>
            <w:tcW w:w="6915" w:type="dxa"/>
            <w:gridSpan w:val="2"/>
            <w:vAlign w:val="center"/>
          </w:tcPr>
          <w:p w14:paraId="7F0A4862" w14:textId="77777777" w:rsidR="0077239C" w:rsidRDefault="004304E6">
            <w:pPr>
              <w:rPr>
                <w:sz w:val="22"/>
                <w:szCs w:val="22"/>
              </w:rPr>
            </w:pPr>
            <w:r w:rsidRPr="00C510DD">
              <w:rPr>
                <w:color w:val="5B9BD5" w:themeColor="accent1"/>
                <w:sz w:val="22"/>
                <w:szCs w:val="22"/>
              </w:rPr>
              <w:t>L.1210</w:t>
            </w:r>
          </w:p>
        </w:tc>
      </w:tr>
      <w:tr w:rsidR="0077239C" w14:paraId="644C0FB6" w14:textId="77777777">
        <w:trPr>
          <w:trHeight w:val="416"/>
        </w:trPr>
        <w:tc>
          <w:tcPr>
            <w:tcW w:w="2689" w:type="dxa"/>
            <w:vAlign w:val="center"/>
          </w:tcPr>
          <w:p w14:paraId="1C63B0C2" w14:textId="77777777" w:rsidR="0077239C" w:rsidRDefault="004304E6">
            <w:pPr>
              <w:rPr>
                <w:sz w:val="22"/>
                <w:szCs w:val="22"/>
              </w:rPr>
            </w:pPr>
            <w:r>
              <w:rPr>
                <w:sz w:val="22"/>
                <w:szCs w:val="22"/>
              </w:rPr>
              <w:t>Title:</w:t>
            </w:r>
          </w:p>
        </w:tc>
        <w:tc>
          <w:tcPr>
            <w:tcW w:w="6915" w:type="dxa"/>
            <w:gridSpan w:val="2"/>
            <w:vAlign w:val="center"/>
          </w:tcPr>
          <w:p w14:paraId="3780D3D9" w14:textId="77777777" w:rsidR="0077239C" w:rsidRDefault="004304E6">
            <w:pPr>
              <w:rPr>
                <w:sz w:val="22"/>
                <w:szCs w:val="22"/>
              </w:rPr>
            </w:pPr>
            <w:r w:rsidRPr="00C510DD">
              <w:rPr>
                <w:b/>
                <w:bCs/>
                <w:color w:val="5B9BD5" w:themeColor="accent1"/>
                <w:sz w:val="22"/>
                <w:szCs w:val="22"/>
              </w:rPr>
              <w:t>Sustainable power-feeding solutions for 5G networks</w:t>
            </w:r>
          </w:p>
        </w:tc>
      </w:tr>
      <w:tr w:rsidR="0077239C" w14:paraId="26CDB322" w14:textId="77777777">
        <w:trPr>
          <w:trHeight w:val="416"/>
        </w:trPr>
        <w:tc>
          <w:tcPr>
            <w:tcW w:w="2689" w:type="dxa"/>
            <w:vAlign w:val="center"/>
          </w:tcPr>
          <w:p w14:paraId="550397D3" w14:textId="77777777" w:rsidR="0077239C" w:rsidRDefault="004304E6">
            <w:pPr>
              <w:rPr>
                <w:sz w:val="22"/>
                <w:szCs w:val="22"/>
              </w:rPr>
            </w:pPr>
            <w:r>
              <w:rPr>
                <w:sz w:val="22"/>
                <w:szCs w:val="22"/>
              </w:rPr>
              <w:t>Effective period:</w:t>
            </w:r>
          </w:p>
        </w:tc>
        <w:tc>
          <w:tcPr>
            <w:tcW w:w="6915" w:type="dxa"/>
            <w:gridSpan w:val="2"/>
            <w:vAlign w:val="center"/>
          </w:tcPr>
          <w:p w14:paraId="05E46A46" w14:textId="77777777" w:rsidR="0077239C" w:rsidRDefault="004304E6">
            <w:pPr>
              <w:rPr>
                <w:sz w:val="22"/>
                <w:szCs w:val="22"/>
              </w:rPr>
            </w:pPr>
            <w:r w:rsidRPr="00C510DD">
              <w:rPr>
                <w:color w:val="5B9BD5" w:themeColor="accent1"/>
                <w:sz w:val="22"/>
                <w:szCs w:val="22"/>
              </w:rPr>
              <w:t>12-2019 - Present</w:t>
            </w:r>
          </w:p>
        </w:tc>
      </w:tr>
      <w:tr w:rsidR="0077239C" w14:paraId="34129E60" w14:textId="77777777">
        <w:trPr>
          <w:trHeight w:val="708"/>
        </w:trPr>
        <w:tc>
          <w:tcPr>
            <w:tcW w:w="2689" w:type="dxa"/>
            <w:vAlign w:val="center"/>
          </w:tcPr>
          <w:p w14:paraId="3C5DDF91" w14:textId="77777777" w:rsidR="0077239C" w:rsidRDefault="004304E6">
            <w:pPr>
              <w:rPr>
                <w:sz w:val="22"/>
                <w:szCs w:val="22"/>
              </w:rPr>
            </w:pPr>
            <w:r>
              <w:rPr>
                <w:sz w:val="22"/>
                <w:szCs w:val="22"/>
              </w:rPr>
              <w:t xml:space="preserve">Summary: </w:t>
            </w:r>
          </w:p>
        </w:tc>
        <w:tc>
          <w:tcPr>
            <w:tcW w:w="6915" w:type="dxa"/>
            <w:gridSpan w:val="2"/>
            <w:vAlign w:val="center"/>
          </w:tcPr>
          <w:p w14:paraId="78568AB3" w14:textId="77777777" w:rsidR="0077239C" w:rsidRPr="00C510DD" w:rsidRDefault="004304E6">
            <w:pPr>
              <w:rPr>
                <w:color w:val="5B9BD5" w:themeColor="accent1"/>
                <w:sz w:val="22"/>
                <w:szCs w:val="22"/>
              </w:rPr>
            </w:pPr>
            <w:r w:rsidRPr="00C510DD">
              <w:rPr>
                <w:color w:val="5B9BD5" w:themeColor="accent1"/>
                <w:sz w:val="22"/>
                <w:szCs w:val="22"/>
              </w:rPr>
              <w:t>Recommendation ITU-T L.1210 defines power-feeding solutions for 5G, converged wireless and wireline access equipment and networks, taking into consideration their enhanced requirements on service availability and reliability and new deployment scenarios, along with the environmental impact of the proposed solutions.</w:t>
            </w:r>
          </w:p>
          <w:p w14:paraId="2B13EABE" w14:textId="77777777" w:rsidR="0077239C" w:rsidRPr="00C510DD" w:rsidRDefault="004304E6">
            <w:pPr>
              <w:rPr>
                <w:color w:val="5B9BD5" w:themeColor="accent1"/>
                <w:sz w:val="22"/>
                <w:szCs w:val="22"/>
              </w:rPr>
            </w:pPr>
            <w:r w:rsidRPr="00C510DD">
              <w:rPr>
                <w:color w:val="5B9BD5" w:themeColor="accent1"/>
                <w:sz w:val="22"/>
                <w:szCs w:val="22"/>
              </w:rPr>
              <w:t>The minimum requirements of different solutions, including power-feeding structures, components, backup, safety requirements and environmental conditions, are also defined.</w:t>
            </w:r>
          </w:p>
          <w:p w14:paraId="36213C49" w14:textId="77777777" w:rsidR="0077239C" w:rsidRDefault="004304E6">
            <w:pPr>
              <w:rPr>
                <w:sz w:val="22"/>
                <w:szCs w:val="22"/>
              </w:rPr>
            </w:pPr>
            <w:r w:rsidRPr="00C510DD">
              <w:rPr>
                <w:color w:val="5B9BD5" w:themeColor="accent1"/>
                <w:sz w:val="22"/>
                <w:szCs w:val="22"/>
              </w:rPr>
              <w:t>This Recommendation is applicable to the powering of both mobile and fixed access network elements, in particular equipment that have similar configurations and needs.</w:t>
            </w:r>
          </w:p>
        </w:tc>
      </w:tr>
      <w:tr w:rsidR="0077239C" w14:paraId="0380C96A" w14:textId="77777777">
        <w:trPr>
          <w:trHeight w:val="413"/>
        </w:trPr>
        <w:tc>
          <w:tcPr>
            <w:tcW w:w="9604" w:type="dxa"/>
            <w:gridSpan w:val="3"/>
            <w:shd w:val="clear" w:color="auto" w:fill="D9D9D9" w:themeFill="background1" w:themeFillShade="D9"/>
            <w:vAlign w:val="center"/>
          </w:tcPr>
          <w:p w14:paraId="4952AB41" w14:textId="77777777" w:rsidR="0077239C" w:rsidRDefault="004304E6">
            <w:pPr>
              <w:jc w:val="center"/>
              <w:rPr>
                <w:sz w:val="22"/>
                <w:szCs w:val="22"/>
              </w:rPr>
            </w:pPr>
            <w:r>
              <w:rPr>
                <w:b/>
                <w:bCs/>
                <w:sz w:val="22"/>
                <w:szCs w:val="22"/>
                <w:u w:val="single"/>
              </w:rPr>
              <w:t>SUCCESS STORY</w:t>
            </w:r>
          </w:p>
        </w:tc>
      </w:tr>
      <w:tr w:rsidR="0077239C" w14:paraId="01F9E162" w14:textId="77777777">
        <w:trPr>
          <w:trHeight w:val="1246"/>
        </w:trPr>
        <w:tc>
          <w:tcPr>
            <w:tcW w:w="2689" w:type="dxa"/>
            <w:vAlign w:val="center"/>
          </w:tcPr>
          <w:p w14:paraId="7EBB9117" w14:textId="77777777" w:rsidR="0077239C" w:rsidRDefault="004304E6">
            <w:pPr>
              <w:rPr>
                <w:sz w:val="22"/>
                <w:szCs w:val="22"/>
              </w:rPr>
            </w:pPr>
            <w:r>
              <w:rPr>
                <w:sz w:val="22"/>
                <w:szCs w:val="22"/>
              </w:rPr>
              <w:t>Implementation type:</w:t>
            </w:r>
          </w:p>
          <w:p w14:paraId="7CBA1849" w14:textId="77777777" w:rsidR="0077239C" w:rsidRDefault="004304E6">
            <w:pPr>
              <w:rPr>
                <w:sz w:val="22"/>
                <w:szCs w:val="22"/>
              </w:rPr>
            </w:pPr>
            <w:r>
              <w:rPr>
                <w:i/>
                <w:iCs/>
                <w:sz w:val="22"/>
                <w:szCs w:val="22"/>
              </w:rPr>
              <w:t>(Select all that apply and provide information below)</w:t>
            </w:r>
          </w:p>
        </w:tc>
        <w:tc>
          <w:tcPr>
            <w:tcW w:w="6915" w:type="dxa"/>
            <w:gridSpan w:val="2"/>
          </w:tcPr>
          <w:p w14:paraId="0A42AF52" w14:textId="77777777" w:rsidR="0077239C" w:rsidRDefault="004304E6">
            <w:pPr>
              <w:spacing w:before="0"/>
              <w:rPr>
                <w:sz w:val="22"/>
                <w:szCs w:val="22"/>
              </w:rPr>
            </w:pPr>
            <w:r>
              <w:rPr>
                <w:rFonts w:ascii="Segoe UI Symbol" w:hAnsi="Segoe UI Symbol" w:cs="Segoe UI Symbol"/>
                <w:sz w:val="22"/>
                <w:szCs w:val="22"/>
              </w:rPr>
              <w:t>☑</w:t>
            </w:r>
            <w:r>
              <w:rPr>
                <w:sz w:val="22"/>
                <w:szCs w:val="22"/>
              </w:rPr>
              <w:t xml:space="preserve"> Telecom/ICT products/services</w:t>
            </w:r>
            <w:r>
              <w:rPr>
                <w:sz w:val="22"/>
                <w:szCs w:val="22"/>
              </w:rPr>
              <w:br/>
            </w:r>
            <w:r>
              <w:rPr>
                <w:rFonts w:ascii="Segoe UI Symbol" w:hAnsi="Segoe UI Symbol" w:cs="Segoe UI Symbol"/>
                <w:sz w:val="22"/>
                <w:szCs w:val="22"/>
              </w:rPr>
              <w:t>☐</w:t>
            </w:r>
            <w:r>
              <w:rPr>
                <w:sz w:val="22"/>
                <w:szCs w:val="22"/>
              </w:rPr>
              <w:t xml:space="preserve"> Telecom/ICT regulations/policies/national standards</w:t>
            </w:r>
            <w:r>
              <w:rPr>
                <w:sz w:val="22"/>
                <w:szCs w:val="22"/>
              </w:rPr>
              <w:br/>
            </w:r>
            <w:r>
              <w:rPr>
                <w:rFonts w:ascii="Segoe UI Symbol" w:hAnsi="Segoe UI Symbol" w:cs="Segoe UI Symbol"/>
                <w:sz w:val="22"/>
                <w:szCs w:val="22"/>
              </w:rPr>
              <w:t>☐</w:t>
            </w:r>
            <w:r>
              <w:rPr>
                <w:sz w:val="22"/>
                <w:szCs w:val="22"/>
              </w:rPr>
              <w:t xml:space="preserve"> International standards/ Recommendations</w:t>
            </w:r>
          </w:p>
          <w:p w14:paraId="3B4C8793" w14:textId="77777777" w:rsidR="0077239C" w:rsidRDefault="004304E6">
            <w:pPr>
              <w:spacing w:before="0"/>
              <w:rPr>
                <w:sz w:val="22"/>
                <w:szCs w:val="22"/>
              </w:rPr>
            </w:pPr>
            <w:r>
              <w:rPr>
                <w:rFonts w:ascii="Segoe UI Symbol" w:hAnsi="Segoe UI Symbol" w:cs="Segoe UI Symbol"/>
                <w:sz w:val="22"/>
                <w:szCs w:val="22"/>
              </w:rPr>
              <w:t>☐</w:t>
            </w:r>
            <w:r>
              <w:rPr>
                <w:sz w:val="22"/>
                <w:szCs w:val="22"/>
              </w:rPr>
              <w:t xml:space="preserve"> Other</w:t>
            </w:r>
          </w:p>
        </w:tc>
      </w:tr>
      <w:tr w:rsidR="0077239C" w14:paraId="351EBB02" w14:textId="77777777">
        <w:trPr>
          <w:trHeight w:val="848"/>
        </w:trPr>
        <w:tc>
          <w:tcPr>
            <w:tcW w:w="2689" w:type="dxa"/>
            <w:vMerge w:val="restart"/>
            <w:vAlign w:val="center"/>
          </w:tcPr>
          <w:p w14:paraId="6A480AF2" w14:textId="77777777" w:rsidR="0077239C" w:rsidRDefault="004304E6">
            <w:pPr>
              <w:rPr>
                <w:rFonts w:ascii="Segoe UI Symbol" w:hAnsi="Segoe UI Symbol" w:cs="Segoe UI Symbol"/>
                <w:b/>
                <w:bCs/>
                <w:u w:val="single"/>
              </w:rPr>
            </w:pPr>
            <w:r>
              <w:rPr>
                <w:b/>
                <w:bCs/>
                <w:u w:val="single"/>
              </w:rPr>
              <w:t>Telecom/ICT products/services</w:t>
            </w:r>
          </w:p>
        </w:tc>
        <w:tc>
          <w:tcPr>
            <w:tcW w:w="3260" w:type="dxa"/>
          </w:tcPr>
          <w:p w14:paraId="68D8D568" w14:textId="77777777" w:rsidR="0077239C" w:rsidRDefault="004304E6">
            <w:pPr>
              <w:rPr>
                <w:b/>
                <w:bCs/>
                <w:sz w:val="22"/>
                <w:szCs w:val="22"/>
              </w:rPr>
            </w:pPr>
            <w:r>
              <w:rPr>
                <w:b/>
                <w:bCs/>
                <w:sz w:val="22"/>
                <w:szCs w:val="22"/>
              </w:rPr>
              <w:t xml:space="preserve">Implementing body: </w:t>
            </w:r>
          </w:p>
          <w:p w14:paraId="617FF269" w14:textId="77777777" w:rsidR="0077239C" w:rsidRDefault="004304E6">
            <w:pPr>
              <w:rPr>
                <w:sz w:val="22"/>
                <w:szCs w:val="22"/>
              </w:rPr>
            </w:pPr>
            <w:r w:rsidRPr="00C510DD">
              <w:rPr>
                <w:color w:val="5B9BD5" w:themeColor="accent1"/>
                <w:sz w:val="22"/>
                <w:szCs w:val="22"/>
              </w:rPr>
              <w:t>Huawei Technologies</w:t>
            </w:r>
          </w:p>
        </w:tc>
        <w:tc>
          <w:tcPr>
            <w:tcW w:w="3655" w:type="dxa"/>
          </w:tcPr>
          <w:p w14:paraId="04839B1D" w14:textId="77777777" w:rsidR="0077239C" w:rsidRDefault="004304E6">
            <w:pPr>
              <w:rPr>
                <w:b/>
                <w:bCs/>
                <w:sz w:val="22"/>
                <w:szCs w:val="22"/>
              </w:rPr>
            </w:pPr>
            <w:r>
              <w:rPr>
                <w:b/>
                <w:bCs/>
                <w:sz w:val="22"/>
                <w:szCs w:val="22"/>
              </w:rPr>
              <w:t>Implementation:</w:t>
            </w:r>
          </w:p>
          <w:p w14:paraId="47E24967" w14:textId="77777777" w:rsidR="0077239C" w:rsidRPr="00C510DD" w:rsidRDefault="004304E6">
            <w:pPr>
              <w:rPr>
                <w:color w:val="5B9BD5" w:themeColor="accent1"/>
                <w:sz w:val="22"/>
                <w:szCs w:val="22"/>
              </w:rPr>
            </w:pPr>
            <w:r w:rsidRPr="00C510DD">
              <w:rPr>
                <w:color w:val="5B9BD5" w:themeColor="accent1"/>
                <w:sz w:val="22"/>
                <w:szCs w:val="22"/>
              </w:rPr>
              <w:t>Indoor Power cabinet</w:t>
            </w:r>
          </w:p>
          <w:p w14:paraId="4F26D227" w14:textId="77777777" w:rsidR="0077239C" w:rsidRPr="00C510DD" w:rsidRDefault="004304E6">
            <w:pPr>
              <w:rPr>
                <w:i/>
                <w:iCs/>
                <w:color w:val="5B9BD5" w:themeColor="accent1"/>
                <w:sz w:val="22"/>
                <w:szCs w:val="22"/>
              </w:rPr>
            </w:pPr>
            <w:r w:rsidRPr="00C510DD">
              <w:rPr>
                <w:i/>
                <w:iCs/>
                <w:color w:val="5B9BD5" w:themeColor="accent1"/>
                <w:sz w:val="22"/>
                <w:szCs w:val="22"/>
              </w:rPr>
              <w:t>MTS9606B</w:t>
            </w:r>
          </w:p>
          <w:p w14:paraId="1F5904ED" w14:textId="77777777" w:rsidR="0077239C" w:rsidRDefault="004304E6">
            <w:pPr>
              <w:rPr>
                <w:i/>
                <w:iCs/>
                <w:color w:val="0000FF"/>
                <w:sz w:val="22"/>
                <w:szCs w:val="22"/>
                <w:lang w:val="en-US"/>
              </w:rPr>
            </w:pPr>
            <w:r w:rsidRPr="00C510DD">
              <w:rPr>
                <w:rFonts w:hint="eastAsia"/>
                <w:color w:val="5B9BD5" w:themeColor="accent1"/>
                <w:sz w:val="22"/>
                <w:szCs w:val="22"/>
                <w:lang w:val="en-US" w:eastAsia="zh-CN"/>
              </w:rPr>
              <w:t>M</w:t>
            </w:r>
            <w:r w:rsidRPr="00C510DD">
              <w:rPr>
                <w:rFonts w:hint="eastAsia"/>
                <w:color w:val="5B9BD5" w:themeColor="accent1"/>
                <w:sz w:val="22"/>
                <w:szCs w:val="22"/>
                <w:lang w:val="en-US"/>
              </w:rPr>
              <w:t>ulti-input/multi-output energy cabinet</w:t>
            </w:r>
          </w:p>
        </w:tc>
      </w:tr>
      <w:tr w:rsidR="0077239C" w14:paraId="0D5AE123" w14:textId="77777777">
        <w:trPr>
          <w:trHeight w:val="1232"/>
        </w:trPr>
        <w:tc>
          <w:tcPr>
            <w:tcW w:w="2689" w:type="dxa"/>
            <w:vMerge/>
            <w:vAlign w:val="center"/>
          </w:tcPr>
          <w:p w14:paraId="76F91D6E" w14:textId="77777777" w:rsidR="0077239C" w:rsidRDefault="0077239C">
            <w:pPr>
              <w:rPr>
                <w:b/>
                <w:bCs/>
                <w:u w:val="single"/>
              </w:rPr>
            </w:pPr>
          </w:p>
        </w:tc>
        <w:tc>
          <w:tcPr>
            <w:tcW w:w="6915" w:type="dxa"/>
            <w:gridSpan w:val="2"/>
          </w:tcPr>
          <w:p w14:paraId="4DEAFFC5" w14:textId="77777777" w:rsidR="0077239C" w:rsidRDefault="004304E6">
            <w:pPr>
              <w:rPr>
                <w:b/>
                <w:bCs/>
                <w:sz w:val="22"/>
                <w:szCs w:val="22"/>
              </w:rPr>
            </w:pPr>
            <w:r>
              <w:rPr>
                <w:b/>
                <w:bCs/>
                <w:sz w:val="22"/>
                <w:szCs w:val="22"/>
              </w:rPr>
              <w:t>Implementation summary:</w:t>
            </w:r>
          </w:p>
          <w:p w14:paraId="137B0E25" w14:textId="77777777" w:rsidR="00C510DD" w:rsidRPr="00C510DD" w:rsidRDefault="00C510DD">
            <w:pPr>
              <w:rPr>
                <w:color w:val="5B9BD5" w:themeColor="accent1"/>
                <w:sz w:val="22"/>
                <w:szCs w:val="22"/>
              </w:rPr>
            </w:pPr>
            <w:r w:rsidRPr="00C510DD">
              <w:rPr>
                <w:color w:val="5B9BD5" w:themeColor="accent1"/>
                <w:sz w:val="22"/>
                <w:szCs w:val="22"/>
              </w:rPr>
              <w:t>This power solution implements the requirements of ITU-T L.1210 and provides a system capable of using multiple energy sources, including the grid and solar panels, while delivering different DC and AC output voltages. High-efficiency modules are used, and additional functionalities, such as peak shaving, are also implemented.</w:t>
            </w:r>
          </w:p>
          <w:p w14:paraId="6BB2D2D0" w14:textId="77777777" w:rsidR="00C510DD" w:rsidRPr="00C510DD" w:rsidRDefault="00C510DD" w:rsidP="00C510DD">
            <w:pPr>
              <w:rPr>
                <w:color w:val="5B9BD5" w:themeColor="accent1"/>
                <w:sz w:val="22"/>
                <w:szCs w:val="22"/>
                <w:lang w:eastAsia="zh-CN"/>
              </w:rPr>
            </w:pPr>
            <w:r w:rsidRPr="00C510DD">
              <w:rPr>
                <w:color w:val="5B9BD5" w:themeColor="accent1"/>
                <w:sz w:val="22"/>
                <w:szCs w:val="22"/>
                <w:lang w:eastAsia="zh-CN"/>
              </w:rPr>
              <w:t>ITU-T L.1210 has effectively supported and promoted improvements in the following types of products and services:</w:t>
            </w:r>
          </w:p>
          <w:p w14:paraId="464E5B8A" w14:textId="77777777" w:rsidR="00C510DD" w:rsidRPr="00C510DD" w:rsidRDefault="00C510DD" w:rsidP="00C510DD">
            <w:pPr>
              <w:numPr>
                <w:ilvl w:val="0"/>
                <w:numId w:val="12"/>
              </w:numPr>
              <w:rPr>
                <w:color w:val="5B9BD5" w:themeColor="accent1"/>
                <w:sz w:val="22"/>
                <w:szCs w:val="22"/>
                <w:lang w:eastAsia="zh-CN"/>
              </w:rPr>
            </w:pPr>
            <w:r w:rsidRPr="00C510DD">
              <w:rPr>
                <w:color w:val="5B9BD5" w:themeColor="accent1"/>
                <w:sz w:val="22"/>
                <w:szCs w:val="22"/>
                <w:lang w:eastAsia="zh-CN"/>
              </w:rPr>
              <w:t>The Recommendation’s provisions on base station power supply comprehensively consider multiple input energy sources and multiple output voltage levels, supporting the development and application of integrated multi-input/multi-output energy cabinet products. Compared with traditional equipment, energy efficiency has increased by 8%–17%, and these products have been included in the Catalogue of Scientific and Technological Innovation Achievements of China’s Central State-owned Enterprises.</w:t>
            </w:r>
          </w:p>
          <w:p w14:paraId="471A9F37" w14:textId="77777777" w:rsidR="00C510DD" w:rsidRPr="00C510DD" w:rsidRDefault="00C510DD" w:rsidP="00C510DD">
            <w:pPr>
              <w:numPr>
                <w:ilvl w:val="0"/>
                <w:numId w:val="12"/>
              </w:numPr>
              <w:rPr>
                <w:color w:val="5B9BD5" w:themeColor="accent1"/>
                <w:sz w:val="22"/>
                <w:szCs w:val="22"/>
                <w:lang w:eastAsia="zh-CN"/>
              </w:rPr>
            </w:pPr>
            <w:r w:rsidRPr="00C510DD">
              <w:rPr>
                <w:color w:val="5B9BD5" w:themeColor="accent1"/>
                <w:sz w:val="22"/>
                <w:szCs w:val="22"/>
                <w:lang w:eastAsia="zh-CN"/>
              </w:rPr>
              <w:t xml:space="preserve">It provides specifications for the efficient use of lithium-ion batteries in 5G networks, setting out requirements for energy density, constant-voltage output capability, parallel output </w:t>
            </w:r>
            <w:r w:rsidRPr="00C510DD">
              <w:rPr>
                <w:color w:val="5B9BD5" w:themeColor="accent1"/>
                <w:sz w:val="22"/>
                <w:szCs w:val="22"/>
                <w:lang w:eastAsia="zh-CN"/>
              </w:rPr>
              <w:lastRenderedPageBreak/>
              <w:t>capability, communication functions, intelligent management functions, and safety testing, thereby effectively supporting the efficient and safe use of lithium-ion batteries in base stations.</w:t>
            </w:r>
          </w:p>
          <w:p w14:paraId="635AD1E7" w14:textId="77777777" w:rsidR="00C510DD" w:rsidRPr="00C510DD" w:rsidRDefault="00C510DD" w:rsidP="00C510DD">
            <w:pPr>
              <w:numPr>
                <w:ilvl w:val="0"/>
                <w:numId w:val="12"/>
              </w:numPr>
              <w:rPr>
                <w:color w:val="5B9BD5" w:themeColor="accent1"/>
                <w:sz w:val="22"/>
                <w:szCs w:val="22"/>
                <w:lang w:eastAsia="zh-CN"/>
              </w:rPr>
            </w:pPr>
            <w:r w:rsidRPr="00C510DD">
              <w:rPr>
                <w:color w:val="5B9BD5" w:themeColor="accent1"/>
                <w:sz w:val="22"/>
                <w:szCs w:val="22"/>
                <w:lang w:eastAsia="zh-CN"/>
              </w:rPr>
              <w:t>It proposes basic architectural principles for new 5G energy power supply systems and for composite power supply solutions combining power and optical-fibre networks, effectively supporting related applications and providing guidance for optimizing indicators such as 5G network energy efficiency, carbon emissions, and land use.</w:t>
            </w:r>
          </w:p>
          <w:p w14:paraId="6E249AFD" w14:textId="620A1095" w:rsidR="0077239C" w:rsidRPr="00C510DD" w:rsidRDefault="00C510DD" w:rsidP="00C510DD">
            <w:pPr>
              <w:rPr>
                <w:color w:val="0000FF"/>
                <w:sz w:val="22"/>
                <w:szCs w:val="22"/>
                <w:lang w:eastAsia="zh-CN"/>
              </w:rPr>
            </w:pPr>
            <w:r w:rsidRPr="00C510DD">
              <w:rPr>
                <w:color w:val="5B9BD5" w:themeColor="accent1"/>
                <w:sz w:val="22"/>
                <w:szCs w:val="22"/>
                <w:lang w:eastAsia="zh-CN"/>
              </w:rPr>
              <w:t xml:space="preserve">ITU-T L.1210 has been widely recognized through its applications in China and has received the </w:t>
            </w:r>
            <w:r w:rsidRPr="00C510DD">
              <w:rPr>
                <w:b/>
                <w:bCs/>
                <w:color w:val="5B9BD5" w:themeColor="accent1"/>
                <w:sz w:val="22"/>
                <w:szCs w:val="22"/>
                <w:lang w:eastAsia="zh-CN"/>
              </w:rPr>
              <w:t>Science and Technology Award of the China Communications Standards Association (CCSA)</w:t>
            </w:r>
            <w:r w:rsidRPr="00C510DD">
              <w:rPr>
                <w:color w:val="5B9BD5" w:themeColor="accent1"/>
                <w:sz w:val="22"/>
                <w:szCs w:val="22"/>
                <w:lang w:eastAsia="zh-CN"/>
              </w:rPr>
              <w:t>.</w:t>
            </w:r>
          </w:p>
        </w:tc>
      </w:tr>
      <w:tr w:rsidR="0077239C" w14:paraId="58569FAE" w14:textId="77777777">
        <w:trPr>
          <w:trHeight w:val="1169"/>
        </w:trPr>
        <w:tc>
          <w:tcPr>
            <w:tcW w:w="2689" w:type="dxa"/>
            <w:vMerge w:val="restart"/>
            <w:vAlign w:val="center"/>
          </w:tcPr>
          <w:p w14:paraId="727BADB0" w14:textId="77777777" w:rsidR="0077239C" w:rsidRDefault="004304E6">
            <w:pPr>
              <w:rPr>
                <w:rFonts w:ascii="Segoe UI Symbol" w:hAnsi="Segoe UI Symbol" w:cs="Segoe UI Symbol"/>
                <w:b/>
                <w:bCs/>
                <w:u w:val="single"/>
              </w:rPr>
            </w:pPr>
            <w:r>
              <w:rPr>
                <w:b/>
                <w:bCs/>
                <w:u w:val="single"/>
              </w:rPr>
              <w:lastRenderedPageBreak/>
              <w:t>Telecom/ICT regulations/policies/ national Standards</w:t>
            </w:r>
          </w:p>
        </w:tc>
        <w:tc>
          <w:tcPr>
            <w:tcW w:w="3260" w:type="dxa"/>
          </w:tcPr>
          <w:p w14:paraId="0DC33F10" w14:textId="77777777" w:rsidR="0077239C" w:rsidRDefault="004304E6">
            <w:pPr>
              <w:rPr>
                <w:b/>
                <w:bCs/>
                <w:sz w:val="22"/>
                <w:szCs w:val="22"/>
              </w:rPr>
            </w:pPr>
            <w:r>
              <w:rPr>
                <w:b/>
                <w:bCs/>
                <w:sz w:val="22"/>
                <w:szCs w:val="22"/>
              </w:rPr>
              <w:t xml:space="preserve">Implementing body: </w:t>
            </w:r>
          </w:p>
          <w:p w14:paraId="165701B0" w14:textId="18135B22" w:rsidR="0077239C" w:rsidRDefault="00C510DD">
            <w:pPr>
              <w:rPr>
                <w:rFonts w:ascii="Segoe UI Symbol" w:hAnsi="Segoe UI Symbol" w:cs="Segoe UI Symbol"/>
                <w:sz w:val="22"/>
                <w:szCs w:val="22"/>
              </w:rPr>
            </w:pPr>
            <w:r>
              <w:rPr>
                <w:sz w:val="22"/>
                <w:szCs w:val="22"/>
              </w:rPr>
              <w:t>N/A</w:t>
            </w:r>
          </w:p>
        </w:tc>
        <w:tc>
          <w:tcPr>
            <w:tcW w:w="3655" w:type="dxa"/>
          </w:tcPr>
          <w:p w14:paraId="22E86B3F" w14:textId="77777777" w:rsidR="0077239C" w:rsidRDefault="004304E6">
            <w:pPr>
              <w:rPr>
                <w:b/>
                <w:bCs/>
                <w:sz w:val="22"/>
                <w:szCs w:val="22"/>
              </w:rPr>
            </w:pPr>
            <w:r>
              <w:rPr>
                <w:b/>
                <w:bCs/>
                <w:sz w:val="22"/>
                <w:szCs w:val="22"/>
              </w:rPr>
              <w:t>Implementation:</w:t>
            </w:r>
          </w:p>
          <w:p w14:paraId="116E87A6" w14:textId="2DF52989" w:rsidR="0077239C" w:rsidRDefault="00C510DD">
            <w:pPr>
              <w:rPr>
                <w:rFonts w:ascii="Segoe UI Symbol" w:hAnsi="Segoe UI Symbol" w:cs="Segoe UI Symbol"/>
                <w:sz w:val="22"/>
                <w:szCs w:val="22"/>
              </w:rPr>
            </w:pPr>
            <w:r>
              <w:rPr>
                <w:sz w:val="22"/>
                <w:szCs w:val="22"/>
              </w:rPr>
              <w:t>N/A</w:t>
            </w:r>
          </w:p>
        </w:tc>
      </w:tr>
      <w:tr w:rsidR="0077239C" w14:paraId="65788068" w14:textId="77777777">
        <w:trPr>
          <w:trHeight w:val="1142"/>
        </w:trPr>
        <w:tc>
          <w:tcPr>
            <w:tcW w:w="2689" w:type="dxa"/>
            <w:vMerge/>
            <w:vAlign w:val="center"/>
          </w:tcPr>
          <w:p w14:paraId="0E38AEC8" w14:textId="77777777" w:rsidR="0077239C" w:rsidRDefault="0077239C">
            <w:pPr>
              <w:rPr>
                <w:rFonts w:ascii="Segoe UI Symbol" w:hAnsi="Segoe UI Symbol" w:cs="Segoe UI Symbol"/>
                <w:b/>
                <w:bCs/>
                <w:u w:val="single"/>
              </w:rPr>
            </w:pPr>
          </w:p>
        </w:tc>
        <w:tc>
          <w:tcPr>
            <w:tcW w:w="6915" w:type="dxa"/>
            <w:gridSpan w:val="2"/>
          </w:tcPr>
          <w:p w14:paraId="2F95D698" w14:textId="77777777" w:rsidR="0077239C" w:rsidRDefault="004304E6">
            <w:pPr>
              <w:rPr>
                <w:b/>
                <w:bCs/>
                <w:sz w:val="22"/>
                <w:szCs w:val="22"/>
              </w:rPr>
            </w:pPr>
            <w:r>
              <w:rPr>
                <w:b/>
                <w:bCs/>
                <w:sz w:val="22"/>
                <w:szCs w:val="22"/>
              </w:rPr>
              <w:t>Implementation summary:</w:t>
            </w:r>
          </w:p>
          <w:p w14:paraId="225657F1" w14:textId="4CACCC76" w:rsidR="0077239C" w:rsidRDefault="00C510DD">
            <w:pPr>
              <w:rPr>
                <w:rFonts w:ascii="Segoe UI Symbol" w:hAnsi="Segoe UI Symbol" w:cs="Segoe UI Symbol"/>
                <w:sz w:val="22"/>
                <w:szCs w:val="22"/>
              </w:rPr>
            </w:pPr>
            <w:r>
              <w:rPr>
                <w:sz w:val="22"/>
                <w:szCs w:val="22"/>
              </w:rPr>
              <w:t>N/A</w:t>
            </w:r>
          </w:p>
        </w:tc>
      </w:tr>
      <w:tr w:rsidR="0077239C" w14:paraId="394EEE11" w14:textId="77777777">
        <w:trPr>
          <w:trHeight w:val="1234"/>
        </w:trPr>
        <w:tc>
          <w:tcPr>
            <w:tcW w:w="2689" w:type="dxa"/>
            <w:vMerge w:val="restart"/>
            <w:vAlign w:val="center"/>
          </w:tcPr>
          <w:p w14:paraId="5AE2F709" w14:textId="77777777" w:rsidR="0077239C" w:rsidRDefault="004304E6">
            <w:pPr>
              <w:rPr>
                <w:rFonts w:ascii="Segoe UI Symbol" w:hAnsi="Segoe UI Symbol" w:cs="Segoe UI Symbol"/>
                <w:b/>
                <w:bCs/>
                <w:u w:val="single"/>
              </w:rPr>
            </w:pPr>
            <w:r>
              <w:rPr>
                <w:b/>
                <w:bCs/>
                <w:u w:val="single"/>
              </w:rPr>
              <w:t>International standards/ Recommendations</w:t>
            </w:r>
          </w:p>
        </w:tc>
        <w:tc>
          <w:tcPr>
            <w:tcW w:w="3260" w:type="dxa"/>
          </w:tcPr>
          <w:p w14:paraId="502C0BA1" w14:textId="77777777" w:rsidR="0077239C" w:rsidRDefault="004304E6">
            <w:pPr>
              <w:rPr>
                <w:b/>
                <w:bCs/>
                <w:sz w:val="22"/>
                <w:szCs w:val="22"/>
              </w:rPr>
            </w:pPr>
            <w:r>
              <w:rPr>
                <w:b/>
                <w:bCs/>
                <w:sz w:val="22"/>
                <w:szCs w:val="22"/>
              </w:rPr>
              <w:t xml:space="preserve">Implementing body: </w:t>
            </w:r>
          </w:p>
          <w:p w14:paraId="44C706E4" w14:textId="7D81CBAF" w:rsidR="0077239C" w:rsidRDefault="00C510DD">
            <w:pPr>
              <w:rPr>
                <w:rFonts w:ascii="Segoe UI Symbol" w:hAnsi="Segoe UI Symbol" w:cs="Segoe UI Symbol"/>
                <w:sz w:val="22"/>
                <w:szCs w:val="22"/>
              </w:rPr>
            </w:pPr>
            <w:r>
              <w:rPr>
                <w:sz w:val="22"/>
                <w:szCs w:val="22"/>
              </w:rPr>
              <w:t>N/A</w:t>
            </w:r>
          </w:p>
        </w:tc>
        <w:tc>
          <w:tcPr>
            <w:tcW w:w="3655" w:type="dxa"/>
          </w:tcPr>
          <w:p w14:paraId="226025C8" w14:textId="77777777" w:rsidR="0077239C" w:rsidRDefault="004304E6">
            <w:pPr>
              <w:rPr>
                <w:b/>
                <w:bCs/>
                <w:sz w:val="22"/>
                <w:szCs w:val="22"/>
              </w:rPr>
            </w:pPr>
            <w:r>
              <w:rPr>
                <w:b/>
                <w:bCs/>
                <w:sz w:val="22"/>
                <w:szCs w:val="22"/>
              </w:rPr>
              <w:t>Implementation</w:t>
            </w:r>
          </w:p>
          <w:p w14:paraId="660A6EF1" w14:textId="26EBF3C4" w:rsidR="0077239C" w:rsidRDefault="00C510DD">
            <w:pPr>
              <w:rPr>
                <w:rFonts w:ascii="Segoe UI Symbol" w:hAnsi="Segoe UI Symbol" w:cs="Segoe UI Symbol"/>
                <w:sz w:val="22"/>
                <w:szCs w:val="22"/>
              </w:rPr>
            </w:pPr>
            <w:r>
              <w:rPr>
                <w:sz w:val="22"/>
                <w:szCs w:val="22"/>
              </w:rPr>
              <w:t>N/A</w:t>
            </w:r>
          </w:p>
        </w:tc>
      </w:tr>
      <w:tr w:rsidR="0077239C" w14:paraId="256EEBA9" w14:textId="77777777">
        <w:trPr>
          <w:trHeight w:val="1353"/>
        </w:trPr>
        <w:tc>
          <w:tcPr>
            <w:tcW w:w="2689" w:type="dxa"/>
            <w:vMerge/>
            <w:vAlign w:val="center"/>
          </w:tcPr>
          <w:p w14:paraId="240FC5D7" w14:textId="77777777" w:rsidR="0077239C" w:rsidRDefault="0077239C">
            <w:pPr>
              <w:rPr>
                <w:rFonts w:ascii="Segoe UI Symbol" w:hAnsi="Segoe UI Symbol" w:cs="Segoe UI Symbol"/>
                <w:sz w:val="22"/>
                <w:szCs w:val="22"/>
              </w:rPr>
            </w:pPr>
          </w:p>
        </w:tc>
        <w:tc>
          <w:tcPr>
            <w:tcW w:w="6915" w:type="dxa"/>
            <w:gridSpan w:val="2"/>
          </w:tcPr>
          <w:p w14:paraId="0C257D69" w14:textId="77777777" w:rsidR="0077239C" w:rsidRDefault="004304E6">
            <w:pPr>
              <w:rPr>
                <w:b/>
                <w:bCs/>
                <w:sz w:val="22"/>
                <w:szCs w:val="22"/>
              </w:rPr>
            </w:pPr>
            <w:r>
              <w:rPr>
                <w:b/>
                <w:bCs/>
                <w:sz w:val="22"/>
                <w:szCs w:val="22"/>
              </w:rPr>
              <w:t>Implementation summary:</w:t>
            </w:r>
          </w:p>
          <w:p w14:paraId="1548D062" w14:textId="2E15255A" w:rsidR="0077239C" w:rsidRDefault="00C510DD">
            <w:pPr>
              <w:rPr>
                <w:rFonts w:ascii="Segoe UI Symbol" w:hAnsi="Segoe UI Symbol" w:cs="Segoe UI Symbol"/>
                <w:sz w:val="22"/>
                <w:szCs w:val="22"/>
              </w:rPr>
            </w:pPr>
            <w:r>
              <w:rPr>
                <w:sz w:val="22"/>
                <w:szCs w:val="22"/>
              </w:rPr>
              <w:t>N/A</w:t>
            </w:r>
          </w:p>
        </w:tc>
      </w:tr>
      <w:tr w:rsidR="0077239C" w14:paraId="4BA1CEC8" w14:textId="77777777">
        <w:trPr>
          <w:trHeight w:val="1034"/>
        </w:trPr>
        <w:tc>
          <w:tcPr>
            <w:tcW w:w="2689" w:type="dxa"/>
            <w:vAlign w:val="center"/>
          </w:tcPr>
          <w:p w14:paraId="2B5384BE" w14:textId="77777777" w:rsidR="0077239C" w:rsidRDefault="004304E6">
            <w:pPr>
              <w:rPr>
                <w:b/>
                <w:bCs/>
                <w:sz w:val="22"/>
                <w:szCs w:val="22"/>
              </w:rPr>
            </w:pPr>
            <w:r>
              <w:rPr>
                <w:b/>
                <w:bCs/>
                <w:u w:val="single"/>
              </w:rPr>
              <w:t>Other</w:t>
            </w:r>
          </w:p>
        </w:tc>
        <w:tc>
          <w:tcPr>
            <w:tcW w:w="6915" w:type="dxa"/>
            <w:gridSpan w:val="2"/>
            <w:vAlign w:val="center"/>
          </w:tcPr>
          <w:p w14:paraId="3E183867" w14:textId="77777777" w:rsidR="0077239C" w:rsidRDefault="004304E6">
            <w:pPr>
              <w:rPr>
                <w:b/>
                <w:bCs/>
                <w:sz w:val="22"/>
                <w:szCs w:val="22"/>
              </w:rPr>
            </w:pPr>
            <w:r>
              <w:rPr>
                <w:b/>
                <w:bCs/>
                <w:sz w:val="22"/>
                <w:szCs w:val="22"/>
              </w:rPr>
              <w:t>Implementation summary:</w:t>
            </w:r>
          </w:p>
          <w:p w14:paraId="10028480" w14:textId="0DBE7CEB" w:rsidR="0077239C" w:rsidRDefault="00C510DD">
            <w:pPr>
              <w:rPr>
                <w:b/>
                <w:bCs/>
                <w:sz w:val="22"/>
                <w:szCs w:val="22"/>
              </w:rPr>
            </w:pPr>
            <w:r>
              <w:rPr>
                <w:sz w:val="22"/>
                <w:szCs w:val="22"/>
              </w:rPr>
              <w:t>N/A</w:t>
            </w:r>
          </w:p>
        </w:tc>
      </w:tr>
    </w:tbl>
    <w:p w14:paraId="1986B5E9" w14:textId="77777777" w:rsidR="0077239C" w:rsidRDefault="004304E6">
      <w:pPr>
        <w:jc w:val="center"/>
      </w:pPr>
      <w:r>
        <w:t>___________________</w:t>
      </w:r>
    </w:p>
    <w:sectPr w:rsidR="0077239C">
      <w:headerReference w:type="default" r:id="rId10"/>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FC00" w14:textId="77777777" w:rsidR="0077239C" w:rsidRDefault="004304E6">
      <w:r>
        <w:separator/>
      </w:r>
    </w:p>
  </w:endnote>
  <w:endnote w:type="continuationSeparator" w:id="0">
    <w:p w14:paraId="6ABF0764" w14:textId="77777777" w:rsidR="0077239C" w:rsidRDefault="0043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58E6E" w14:textId="77777777" w:rsidR="0077239C" w:rsidRDefault="004304E6">
      <w:pPr>
        <w:spacing w:before="0"/>
      </w:pPr>
      <w:r>
        <w:separator/>
      </w:r>
    </w:p>
  </w:footnote>
  <w:footnote w:type="continuationSeparator" w:id="0">
    <w:p w14:paraId="605E085E" w14:textId="77777777" w:rsidR="0077239C" w:rsidRDefault="004304E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B5EC" w14:textId="74FF6DB3" w:rsidR="0077239C" w:rsidRDefault="004304E6" w:rsidP="00C510DD">
    <w:pPr>
      <w:pStyle w:val="Header"/>
    </w:pPr>
    <w:r>
      <w:t xml:space="preserve">- </w:t>
    </w:r>
    <w:r>
      <w:fldChar w:fldCharType="begin"/>
    </w:r>
    <w:r>
      <w:instrText xml:space="preserve"> PAGE  \* MERGEFORMAT </w:instrText>
    </w:r>
    <w:r>
      <w:fldChar w:fldCharType="separate"/>
    </w:r>
    <w:r>
      <w:t>1</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126CD6"/>
    <w:multiLevelType w:val="singleLevel"/>
    <w:tmpl w:val="A4126CD6"/>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57093873"/>
    <w:multiLevelType w:val="multilevel"/>
    <w:tmpl w:val="C7DCD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0347232">
    <w:abstractNumId w:val="4"/>
  </w:num>
  <w:num w:numId="2" w16cid:durableId="916673237">
    <w:abstractNumId w:val="6"/>
  </w:num>
  <w:num w:numId="3" w16cid:durableId="1260215888">
    <w:abstractNumId w:val="9"/>
  </w:num>
  <w:num w:numId="4" w16cid:durableId="1431243189">
    <w:abstractNumId w:val="10"/>
  </w:num>
  <w:num w:numId="5" w16cid:durableId="1171329831">
    <w:abstractNumId w:val="7"/>
  </w:num>
  <w:num w:numId="6" w16cid:durableId="391924909">
    <w:abstractNumId w:val="3"/>
  </w:num>
  <w:num w:numId="7" w16cid:durableId="661742605">
    <w:abstractNumId w:val="8"/>
  </w:num>
  <w:num w:numId="8" w16cid:durableId="1582368289">
    <w:abstractNumId w:val="5"/>
  </w:num>
  <w:num w:numId="9" w16cid:durableId="414714711">
    <w:abstractNumId w:val="2"/>
  </w:num>
  <w:num w:numId="10" w16cid:durableId="294800828">
    <w:abstractNumId w:val="1"/>
  </w:num>
  <w:num w:numId="11" w16cid:durableId="151458546">
    <w:abstractNumId w:val="0"/>
  </w:num>
  <w:num w:numId="12" w16cid:durableId="19746761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26C34"/>
    <w:rsid w:val="0003582E"/>
    <w:rsid w:val="00043D75"/>
    <w:rsid w:val="0005677D"/>
    <w:rsid w:val="00057000"/>
    <w:rsid w:val="00061268"/>
    <w:rsid w:val="000640E0"/>
    <w:rsid w:val="000920CE"/>
    <w:rsid w:val="000966A8"/>
    <w:rsid w:val="000A5CA2"/>
    <w:rsid w:val="000B739D"/>
    <w:rsid w:val="000C2FE0"/>
    <w:rsid w:val="000C397B"/>
    <w:rsid w:val="000E6125"/>
    <w:rsid w:val="00113DBE"/>
    <w:rsid w:val="00117C0F"/>
    <w:rsid w:val="001200A6"/>
    <w:rsid w:val="00124A40"/>
    <w:rsid w:val="001251DA"/>
    <w:rsid w:val="00125432"/>
    <w:rsid w:val="00136586"/>
    <w:rsid w:val="00136DDD"/>
    <w:rsid w:val="00137F40"/>
    <w:rsid w:val="001410FD"/>
    <w:rsid w:val="00144BDF"/>
    <w:rsid w:val="00155DDC"/>
    <w:rsid w:val="00161830"/>
    <w:rsid w:val="001871EC"/>
    <w:rsid w:val="00195586"/>
    <w:rsid w:val="001A20C3"/>
    <w:rsid w:val="001A670F"/>
    <w:rsid w:val="001B6A45"/>
    <w:rsid w:val="001C62B8"/>
    <w:rsid w:val="001D22D8"/>
    <w:rsid w:val="001D4296"/>
    <w:rsid w:val="001E6EA3"/>
    <w:rsid w:val="001E7B0E"/>
    <w:rsid w:val="001F141D"/>
    <w:rsid w:val="00200A06"/>
    <w:rsid w:val="00200A98"/>
    <w:rsid w:val="00201AFA"/>
    <w:rsid w:val="002229F1"/>
    <w:rsid w:val="00233F75"/>
    <w:rsid w:val="0023433E"/>
    <w:rsid w:val="002505BD"/>
    <w:rsid w:val="00253DBE"/>
    <w:rsid w:val="00253DC6"/>
    <w:rsid w:val="0025489C"/>
    <w:rsid w:val="002622FA"/>
    <w:rsid w:val="00263518"/>
    <w:rsid w:val="00263B33"/>
    <w:rsid w:val="002759E7"/>
    <w:rsid w:val="002770AA"/>
    <w:rsid w:val="00277326"/>
    <w:rsid w:val="002929EB"/>
    <w:rsid w:val="002A11C4"/>
    <w:rsid w:val="002A399B"/>
    <w:rsid w:val="002B6B0C"/>
    <w:rsid w:val="002C26C0"/>
    <w:rsid w:val="002C2BC5"/>
    <w:rsid w:val="002C502A"/>
    <w:rsid w:val="002D16B8"/>
    <w:rsid w:val="002D6447"/>
    <w:rsid w:val="002E0407"/>
    <w:rsid w:val="002E3C52"/>
    <w:rsid w:val="002E79CB"/>
    <w:rsid w:val="002F5070"/>
    <w:rsid w:val="002F7F55"/>
    <w:rsid w:val="0030745F"/>
    <w:rsid w:val="00314630"/>
    <w:rsid w:val="0032090A"/>
    <w:rsid w:val="00321CDE"/>
    <w:rsid w:val="00333E15"/>
    <w:rsid w:val="00335F36"/>
    <w:rsid w:val="003449F4"/>
    <w:rsid w:val="003557BF"/>
    <w:rsid w:val="003571BC"/>
    <w:rsid w:val="00360658"/>
    <w:rsid w:val="0036090C"/>
    <w:rsid w:val="00361116"/>
    <w:rsid w:val="00362562"/>
    <w:rsid w:val="003668D9"/>
    <w:rsid w:val="00385FB5"/>
    <w:rsid w:val="0038715D"/>
    <w:rsid w:val="00394DBF"/>
    <w:rsid w:val="003957A6"/>
    <w:rsid w:val="00396013"/>
    <w:rsid w:val="003A43EF"/>
    <w:rsid w:val="003B4CF8"/>
    <w:rsid w:val="003C0420"/>
    <w:rsid w:val="003C7445"/>
    <w:rsid w:val="003D0336"/>
    <w:rsid w:val="003D45C4"/>
    <w:rsid w:val="003D727D"/>
    <w:rsid w:val="003E1F8C"/>
    <w:rsid w:val="003E39A2"/>
    <w:rsid w:val="003E57AB"/>
    <w:rsid w:val="003E7207"/>
    <w:rsid w:val="003F2BED"/>
    <w:rsid w:val="00400B49"/>
    <w:rsid w:val="0042610A"/>
    <w:rsid w:val="004304E6"/>
    <w:rsid w:val="00443878"/>
    <w:rsid w:val="004539A8"/>
    <w:rsid w:val="004712CA"/>
    <w:rsid w:val="00473782"/>
    <w:rsid w:val="0047422E"/>
    <w:rsid w:val="0049090D"/>
    <w:rsid w:val="0049674B"/>
    <w:rsid w:val="00497C51"/>
    <w:rsid w:val="004A2B58"/>
    <w:rsid w:val="004C0673"/>
    <w:rsid w:val="004C4E4E"/>
    <w:rsid w:val="004E4362"/>
    <w:rsid w:val="004E7E92"/>
    <w:rsid w:val="004F23BA"/>
    <w:rsid w:val="004F35CE"/>
    <w:rsid w:val="004F3816"/>
    <w:rsid w:val="0050586A"/>
    <w:rsid w:val="00520DBF"/>
    <w:rsid w:val="0053731C"/>
    <w:rsid w:val="00543D41"/>
    <w:rsid w:val="0054697C"/>
    <w:rsid w:val="00556A5B"/>
    <w:rsid w:val="00566EDA"/>
    <w:rsid w:val="0057081A"/>
    <w:rsid w:val="00572654"/>
    <w:rsid w:val="00580E3D"/>
    <w:rsid w:val="0058229A"/>
    <w:rsid w:val="00585E4D"/>
    <w:rsid w:val="005860DC"/>
    <w:rsid w:val="005976A1"/>
    <w:rsid w:val="005B5629"/>
    <w:rsid w:val="005B6B78"/>
    <w:rsid w:val="005C0300"/>
    <w:rsid w:val="005C27A2"/>
    <w:rsid w:val="005D3A54"/>
    <w:rsid w:val="005D4FEB"/>
    <w:rsid w:val="005E5613"/>
    <w:rsid w:val="005F4B6A"/>
    <w:rsid w:val="006010F3"/>
    <w:rsid w:val="00606DB6"/>
    <w:rsid w:val="00615A0A"/>
    <w:rsid w:val="00626673"/>
    <w:rsid w:val="006333D4"/>
    <w:rsid w:val="006369B2"/>
    <w:rsid w:val="0063718D"/>
    <w:rsid w:val="0064040A"/>
    <w:rsid w:val="00643C81"/>
    <w:rsid w:val="00647525"/>
    <w:rsid w:val="00647A71"/>
    <w:rsid w:val="00647DF2"/>
    <w:rsid w:val="00652D9F"/>
    <w:rsid w:val="006570B0"/>
    <w:rsid w:val="0066022F"/>
    <w:rsid w:val="00670930"/>
    <w:rsid w:val="006813BC"/>
    <w:rsid w:val="006823F3"/>
    <w:rsid w:val="0069210B"/>
    <w:rsid w:val="00692AB1"/>
    <w:rsid w:val="00695DD7"/>
    <w:rsid w:val="00695FC2"/>
    <w:rsid w:val="006A14C5"/>
    <w:rsid w:val="006A4055"/>
    <w:rsid w:val="006A6DA0"/>
    <w:rsid w:val="006A7C27"/>
    <w:rsid w:val="006B2FE4"/>
    <w:rsid w:val="006B37B0"/>
    <w:rsid w:val="006C5641"/>
    <w:rsid w:val="006D1089"/>
    <w:rsid w:val="006D1B86"/>
    <w:rsid w:val="006D7355"/>
    <w:rsid w:val="006F0E34"/>
    <w:rsid w:val="006F7DEE"/>
    <w:rsid w:val="00705390"/>
    <w:rsid w:val="00715551"/>
    <w:rsid w:val="00715CA6"/>
    <w:rsid w:val="00720955"/>
    <w:rsid w:val="00731135"/>
    <w:rsid w:val="007324AF"/>
    <w:rsid w:val="00740128"/>
    <w:rsid w:val="007409B4"/>
    <w:rsid w:val="00741974"/>
    <w:rsid w:val="00753E9F"/>
    <w:rsid w:val="00754192"/>
    <w:rsid w:val="0075525E"/>
    <w:rsid w:val="00756D3D"/>
    <w:rsid w:val="0077239C"/>
    <w:rsid w:val="007806C2"/>
    <w:rsid w:val="00781FEE"/>
    <w:rsid w:val="007903F8"/>
    <w:rsid w:val="00794F4F"/>
    <w:rsid w:val="007974BE"/>
    <w:rsid w:val="007A0916"/>
    <w:rsid w:val="007A0DFD"/>
    <w:rsid w:val="007A795C"/>
    <w:rsid w:val="007B2BC6"/>
    <w:rsid w:val="007B311A"/>
    <w:rsid w:val="007C1840"/>
    <w:rsid w:val="007C7122"/>
    <w:rsid w:val="007D3CBB"/>
    <w:rsid w:val="007D3F11"/>
    <w:rsid w:val="007D66E2"/>
    <w:rsid w:val="007E2C69"/>
    <w:rsid w:val="007E53E4"/>
    <w:rsid w:val="007E656A"/>
    <w:rsid w:val="007F3CAA"/>
    <w:rsid w:val="007F664D"/>
    <w:rsid w:val="00812E67"/>
    <w:rsid w:val="00816426"/>
    <w:rsid w:val="00816C84"/>
    <w:rsid w:val="00835602"/>
    <w:rsid w:val="00837203"/>
    <w:rsid w:val="00842137"/>
    <w:rsid w:val="00845B19"/>
    <w:rsid w:val="00853F5F"/>
    <w:rsid w:val="008560AC"/>
    <w:rsid w:val="008623ED"/>
    <w:rsid w:val="00864B5A"/>
    <w:rsid w:val="008657EB"/>
    <w:rsid w:val="00867C52"/>
    <w:rsid w:val="00872559"/>
    <w:rsid w:val="00874AA3"/>
    <w:rsid w:val="00875AA6"/>
    <w:rsid w:val="00880944"/>
    <w:rsid w:val="0089088E"/>
    <w:rsid w:val="00892297"/>
    <w:rsid w:val="008964D6"/>
    <w:rsid w:val="008B5123"/>
    <w:rsid w:val="008C0BEB"/>
    <w:rsid w:val="008D1E8B"/>
    <w:rsid w:val="008E0172"/>
    <w:rsid w:val="008F192B"/>
    <w:rsid w:val="00900EF1"/>
    <w:rsid w:val="00906CD2"/>
    <w:rsid w:val="009302DE"/>
    <w:rsid w:val="00936852"/>
    <w:rsid w:val="0094045D"/>
    <w:rsid w:val="009406B5"/>
    <w:rsid w:val="00946166"/>
    <w:rsid w:val="009507EC"/>
    <w:rsid w:val="00962CD9"/>
    <w:rsid w:val="009728A0"/>
    <w:rsid w:val="00975925"/>
    <w:rsid w:val="00983164"/>
    <w:rsid w:val="009972EF"/>
    <w:rsid w:val="009A100A"/>
    <w:rsid w:val="009A7C90"/>
    <w:rsid w:val="009A7E9B"/>
    <w:rsid w:val="009B5035"/>
    <w:rsid w:val="009C3160"/>
    <w:rsid w:val="009D0BA8"/>
    <w:rsid w:val="009E628B"/>
    <w:rsid w:val="009E766E"/>
    <w:rsid w:val="009F1904"/>
    <w:rsid w:val="009F1960"/>
    <w:rsid w:val="009F2C64"/>
    <w:rsid w:val="009F715E"/>
    <w:rsid w:val="00A10DBB"/>
    <w:rsid w:val="00A11720"/>
    <w:rsid w:val="00A13AE2"/>
    <w:rsid w:val="00A21247"/>
    <w:rsid w:val="00A26818"/>
    <w:rsid w:val="00A27601"/>
    <w:rsid w:val="00A31D47"/>
    <w:rsid w:val="00A4013E"/>
    <w:rsid w:val="00A4045F"/>
    <w:rsid w:val="00A40473"/>
    <w:rsid w:val="00A427CD"/>
    <w:rsid w:val="00A45FEE"/>
    <w:rsid w:val="00A4600B"/>
    <w:rsid w:val="00A50506"/>
    <w:rsid w:val="00A51EF0"/>
    <w:rsid w:val="00A67763"/>
    <w:rsid w:val="00A67A81"/>
    <w:rsid w:val="00A730A6"/>
    <w:rsid w:val="00A84724"/>
    <w:rsid w:val="00A907B3"/>
    <w:rsid w:val="00A971A0"/>
    <w:rsid w:val="00AA045E"/>
    <w:rsid w:val="00AA1F22"/>
    <w:rsid w:val="00AA7EC0"/>
    <w:rsid w:val="00AF5A57"/>
    <w:rsid w:val="00AF735D"/>
    <w:rsid w:val="00B024D7"/>
    <w:rsid w:val="00B05821"/>
    <w:rsid w:val="00B100D6"/>
    <w:rsid w:val="00B164C9"/>
    <w:rsid w:val="00B26C28"/>
    <w:rsid w:val="00B27EB7"/>
    <w:rsid w:val="00B30F21"/>
    <w:rsid w:val="00B376D2"/>
    <w:rsid w:val="00B402FD"/>
    <w:rsid w:val="00B4174C"/>
    <w:rsid w:val="00B453F5"/>
    <w:rsid w:val="00B532CE"/>
    <w:rsid w:val="00B61624"/>
    <w:rsid w:val="00B66481"/>
    <w:rsid w:val="00B7189C"/>
    <w:rsid w:val="00B718A5"/>
    <w:rsid w:val="00B820E0"/>
    <w:rsid w:val="00B90AD6"/>
    <w:rsid w:val="00B926F2"/>
    <w:rsid w:val="00BA22C3"/>
    <w:rsid w:val="00BA788A"/>
    <w:rsid w:val="00BB4983"/>
    <w:rsid w:val="00BB7597"/>
    <w:rsid w:val="00BC2AAB"/>
    <w:rsid w:val="00BC62E2"/>
    <w:rsid w:val="00BF02DC"/>
    <w:rsid w:val="00BF1C1D"/>
    <w:rsid w:val="00BF21BE"/>
    <w:rsid w:val="00C01D93"/>
    <w:rsid w:val="00C0228A"/>
    <w:rsid w:val="00C37820"/>
    <w:rsid w:val="00C42125"/>
    <w:rsid w:val="00C510DD"/>
    <w:rsid w:val="00C62814"/>
    <w:rsid w:val="00C62BE6"/>
    <w:rsid w:val="00C67B25"/>
    <w:rsid w:val="00C748F7"/>
    <w:rsid w:val="00C74937"/>
    <w:rsid w:val="00C95E02"/>
    <w:rsid w:val="00CA6409"/>
    <w:rsid w:val="00CB2599"/>
    <w:rsid w:val="00CC0E00"/>
    <w:rsid w:val="00CD2139"/>
    <w:rsid w:val="00CD2497"/>
    <w:rsid w:val="00CD6683"/>
    <w:rsid w:val="00CD6848"/>
    <w:rsid w:val="00CE1E6E"/>
    <w:rsid w:val="00CE5986"/>
    <w:rsid w:val="00CF34C4"/>
    <w:rsid w:val="00CF5528"/>
    <w:rsid w:val="00D11885"/>
    <w:rsid w:val="00D236BD"/>
    <w:rsid w:val="00D4255B"/>
    <w:rsid w:val="00D56A27"/>
    <w:rsid w:val="00D647EF"/>
    <w:rsid w:val="00D73137"/>
    <w:rsid w:val="00D745B2"/>
    <w:rsid w:val="00D879CB"/>
    <w:rsid w:val="00D977A2"/>
    <w:rsid w:val="00DA1D47"/>
    <w:rsid w:val="00DC774A"/>
    <w:rsid w:val="00DD50DE"/>
    <w:rsid w:val="00DE3062"/>
    <w:rsid w:val="00E0581D"/>
    <w:rsid w:val="00E0623A"/>
    <w:rsid w:val="00E07C7D"/>
    <w:rsid w:val="00E204DD"/>
    <w:rsid w:val="00E26621"/>
    <w:rsid w:val="00E353EC"/>
    <w:rsid w:val="00E51F61"/>
    <w:rsid w:val="00E53C24"/>
    <w:rsid w:val="00E56E77"/>
    <w:rsid w:val="00E71046"/>
    <w:rsid w:val="00E72E36"/>
    <w:rsid w:val="00E87795"/>
    <w:rsid w:val="00EB444D"/>
    <w:rsid w:val="00ED5B66"/>
    <w:rsid w:val="00EE5C0D"/>
    <w:rsid w:val="00EF4792"/>
    <w:rsid w:val="00F02294"/>
    <w:rsid w:val="00F22528"/>
    <w:rsid w:val="00F249E4"/>
    <w:rsid w:val="00F30DE7"/>
    <w:rsid w:val="00F323A7"/>
    <w:rsid w:val="00F35F57"/>
    <w:rsid w:val="00F418DD"/>
    <w:rsid w:val="00F44D3D"/>
    <w:rsid w:val="00F50467"/>
    <w:rsid w:val="00F562A0"/>
    <w:rsid w:val="00F57FA4"/>
    <w:rsid w:val="00F63CCE"/>
    <w:rsid w:val="00F953BF"/>
    <w:rsid w:val="00F96821"/>
    <w:rsid w:val="00FA02CB"/>
    <w:rsid w:val="00FA2177"/>
    <w:rsid w:val="00FA676D"/>
    <w:rsid w:val="00FB0783"/>
    <w:rsid w:val="00FB3DC1"/>
    <w:rsid w:val="00FB7A8B"/>
    <w:rsid w:val="00FD439E"/>
    <w:rsid w:val="00FD76CB"/>
    <w:rsid w:val="00FE152B"/>
    <w:rsid w:val="00FE239E"/>
    <w:rsid w:val="00FE3437"/>
    <w:rsid w:val="00FE3520"/>
    <w:rsid w:val="00FE56F8"/>
    <w:rsid w:val="00FF4546"/>
    <w:rsid w:val="00FF538F"/>
    <w:rsid w:val="28EE24EE"/>
    <w:rsid w:val="355C665B"/>
    <w:rsid w:val="3B7EA76E"/>
    <w:rsid w:val="61A12EB3"/>
    <w:rsid w:val="77835A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08863"/>
  <w15:docId w15:val="{057CEC88-17E2-4407-BDA6-940DD4BFC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0"/>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eastAsia="ja-JP"/>
    </w:rPr>
  </w:style>
  <w:style w:type="paragraph" w:styleId="List3">
    <w:name w:val="List 3"/>
    <w:basedOn w:val="Normal"/>
    <w:uiPriority w:val="99"/>
    <w:semiHidden/>
    <w:unhideWhenUsed/>
    <w:pPr>
      <w:ind w:left="1080" w:hanging="360"/>
      <w:contextualSpacing/>
    </w:pPr>
  </w:style>
  <w:style w:type="paragraph" w:styleId="TOC7">
    <w:name w:val="toc 7"/>
    <w:basedOn w:val="Normal"/>
    <w:next w:val="Normal"/>
    <w:autoRedefine/>
    <w:uiPriority w:val="39"/>
    <w:semiHidden/>
    <w:unhideWhenUsed/>
    <w:qFormat/>
    <w:pPr>
      <w:spacing w:after="100"/>
      <w:ind w:left="1440"/>
    </w:pPr>
  </w:style>
  <w:style w:type="paragraph" w:styleId="ListNumber2">
    <w:name w:val="List Number 2"/>
    <w:basedOn w:val="Normal"/>
    <w:uiPriority w:val="99"/>
    <w:semiHidden/>
    <w:unhideWhenUsed/>
    <w:pPr>
      <w:numPr>
        <w:numId w:val="1"/>
      </w:numPr>
      <w:contextualSpacing/>
    </w:pPr>
  </w:style>
  <w:style w:type="paragraph" w:styleId="TableofAuthorities">
    <w:name w:val="table of authorities"/>
    <w:basedOn w:val="Normal"/>
    <w:next w:val="Normal"/>
    <w:uiPriority w:val="99"/>
    <w:semiHidden/>
    <w:unhideWhenUsed/>
    <w:pPr>
      <w:ind w:left="240" w:hanging="240"/>
    </w:pPr>
  </w:style>
  <w:style w:type="paragraph" w:styleId="NoteHeading">
    <w:name w:val="Note Heading"/>
    <w:basedOn w:val="Normal"/>
    <w:next w:val="Normal"/>
    <w:link w:val="NoteHeadingChar"/>
    <w:uiPriority w:val="99"/>
    <w:semiHidden/>
    <w:unhideWhenUsed/>
    <w:pPr>
      <w:spacing w:before="0"/>
    </w:pPr>
  </w:style>
  <w:style w:type="paragraph" w:styleId="ListBullet4">
    <w:name w:val="List Bullet 4"/>
    <w:basedOn w:val="Normal"/>
    <w:uiPriority w:val="99"/>
    <w:semiHidden/>
    <w:unhideWhenUsed/>
    <w:pPr>
      <w:numPr>
        <w:numId w:val="2"/>
      </w:numPr>
      <w:contextualSpacing/>
    </w:pPr>
  </w:style>
  <w:style w:type="paragraph" w:styleId="Index8">
    <w:name w:val="index 8"/>
    <w:basedOn w:val="Normal"/>
    <w:next w:val="Normal"/>
    <w:autoRedefine/>
    <w:uiPriority w:val="99"/>
    <w:semiHidden/>
    <w:unhideWhenUsed/>
    <w:pPr>
      <w:spacing w:before="0"/>
      <w:ind w:left="1920" w:hanging="240"/>
    </w:pPr>
  </w:style>
  <w:style w:type="paragraph" w:styleId="E-mailSignature">
    <w:name w:val="E-mail Signature"/>
    <w:basedOn w:val="Normal"/>
    <w:link w:val="E-mailSignatureChar"/>
    <w:uiPriority w:val="99"/>
    <w:semiHidden/>
    <w:unhideWhenUsed/>
    <w:pPr>
      <w:spacing w:before="0"/>
    </w:pPr>
  </w:style>
  <w:style w:type="paragraph" w:styleId="ListNumber">
    <w:name w:val="List Number"/>
    <w:basedOn w:val="Normal"/>
    <w:uiPriority w:val="99"/>
    <w:semiHidden/>
    <w:unhideWhenUsed/>
    <w:pPr>
      <w:numPr>
        <w:numId w:val="3"/>
      </w:numPr>
      <w:contextualSpacing/>
    </w:pPr>
  </w:style>
  <w:style w:type="paragraph" w:styleId="NormalIndent">
    <w:name w:val="Normal Indent"/>
    <w:basedOn w:val="Normal"/>
    <w:uiPriority w:val="99"/>
    <w:semiHidden/>
    <w:unhideWhenUsed/>
    <w:pPr>
      <w:ind w:left="720"/>
    </w:pPr>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Index5">
    <w:name w:val="index 5"/>
    <w:basedOn w:val="Normal"/>
    <w:next w:val="Normal"/>
    <w:autoRedefine/>
    <w:uiPriority w:val="99"/>
    <w:semiHidden/>
    <w:unhideWhenUsed/>
    <w:pPr>
      <w:spacing w:before="0"/>
      <w:ind w:left="1200" w:hanging="240"/>
    </w:pPr>
  </w:style>
  <w:style w:type="paragraph" w:styleId="ListBullet">
    <w:name w:val="List Bullet"/>
    <w:basedOn w:val="Normal"/>
    <w:uiPriority w:val="99"/>
    <w:semiHidden/>
    <w:unhideWhenUsed/>
    <w:pPr>
      <w:numPr>
        <w:numId w:val="4"/>
      </w:numPr>
      <w:contextualSpacing/>
    </w:pPr>
  </w:style>
  <w:style w:type="paragraph" w:styleId="EnvelopeAddress">
    <w:name w:val="envelope address"/>
    <w:basedOn w:val="Normal"/>
    <w:uiPriority w:val="99"/>
    <w:semiHidden/>
    <w:unhideWhenUse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rPr>
      <w:sz w:val="20"/>
      <w:szCs w:val="20"/>
    </w:rPr>
  </w:style>
  <w:style w:type="paragraph" w:styleId="Index6">
    <w:name w:val="index 6"/>
    <w:basedOn w:val="Normal"/>
    <w:next w:val="Normal"/>
    <w:autoRedefine/>
    <w:uiPriority w:val="99"/>
    <w:semiHidden/>
    <w:unhideWhenUsed/>
    <w:pPr>
      <w:spacing w:before="0"/>
      <w:ind w:left="1440" w:hanging="240"/>
    </w:pPr>
  </w:style>
  <w:style w:type="paragraph" w:styleId="Salutation">
    <w:name w:val="Salutation"/>
    <w:basedOn w:val="Normal"/>
    <w:next w:val="Normal"/>
    <w:link w:val="SalutationChar"/>
    <w:uiPriority w:val="99"/>
    <w:semiHidden/>
    <w:unhideWhenUsed/>
  </w:style>
  <w:style w:type="paragraph" w:styleId="BodyText3">
    <w:name w:val="Body Text 3"/>
    <w:basedOn w:val="Normal"/>
    <w:link w:val="BodyText3Char"/>
    <w:uiPriority w:val="99"/>
    <w:semiHidden/>
    <w:unhideWhenUsed/>
    <w:pPr>
      <w:spacing w:after="120"/>
    </w:pPr>
    <w:rPr>
      <w:sz w:val="16"/>
      <w:szCs w:val="16"/>
    </w:rPr>
  </w:style>
  <w:style w:type="paragraph" w:styleId="Closing">
    <w:name w:val="Closing"/>
    <w:basedOn w:val="Normal"/>
    <w:link w:val="ClosingChar"/>
    <w:uiPriority w:val="99"/>
    <w:semiHidden/>
    <w:unhideWhenUsed/>
    <w:pPr>
      <w:spacing w:before="0"/>
      <w:ind w:left="4320"/>
    </w:pPr>
  </w:style>
  <w:style w:type="paragraph" w:styleId="ListBullet3">
    <w:name w:val="List Bullet 3"/>
    <w:basedOn w:val="Normal"/>
    <w:uiPriority w:val="99"/>
    <w:semiHidden/>
    <w:unhideWhenUsed/>
    <w:pPr>
      <w:numPr>
        <w:numId w:val="5"/>
      </w:numPr>
      <w:contextualSpacing/>
    </w:pPr>
  </w:style>
  <w:style w:type="paragraph" w:styleId="BodyText">
    <w:name w:val="Body Text"/>
    <w:basedOn w:val="Normal"/>
    <w:link w:val="BodyTextChar"/>
    <w:uiPriority w:val="99"/>
    <w:semiHidden/>
    <w:unhideWhenUsed/>
    <w:pPr>
      <w:spacing w:after="120"/>
    </w:pPr>
  </w:style>
  <w:style w:type="paragraph" w:styleId="BodyTextIndent">
    <w:name w:val="Body Text Indent"/>
    <w:basedOn w:val="Normal"/>
    <w:link w:val="BodyTextIndentChar"/>
    <w:uiPriority w:val="99"/>
    <w:semiHidden/>
    <w:unhideWhenUsed/>
    <w:pPr>
      <w:spacing w:after="120"/>
      <w:ind w:left="360"/>
    </w:pPr>
  </w:style>
  <w:style w:type="paragraph" w:styleId="ListNumber3">
    <w:name w:val="List Number 3"/>
    <w:basedOn w:val="Normal"/>
    <w:uiPriority w:val="99"/>
    <w:semiHidden/>
    <w:unhideWhenUsed/>
    <w:pPr>
      <w:numPr>
        <w:numId w:val="6"/>
      </w:numPr>
      <w:contextualSpacing/>
    </w:pPr>
  </w:style>
  <w:style w:type="paragraph" w:styleId="List2">
    <w:name w:val="List 2"/>
    <w:basedOn w:val="Normal"/>
    <w:uiPriority w:val="99"/>
    <w:semiHidden/>
    <w:unhideWhenUsed/>
    <w:pPr>
      <w:ind w:left="720" w:hanging="360"/>
      <w:contextualSpacing/>
    </w:pPr>
  </w:style>
  <w:style w:type="paragraph" w:styleId="ListContinue">
    <w:name w:val="List Continue"/>
    <w:basedOn w:val="Normal"/>
    <w:uiPriority w:val="99"/>
    <w:semiHidden/>
    <w:unhideWhenUsed/>
    <w:pPr>
      <w:spacing w:after="120"/>
      <w:ind w:left="360"/>
      <w:contextualSpacing/>
    </w:pPr>
  </w:style>
  <w:style w:type="paragraph" w:styleId="BlockText">
    <w:name w:val="Block Text"/>
    <w:basedOn w:val="Normal"/>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pPr>
      <w:numPr>
        <w:numId w:val="7"/>
      </w:numPr>
      <w:contextualSpacing/>
    </w:pPr>
  </w:style>
  <w:style w:type="paragraph" w:styleId="HTMLAddress">
    <w:name w:val="HTML Address"/>
    <w:basedOn w:val="Normal"/>
    <w:link w:val="HTMLAddressChar"/>
    <w:uiPriority w:val="99"/>
    <w:semiHidden/>
    <w:unhideWhenUsed/>
    <w:pPr>
      <w:spacing w:before="0"/>
    </w:pPr>
    <w:rPr>
      <w:i/>
      <w:iCs/>
    </w:rPr>
  </w:style>
  <w:style w:type="paragraph" w:styleId="Index4">
    <w:name w:val="index 4"/>
    <w:basedOn w:val="Normal"/>
    <w:next w:val="Normal"/>
    <w:autoRedefine/>
    <w:uiPriority w:val="99"/>
    <w:semiHidden/>
    <w:unhideWhenUsed/>
    <w:pPr>
      <w:spacing w:before="0"/>
      <w:ind w:left="960" w:hanging="240"/>
    </w:pPr>
  </w:style>
  <w:style w:type="paragraph" w:styleId="TOC5">
    <w:name w:val="toc 5"/>
    <w:basedOn w:val="Normal"/>
    <w:next w:val="Normal"/>
    <w:autoRedefine/>
    <w:uiPriority w:val="39"/>
    <w:semiHidden/>
    <w:unhideWhenUsed/>
    <w:qFormat/>
    <w:pPr>
      <w:spacing w:after="100"/>
      <w:ind w:left="960"/>
    </w:pPr>
  </w:style>
  <w:style w:type="paragraph" w:styleId="TOC3">
    <w:name w:val="toc 3"/>
    <w:basedOn w:val="TOC2"/>
    <w:pPr>
      <w:ind w:left="2269"/>
    </w:pPr>
  </w:style>
  <w:style w:type="paragraph" w:styleId="TOC2">
    <w:name w:val="toc 2"/>
    <w:basedOn w:val="TOC1"/>
    <w:uiPriority w:val="39"/>
    <w:pPr>
      <w:spacing w:before="80"/>
      <w:ind w:left="1531" w:hanging="851"/>
    </w:pPr>
  </w:style>
  <w:style w:type="paragraph" w:styleId="TOC1">
    <w:name w:val="toc 1"/>
    <w:basedOn w:val="Normal"/>
    <w:uiPriority w:val="39"/>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pPr>
      <w:spacing w:before="0"/>
    </w:pPr>
    <w:rPr>
      <w:rFonts w:ascii="Consolas" w:hAnsi="Consolas"/>
      <w:sz w:val="21"/>
      <w:szCs w:val="21"/>
    </w:rPr>
  </w:style>
  <w:style w:type="paragraph" w:styleId="ListBullet5">
    <w:name w:val="List Bullet 5"/>
    <w:basedOn w:val="Normal"/>
    <w:uiPriority w:val="99"/>
    <w:semiHidden/>
    <w:unhideWhenUsed/>
    <w:pPr>
      <w:numPr>
        <w:numId w:val="8"/>
      </w:numPr>
      <w:contextualSpacing/>
    </w:pPr>
  </w:style>
  <w:style w:type="paragraph" w:styleId="ListNumber4">
    <w:name w:val="List Number 4"/>
    <w:basedOn w:val="Normal"/>
    <w:uiPriority w:val="99"/>
    <w:semiHidden/>
    <w:unhideWhenUsed/>
    <w:pPr>
      <w:numPr>
        <w:numId w:val="9"/>
      </w:numPr>
      <w:contextualSpacing/>
    </w:pPr>
  </w:style>
  <w:style w:type="paragraph" w:styleId="TOC8">
    <w:name w:val="toc 8"/>
    <w:basedOn w:val="Normal"/>
    <w:next w:val="Normal"/>
    <w:autoRedefine/>
    <w:uiPriority w:val="39"/>
    <w:semiHidden/>
    <w:unhideWhenUsed/>
    <w:qFormat/>
    <w:pPr>
      <w:spacing w:after="100"/>
      <w:ind w:left="1680"/>
    </w:pPr>
  </w:style>
  <w:style w:type="paragraph" w:styleId="Index3">
    <w:name w:val="index 3"/>
    <w:basedOn w:val="Normal"/>
    <w:next w:val="Normal"/>
    <w:autoRedefine/>
    <w:uiPriority w:val="99"/>
    <w:semiHidden/>
    <w:unhideWhenUsed/>
    <w:pPr>
      <w:spacing w:before="0"/>
      <w:ind w:left="720" w:hanging="24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360"/>
    </w:pPr>
  </w:style>
  <w:style w:type="paragraph" w:styleId="EndnoteText">
    <w:name w:val="endnote text"/>
    <w:basedOn w:val="Normal"/>
    <w:link w:val="EndnoteTextChar"/>
    <w:uiPriority w:val="99"/>
    <w:semiHidden/>
    <w:unhideWhenUsed/>
    <w:pPr>
      <w:spacing w:before="0"/>
    </w:pPr>
    <w:rPr>
      <w:sz w:val="20"/>
      <w:szCs w:val="20"/>
    </w:rPr>
  </w:style>
  <w:style w:type="paragraph" w:styleId="ListContinue5">
    <w:name w:val="List Continue 5"/>
    <w:basedOn w:val="Normal"/>
    <w:uiPriority w:val="99"/>
    <w:semiHidden/>
    <w:unhideWhenUsed/>
    <w:pPr>
      <w:spacing w:after="120"/>
      <w:ind w:left="1800"/>
      <w:contextualSpacing/>
    </w:pPr>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pPr>
  </w:style>
  <w:style w:type="paragraph" w:styleId="EnvelopeReturn">
    <w:name w:val="envelope return"/>
    <w:basedOn w:val="Normal"/>
    <w:uiPriority w:val="99"/>
    <w:semiHidden/>
    <w:unhideWhenUsed/>
    <w:pPr>
      <w:spacing w:before="0"/>
    </w:pPr>
    <w:rPr>
      <w:rFonts w:asciiTheme="majorHAnsi" w:eastAsiaTheme="majorEastAsia" w:hAnsiTheme="majorHAnsi" w:cstheme="majorBidi"/>
      <w:sz w:val="20"/>
      <w:szCs w:val="20"/>
    </w:rPr>
  </w:style>
  <w:style w:type="paragraph" w:styleId="Header">
    <w:name w:val="header"/>
    <w:basedOn w:val="Normal"/>
    <w:link w:val="HeaderChar"/>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pPr>
      <w:spacing w:before="0"/>
      <w:ind w:left="4320"/>
    </w:pPr>
  </w:style>
  <w:style w:type="paragraph" w:styleId="ListContinue4">
    <w:name w:val="List Continue 4"/>
    <w:basedOn w:val="Normal"/>
    <w:uiPriority w:val="99"/>
    <w:semiHidden/>
    <w:unhideWhenUsed/>
    <w:pPr>
      <w:spacing w:after="120"/>
      <w:ind w:left="1440"/>
      <w:contextualSpacing/>
    </w:pPr>
  </w:style>
  <w:style w:type="paragraph" w:styleId="TOC4">
    <w:name w:val="toc 4"/>
    <w:basedOn w:val="Normal"/>
    <w:next w:val="Normal"/>
    <w:autoRedefine/>
    <w:uiPriority w:val="39"/>
    <w:semiHidden/>
    <w:unhideWhenUsed/>
    <w:qFormat/>
    <w:pPr>
      <w:spacing w:after="100"/>
      <w:ind w:left="7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Index1">
    <w:name w:val="index 1"/>
    <w:basedOn w:val="Normal"/>
    <w:next w:val="Normal"/>
    <w:autoRedefine/>
    <w:uiPriority w:val="99"/>
    <w:semiHidden/>
    <w:unhideWhenUsed/>
    <w:pPr>
      <w:spacing w:before="0"/>
      <w:ind w:left="240" w:hanging="240"/>
    </w:pPr>
  </w:style>
  <w:style w:type="paragraph" w:styleId="Subtitle">
    <w:name w:val="Subtitle"/>
    <w:basedOn w:val="Normal"/>
    <w:next w:val="Normal"/>
    <w:link w:val="SubtitleChar"/>
    <w:uiPriority w:val="11"/>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pPr>
      <w:numPr>
        <w:numId w:val="10"/>
      </w:numPr>
      <w:contextualSpacing/>
    </w:pPr>
  </w:style>
  <w:style w:type="paragraph" w:styleId="List">
    <w:name w:val="List"/>
    <w:basedOn w:val="Normal"/>
    <w:uiPriority w:val="99"/>
    <w:semiHidden/>
    <w:unhideWhenUsed/>
    <w:pPr>
      <w:ind w:left="360" w:hanging="360"/>
      <w:contextualSpacing/>
    </w:pPr>
  </w:style>
  <w:style w:type="paragraph" w:styleId="FootnoteText">
    <w:name w:val="footnote text"/>
    <w:basedOn w:val="Normal"/>
    <w:link w:val="FootnoteTextChar"/>
    <w:uiPriority w:val="99"/>
    <w:semiHidden/>
    <w:unhideWhenUsed/>
    <w:pPr>
      <w:spacing w:before="0"/>
    </w:pPr>
    <w:rPr>
      <w:sz w:val="20"/>
      <w:szCs w:val="20"/>
    </w:rPr>
  </w:style>
  <w:style w:type="paragraph" w:styleId="TOC6">
    <w:name w:val="toc 6"/>
    <w:basedOn w:val="Normal"/>
    <w:next w:val="Normal"/>
    <w:autoRedefine/>
    <w:uiPriority w:val="39"/>
    <w:semiHidden/>
    <w:unhideWhenUsed/>
    <w:qFormat/>
    <w:pPr>
      <w:spacing w:after="100"/>
      <w:ind w:left="1200"/>
    </w:pPr>
  </w:style>
  <w:style w:type="paragraph" w:styleId="List5">
    <w:name w:val="List 5"/>
    <w:basedOn w:val="Normal"/>
    <w:uiPriority w:val="99"/>
    <w:semiHidden/>
    <w:unhideWhenUsed/>
    <w:pPr>
      <w:ind w:left="1800" w:hanging="360"/>
      <w:contextualSpacing/>
    </w:pPr>
  </w:style>
  <w:style w:type="paragraph" w:styleId="BodyTextIndent3">
    <w:name w:val="Body Text Indent 3"/>
    <w:basedOn w:val="Normal"/>
    <w:link w:val="BodyTextIndent3Char"/>
    <w:uiPriority w:val="99"/>
    <w:semiHidden/>
    <w:unhideWhenUsed/>
    <w:pPr>
      <w:spacing w:after="120"/>
      <w:ind w:left="360"/>
    </w:pPr>
    <w:rPr>
      <w:sz w:val="16"/>
      <w:szCs w:val="16"/>
    </w:rPr>
  </w:style>
  <w:style w:type="paragraph" w:styleId="Index7">
    <w:name w:val="index 7"/>
    <w:basedOn w:val="Normal"/>
    <w:next w:val="Normal"/>
    <w:autoRedefine/>
    <w:uiPriority w:val="99"/>
    <w:semiHidden/>
    <w:unhideWhenUsed/>
    <w:pPr>
      <w:spacing w:before="0"/>
      <w:ind w:left="1680" w:hanging="240"/>
    </w:pPr>
  </w:style>
  <w:style w:type="paragraph" w:styleId="Index9">
    <w:name w:val="index 9"/>
    <w:basedOn w:val="Normal"/>
    <w:next w:val="Normal"/>
    <w:autoRedefine/>
    <w:uiPriority w:val="99"/>
    <w:semiHidden/>
    <w:unhideWhenUsed/>
    <w:pPr>
      <w:spacing w:before="0"/>
      <w:ind w:left="2160" w:hanging="240"/>
    </w:pPr>
  </w:style>
  <w:style w:type="paragraph" w:styleId="TableofFigures">
    <w:name w:val="table of figures"/>
    <w:basedOn w:val="Normal"/>
    <w:next w:val="Normal"/>
    <w:uiPriority w:val="99"/>
    <w:pPr>
      <w:tabs>
        <w:tab w:val="right" w:leader="dot" w:pos="9639"/>
      </w:tabs>
    </w:pPr>
    <w:rPr>
      <w:rFonts w:eastAsia="MS Mincho"/>
    </w:rPr>
  </w:style>
  <w:style w:type="paragraph" w:styleId="TOC9">
    <w:name w:val="toc 9"/>
    <w:basedOn w:val="Normal"/>
    <w:next w:val="Normal"/>
    <w:autoRedefine/>
    <w:uiPriority w:val="39"/>
    <w:semiHidden/>
    <w:unhideWhenUsed/>
    <w:qFormat/>
    <w:pPr>
      <w:spacing w:after="100"/>
      <w:ind w:left="1920"/>
    </w:pPr>
  </w:style>
  <w:style w:type="paragraph" w:styleId="BodyText2">
    <w:name w:val="Body Text 2"/>
    <w:basedOn w:val="Normal"/>
    <w:link w:val="BodyText2Char"/>
    <w:uiPriority w:val="99"/>
    <w:semiHidden/>
    <w:unhideWhenUsed/>
    <w:pPr>
      <w:spacing w:after="120" w:line="480" w:lineRule="auto"/>
    </w:pPr>
  </w:style>
  <w:style w:type="paragraph" w:styleId="List4">
    <w:name w:val="List 4"/>
    <w:basedOn w:val="Normal"/>
    <w:uiPriority w:val="99"/>
    <w:semiHidden/>
    <w:unhideWhenUsed/>
    <w:pPr>
      <w:ind w:left="1440" w:hanging="360"/>
      <w:contextualSpacing/>
    </w:pPr>
  </w:style>
  <w:style w:type="paragraph" w:styleId="ListContinue2">
    <w:name w:val="List Continue 2"/>
    <w:basedOn w:val="Normal"/>
    <w:uiPriority w:val="99"/>
    <w:semiHidden/>
    <w:unhideWhenUsed/>
    <w:pPr>
      <w:spacing w:after="120"/>
      <w:ind w:left="720"/>
      <w:contextualSpacing/>
    </w:p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pPr>
      <w:spacing w:before="0"/>
    </w:pPr>
    <w:rPr>
      <w:rFonts w:ascii="Consolas" w:hAnsi="Consolas"/>
      <w:sz w:val="20"/>
      <w:szCs w:val="20"/>
    </w:rPr>
  </w:style>
  <w:style w:type="paragraph" w:styleId="NormalWeb">
    <w:name w:val="Normal (Web)"/>
    <w:basedOn w:val="Normal"/>
    <w:uiPriority w:val="99"/>
    <w:semiHidden/>
    <w:unhideWhenUsed/>
  </w:style>
  <w:style w:type="paragraph" w:styleId="ListContinue3">
    <w:name w:val="List Continue 3"/>
    <w:basedOn w:val="Normal"/>
    <w:uiPriority w:val="99"/>
    <w:semiHidden/>
    <w:unhideWhenUsed/>
    <w:pPr>
      <w:spacing w:after="120"/>
      <w:ind w:left="1080"/>
      <w:contextualSpacing/>
    </w:pPr>
  </w:style>
  <w:style w:type="paragraph" w:styleId="Index2">
    <w:name w:val="index 2"/>
    <w:basedOn w:val="Normal"/>
    <w:next w:val="Normal"/>
    <w:autoRedefine/>
    <w:uiPriority w:val="99"/>
    <w:semiHidden/>
    <w:unhideWhenUsed/>
    <w:pPr>
      <w:spacing w:before="0"/>
      <w:ind w:left="480" w:hanging="240"/>
    </w:pPr>
  </w:style>
  <w:style w:type="paragraph" w:styleId="Title">
    <w:name w:val="Title"/>
    <w:basedOn w:val="Normal"/>
    <w:next w:val="Normal"/>
    <w:link w:val="TitleChar"/>
    <w:uiPriority w:val="10"/>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Pr>
      <w:b/>
      <w:bCs/>
    </w:rPr>
  </w:style>
  <w:style w:type="paragraph" w:styleId="BodyTextFirstIndent">
    <w:name w:val="Body Text First Indent"/>
    <w:basedOn w:val="BodyText"/>
    <w:link w:val="BodyTextFirstIndentChar"/>
    <w:uiPriority w:val="99"/>
    <w:semiHidden/>
    <w:unhideWhenUsed/>
    <w:pPr>
      <w:spacing w:after="0"/>
      <w:ind w:firstLine="360"/>
    </w:pPr>
  </w:style>
  <w:style w:type="paragraph" w:styleId="BodyTextFirstIndent2">
    <w:name w:val="Body Text First Indent 2"/>
    <w:basedOn w:val="BodyTextIndent"/>
    <w:link w:val="BodyTextFirstIndent2Char"/>
    <w:uiPriority w:val="99"/>
    <w:semiHidden/>
    <w:unhideWhenUsed/>
    <w:pPr>
      <w:spacing w:after="0"/>
      <w:ind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rPr>
      <w:b/>
      <w:bCs/>
    </w:rPr>
  </w:style>
  <w:style w:type="character" w:styleId="EndnoteReference">
    <w:name w:val="endnote reference"/>
    <w:basedOn w:val="DefaultParagraphFont"/>
    <w:uiPriority w:val="99"/>
    <w:semiHidden/>
    <w:unhideWhenUsed/>
    <w:rPr>
      <w:vertAlign w:val="superscript"/>
    </w:rPr>
  </w:style>
  <w:style w:type="character" w:styleId="PageNumber">
    <w:name w:val="page number"/>
    <w:basedOn w:val="DefaultParagraphFont"/>
    <w:uiPriority w:val="99"/>
    <w:semiHidden/>
    <w:unhideWhenUsed/>
  </w:style>
  <w:style w:type="character" w:styleId="FollowedHyperlink">
    <w:name w:val="FollowedHyperlink"/>
    <w:basedOn w:val="DefaultParagraphFont"/>
    <w:uiPriority w:val="99"/>
    <w:semiHidden/>
    <w:unhideWhenUsed/>
    <w:rPr>
      <w:color w:val="954F72" w:themeColor="followedHyperlink"/>
      <w:u w:val="single"/>
    </w:rPr>
  </w:style>
  <w:style w:type="character" w:styleId="Emphasis">
    <w:name w:val="Emphasis"/>
    <w:basedOn w:val="DefaultParagraphFont"/>
    <w:uiPriority w:val="20"/>
    <w:rPr>
      <w:i/>
      <w:iCs/>
    </w:rPr>
  </w:style>
  <w:style w:type="character" w:styleId="LineNumber">
    <w:name w:val="line number"/>
    <w:basedOn w:val="DefaultParagraphFont"/>
    <w:uiPriority w:val="99"/>
    <w:semiHidden/>
    <w:unhideWhenUsed/>
  </w:style>
  <w:style w:type="character" w:styleId="HTMLDefinition">
    <w:name w:val="HTML Definition"/>
    <w:basedOn w:val="DefaultParagraphFont"/>
    <w:uiPriority w:val="99"/>
    <w:semiHidden/>
    <w:unhideWhenUsed/>
    <w:rPr>
      <w:i/>
      <w:iCs/>
    </w:rPr>
  </w:style>
  <w:style w:type="character" w:styleId="HTMLTypewriter">
    <w:name w:val="HTML Typewriter"/>
    <w:basedOn w:val="DefaultParagraphFont"/>
    <w:uiPriority w:val="99"/>
    <w:semiHidden/>
    <w:unhideWhenUsed/>
    <w:rPr>
      <w:rFonts w:ascii="Consolas" w:hAnsi="Consolas"/>
      <w:sz w:val="20"/>
      <w:szCs w:val="20"/>
    </w:rPr>
  </w:style>
  <w:style w:type="character" w:styleId="HTMLAcronym">
    <w:name w:val="HTML Acronym"/>
    <w:basedOn w:val="DefaultParagraphFont"/>
    <w:uiPriority w:val="99"/>
    <w:semiHidden/>
    <w:unhideWhenUsed/>
  </w:style>
  <w:style w:type="character" w:styleId="HTMLVariable">
    <w:name w:val="HTML Variable"/>
    <w:basedOn w:val="DefaultParagraphFont"/>
    <w:uiPriority w:val="99"/>
    <w:semiHidden/>
    <w:unhideWhenUsed/>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rPr>
      <w:rFonts w:ascii="Consolas" w:hAnsi="Consolas"/>
      <w:sz w:val="20"/>
      <w:szCs w:val="20"/>
    </w:rPr>
  </w:style>
  <w:style w:type="character" w:styleId="CommentReference">
    <w:name w:val="annotation reference"/>
    <w:basedOn w:val="DefaultParagraphFont"/>
    <w:uiPriority w:val="99"/>
    <w:semiHidden/>
    <w:unhideWhenUsed/>
    <w:rPr>
      <w:sz w:val="16"/>
      <w:szCs w:val="16"/>
    </w:rPr>
  </w:style>
  <w:style w:type="character" w:styleId="HTMLCite">
    <w:name w:val="HTML Cite"/>
    <w:basedOn w:val="DefaultParagraphFont"/>
    <w:uiPriority w:val="99"/>
    <w:semiHidden/>
    <w:unhideWhenUsed/>
    <w:rPr>
      <w:i/>
      <w:iCs/>
    </w:rPr>
  </w:style>
  <w:style w:type="character" w:styleId="FootnoteReference">
    <w:name w:val="footnote reference"/>
    <w:basedOn w:val="DefaultParagraphFont"/>
    <w:uiPriority w:val="99"/>
    <w:semiHidden/>
    <w:unhideWhenUsed/>
    <w:rPr>
      <w:vertAlign w:val="superscript"/>
    </w:rPr>
  </w:style>
  <w:style w:type="character" w:styleId="HTMLKeyboard">
    <w:name w:val="HTML Keyboard"/>
    <w:basedOn w:val="DefaultParagraphFont"/>
    <w:uiPriority w:val="99"/>
    <w:semiHidden/>
    <w:unhideWhenUsed/>
    <w:rPr>
      <w:rFonts w:ascii="Consolas" w:hAnsi="Consolas"/>
      <w:sz w:val="20"/>
      <w:szCs w:val="20"/>
    </w:rPr>
  </w:style>
  <w:style w:type="character" w:styleId="HTMLSample">
    <w:name w:val="HTML Sample"/>
    <w:basedOn w:val="DefaultParagraphFont"/>
    <w:uiPriority w:val="99"/>
    <w:semiHidden/>
    <w:unhideWhenUsed/>
    <w:rPr>
      <w:rFonts w:ascii="Consolas" w:hAnsi="Consolas"/>
      <w:sz w:val="24"/>
      <w:szCs w:val="24"/>
    </w:rPr>
  </w:style>
  <w:style w:type="character" w:styleId="PlaceholderText">
    <w:name w:val="Placeholder Text"/>
    <w:basedOn w:val="DefaultParagraphFont"/>
    <w:uiPriority w:val="99"/>
    <w:semiHidden/>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style>
  <w:style w:type="paragraph" w:customStyle="1" w:styleId="CorrectionSeparatorBegin">
    <w:name w:val="Correction Separator Begin"/>
    <w:basedOn w:val="Normal"/>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pPr>
      <w:keepNext/>
      <w:spacing w:after="120"/>
    </w:pPr>
    <w:rPr>
      <w:rFonts w:eastAsia="????"/>
      <w:lang w:eastAsia="en-US"/>
    </w:rPr>
  </w:style>
  <w:style w:type="paragraph" w:customStyle="1" w:styleId="RecNo">
    <w:name w:val="Rec_No"/>
    <w:basedOn w:val="Normal"/>
    <w:next w:val="Normal"/>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rPr>
      <w:color w:val="595959" w:themeColor="text1" w:themeTint="A6"/>
      <w:spacing w:val="15"/>
      <w:lang w:val="en-GB" w:eastAsia="ja-JP"/>
    </w:rPr>
  </w:style>
  <w:style w:type="paragraph" w:styleId="Quote">
    <w:name w:val="Quote"/>
    <w:basedOn w:val="Normal"/>
    <w:next w:val="Normal"/>
    <w:link w:val="QuoteChar"/>
    <w:uiPriority w:val="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ja-JP"/>
    </w:rPr>
  </w:style>
  <w:style w:type="paragraph" w:customStyle="1" w:styleId="LSDeadline">
    <w:name w:val="LSDeadline"/>
    <w:basedOn w:val="LSForAction"/>
    <w:next w:val="Normal"/>
    <w:rPr>
      <w:bCs w:val="0"/>
    </w:rPr>
  </w:style>
  <w:style w:type="paragraph" w:customStyle="1" w:styleId="LSForAction">
    <w:name w:val="LSForAction"/>
    <w:basedOn w:val="Normal"/>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style>
  <w:style w:type="paragraph" w:customStyle="1" w:styleId="LSForComment">
    <w:name w:val="LSForComment"/>
    <w:basedOn w:val="LSForAction"/>
    <w:next w:val="Normal"/>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LSSource">
    <w:name w:val="LSSource"/>
    <w:basedOn w:val="LSForAction"/>
    <w:next w:val="Normal"/>
    <w:rPr>
      <w:rFonts w:eastAsiaTheme="minorHAnsi"/>
      <w:bCs w:val="0"/>
    </w:rPr>
  </w:style>
  <w:style w:type="paragraph" w:customStyle="1" w:styleId="LSTitle">
    <w:name w:val="LSTitle"/>
    <w:basedOn w:val="LSForAction"/>
    <w:next w:val="Normal"/>
    <w:rPr>
      <w:rFonts w:eastAsiaTheme="minorHAnsi"/>
      <w:bCs w:val="0"/>
    </w:rPr>
  </w:style>
  <w:style w:type="paragraph" w:customStyle="1" w:styleId="Revision1">
    <w:name w:val="Revision1"/>
    <w:hidden/>
    <w:uiPriority w:val="99"/>
    <w:semiHidden/>
    <w:rPr>
      <w:rFonts w:eastAsiaTheme="minorEastAsia"/>
      <w:sz w:val="24"/>
      <w:szCs w:val="24"/>
      <w:lang w:eastAsia="ja-JP"/>
    </w:rPr>
  </w:style>
  <w:style w:type="paragraph" w:customStyle="1" w:styleId="VenueDate">
    <w:name w:val="VenueDate"/>
    <w:basedOn w:val="Normal"/>
    <w:qFormat/>
    <w:pPr>
      <w:overflowPunct w:val="0"/>
      <w:autoSpaceDE w:val="0"/>
      <w:autoSpaceDN w:val="0"/>
      <w:adjustRightInd w:val="0"/>
      <w:jc w:val="right"/>
      <w:textAlignment w:val="baseline"/>
    </w:pPr>
    <w:rPr>
      <w:rFonts w:eastAsia="Times New Roman"/>
      <w:szCs w:val="20"/>
      <w:lang w:eastAsia="en-US"/>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character" w:customStyle="1" w:styleId="ReftextArial9pt">
    <w:name w:val="Ref_text Arial 9 pt"/>
    <w:rPr>
      <w:rFonts w:ascii="Arial" w:hAnsi="Arial" w:cs="Arial"/>
      <w:sz w:val="18"/>
      <w:szCs w:val="18"/>
    </w:rPr>
  </w:style>
  <w:style w:type="paragraph" w:customStyle="1" w:styleId="Title4">
    <w:name w:val="Title 4"/>
    <w:basedOn w:val="Normal"/>
    <w:next w:val="Heading1"/>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lang w:val="en-GB" w:eastAsia="ja-JP"/>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uiPriority w:val="99"/>
    <w:semiHidden/>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rPr>
      <w:rFonts w:ascii="Times New Roman" w:hAnsi="Times New Roman" w:cs="Times New Roman"/>
      <w:sz w:val="16"/>
      <w:szCs w:val="16"/>
      <w:lang w:val="en-GB" w:eastAsia="ja-JP"/>
    </w:rPr>
  </w:style>
  <w:style w:type="character" w:customStyle="1" w:styleId="BookTitle1">
    <w:name w:val="Book Title1"/>
    <w:basedOn w:val="DefaultParagraphFont"/>
    <w:uiPriority w:val="33"/>
    <w:rPr>
      <w:b/>
      <w:bCs/>
      <w:i/>
      <w:iCs/>
      <w:spacing w:val="5"/>
    </w:rPr>
  </w:style>
  <w:style w:type="character" w:customStyle="1" w:styleId="ClosingChar">
    <w:name w:val="Closing Char"/>
    <w:basedOn w:val="DefaultParagraphFont"/>
    <w:link w:val="Closing"/>
    <w:uiPriority w:val="99"/>
    <w:semiHidden/>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rPr>
      <w:color w:val="2B579A"/>
      <w:shd w:val="clear" w:color="auto" w:fill="E1DFDD"/>
    </w:rPr>
  </w:style>
  <w:style w:type="character" w:customStyle="1" w:styleId="HTMLAddressChar">
    <w:name w:val="HTML Address Char"/>
    <w:basedOn w:val="DefaultParagraphFont"/>
    <w:link w:val="HTMLAddress"/>
    <w:uiPriority w:val="99"/>
    <w:semiHidden/>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rPr>
      <w:rFonts w:ascii="Consolas" w:hAnsi="Consolas" w:cs="Times New Roman"/>
      <w:sz w:val="20"/>
      <w:szCs w:val="20"/>
      <w:lang w:val="en-GB" w:eastAsia="ja-JP"/>
    </w:rPr>
  </w:style>
  <w:style w:type="character" w:customStyle="1" w:styleId="IntenseEmphasis1">
    <w:name w:val="Intense Emphasis1"/>
    <w:basedOn w:val="DefaultParagraphFont"/>
    <w:uiPriority w:val="21"/>
    <w:rPr>
      <w:i/>
      <w:iCs/>
      <w:color w:val="5B9BD5" w:themeColor="accent1"/>
    </w:rPr>
  </w:style>
  <w:style w:type="paragraph" w:styleId="IntenseQuote">
    <w:name w:val="Intense Quote"/>
    <w:basedOn w:val="Normal"/>
    <w:next w:val="Normal"/>
    <w:link w:val="IntenseQuoteChar"/>
    <w:uiPriority w:val="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rPr>
      <w:b/>
      <w:bCs/>
      <w:smallCaps/>
      <w:color w:val="5B9BD5" w:themeColor="accent1"/>
      <w:spacing w:val="5"/>
    </w:rPr>
  </w:style>
  <w:style w:type="paragraph" w:styleId="ListParagraph">
    <w:name w:val="List Paragraph"/>
    <w:basedOn w:val="Normal"/>
    <w:uiPriority w:val="34"/>
    <w:pPr>
      <w:ind w:left="720"/>
      <w:contextualSpacing/>
    </w:pPr>
  </w:style>
  <w:style w:type="character" w:customStyle="1" w:styleId="MacroTextChar">
    <w:name w:val="Macro Text Char"/>
    <w:basedOn w:val="DefaultParagraphFont"/>
    <w:link w:val="MacroText"/>
    <w:uiPriority w:val="99"/>
    <w:semiHidden/>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Pr>
      <w:rFonts w:eastAsiaTheme="minorEastAsia"/>
      <w:sz w:val="24"/>
      <w:szCs w:val="24"/>
      <w:lang w:eastAsia="ja-JP"/>
    </w:rPr>
  </w:style>
  <w:style w:type="character" w:customStyle="1" w:styleId="NoteHeadingChar">
    <w:name w:val="Note Heading Char"/>
    <w:basedOn w:val="DefaultParagraphFont"/>
    <w:link w:val="NoteHeading"/>
    <w:uiPriority w:val="99"/>
    <w:semiHidden/>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Pr>
      <w:u w:val="dotted"/>
    </w:rPr>
  </w:style>
  <w:style w:type="character" w:customStyle="1" w:styleId="SmartLink1">
    <w:name w:val="SmartLink1"/>
    <w:basedOn w:val="DefaultParagraphFont"/>
    <w:uiPriority w:val="99"/>
    <w:semiHidden/>
    <w:unhideWhenUsed/>
    <w:rPr>
      <w:color w:val="0000FF"/>
      <w:u w:val="single"/>
      <w:shd w:val="clear" w:color="auto" w:fill="F3F2F1"/>
    </w:rPr>
  </w:style>
  <w:style w:type="character" w:customStyle="1" w:styleId="SubtleEmphasis1">
    <w:name w:val="Subtle Emphasis1"/>
    <w:basedOn w:val="DefaultParagraphFont"/>
    <w:uiPriority w:val="19"/>
    <w:rPr>
      <w:i/>
      <w:iCs/>
      <w:color w:val="404040" w:themeColor="text1" w:themeTint="BF"/>
    </w:rPr>
  </w:style>
  <w:style w:type="character" w:customStyle="1" w:styleId="SubtleReference1">
    <w:name w:val="Subtle Reference1"/>
    <w:basedOn w:val="DefaultParagraphFont"/>
    <w:uiPriority w:val="31"/>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Approval">
    <w:name w:val="LSApproval"/>
    <w:basedOn w:val="Normal"/>
    <w:qFormat/>
    <w:rPr>
      <w:bCs/>
    </w:rPr>
  </w:style>
  <w:style w:type="paragraph" w:customStyle="1" w:styleId="TSBHeaderRight14">
    <w:name w:val="TSBHeaderRight14"/>
    <w:basedOn w:val="Normal"/>
    <w:qFormat/>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de00b352c05b58cef17abb3499389e64">
  <xsd:schema xmlns:xsd="http://www.w3.org/2001/XMLSchema" xmlns:xs="http://www.w3.org/2001/XMLSchema" xmlns:p="http://schemas.microsoft.com/office/2006/metadata/properties" xmlns:ns2="81665285-f1bb-4675-b7f4-28c4ccc980a7" targetNamespace="http://schemas.microsoft.com/office/2006/metadata/properties" ma:root="true" ma:fieldsID="b8e52e1c64bb159f512eb49ac7e5cabf"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D3FDA9-AACA-473E-8AAD-D25308BEABEF}"/>
</file>

<file path=customXml/itemProps2.xml><?xml version="1.0" encoding="utf-8"?>
<ds:datastoreItem xmlns:ds="http://schemas.openxmlformats.org/officeDocument/2006/customXml" ds:itemID="{33751D69-C054-4D4D-81C3-C6AE3340C6F4}">
  <ds:schemaRefs/>
</ds:datastoreItem>
</file>

<file path=customXml/itemProps3.xml><?xml version="1.0" encoding="utf-8"?>
<ds:datastoreItem xmlns:ds="http://schemas.openxmlformats.org/officeDocument/2006/customXml" ds:itemID="{EF8523CC-DEB2-463D-9A27-DF0B8D2CAEC3}">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7</TotalTime>
  <Pages>2</Pages>
  <Words>508</Words>
  <Characters>2902</Characters>
  <Application>Microsoft Office Word</Application>
  <DocSecurity>0</DocSecurity>
  <Lines>24</Lines>
  <Paragraphs>6</Paragraphs>
  <ScaleCrop>false</ScaleCrop>
  <Manager>ITU-T</Manager>
  <Company>International Telecommunication Union (ITU)</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Proposed template for ITU-T Standards Success Stories</dc:title>
  <dc:creator>TSAG</dc:creator>
  <dc:description>SG5-TD622  For: Geneva, 29 October - 6 November 2025_x000d_Document date: _x000d_Saved by ITU51018017 at 3:31:39 PM on 10/9/2025</dc:description>
  <cp:lastModifiedBy>TSB-WG3A</cp:lastModifiedBy>
  <cp:revision>4</cp:revision>
  <cp:lastPrinted>2016-12-23T12:52:00Z</cp:lastPrinted>
  <dcterms:created xsi:type="dcterms:W3CDTF">2025-12-18T15:56:00Z</dcterms:created>
  <dcterms:modified xsi:type="dcterms:W3CDTF">2025-12-21T20:45:00Z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SG5-TD622</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Geneva, 29 October - 6 November 2025</vt:lpwstr>
  </property>
  <property fmtid="{D5CDD505-2E9C-101B-9397-08002B2CF9AE}" pid="8" name="Docauthor">
    <vt:lpwstr>TSAG</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1764229535</vt:lpwstr>
  </property>
  <property fmtid="{D5CDD505-2E9C-101B-9397-08002B2CF9AE}" pid="14" name="KSOTemplateDocerSaveRecord">
    <vt:lpwstr>eyJoZGlkIjoiMWQ4NTkwNmFiY2M5MGQzMzUyYmZkYTI0Zjg4Nzk3MmQiLCJ1c2VySWQiOiIyNDI3NTgzMjcifQ==</vt:lpwstr>
  </property>
  <property fmtid="{D5CDD505-2E9C-101B-9397-08002B2CF9AE}" pid="15" name="KSOProductBuildVer">
    <vt:lpwstr>2052-12.1.0.23542</vt:lpwstr>
  </property>
  <property fmtid="{D5CDD505-2E9C-101B-9397-08002B2CF9AE}" pid="16" name="ICV">
    <vt:lpwstr>D083E71E3FCF4B389D8C0BC10BA558C2_13</vt:lpwstr>
  </property>
</Properties>
</file>