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3402" w14:textId="44519CCE" w:rsidR="00585E4D" w:rsidRDefault="00A3082D" w:rsidP="00FE56F8">
      <w:pPr>
        <w:spacing w:after="12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Attachment 8 – Success story on ITU-T L.1023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689"/>
        <w:gridCol w:w="3260"/>
        <w:gridCol w:w="3655"/>
      </w:tblGrid>
      <w:tr w:rsidR="00BF21BE" w:rsidRPr="00D17209" w14:paraId="242DE690" w14:textId="77777777" w:rsidTr="00BC53CA">
        <w:trPr>
          <w:trHeight w:val="416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7C675B7E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BF21BE" w:rsidRPr="00D17209" w14:paraId="7AF4B44C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0FF2EA79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gridSpan w:val="2"/>
            <w:vAlign w:val="center"/>
          </w:tcPr>
          <w:p w14:paraId="7519D45C" w14:textId="569514B1" w:rsidR="00BF21BE" w:rsidRPr="00A3082D" w:rsidRDefault="003D727D" w:rsidP="00BC53CA">
            <w:pPr>
              <w:rPr>
                <w:color w:val="5B9BD5" w:themeColor="accent1"/>
                <w:sz w:val="22"/>
                <w:szCs w:val="22"/>
              </w:rPr>
            </w:pPr>
            <w:r w:rsidRPr="00A3082D">
              <w:rPr>
                <w:color w:val="5B9BD5" w:themeColor="accent1"/>
                <w:sz w:val="22"/>
                <w:szCs w:val="22"/>
              </w:rPr>
              <w:t>L.1</w:t>
            </w:r>
            <w:r w:rsidR="00637088" w:rsidRPr="00A3082D">
              <w:rPr>
                <w:color w:val="5B9BD5" w:themeColor="accent1"/>
                <w:sz w:val="22"/>
                <w:szCs w:val="22"/>
              </w:rPr>
              <w:t>023</w:t>
            </w:r>
          </w:p>
        </w:tc>
      </w:tr>
      <w:tr w:rsidR="00BF21BE" w:rsidRPr="00D17209" w14:paraId="0C01A4F4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18B5B0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gridSpan w:val="2"/>
            <w:vAlign w:val="center"/>
          </w:tcPr>
          <w:p w14:paraId="0D443067" w14:textId="24799CF5" w:rsidR="00BF21BE" w:rsidRPr="00A3082D" w:rsidRDefault="00D17247" w:rsidP="00BC53CA">
            <w:pPr>
              <w:rPr>
                <w:color w:val="5B9BD5" w:themeColor="accent1"/>
                <w:sz w:val="22"/>
                <w:szCs w:val="22"/>
              </w:rPr>
            </w:pPr>
            <w:r w:rsidRPr="00D17247">
              <w:rPr>
                <w:b/>
                <w:bCs/>
                <w:color w:val="5B9BD5" w:themeColor="accent1"/>
                <w:sz w:val="22"/>
                <w:szCs w:val="22"/>
              </w:rPr>
              <w:t>Assessment method for circularity performance scoring  </w:t>
            </w:r>
          </w:p>
        </w:tc>
      </w:tr>
      <w:tr w:rsidR="00BF21BE" w:rsidRPr="00D17209" w14:paraId="368E82F1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3621EDB2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gridSpan w:val="2"/>
            <w:vAlign w:val="center"/>
          </w:tcPr>
          <w:p w14:paraId="4EA8A353" w14:textId="249742D6" w:rsidR="00BF21BE" w:rsidRPr="00D17209" w:rsidRDefault="00637088" w:rsidP="00BC53CA">
            <w:pPr>
              <w:rPr>
                <w:sz w:val="22"/>
                <w:szCs w:val="22"/>
              </w:rPr>
            </w:pPr>
            <w:r w:rsidRPr="00A3082D">
              <w:rPr>
                <w:color w:val="5B9BD5" w:themeColor="accent1"/>
                <w:sz w:val="22"/>
                <w:szCs w:val="22"/>
              </w:rPr>
              <w:t>08</w:t>
            </w:r>
            <w:r w:rsidR="005D3A54" w:rsidRPr="00A3082D">
              <w:rPr>
                <w:color w:val="5B9BD5" w:themeColor="accent1"/>
                <w:sz w:val="22"/>
                <w:szCs w:val="22"/>
              </w:rPr>
              <w:t>-20</w:t>
            </w:r>
            <w:r w:rsidRPr="00A3082D">
              <w:rPr>
                <w:color w:val="5B9BD5" w:themeColor="accent1"/>
                <w:sz w:val="22"/>
                <w:szCs w:val="22"/>
              </w:rPr>
              <w:t>23</w:t>
            </w:r>
            <w:r w:rsidR="00BF21BE" w:rsidRPr="00A3082D">
              <w:rPr>
                <w:color w:val="5B9BD5" w:themeColor="accent1"/>
                <w:sz w:val="22"/>
                <w:szCs w:val="22"/>
              </w:rPr>
              <w:t xml:space="preserve"> - Present</w:t>
            </w:r>
          </w:p>
        </w:tc>
      </w:tr>
      <w:tr w:rsidR="00BF21BE" w:rsidRPr="00D17209" w14:paraId="4AD655D5" w14:textId="77777777" w:rsidTr="00BC53CA">
        <w:trPr>
          <w:trHeight w:val="708"/>
        </w:trPr>
        <w:tc>
          <w:tcPr>
            <w:tcW w:w="2689" w:type="dxa"/>
            <w:vAlign w:val="center"/>
          </w:tcPr>
          <w:p w14:paraId="14421E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gridSpan w:val="2"/>
            <w:vAlign w:val="center"/>
          </w:tcPr>
          <w:p w14:paraId="3018A3F3" w14:textId="77777777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Recommendation ITU-T L.1023 outlines an assessment method for circularity scoring of information and communication technology (ICT) goods.</w:t>
            </w:r>
          </w:p>
          <w:p w14:paraId="3C56641D" w14:textId="77777777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The assessment method consists of three steps:</w:t>
            </w:r>
          </w:p>
          <w:p w14:paraId="594B8746" w14:textId="3EA94BAD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1) Setting the relevance and applicability (R) of each circularity indicator for the ICT goods at hand.</w:t>
            </w:r>
          </w:p>
          <w:p w14:paraId="419160FF" w14:textId="2F0CBD0C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2) Assessing the margin of improvement (MI) of each circularity indicator.</w:t>
            </w:r>
          </w:p>
          <w:p w14:paraId="0142E4F1" w14:textId="1854447A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3) Calculating the circularity score (score) from 0 to 100% for the ICT good at hand for all three circularity aspects. This includes:</w:t>
            </w:r>
          </w:p>
          <w:p w14:paraId="7E559DE8" w14:textId="6C5A8926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–</w:t>
            </w:r>
            <w:r w:rsidR="00A3082D" w:rsidRPr="00A3082D">
              <w:rPr>
                <w:color w:val="5B9BD5" w:themeColor="accent1"/>
                <w:sz w:val="22"/>
                <w:szCs w:val="22"/>
                <w:lang w:val="en-US"/>
              </w:rPr>
              <w:t xml:space="preserve"> </w:t>
            </w: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Using a predefined value matrix to identify the % score from 0 to 100 for each combination of R×MI.</w:t>
            </w:r>
          </w:p>
          <w:p w14:paraId="3597BB81" w14:textId="4B99F50B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  <w:lang w:val="en-US"/>
              </w:rPr>
            </w:pP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–</w:t>
            </w:r>
            <w:r w:rsidR="00A3082D" w:rsidRPr="00A3082D">
              <w:rPr>
                <w:color w:val="5B9BD5" w:themeColor="accent1"/>
                <w:sz w:val="22"/>
                <w:szCs w:val="22"/>
                <w:lang w:val="en-US"/>
              </w:rPr>
              <w:t xml:space="preserve"> </w:t>
            </w: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Calculating the average of the included circularity indicators for the ICT good at hand separately for all three circularity aspects: product durability, ability to recycle, repair, reuse, and ability to upgrade from equipment and manufacturer level.</w:t>
            </w:r>
          </w:p>
          <w:p w14:paraId="479C1B76" w14:textId="55EE3FF6" w:rsidR="00BF21BE" w:rsidRPr="00637088" w:rsidRDefault="00BF21BE" w:rsidP="005D3A54">
            <w:pPr>
              <w:rPr>
                <w:sz w:val="22"/>
                <w:szCs w:val="22"/>
                <w:lang w:val="en-US"/>
              </w:rPr>
            </w:pPr>
          </w:p>
        </w:tc>
      </w:tr>
      <w:tr w:rsidR="00BF21BE" w:rsidRPr="00D17209" w14:paraId="0B0AB3B9" w14:textId="77777777" w:rsidTr="00BC53CA">
        <w:trPr>
          <w:trHeight w:val="413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1BA7AFA9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BF21BE" w:rsidRPr="00D17209" w14:paraId="258E572E" w14:textId="77777777" w:rsidTr="00BC53CA">
        <w:trPr>
          <w:trHeight w:val="1246"/>
        </w:trPr>
        <w:tc>
          <w:tcPr>
            <w:tcW w:w="2689" w:type="dxa"/>
            <w:vAlign w:val="center"/>
          </w:tcPr>
          <w:p w14:paraId="349D8511" w14:textId="77777777" w:rsidR="00BF21BE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1A06B43F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  <w:gridSpan w:val="2"/>
          </w:tcPr>
          <w:p w14:paraId="0E3D8AEA" w14:textId="420CCDCD" w:rsidR="00BF21BE" w:rsidRDefault="00637088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</w:t>
            </w:r>
            <w:r w:rsidR="00BF21BE">
              <w:rPr>
                <w:sz w:val="22"/>
                <w:szCs w:val="22"/>
              </w:rPr>
              <w:t>Telecom/</w:t>
            </w:r>
            <w:r w:rsidR="00BF21BE" w:rsidRPr="00D17209">
              <w:rPr>
                <w:sz w:val="22"/>
                <w:szCs w:val="22"/>
              </w:rPr>
              <w:t xml:space="preserve">ICT </w:t>
            </w:r>
            <w:r w:rsidR="00BF21BE">
              <w:rPr>
                <w:sz w:val="22"/>
                <w:szCs w:val="22"/>
              </w:rPr>
              <w:t>p</w:t>
            </w:r>
            <w:r w:rsidR="00BF21BE" w:rsidRPr="00D17209">
              <w:rPr>
                <w:sz w:val="22"/>
                <w:szCs w:val="22"/>
              </w:rPr>
              <w:t>roducts/</w:t>
            </w:r>
            <w:r w:rsidR="00BF21BE">
              <w:rPr>
                <w:sz w:val="22"/>
                <w:szCs w:val="22"/>
              </w:rPr>
              <w:t>s</w:t>
            </w:r>
            <w:r w:rsidR="00BF21BE" w:rsidRPr="00D17209">
              <w:rPr>
                <w:sz w:val="22"/>
                <w:szCs w:val="22"/>
              </w:rPr>
              <w:t>ervices</w:t>
            </w:r>
            <w:r w:rsidR="00BF21BE" w:rsidRPr="00D17209">
              <w:rPr>
                <w:sz w:val="22"/>
                <w:szCs w:val="22"/>
              </w:rPr>
              <w:br/>
            </w:r>
            <w:r w:rsidR="00BF21BE"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</w:t>
            </w:r>
            <w:r w:rsidR="00BF21BE">
              <w:rPr>
                <w:sz w:val="22"/>
                <w:szCs w:val="22"/>
              </w:rPr>
              <w:t>Telecom/</w:t>
            </w:r>
            <w:r w:rsidR="00BF21BE" w:rsidRPr="00D17209">
              <w:rPr>
                <w:sz w:val="22"/>
                <w:szCs w:val="22"/>
              </w:rPr>
              <w:t xml:space="preserve">ICT </w:t>
            </w:r>
            <w:r w:rsidR="00BF21BE">
              <w:rPr>
                <w:sz w:val="22"/>
                <w:szCs w:val="22"/>
              </w:rPr>
              <w:t>r</w:t>
            </w:r>
            <w:r w:rsidR="00BF21BE" w:rsidRPr="00D17209">
              <w:rPr>
                <w:sz w:val="22"/>
                <w:szCs w:val="22"/>
              </w:rPr>
              <w:t>egulations/</w:t>
            </w:r>
            <w:r w:rsidR="00BF21BE">
              <w:rPr>
                <w:sz w:val="22"/>
                <w:szCs w:val="22"/>
              </w:rPr>
              <w:t>p</w:t>
            </w:r>
            <w:r w:rsidR="00BF21BE" w:rsidRPr="00D17209">
              <w:rPr>
                <w:sz w:val="22"/>
                <w:szCs w:val="22"/>
              </w:rPr>
              <w:t>olicies</w:t>
            </w:r>
            <w:r w:rsidR="00BF21BE">
              <w:rPr>
                <w:sz w:val="22"/>
                <w:szCs w:val="22"/>
              </w:rPr>
              <w:t>/national standards</w:t>
            </w:r>
            <w:r w:rsidR="00BF21BE" w:rsidRPr="00D17209">
              <w:rPr>
                <w:sz w:val="22"/>
                <w:szCs w:val="22"/>
              </w:rPr>
              <w:br/>
            </w:r>
            <w:r w:rsidRPr="00A3082D">
              <w:rPr>
                <w:rFonts w:ascii="Segoe UI Symbol" w:hAnsi="Segoe UI Symbol" w:cs="Segoe UI Symbol"/>
                <w:sz w:val="22"/>
                <w:szCs w:val="22"/>
                <w:shd w:val="clear" w:color="auto" w:fill="5B9BD5" w:themeFill="accent1"/>
              </w:rPr>
              <w:t>☑</w:t>
            </w:r>
            <w:r w:rsidR="00BF21BE"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International </w:t>
            </w:r>
            <w:r w:rsidR="00BF21BE">
              <w:rPr>
                <w:sz w:val="22"/>
                <w:szCs w:val="22"/>
              </w:rPr>
              <w:t>s</w:t>
            </w:r>
            <w:r w:rsidR="00BF21BE" w:rsidRPr="00D17209">
              <w:rPr>
                <w:sz w:val="22"/>
                <w:szCs w:val="22"/>
              </w:rPr>
              <w:t>tandards</w:t>
            </w:r>
            <w:r w:rsidR="00BF21BE">
              <w:rPr>
                <w:sz w:val="22"/>
                <w:szCs w:val="22"/>
              </w:rPr>
              <w:t xml:space="preserve">/ </w:t>
            </w:r>
            <w:r w:rsidR="00F22528">
              <w:rPr>
                <w:sz w:val="22"/>
                <w:szCs w:val="22"/>
              </w:rPr>
              <w:t>R</w:t>
            </w:r>
            <w:r w:rsidR="00BF21BE">
              <w:rPr>
                <w:sz w:val="22"/>
                <w:szCs w:val="22"/>
              </w:rPr>
              <w:t>ecommendations</w:t>
            </w:r>
          </w:p>
          <w:p w14:paraId="6A06E50F" w14:textId="77777777" w:rsidR="00BF21BE" w:rsidRPr="00D17209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Pr="00085E95">
              <w:rPr>
                <w:sz w:val="22"/>
                <w:szCs w:val="22"/>
              </w:rPr>
              <w:t>Other</w:t>
            </w:r>
          </w:p>
        </w:tc>
      </w:tr>
      <w:tr w:rsidR="00BF21BE" w:rsidRPr="00D17209" w14:paraId="45114A40" w14:textId="77777777" w:rsidTr="00BC53CA">
        <w:trPr>
          <w:trHeight w:val="848"/>
        </w:trPr>
        <w:tc>
          <w:tcPr>
            <w:tcW w:w="2689" w:type="dxa"/>
            <w:vMerge w:val="restart"/>
            <w:vAlign w:val="center"/>
          </w:tcPr>
          <w:p w14:paraId="60B3344F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roducts/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ervices</w:t>
            </w:r>
          </w:p>
        </w:tc>
        <w:tc>
          <w:tcPr>
            <w:tcW w:w="3260" w:type="dxa"/>
          </w:tcPr>
          <w:p w14:paraId="55EAA82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264261EC" w14:textId="474500AC" w:rsidR="00BF21BE" w:rsidRPr="00D17209" w:rsidRDefault="00A3082D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5BB36E94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3577840A" w14:textId="4C1ADA3C" w:rsidR="00BF21BE" w:rsidRPr="00A3082D" w:rsidRDefault="00A3082D" w:rsidP="00BC53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N/A</w:t>
            </w:r>
          </w:p>
        </w:tc>
      </w:tr>
      <w:tr w:rsidR="00BF21BE" w:rsidRPr="00D17209" w14:paraId="203C10B1" w14:textId="77777777" w:rsidTr="00BC53CA">
        <w:trPr>
          <w:trHeight w:val="1232"/>
        </w:trPr>
        <w:tc>
          <w:tcPr>
            <w:tcW w:w="2689" w:type="dxa"/>
            <w:vMerge/>
            <w:vAlign w:val="center"/>
          </w:tcPr>
          <w:p w14:paraId="435A5231" w14:textId="77777777" w:rsidR="00BF21BE" w:rsidRPr="00ED5AC1" w:rsidRDefault="00BF21BE" w:rsidP="00BC53CA">
            <w:pPr>
              <w:rPr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7B0FEC93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CF3CE3F" w14:textId="79953B10" w:rsidR="00BF21BE" w:rsidRPr="00A67763" w:rsidRDefault="00A3082D" w:rsidP="00BC53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N/A</w:t>
            </w:r>
          </w:p>
        </w:tc>
      </w:tr>
      <w:tr w:rsidR="00BF21BE" w:rsidRPr="00D17209" w14:paraId="74DDB51E" w14:textId="77777777" w:rsidTr="00E0623A">
        <w:trPr>
          <w:trHeight w:val="1169"/>
        </w:trPr>
        <w:tc>
          <w:tcPr>
            <w:tcW w:w="2689" w:type="dxa"/>
            <w:vMerge w:val="restart"/>
            <w:vAlign w:val="center"/>
          </w:tcPr>
          <w:p w14:paraId="3B592CEB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r</w:t>
            </w:r>
            <w:r w:rsidRPr="00ED5AC1">
              <w:rPr>
                <w:b/>
                <w:bCs/>
                <w:u w:val="single"/>
              </w:rPr>
              <w:t>egulations/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olicies</w:t>
            </w:r>
            <w:r>
              <w:rPr>
                <w:b/>
                <w:bCs/>
                <w:u w:val="single"/>
              </w:rPr>
              <w:t>/ national Standards</w:t>
            </w:r>
          </w:p>
        </w:tc>
        <w:tc>
          <w:tcPr>
            <w:tcW w:w="3260" w:type="dxa"/>
          </w:tcPr>
          <w:p w14:paraId="671D0C4F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606E23D7" w14:textId="0C3C0554" w:rsidR="00BF21BE" w:rsidRPr="00D17209" w:rsidRDefault="00A3082D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7C61D395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0192B95C" w14:textId="08A23DF5" w:rsidR="00BF21BE" w:rsidRPr="00D17209" w:rsidRDefault="00A3082D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D4F3F43" w14:textId="77777777" w:rsidTr="00BC53CA">
        <w:trPr>
          <w:trHeight w:val="1142"/>
        </w:trPr>
        <w:tc>
          <w:tcPr>
            <w:tcW w:w="2689" w:type="dxa"/>
            <w:vMerge/>
            <w:vAlign w:val="center"/>
          </w:tcPr>
          <w:p w14:paraId="787A30AA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02A9DD60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499E69D7" w14:textId="5FEA53C9" w:rsidR="00BF21BE" w:rsidRPr="00D17209" w:rsidRDefault="00A3082D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412C724" w14:textId="77777777" w:rsidTr="00BC53CA">
        <w:trPr>
          <w:trHeight w:val="1234"/>
        </w:trPr>
        <w:tc>
          <w:tcPr>
            <w:tcW w:w="2689" w:type="dxa"/>
            <w:vMerge w:val="restart"/>
            <w:vAlign w:val="center"/>
          </w:tcPr>
          <w:p w14:paraId="443ADC3C" w14:textId="685A8521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 w:rsidRPr="00ED5AC1">
              <w:rPr>
                <w:b/>
                <w:bCs/>
                <w:u w:val="single"/>
              </w:rPr>
              <w:lastRenderedPageBreak/>
              <w:t xml:space="preserve">International 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tandards</w:t>
            </w:r>
            <w:r>
              <w:rPr>
                <w:b/>
                <w:bCs/>
                <w:u w:val="single"/>
              </w:rPr>
              <w:t xml:space="preserve">/ </w:t>
            </w:r>
            <w:r w:rsidR="00F22528">
              <w:rPr>
                <w:b/>
                <w:bCs/>
                <w:u w:val="single"/>
              </w:rPr>
              <w:t>R</w:t>
            </w:r>
            <w:r>
              <w:rPr>
                <w:b/>
                <w:bCs/>
                <w:u w:val="single"/>
              </w:rPr>
              <w:t>ecommendations</w:t>
            </w:r>
          </w:p>
        </w:tc>
        <w:tc>
          <w:tcPr>
            <w:tcW w:w="3260" w:type="dxa"/>
          </w:tcPr>
          <w:p w14:paraId="211FBD0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59A42144" w14:textId="6372D81A" w:rsidR="00BF21BE" w:rsidRPr="00D17209" w:rsidRDefault="00637088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A3082D">
              <w:rPr>
                <w:color w:val="5B9BD5" w:themeColor="accent1"/>
                <w:sz w:val="22"/>
                <w:szCs w:val="22"/>
              </w:rPr>
              <w:t>CEN/CENELEC JTC 10</w:t>
            </w:r>
          </w:p>
        </w:tc>
        <w:tc>
          <w:tcPr>
            <w:tcW w:w="3655" w:type="dxa"/>
          </w:tcPr>
          <w:p w14:paraId="089D187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</w:t>
            </w:r>
          </w:p>
          <w:p w14:paraId="398F934D" w14:textId="3B9D26E7" w:rsidR="00BF21BE" w:rsidRPr="00D17209" w:rsidRDefault="00637088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A3082D">
              <w:rPr>
                <w:rFonts w:hint="eastAsia"/>
                <w:b/>
                <w:bCs/>
                <w:color w:val="5B9BD5" w:themeColor="accent1"/>
                <w:sz w:val="22"/>
                <w:szCs w:val="22"/>
              </w:rPr>
              <w:t xml:space="preserve">EN 45560 </w:t>
            </w:r>
            <w:r w:rsidRPr="00A3082D">
              <w:rPr>
                <w:rFonts w:hint="eastAsia"/>
                <w:b/>
                <w:bCs/>
                <w:color w:val="5B9BD5" w:themeColor="accent1"/>
                <w:sz w:val="22"/>
                <w:szCs w:val="22"/>
              </w:rPr>
              <w:t>“</w:t>
            </w:r>
            <w:r w:rsidRPr="00A3082D">
              <w:rPr>
                <w:rFonts w:hint="eastAsia"/>
                <w:b/>
                <w:bCs/>
                <w:color w:val="5B9BD5" w:themeColor="accent1"/>
                <w:sz w:val="22"/>
                <w:szCs w:val="22"/>
              </w:rPr>
              <w:t>Method to achieve circular designs of products</w:t>
            </w:r>
          </w:p>
        </w:tc>
      </w:tr>
      <w:tr w:rsidR="00BF21BE" w:rsidRPr="00D17209" w14:paraId="507C5981" w14:textId="77777777" w:rsidTr="00E0623A">
        <w:trPr>
          <w:trHeight w:val="1353"/>
        </w:trPr>
        <w:tc>
          <w:tcPr>
            <w:tcW w:w="2689" w:type="dxa"/>
            <w:vMerge/>
            <w:vAlign w:val="center"/>
          </w:tcPr>
          <w:p w14:paraId="6F6E8592" w14:textId="77777777" w:rsidR="00BF21BE" w:rsidRPr="00D17209" w:rsidRDefault="00BF21B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</w:p>
        </w:tc>
        <w:tc>
          <w:tcPr>
            <w:tcW w:w="6915" w:type="dxa"/>
            <w:gridSpan w:val="2"/>
          </w:tcPr>
          <w:p w14:paraId="7E07158A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430621B" w14:textId="38E058CC" w:rsidR="00637088" w:rsidRPr="00A3082D" w:rsidRDefault="00637088" w:rsidP="00637088">
            <w:pPr>
              <w:rPr>
                <w:color w:val="5B9BD5" w:themeColor="accent1"/>
                <w:sz w:val="22"/>
                <w:szCs w:val="22"/>
              </w:rPr>
            </w:pPr>
            <w:r w:rsidRPr="00A3082D">
              <w:rPr>
                <w:color w:val="5B9BD5" w:themeColor="accent1"/>
                <w:sz w:val="22"/>
                <w:szCs w:val="22"/>
              </w:rPr>
              <w:t xml:space="preserve">The standard reports: </w:t>
            </w: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“</w:t>
            </w:r>
            <w:r w:rsidRPr="00A3082D">
              <w:rPr>
                <w:color w:val="5B9BD5" w:themeColor="accent1"/>
                <w:sz w:val="22"/>
                <w:szCs w:val="22"/>
              </w:rPr>
              <w:t xml:space="preserve">The ITU-T </w:t>
            </w:r>
            <w:r w:rsidR="00A3082D" w:rsidRPr="00A3082D">
              <w:rPr>
                <w:color w:val="5B9BD5" w:themeColor="accent1"/>
                <w:sz w:val="22"/>
                <w:szCs w:val="22"/>
              </w:rPr>
              <w:t>R</w:t>
            </w:r>
            <w:r w:rsidRPr="00A3082D">
              <w:rPr>
                <w:color w:val="5B9BD5" w:themeColor="accent1"/>
                <w:sz w:val="22"/>
                <w:szCs w:val="22"/>
              </w:rPr>
              <w:t xml:space="preserve">ecommendation L.1023 </w:t>
            </w:r>
            <w:r w:rsidRPr="00A3082D">
              <w:rPr>
                <w:color w:val="5B9BD5" w:themeColor="accent1"/>
                <w:sz w:val="22"/>
                <w:szCs w:val="22"/>
                <w:lang w:val="en-US"/>
              </w:rPr>
              <w:t>[28]</w:t>
            </w:r>
            <w:r w:rsidRPr="00A3082D">
              <w:rPr>
                <w:color w:val="5B9BD5" w:themeColor="accent1"/>
                <w:sz w:val="22"/>
                <w:szCs w:val="22"/>
              </w:rPr>
              <w:t xml:space="preserve"> has standardized a framework for circularity performance scoring, defining key circularity terms and how they fit together in a scoring system.”</w:t>
            </w:r>
          </w:p>
          <w:p w14:paraId="70D257B9" w14:textId="2D55B76A" w:rsidR="00BF21BE" w:rsidRPr="00D17209" w:rsidRDefault="00A3082D" w:rsidP="00A3082D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A3082D">
              <w:rPr>
                <w:color w:val="5B9BD5" w:themeColor="accent1"/>
                <w:sz w:val="22"/>
                <w:szCs w:val="22"/>
              </w:rPr>
              <w:t>Additionally,</w:t>
            </w:r>
            <w:r w:rsidR="00637088" w:rsidRPr="00A3082D">
              <w:rPr>
                <w:color w:val="5B9BD5" w:themeColor="accent1"/>
                <w:sz w:val="22"/>
                <w:szCs w:val="22"/>
              </w:rPr>
              <w:t xml:space="preserve"> Table 2 </w:t>
            </w:r>
            <w:r w:rsidRPr="00A3082D">
              <w:rPr>
                <w:color w:val="5B9BD5" w:themeColor="accent1"/>
                <w:sz w:val="22"/>
                <w:szCs w:val="22"/>
              </w:rPr>
              <w:t>- Description of levels of relevance (R) of circularity indicators of ITU-T L.1023 (Clause 7)</w:t>
            </w:r>
            <w:r w:rsidR="00637088" w:rsidRPr="00A3082D">
              <w:rPr>
                <w:color w:val="5B9BD5" w:themeColor="accent1"/>
                <w:sz w:val="22"/>
                <w:szCs w:val="22"/>
              </w:rPr>
              <w:t xml:space="preserve"> is mentioned as useful for assessing recycled content.</w:t>
            </w:r>
          </w:p>
        </w:tc>
      </w:tr>
      <w:tr w:rsidR="00BF21BE" w:rsidRPr="00D17209" w14:paraId="789BD337" w14:textId="77777777" w:rsidTr="00E0623A">
        <w:trPr>
          <w:trHeight w:val="1034"/>
        </w:trPr>
        <w:tc>
          <w:tcPr>
            <w:tcW w:w="2689" w:type="dxa"/>
            <w:vAlign w:val="center"/>
          </w:tcPr>
          <w:p w14:paraId="4D828919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gridSpan w:val="2"/>
            <w:vAlign w:val="center"/>
          </w:tcPr>
          <w:p w14:paraId="23D258C1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3B70FCB7" w14:textId="7A402C90" w:rsidR="00BF21BE" w:rsidRPr="00D17209" w:rsidRDefault="00A3082D" w:rsidP="007D3CBB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</w:tbl>
    <w:p w14:paraId="2D2604F0" w14:textId="49022113" w:rsidR="00E71046" w:rsidRDefault="008657EB" w:rsidP="008657EB">
      <w:pPr>
        <w:jc w:val="center"/>
      </w:pPr>
      <w:r>
        <w:t>___________________</w:t>
      </w:r>
    </w:p>
    <w:sectPr w:rsidR="00E71046" w:rsidSect="00FE56F8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B1FD" w14:textId="77777777" w:rsidR="00026C34" w:rsidRDefault="00026C34" w:rsidP="00C42125">
      <w:pPr>
        <w:spacing w:before="0"/>
      </w:pPr>
      <w:r>
        <w:separator/>
      </w:r>
    </w:p>
  </w:endnote>
  <w:endnote w:type="continuationSeparator" w:id="0">
    <w:p w14:paraId="5806F45A" w14:textId="77777777" w:rsidR="00026C34" w:rsidRDefault="00026C3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7824" w14:textId="77777777" w:rsidR="00026C34" w:rsidRDefault="00026C34" w:rsidP="00C42125">
      <w:pPr>
        <w:spacing w:before="0"/>
      </w:pPr>
      <w:r>
        <w:separator/>
      </w:r>
    </w:p>
  </w:footnote>
  <w:footnote w:type="continuationSeparator" w:id="0">
    <w:p w14:paraId="342BAB1C" w14:textId="77777777" w:rsidR="00026C34" w:rsidRDefault="00026C3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3E53" w14:textId="44C64CF9" w:rsidR="00FE56F8" w:rsidRPr="00FE56F8" w:rsidRDefault="00FE56F8" w:rsidP="00A3082D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4523591">
    <w:abstractNumId w:val="9"/>
  </w:num>
  <w:num w:numId="2" w16cid:durableId="1549798903">
    <w:abstractNumId w:val="7"/>
  </w:num>
  <w:num w:numId="3" w16cid:durableId="723411914">
    <w:abstractNumId w:val="6"/>
  </w:num>
  <w:num w:numId="4" w16cid:durableId="1200974937">
    <w:abstractNumId w:val="5"/>
  </w:num>
  <w:num w:numId="5" w16cid:durableId="360252495">
    <w:abstractNumId w:val="4"/>
  </w:num>
  <w:num w:numId="6" w16cid:durableId="136731576">
    <w:abstractNumId w:val="8"/>
  </w:num>
  <w:num w:numId="7" w16cid:durableId="1760590582">
    <w:abstractNumId w:val="3"/>
  </w:num>
  <w:num w:numId="8" w16cid:durableId="289357670">
    <w:abstractNumId w:val="2"/>
  </w:num>
  <w:num w:numId="9" w16cid:durableId="192810111">
    <w:abstractNumId w:val="1"/>
  </w:num>
  <w:num w:numId="10" w16cid:durableId="29822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3561A"/>
    <w:rsid w:val="00136586"/>
    <w:rsid w:val="00136DDD"/>
    <w:rsid w:val="00137F40"/>
    <w:rsid w:val="001410FD"/>
    <w:rsid w:val="00144BDF"/>
    <w:rsid w:val="00155DDC"/>
    <w:rsid w:val="00161830"/>
    <w:rsid w:val="001871EC"/>
    <w:rsid w:val="00195586"/>
    <w:rsid w:val="001A20C3"/>
    <w:rsid w:val="001A670F"/>
    <w:rsid w:val="001B6A45"/>
    <w:rsid w:val="001C62B8"/>
    <w:rsid w:val="001D22D8"/>
    <w:rsid w:val="001D4296"/>
    <w:rsid w:val="001E6EA3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449F4"/>
    <w:rsid w:val="003557BF"/>
    <w:rsid w:val="003571BC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D727D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2B58"/>
    <w:rsid w:val="004C0673"/>
    <w:rsid w:val="004C4E4E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3A54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088"/>
    <w:rsid w:val="0063718D"/>
    <w:rsid w:val="0064040A"/>
    <w:rsid w:val="00643C81"/>
    <w:rsid w:val="00647525"/>
    <w:rsid w:val="00647A71"/>
    <w:rsid w:val="00647DF2"/>
    <w:rsid w:val="00652D9F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9088E"/>
    <w:rsid w:val="00892297"/>
    <w:rsid w:val="008964D6"/>
    <w:rsid w:val="008B5123"/>
    <w:rsid w:val="008C0BEB"/>
    <w:rsid w:val="008D1E8B"/>
    <w:rsid w:val="008E0172"/>
    <w:rsid w:val="008F192B"/>
    <w:rsid w:val="00900EF1"/>
    <w:rsid w:val="00906CD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72EF"/>
    <w:rsid w:val="009A100A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082D"/>
    <w:rsid w:val="00A31D47"/>
    <w:rsid w:val="00A4013E"/>
    <w:rsid w:val="00A4045F"/>
    <w:rsid w:val="00A40473"/>
    <w:rsid w:val="00A427CD"/>
    <w:rsid w:val="00A45FEE"/>
    <w:rsid w:val="00A4600B"/>
    <w:rsid w:val="00A50506"/>
    <w:rsid w:val="00A51EF0"/>
    <w:rsid w:val="00A67763"/>
    <w:rsid w:val="00A67A81"/>
    <w:rsid w:val="00A730A6"/>
    <w:rsid w:val="00A84724"/>
    <w:rsid w:val="00A907B3"/>
    <w:rsid w:val="00A971A0"/>
    <w:rsid w:val="00AA045E"/>
    <w:rsid w:val="00AA1F22"/>
    <w:rsid w:val="00AA7EC0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22C3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E6E"/>
    <w:rsid w:val="00CE5986"/>
    <w:rsid w:val="00CF34C4"/>
    <w:rsid w:val="00CF5528"/>
    <w:rsid w:val="00D11885"/>
    <w:rsid w:val="00D17247"/>
    <w:rsid w:val="00D236BD"/>
    <w:rsid w:val="00D4255B"/>
    <w:rsid w:val="00D56A27"/>
    <w:rsid w:val="00D647EF"/>
    <w:rsid w:val="00D73137"/>
    <w:rsid w:val="00D745B2"/>
    <w:rsid w:val="00D879CB"/>
    <w:rsid w:val="00D977A2"/>
    <w:rsid w:val="00DA1D47"/>
    <w:rsid w:val="00DC774A"/>
    <w:rsid w:val="00DD50DE"/>
    <w:rsid w:val="00DE3062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64372"/>
    <w:rsid w:val="00E71046"/>
    <w:rsid w:val="00E72E36"/>
    <w:rsid w:val="00E86394"/>
    <w:rsid w:val="00E87795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62A0"/>
    <w:rsid w:val="00F57FA4"/>
    <w:rsid w:val="00F63CCE"/>
    <w:rsid w:val="00F953BF"/>
    <w:rsid w:val="00F96821"/>
    <w:rsid w:val="00FA02CB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CF230-3C56-4840-82F4-BA1321E21E67}"/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Proposed template for ITU-T Standards Success Stories</vt:lpstr>
    </vt:vector>
  </TitlesOfParts>
  <Manager>ITU-T</Manager>
  <Company>International Telecommunication Union (ITU)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4</cp:revision>
  <cp:lastPrinted>2016-12-23T12:52:00Z</cp:lastPrinted>
  <dcterms:created xsi:type="dcterms:W3CDTF">2025-12-18T15:55:00Z</dcterms:created>
  <dcterms:modified xsi:type="dcterms:W3CDTF">2025-12-21T20:38:00Z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1764752764</vt:lpwstr>
  </property>
</Properties>
</file>