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A6205" w14:textId="477C4181" w:rsidR="00A40473" w:rsidRDefault="00A40473">
      <w:pPr>
        <w:spacing w:before="0" w:after="160" w:line="259" w:lineRule="auto"/>
        <w:rPr>
          <w:rFonts w:eastAsia="MS Mincho"/>
        </w:rPr>
      </w:pPr>
    </w:p>
    <w:p w14:paraId="20D13402" w14:textId="488CDD3D" w:rsidR="00585E4D" w:rsidRDefault="002A5C84" w:rsidP="00FE56F8">
      <w:pPr>
        <w:spacing w:after="120"/>
        <w:jc w:val="center"/>
        <w:rPr>
          <w:b/>
          <w:bCs/>
          <w:sz w:val="32"/>
          <w:szCs w:val="32"/>
          <w:u w:val="single"/>
        </w:rPr>
      </w:pPr>
      <w:r>
        <w:rPr>
          <w:b/>
          <w:bCs/>
          <w:sz w:val="32"/>
          <w:szCs w:val="32"/>
          <w:u w:val="single"/>
        </w:rPr>
        <w:t xml:space="preserve">Attachment 3- </w:t>
      </w:r>
      <w:r w:rsidR="00E77732">
        <w:rPr>
          <w:b/>
          <w:bCs/>
          <w:sz w:val="32"/>
          <w:szCs w:val="32"/>
          <w:u w:val="single"/>
        </w:rPr>
        <w:t xml:space="preserve">Success Story </w:t>
      </w:r>
      <w:r w:rsidR="00F51030">
        <w:rPr>
          <w:b/>
          <w:bCs/>
          <w:sz w:val="32"/>
          <w:szCs w:val="32"/>
          <w:u w:val="single"/>
        </w:rPr>
        <w:t xml:space="preserve">on </w:t>
      </w:r>
      <w:r w:rsidR="00E77732">
        <w:rPr>
          <w:b/>
          <w:bCs/>
          <w:sz w:val="32"/>
          <w:szCs w:val="32"/>
          <w:u w:val="single"/>
        </w:rPr>
        <w:t>ITU-T K.</w:t>
      </w:r>
      <w:r w:rsidR="00A70103">
        <w:rPr>
          <w:b/>
          <w:bCs/>
          <w:sz w:val="32"/>
          <w:szCs w:val="32"/>
          <w:u w:val="single"/>
        </w:rPr>
        <w:t>60</w:t>
      </w:r>
    </w:p>
    <w:tbl>
      <w:tblPr>
        <w:tblStyle w:val="TableGrid"/>
        <w:tblW w:w="9604" w:type="dxa"/>
        <w:tblLook w:val="04A0" w:firstRow="1" w:lastRow="0" w:firstColumn="1" w:lastColumn="0" w:noHBand="0" w:noVBand="1"/>
      </w:tblPr>
      <w:tblGrid>
        <w:gridCol w:w="2689"/>
        <w:gridCol w:w="3260"/>
        <w:gridCol w:w="3655"/>
      </w:tblGrid>
      <w:tr w:rsidR="00BF21BE" w:rsidRPr="00D17209" w14:paraId="242DE690" w14:textId="77777777" w:rsidTr="00BC53CA">
        <w:trPr>
          <w:trHeight w:val="416"/>
        </w:trPr>
        <w:tc>
          <w:tcPr>
            <w:tcW w:w="9604" w:type="dxa"/>
            <w:gridSpan w:val="3"/>
            <w:shd w:val="clear" w:color="auto" w:fill="D9D9D9" w:themeFill="background1" w:themeFillShade="D9"/>
            <w:vAlign w:val="center"/>
          </w:tcPr>
          <w:p w14:paraId="7C675B7E" w14:textId="77777777" w:rsidR="00BF21BE" w:rsidRPr="00D17209" w:rsidRDefault="00BF21BE" w:rsidP="00BC53CA">
            <w:pPr>
              <w:jc w:val="center"/>
              <w:rPr>
                <w:sz w:val="22"/>
                <w:szCs w:val="22"/>
              </w:rPr>
            </w:pPr>
            <w:r w:rsidRPr="00D17209">
              <w:rPr>
                <w:b/>
                <w:bCs/>
                <w:sz w:val="22"/>
                <w:szCs w:val="22"/>
                <w:u w:val="single"/>
              </w:rPr>
              <w:t>ITU-T RECOMMENDATION OVERVIEW</w:t>
            </w:r>
          </w:p>
        </w:tc>
      </w:tr>
      <w:tr w:rsidR="00BF21BE" w:rsidRPr="00D17209" w14:paraId="7AF4B44C" w14:textId="77777777" w:rsidTr="00BC53CA">
        <w:trPr>
          <w:trHeight w:val="416"/>
        </w:trPr>
        <w:tc>
          <w:tcPr>
            <w:tcW w:w="2689" w:type="dxa"/>
            <w:vAlign w:val="center"/>
          </w:tcPr>
          <w:p w14:paraId="0FF2EA79" w14:textId="77777777" w:rsidR="00BF21BE" w:rsidRPr="00D17209" w:rsidRDefault="00BF21BE" w:rsidP="00BC53CA">
            <w:pPr>
              <w:rPr>
                <w:sz w:val="22"/>
                <w:szCs w:val="22"/>
              </w:rPr>
            </w:pPr>
            <w:r w:rsidRPr="00D17209">
              <w:rPr>
                <w:sz w:val="22"/>
                <w:szCs w:val="22"/>
              </w:rPr>
              <w:t>ITU-T Recommendation:</w:t>
            </w:r>
          </w:p>
        </w:tc>
        <w:tc>
          <w:tcPr>
            <w:tcW w:w="6915" w:type="dxa"/>
            <w:gridSpan w:val="2"/>
            <w:vAlign w:val="center"/>
          </w:tcPr>
          <w:p w14:paraId="7519D45C" w14:textId="333F9B70" w:rsidR="00BF21BE" w:rsidRPr="00FE7CA5" w:rsidRDefault="00125C65" w:rsidP="00BC53CA">
            <w:pPr>
              <w:rPr>
                <w:color w:val="4472C4" w:themeColor="accent5"/>
                <w:sz w:val="22"/>
                <w:szCs w:val="22"/>
              </w:rPr>
            </w:pPr>
            <w:r w:rsidRPr="00FE7CA5">
              <w:rPr>
                <w:color w:val="4472C4" w:themeColor="accent5"/>
                <w:sz w:val="22"/>
                <w:szCs w:val="22"/>
              </w:rPr>
              <w:t>K.</w:t>
            </w:r>
            <w:r w:rsidR="00A70103">
              <w:rPr>
                <w:color w:val="4472C4" w:themeColor="accent5"/>
                <w:sz w:val="22"/>
                <w:szCs w:val="22"/>
              </w:rPr>
              <w:t>60</w:t>
            </w:r>
          </w:p>
        </w:tc>
      </w:tr>
      <w:tr w:rsidR="00BF21BE" w:rsidRPr="00D17209" w14:paraId="0C01A4F4" w14:textId="77777777" w:rsidTr="00BC53CA">
        <w:trPr>
          <w:trHeight w:val="416"/>
        </w:trPr>
        <w:tc>
          <w:tcPr>
            <w:tcW w:w="2689" w:type="dxa"/>
            <w:vAlign w:val="center"/>
          </w:tcPr>
          <w:p w14:paraId="18B5B096" w14:textId="77777777" w:rsidR="00BF21BE" w:rsidRPr="00D17209" w:rsidRDefault="00BF21BE" w:rsidP="00BC53CA">
            <w:pPr>
              <w:rPr>
                <w:sz w:val="22"/>
                <w:szCs w:val="22"/>
              </w:rPr>
            </w:pPr>
            <w:r w:rsidRPr="00D17209">
              <w:rPr>
                <w:sz w:val="22"/>
                <w:szCs w:val="22"/>
              </w:rPr>
              <w:t>Title:</w:t>
            </w:r>
          </w:p>
        </w:tc>
        <w:tc>
          <w:tcPr>
            <w:tcW w:w="6915" w:type="dxa"/>
            <w:gridSpan w:val="2"/>
            <w:vAlign w:val="center"/>
          </w:tcPr>
          <w:p w14:paraId="0D443067" w14:textId="4D8FD9BD" w:rsidR="00BF21BE" w:rsidRPr="00FE7CA5" w:rsidRDefault="00A70103" w:rsidP="00BC53CA">
            <w:pPr>
              <w:rPr>
                <w:color w:val="4472C4" w:themeColor="accent5"/>
                <w:sz w:val="22"/>
                <w:szCs w:val="22"/>
              </w:rPr>
            </w:pPr>
            <w:r w:rsidRPr="00A70103">
              <w:rPr>
                <w:color w:val="4472C4" w:themeColor="accent5"/>
                <w:sz w:val="22"/>
                <w:szCs w:val="22"/>
              </w:rPr>
              <w:t>Emission levels and test methods for wireline telecommunication networks to minimize electromagnetic disturbance of radio services</w:t>
            </w:r>
          </w:p>
        </w:tc>
      </w:tr>
      <w:tr w:rsidR="00BF21BE" w:rsidRPr="00D17209" w14:paraId="368E82F1" w14:textId="77777777" w:rsidTr="00BC53CA">
        <w:trPr>
          <w:trHeight w:val="416"/>
        </w:trPr>
        <w:tc>
          <w:tcPr>
            <w:tcW w:w="2689" w:type="dxa"/>
            <w:vAlign w:val="center"/>
          </w:tcPr>
          <w:p w14:paraId="3621EDB2" w14:textId="77777777" w:rsidR="00BF21BE" w:rsidRPr="00D17209" w:rsidRDefault="00BF21BE" w:rsidP="00BC53CA">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4EA8A353" w14:textId="4D3B9CD8" w:rsidR="00BF21BE" w:rsidRPr="00FE7CA5" w:rsidRDefault="00F51030" w:rsidP="00BC53CA">
            <w:pPr>
              <w:rPr>
                <w:color w:val="4472C4" w:themeColor="accent5"/>
                <w:sz w:val="22"/>
                <w:szCs w:val="22"/>
              </w:rPr>
            </w:pPr>
            <w:r>
              <w:rPr>
                <w:color w:val="4472C4" w:themeColor="accent5"/>
                <w:sz w:val="22"/>
                <w:szCs w:val="22"/>
              </w:rPr>
              <w:t>0</w:t>
            </w:r>
            <w:r w:rsidR="00A70103">
              <w:rPr>
                <w:color w:val="4472C4" w:themeColor="accent5"/>
                <w:sz w:val="22"/>
                <w:szCs w:val="22"/>
              </w:rPr>
              <w:t>7</w:t>
            </w:r>
            <w:r>
              <w:rPr>
                <w:color w:val="4472C4" w:themeColor="accent5"/>
                <w:sz w:val="22"/>
                <w:szCs w:val="22"/>
              </w:rPr>
              <w:t>/202</w:t>
            </w:r>
            <w:r w:rsidR="00A70103">
              <w:rPr>
                <w:color w:val="4472C4" w:themeColor="accent5"/>
                <w:sz w:val="22"/>
                <w:szCs w:val="22"/>
              </w:rPr>
              <w:t>3</w:t>
            </w:r>
            <w:r>
              <w:rPr>
                <w:color w:val="4472C4" w:themeColor="accent5"/>
                <w:sz w:val="22"/>
                <w:szCs w:val="22"/>
              </w:rPr>
              <w:t xml:space="preserve"> (last publication)</w:t>
            </w:r>
          </w:p>
        </w:tc>
      </w:tr>
      <w:tr w:rsidR="00BF21BE" w:rsidRPr="00D17209" w14:paraId="4AD655D5" w14:textId="77777777" w:rsidTr="00BC53CA">
        <w:trPr>
          <w:trHeight w:val="708"/>
        </w:trPr>
        <w:tc>
          <w:tcPr>
            <w:tcW w:w="2689" w:type="dxa"/>
            <w:vAlign w:val="center"/>
          </w:tcPr>
          <w:p w14:paraId="14421E96" w14:textId="77777777" w:rsidR="00BF21BE" w:rsidRPr="00D17209" w:rsidRDefault="00BF21BE" w:rsidP="00BC53CA">
            <w:pPr>
              <w:rPr>
                <w:sz w:val="22"/>
                <w:szCs w:val="22"/>
              </w:rPr>
            </w:pPr>
            <w:r w:rsidRPr="00D17209">
              <w:rPr>
                <w:sz w:val="22"/>
                <w:szCs w:val="22"/>
              </w:rPr>
              <w:t xml:space="preserve">Summary: </w:t>
            </w:r>
          </w:p>
        </w:tc>
        <w:tc>
          <w:tcPr>
            <w:tcW w:w="6915" w:type="dxa"/>
            <w:gridSpan w:val="2"/>
            <w:vAlign w:val="center"/>
          </w:tcPr>
          <w:p w14:paraId="43EAE292" w14:textId="59057D31" w:rsidR="00915613" w:rsidRPr="00915613" w:rsidRDefault="00915613" w:rsidP="00915613">
            <w:pPr>
              <w:rPr>
                <w:color w:val="4472C4" w:themeColor="accent5"/>
                <w:sz w:val="22"/>
                <w:szCs w:val="22"/>
              </w:rPr>
            </w:pPr>
            <w:r>
              <w:rPr>
                <w:color w:val="4472C4" w:themeColor="accent5"/>
                <w:sz w:val="22"/>
                <w:szCs w:val="22"/>
              </w:rPr>
              <w:t xml:space="preserve">The </w:t>
            </w:r>
            <w:r w:rsidR="002A5C84">
              <w:rPr>
                <w:color w:val="4472C4" w:themeColor="accent5"/>
                <w:sz w:val="22"/>
                <w:szCs w:val="22"/>
              </w:rPr>
              <w:t>R</w:t>
            </w:r>
            <w:r w:rsidRPr="00915613">
              <w:rPr>
                <w:color w:val="4472C4" w:themeColor="accent5"/>
                <w:sz w:val="22"/>
                <w:szCs w:val="22"/>
              </w:rPr>
              <w:t xml:space="preserve">ecommendation </w:t>
            </w:r>
            <w:r>
              <w:rPr>
                <w:color w:val="4472C4" w:themeColor="accent5"/>
                <w:sz w:val="22"/>
                <w:szCs w:val="22"/>
              </w:rPr>
              <w:t xml:space="preserve">K.60 </w:t>
            </w:r>
            <w:r w:rsidRPr="00915613">
              <w:rPr>
                <w:color w:val="4472C4" w:themeColor="accent5"/>
                <w:sz w:val="22"/>
                <w:szCs w:val="22"/>
              </w:rPr>
              <w:t>is intended to guide administrations when</w:t>
            </w:r>
            <w:r>
              <w:rPr>
                <w:color w:val="4472C4" w:themeColor="accent5"/>
                <w:sz w:val="22"/>
                <w:szCs w:val="22"/>
              </w:rPr>
              <w:t xml:space="preserve"> </w:t>
            </w:r>
            <w:r w:rsidRPr="00915613">
              <w:rPr>
                <w:color w:val="4472C4" w:themeColor="accent5"/>
                <w:sz w:val="22"/>
                <w:szCs w:val="22"/>
              </w:rPr>
              <w:t>considering complaints of</w:t>
            </w:r>
            <w:r>
              <w:rPr>
                <w:color w:val="4472C4" w:themeColor="accent5"/>
                <w:sz w:val="22"/>
                <w:szCs w:val="22"/>
              </w:rPr>
              <w:t xml:space="preserve"> </w:t>
            </w:r>
            <w:r w:rsidRPr="00915613">
              <w:rPr>
                <w:color w:val="4472C4" w:themeColor="accent5"/>
                <w:sz w:val="22"/>
                <w:szCs w:val="22"/>
              </w:rPr>
              <w:t>interference between telecommunication systems.</w:t>
            </w:r>
          </w:p>
          <w:p w14:paraId="2502DD59" w14:textId="56DB54BB" w:rsidR="00915613" w:rsidRPr="00915613" w:rsidRDefault="00915613" w:rsidP="00915613">
            <w:pPr>
              <w:rPr>
                <w:color w:val="4472C4" w:themeColor="accent5"/>
                <w:sz w:val="22"/>
                <w:szCs w:val="22"/>
              </w:rPr>
            </w:pPr>
            <w:r w:rsidRPr="00915613">
              <w:rPr>
                <w:color w:val="4472C4" w:themeColor="accent5"/>
                <w:sz w:val="22"/>
                <w:szCs w:val="22"/>
              </w:rPr>
              <w:t xml:space="preserve">The emission levels and test methods </w:t>
            </w:r>
            <w:r>
              <w:rPr>
                <w:color w:val="4472C4" w:themeColor="accent5"/>
                <w:sz w:val="22"/>
                <w:szCs w:val="22"/>
              </w:rPr>
              <w:t>in K.60</w:t>
            </w:r>
            <w:r w:rsidRPr="00915613">
              <w:rPr>
                <w:color w:val="4472C4" w:themeColor="accent5"/>
                <w:sz w:val="22"/>
                <w:szCs w:val="22"/>
              </w:rPr>
              <w:t xml:space="preserve"> apply to:</w:t>
            </w:r>
          </w:p>
          <w:p w14:paraId="79F25ECB" w14:textId="7C955846" w:rsidR="00915613" w:rsidRPr="00915613" w:rsidRDefault="00915613" w:rsidP="00915613">
            <w:pPr>
              <w:pStyle w:val="ListParagraph"/>
              <w:numPr>
                <w:ilvl w:val="0"/>
                <w:numId w:val="11"/>
              </w:numPr>
              <w:rPr>
                <w:color w:val="4472C4" w:themeColor="accent5"/>
                <w:sz w:val="22"/>
                <w:szCs w:val="22"/>
              </w:rPr>
            </w:pPr>
            <w:r w:rsidRPr="00915613">
              <w:rPr>
                <w:color w:val="4472C4" w:themeColor="accent5"/>
                <w:sz w:val="22"/>
                <w:szCs w:val="22"/>
              </w:rPr>
              <w:t xml:space="preserve">disturbing emissions from wireline telecommunication </w:t>
            </w:r>
            <w:proofErr w:type="gramStart"/>
            <w:r w:rsidRPr="00915613">
              <w:rPr>
                <w:color w:val="4472C4" w:themeColor="accent5"/>
                <w:sz w:val="22"/>
                <w:szCs w:val="22"/>
              </w:rPr>
              <w:t>networks;</w:t>
            </w:r>
            <w:proofErr w:type="gramEnd"/>
          </w:p>
          <w:p w14:paraId="3BAD930F" w14:textId="30C85D02" w:rsidR="00915613" w:rsidRPr="00915613" w:rsidRDefault="00915613" w:rsidP="00C90221">
            <w:pPr>
              <w:pStyle w:val="ListParagraph"/>
              <w:numPr>
                <w:ilvl w:val="0"/>
                <w:numId w:val="11"/>
              </w:numPr>
              <w:rPr>
                <w:color w:val="4472C4" w:themeColor="accent5"/>
                <w:sz w:val="22"/>
                <w:szCs w:val="22"/>
              </w:rPr>
            </w:pPr>
            <w:r w:rsidRPr="00915613">
              <w:rPr>
                <w:color w:val="4472C4" w:themeColor="accent5"/>
                <w:sz w:val="22"/>
                <w:szCs w:val="22"/>
              </w:rPr>
              <w:t>only those frequencies that are launched onto the telecommunication wire-pair as part of the intentional transmission spectrum of the broadband system</w:t>
            </w:r>
          </w:p>
          <w:p w14:paraId="58EEA183" w14:textId="7DB5B44C" w:rsidR="00915613" w:rsidRPr="00915613" w:rsidRDefault="00915613" w:rsidP="00915613">
            <w:pPr>
              <w:rPr>
                <w:color w:val="4472C4" w:themeColor="accent5"/>
                <w:sz w:val="22"/>
                <w:szCs w:val="22"/>
              </w:rPr>
            </w:pPr>
            <w:r w:rsidRPr="00915613">
              <w:rPr>
                <w:color w:val="4472C4" w:themeColor="accent5"/>
                <w:sz w:val="22"/>
                <w:szCs w:val="22"/>
              </w:rPr>
              <w:t>It covers, but is not restricted to, target levels regarding radiated disturbing emissions for such</w:t>
            </w:r>
            <w:r>
              <w:rPr>
                <w:color w:val="4472C4" w:themeColor="accent5"/>
                <w:sz w:val="22"/>
                <w:szCs w:val="22"/>
              </w:rPr>
              <w:t xml:space="preserve"> </w:t>
            </w:r>
            <w:r w:rsidRPr="00915613">
              <w:rPr>
                <w:color w:val="4472C4" w:themeColor="accent5"/>
                <w:sz w:val="22"/>
                <w:szCs w:val="22"/>
              </w:rPr>
              <w:t>telecommunication networks as:</w:t>
            </w:r>
          </w:p>
          <w:p w14:paraId="55B71414" w14:textId="658901B5" w:rsidR="00915613" w:rsidRPr="00915613" w:rsidRDefault="00915613" w:rsidP="00915613">
            <w:pPr>
              <w:pStyle w:val="ListParagraph"/>
              <w:numPr>
                <w:ilvl w:val="0"/>
                <w:numId w:val="11"/>
              </w:numPr>
              <w:rPr>
                <w:color w:val="4472C4" w:themeColor="accent5"/>
                <w:sz w:val="22"/>
                <w:szCs w:val="22"/>
              </w:rPr>
            </w:pPr>
            <w:r w:rsidRPr="00915613">
              <w:rPr>
                <w:color w:val="4472C4" w:themeColor="accent5"/>
                <w:sz w:val="22"/>
                <w:szCs w:val="22"/>
              </w:rPr>
              <w:t xml:space="preserve">networks using telecommunication cables and their in-house cabling </w:t>
            </w:r>
            <w:proofErr w:type="gramStart"/>
            <w:r w:rsidRPr="00915613">
              <w:rPr>
                <w:color w:val="4472C4" w:themeColor="accent5"/>
                <w:sz w:val="22"/>
                <w:szCs w:val="22"/>
              </w:rPr>
              <w:t>extensions;</w:t>
            </w:r>
            <w:proofErr w:type="gramEnd"/>
          </w:p>
          <w:p w14:paraId="6B8A15E9" w14:textId="34681E69" w:rsidR="00915613" w:rsidRPr="00915613" w:rsidRDefault="00915613" w:rsidP="00915613">
            <w:pPr>
              <w:pStyle w:val="ListParagraph"/>
              <w:numPr>
                <w:ilvl w:val="0"/>
                <w:numId w:val="11"/>
              </w:numPr>
              <w:rPr>
                <w:color w:val="4472C4" w:themeColor="accent5"/>
                <w:sz w:val="22"/>
                <w:szCs w:val="22"/>
              </w:rPr>
            </w:pPr>
            <w:r w:rsidRPr="00915613">
              <w:rPr>
                <w:color w:val="4472C4" w:themeColor="accent5"/>
                <w:sz w:val="22"/>
                <w:szCs w:val="22"/>
              </w:rPr>
              <w:t xml:space="preserve">networks using the low voltage (LV) alternating current (AC) mains </w:t>
            </w:r>
            <w:proofErr w:type="gramStart"/>
            <w:r w:rsidRPr="00915613">
              <w:rPr>
                <w:color w:val="4472C4" w:themeColor="accent5"/>
                <w:sz w:val="22"/>
                <w:szCs w:val="22"/>
              </w:rPr>
              <w:t>network;</w:t>
            </w:r>
            <w:proofErr w:type="gramEnd"/>
          </w:p>
          <w:p w14:paraId="2B7772E6" w14:textId="0A49F61D" w:rsidR="00915613" w:rsidRPr="00915613" w:rsidRDefault="00915613" w:rsidP="00915613">
            <w:pPr>
              <w:pStyle w:val="ListParagraph"/>
              <w:numPr>
                <w:ilvl w:val="0"/>
                <w:numId w:val="11"/>
              </w:numPr>
              <w:rPr>
                <w:color w:val="4472C4" w:themeColor="accent5"/>
                <w:sz w:val="22"/>
                <w:szCs w:val="22"/>
              </w:rPr>
            </w:pPr>
            <w:r w:rsidRPr="00915613">
              <w:rPr>
                <w:color w:val="4472C4" w:themeColor="accent5"/>
                <w:sz w:val="22"/>
                <w:szCs w:val="22"/>
              </w:rPr>
              <w:t>community antenna TV (CATV) distribution networks.</w:t>
            </w:r>
          </w:p>
          <w:p w14:paraId="479C1B76" w14:textId="77873518" w:rsidR="00BB0648" w:rsidRPr="00FE7CA5" w:rsidRDefault="00915613" w:rsidP="00915613">
            <w:pPr>
              <w:rPr>
                <w:color w:val="4472C4" w:themeColor="accent5"/>
                <w:sz w:val="22"/>
                <w:szCs w:val="22"/>
              </w:rPr>
            </w:pPr>
            <w:r w:rsidRPr="00915613">
              <w:rPr>
                <w:color w:val="4472C4" w:themeColor="accent5"/>
                <w:sz w:val="22"/>
                <w:szCs w:val="22"/>
              </w:rPr>
              <w:t>This Recommendation provides an adequate level of protection of the radio spectrum, allowing</w:t>
            </w:r>
            <w:r>
              <w:rPr>
                <w:color w:val="4472C4" w:themeColor="accent5"/>
                <w:sz w:val="22"/>
                <w:szCs w:val="22"/>
              </w:rPr>
              <w:t xml:space="preserve"> </w:t>
            </w:r>
            <w:r w:rsidRPr="00915613">
              <w:rPr>
                <w:color w:val="4472C4" w:themeColor="accent5"/>
                <w:sz w:val="22"/>
                <w:szCs w:val="22"/>
              </w:rPr>
              <w:t xml:space="preserve">radio services to operate as intended in the frequency range 9 kHz to </w:t>
            </w:r>
            <w:r>
              <w:rPr>
                <w:color w:val="4472C4" w:themeColor="accent5"/>
                <w:sz w:val="22"/>
                <w:szCs w:val="22"/>
              </w:rPr>
              <w:t>6</w:t>
            </w:r>
            <w:r w:rsidRPr="00915613">
              <w:rPr>
                <w:color w:val="4472C4" w:themeColor="accent5"/>
                <w:sz w:val="22"/>
                <w:szCs w:val="22"/>
              </w:rPr>
              <w:t xml:space="preserve"> GHz.</w:t>
            </w:r>
          </w:p>
        </w:tc>
      </w:tr>
      <w:tr w:rsidR="00BF21BE" w:rsidRPr="00D17209" w14:paraId="0B0AB3B9" w14:textId="77777777" w:rsidTr="00BC53CA">
        <w:trPr>
          <w:trHeight w:val="413"/>
        </w:trPr>
        <w:tc>
          <w:tcPr>
            <w:tcW w:w="9604" w:type="dxa"/>
            <w:gridSpan w:val="3"/>
            <w:shd w:val="clear" w:color="auto" w:fill="D9D9D9" w:themeFill="background1" w:themeFillShade="D9"/>
            <w:vAlign w:val="center"/>
          </w:tcPr>
          <w:p w14:paraId="1BA7AFA9" w14:textId="77777777" w:rsidR="00BF21BE" w:rsidRPr="00D17209" w:rsidRDefault="00BF21BE" w:rsidP="00BC53CA">
            <w:pPr>
              <w:jc w:val="center"/>
              <w:rPr>
                <w:sz w:val="22"/>
                <w:szCs w:val="22"/>
              </w:rPr>
            </w:pPr>
            <w:r w:rsidRPr="00D17209">
              <w:rPr>
                <w:b/>
                <w:bCs/>
                <w:sz w:val="22"/>
                <w:szCs w:val="22"/>
                <w:u w:val="single"/>
              </w:rPr>
              <w:t>SUCCESS STORY</w:t>
            </w:r>
          </w:p>
        </w:tc>
      </w:tr>
      <w:tr w:rsidR="00BF21BE" w:rsidRPr="00D17209" w14:paraId="258E572E" w14:textId="77777777" w:rsidTr="00BC53CA">
        <w:trPr>
          <w:trHeight w:val="1246"/>
        </w:trPr>
        <w:tc>
          <w:tcPr>
            <w:tcW w:w="2689" w:type="dxa"/>
            <w:vAlign w:val="center"/>
          </w:tcPr>
          <w:p w14:paraId="349D8511" w14:textId="77777777" w:rsidR="00BF21BE" w:rsidRDefault="00BF21BE" w:rsidP="00BC53CA">
            <w:pPr>
              <w:rPr>
                <w:sz w:val="22"/>
                <w:szCs w:val="22"/>
              </w:rPr>
            </w:pPr>
            <w:r w:rsidRPr="00D17209">
              <w:rPr>
                <w:sz w:val="22"/>
                <w:szCs w:val="22"/>
              </w:rPr>
              <w:t xml:space="preserve">Implementation </w:t>
            </w:r>
            <w:r>
              <w:rPr>
                <w:sz w:val="22"/>
                <w:szCs w:val="22"/>
              </w:rPr>
              <w:t>t</w:t>
            </w:r>
            <w:r w:rsidRPr="00D17209">
              <w:rPr>
                <w:sz w:val="22"/>
                <w:szCs w:val="22"/>
              </w:rPr>
              <w:t>ype:</w:t>
            </w:r>
          </w:p>
          <w:p w14:paraId="1A06B43F" w14:textId="77777777" w:rsidR="00BF21BE" w:rsidRPr="00D17209" w:rsidRDefault="00BF21BE" w:rsidP="00BC53CA">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0E3D8AEA" w14:textId="30D5AC89" w:rsidR="00BF21BE" w:rsidRDefault="00BB0648" w:rsidP="00BC53CA">
            <w:pPr>
              <w:spacing w:before="0"/>
              <w:rPr>
                <w:sz w:val="22"/>
                <w:szCs w:val="22"/>
              </w:rPr>
            </w:pPr>
            <w:r>
              <w:rPr>
                <w:rFonts w:ascii="Segoe UI Symbol" w:hAnsi="Segoe UI Symbol" w:cs="Segoe UI Symbol"/>
                <w:sz w:val="22"/>
                <w:szCs w:val="22"/>
                <w:shd w:val="clear" w:color="auto" w:fill="2E74B5" w:themeFill="accent1" w:themeFillShade="BF"/>
              </w:rPr>
              <w:t>X</w:t>
            </w:r>
            <w:r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p</w:t>
            </w:r>
            <w:r w:rsidR="00BF21BE" w:rsidRPr="00D17209">
              <w:rPr>
                <w:sz w:val="22"/>
                <w:szCs w:val="22"/>
              </w:rPr>
              <w:t>roducts/</w:t>
            </w:r>
            <w:r w:rsidR="00BF21BE">
              <w:rPr>
                <w:sz w:val="22"/>
                <w:szCs w:val="22"/>
              </w:rPr>
              <w:t>s</w:t>
            </w:r>
            <w:r w:rsidR="00BF21BE" w:rsidRPr="00D17209">
              <w:rPr>
                <w:sz w:val="22"/>
                <w:szCs w:val="22"/>
              </w:rPr>
              <w:t>ervices</w:t>
            </w:r>
            <w:r w:rsidR="00BF21BE" w:rsidRPr="00D17209">
              <w:rPr>
                <w:sz w:val="22"/>
                <w:szCs w:val="22"/>
              </w:rPr>
              <w:br/>
            </w:r>
            <w:r w:rsidRPr="00D17209">
              <w:rPr>
                <w:rFonts w:ascii="Segoe UI Symbol" w:hAnsi="Segoe UI Symbol" w:cs="Segoe UI Symbol"/>
                <w:sz w:val="22"/>
                <w:szCs w:val="22"/>
              </w:rPr>
              <w:t>☐</w:t>
            </w:r>
            <w:r w:rsidR="00BF21BE"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r</w:t>
            </w:r>
            <w:r w:rsidR="00BF21BE" w:rsidRPr="00D17209">
              <w:rPr>
                <w:sz w:val="22"/>
                <w:szCs w:val="22"/>
              </w:rPr>
              <w:t>egulations/</w:t>
            </w:r>
            <w:r w:rsidR="00BF21BE">
              <w:rPr>
                <w:sz w:val="22"/>
                <w:szCs w:val="22"/>
              </w:rPr>
              <w:t>p</w:t>
            </w:r>
            <w:r w:rsidR="00BF21BE" w:rsidRPr="00D17209">
              <w:rPr>
                <w:sz w:val="22"/>
                <w:szCs w:val="22"/>
              </w:rPr>
              <w:t>olicies</w:t>
            </w:r>
            <w:r w:rsidR="00BF21BE">
              <w:rPr>
                <w:sz w:val="22"/>
                <w:szCs w:val="22"/>
              </w:rPr>
              <w:t>/national standards</w:t>
            </w:r>
            <w:r w:rsidR="00BF21BE" w:rsidRPr="00D17209">
              <w:rPr>
                <w:sz w:val="22"/>
                <w:szCs w:val="22"/>
              </w:rPr>
              <w:br/>
            </w:r>
            <w:r w:rsidR="00BF21BE" w:rsidRPr="00D17209">
              <w:rPr>
                <w:rFonts w:ascii="Segoe UI Symbol" w:hAnsi="Segoe UI Symbol" w:cs="Segoe UI Symbol"/>
                <w:sz w:val="22"/>
                <w:szCs w:val="22"/>
              </w:rPr>
              <w:t>☐</w:t>
            </w:r>
            <w:r w:rsidR="00BF21BE" w:rsidRPr="00D17209">
              <w:rPr>
                <w:sz w:val="22"/>
                <w:szCs w:val="22"/>
              </w:rPr>
              <w:t xml:space="preserve"> International </w:t>
            </w:r>
            <w:r w:rsidR="00BF21BE">
              <w:rPr>
                <w:sz w:val="22"/>
                <w:szCs w:val="22"/>
              </w:rPr>
              <w:t>s</w:t>
            </w:r>
            <w:r w:rsidR="00BF21BE" w:rsidRPr="00D17209">
              <w:rPr>
                <w:sz w:val="22"/>
                <w:szCs w:val="22"/>
              </w:rPr>
              <w:t>tandards</w:t>
            </w:r>
            <w:r w:rsidR="00BF21BE">
              <w:rPr>
                <w:sz w:val="22"/>
                <w:szCs w:val="22"/>
              </w:rPr>
              <w:t xml:space="preserve">/ </w:t>
            </w:r>
            <w:r w:rsidR="00F22528">
              <w:rPr>
                <w:sz w:val="22"/>
                <w:szCs w:val="22"/>
              </w:rPr>
              <w:t>R</w:t>
            </w:r>
            <w:r w:rsidR="00BF21BE">
              <w:rPr>
                <w:sz w:val="22"/>
                <w:szCs w:val="22"/>
              </w:rPr>
              <w:t>ecommendations</w:t>
            </w:r>
          </w:p>
          <w:p w14:paraId="6A06E50F" w14:textId="77777777" w:rsidR="00BF21BE" w:rsidRPr="00D17209"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BF21BE" w:rsidRPr="00D17209" w14:paraId="45114A40" w14:textId="77777777" w:rsidTr="00BC53CA">
        <w:trPr>
          <w:trHeight w:val="848"/>
        </w:trPr>
        <w:tc>
          <w:tcPr>
            <w:tcW w:w="2689" w:type="dxa"/>
            <w:vMerge w:val="restart"/>
            <w:vAlign w:val="center"/>
          </w:tcPr>
          <w:p w14:paraId="60B3344F"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55EAA82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264261EC" w14:textId="64AECBC5" w:rsidR="00BF21BE" w:rsidRPr="00D17209" w:rsidRDefault="00BB0648" w:rsidP="00BC53CA">
            <w:pPr>
              <w:rPr>
                <w:sz w:val="22"/>
                <w:szCs w:val="22"/>
              </w:rPr>
            </w:pPr>
            <w:r w:rsidRPr="002A5C84">
              <w:rPr>
                <w:color w:val="4472C4" w:themeColor="accent5"/>
                <w:sz w:val="22"/>
                <w:szCs w:val="22"/>
              </w:rPr>
              <w:t>Various Telecom operators and National Authorities</w:t>
            </w:r>
          </w:p>
        </w:tc>
        <w:tc>
          <w:tcPr>
            <w:tcW w:w="3655" w:type="dxa"/>
          </w:tcPr>
          <w:p w14:paraId="5BB36E94" w14:textId="77777777" w:rsidR="00BF21BE" w:rsidRPr="00D17209" w:rsidRDefault="00BF21BE" w:rsidP="00BC53CA">
            <w:pPr>
              <w:rPr>
                <w:b/>
                <w:bCs/>
                <w:sz w:val="22"/>
                <w:szCs w:val="22"/>
              </w:rPr>
            </w:pPr>
            <w:r w:rsidRPr="00D17209">
              <w:rPr>
                <w:b/>
                <w:bCs/>
                <w:sz w:val="22"/>
                <w:szCs w:val="22"/>
              </w:rPr>
              <w:t>Implementation:</w:t>
            </w:r>
          </w:p>
          <w:p w14:paraId="3577840A" w14:textId="44F991FA" w:rsidR="00BF21BE" w:rsidRPr="00D17209" w:rsidRDefault="00BB0648" w:rsidP="00BB0648">
            <w:pPr>
              <w:rPr>
                <w:i/>
                <w:iCs/>
                <w:sz w:val="22"/>
                <w:szCs w:val="22"/>
              </w:rPr>
            </w:pPr>
            <w:r w:rsidRPr="002A5C84">
              <w:rPr>
                <w:color w:val="4472C4" w:themeColor="accent5"/>
                <w:sz w:val="22"/>
                <w:szCs w:val="22"/>
              </w:rPr>
              <w:t>Management of interference cases associated to telecom networks</w:t>
            </w:r>
          </w:p>
        </w:tc>
      </w:tr>
      <w:tr w:rsidR="00BF21BE" w:rsidRPr="00D17209" w14:paraId="203C10B1" w14:textId="77777777" w:rsidTr="00BC53CA">
        <w:trPr>
          <w:trHeight w:val="1232"/>
        </w:trPr>
        <w:tc>
          <w:tcPr>
            <w:tcW w:w="2689" w:type="dxa"/>
            <w:vMerge/>
            <w:vAlign w:val="center"/>
          </w:tcPr>
          <w:p w14:paraId="435A5231" w14:textId="77777777" w:rsidR="00BF21BE" w:rsidRPr="00ED5AC1" w:rsidRDefault="00BF21BE" w:rsidP="00BC53CA">
            <w:pPr>
              <w:rPr>
                <w:b/>
                <w:bCs/>
                <w:u w:val="single"/>
              </w:rPr>
            </w:pPr>
          </w:p>
        </w:tc>
        <w:tc>
          <w:tcPr>
            <w:tcW w:w="6915" w:type="dxa"/>
            <w:gridSpan w:val="2"/>
          </w:tcPr>
          <w:p w14:paraId="7B0FEC93"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71A0CA54" w14:textId="77777777" w:rsidR="00915613" w:rsidRPr="002A5C84" w:rsidRDefault="00915613" w:rsidP="00915613">
            <w:pPr>
              <w:rPr>
                <w:color w:val="4472C4" w:themeColor="accent5"/>
                <w:sz w:val="22"/>
                <w:szCs w:val="22"/>
              </w:rPr>
            </w:pPr>
            <w:r w:rsidRPr="002A5C84">
              <w:rPr>
                <w:color w:val="4472C4" w:themeColor="accent5"/>
                <w:sz w:val="22"/>
                <w:szCs w:val="22"/>
              </w:rPr>
              <w:t xml:space="preserve">Recommendation ITU-T K.60 proposes a measurement method and target levels that are applied by national administrations and telecom operators </w:t>
            </w:r>
            <w:proofErr w:type="spellStart"/>
            <w:r w:rsidRPr="002A5C84">
              <w:rPr>
                <w:color w:val="4472C4" w:themeColor="accent5"/>
                <w:sz w:val="22"/>
                <w:szCs w:val="22"/>
              </w:rPr>
              <w:t>t</w:t>
            </w:r>
            <w:proofErr w:type="spellEnd"/>
            <w:r w:rsidRPr="002A5C84">
              <w:rPr>
                <w:color w:val="4472C4" w:themeColor="accent5"/>
                <w:sz w:val="22"/>
                <w:szCs w:val="22"/>
              </w:rPr>
              <w:t xml:space="preserve"> manage cases of interference between telecom networks and radio services. </w:t>
            </w:r>
          </w:p>
          <w:p w14:paraId="2CF3CE3F" w14:textId="2562C414" w:rsidR="00BF21BE" w:rsidRPr="00D17209" w:rsidRDefault="00915613" w:rsidP="00915613">
            <w:pPr>
              <w:rPr>
                <w:sz w:val="22"/>
                <w:szCs w:val="22"/>
              </w:rPr>
            </w:pPr>
            <w:r w:rsidRPr="002A5C84">
              <w:rPr>
                <w:color w:val="4472C4" w:themeColor="accent5"/>
                <w:sz w:val="22"/>
                <w:szCs w:val="22"/>
              </w:rPr>
              <w:t>In the event of interference, the share of responsibility between the network operator and the national responsible body, as well as the levels of the radiated field are specified in this ITU-T Recommendation</w:t>
            </w:r>
            <w:r w:rsidR="002A5C84">
              <w:rPr>
                <w:color w:val="4472C4" w:themeColor="accent5"/>
                <w:sz w:val="22"/>
                <w:szCs w:val="22"/>
              </w:rPr>
              <w:t>.</w:t>
            </w:r>
          </w:p>
        </w:tc>
      </w:tr>
      <w:tr w:rsidR="00A157A9" w:rsidRPr="00D17209" w14:paraId="74DDB51E" w14:textId="77777777" w:rsidTr="00E0623A">
        <w:trPr>
          <w:trHeight w:val="1169"/>
        </w:trPr>
        <w:tc>
          <w:tcPr>
            <w:tcW w:w="2689" w:type="dxa"/>
            <w:vMerge w:val="restart"/>
            <w:vAlign w:val="center"/>
          </w:tcPr>
          <w:p w14:paraId="3B592CEB" w14:textId="77777777" w:rsidR="00A157A9" w:rsidRPr="00ED5AC1" w:rsidRDefault="00A157A9" w:rsidP="00A157A9">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r</w:t>
            </w:r>
            <w:r w:rsidRPr="00ED5AC1">
              <w:rPr>
                <w:b/>
                <w:bCs/>
                <w:u w:val="single"/>
              </w:rPr>
              <w:t>egulations/</w:t>
            </w:r>
            <w:r>
              <w:rPr>
                <w:b/>
                <w:bCs/>
                <w:u w:val="single"/>
              </w:rPr>
              <w:t>p</w:t>
            </w:r>
            <w:r w:rsidRPr="00ED5AC1">
              <w:rPr>
                <w:b/>
                <w:bCs/>
                <w:u w:val="single"/>
              </w:rPr>
              <w:t>olicies</w:t>
            </w:r>
            <w:r>
              <w:rPr>
                <w:b/>
                <w:bCs/>
                <w:u w:val="single"/>
              </w:rPr>
              <w:t>/ national Standards</w:t>
            </w:r>
          </w:p>
        </w:tc>
        <w:tc>
          <w:tcPr>
            <w:tcW w:w="3260" w:type="dxa"/>
          </w:tcPr>
          <w:p w14:paraId="6AD02841" w14:textId="77777777" w:rsidR="00A157A9" w:rsidRPr="00D17209" w:rsidRDefault="00A157A9" w:rsidP="00A157A9">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606E23D7" w14:textId="1172A043" w:rsidR="00A157A9" w:rsidRPr="00D17209" w:rsidRDefault="002A5C84" w:rsidP="00A157A9">
            <w:pPr>
              <w:rPr>
                <w:rFonts w:ascii="Segoe UI Symbol" w:hAnsi="Segoe UI Symbol" w:cs="Segoe UI Symbol"/>
                <w:sz w:val="22"/>
                <w:szCs w:val="22"/>
              </w:rPr>
            </w:pPr>
            <w:r>
              <w:rPr>
                <w:sz w:val="22"/>
                <w:szCs w:val="22"/>
              </w:rPr>
              <w:t>N/A</w:t>
            </w:r>
          </w:p>
        </w:tc>
        <w:tc>
          <w:tcPr>
            <w:tcW w:w="3655" w:type="dxa"/>
          </w:tcPr>
          <w:p w14:paraId="56A00BA8" w14:textId="77777777" w:rsidR="00A157A9" w:rsidRPr="00D17209" w:rsidRDefault="00A157A9" w:rsidP="00A157A9">
            <w:pPr>
              <w:rPr>
                <w:b/>
                <w:bCs/>
                <w:sz w:val="22"/>
                <w:szCs w:val="22"/>
              </w:rPr>
            </w:pPr>
            <w:r w:rsidRPr="00D17209">
              <w:rPr>
                <w:b/>
                <w:bCs/>
                <w:sz w:val="22"/>
                <w:szCs w:val="22"/>
              </w:rPr>
              <w:t>Implementation</w:t>
            </w:r>
          </w:p>
          <w:p w14:paraId="0192B95C" w14:textId="5EF781C9" w:rsidR="00A157A9" w:rsidRPr="00FE7CA5" w:rsidRDefault="002A5C84" w:rsidP="00A157A9">
            <w:pPr>
              <w:rPr>
                <w:rFonts w:ascii="Segoe UI Symbol" w:hAnsi="Segoe UI Symbol" w:cs="Segoe UI Symbol"/>
                <w:i/>
                <w:iCs/>
                <w:sz w:val="22"/>
                <w:szCs w:val="22"/>
              </w:rPr>
            </w:pPr>
            <w:r>
              <w:rPr>
                <w:sz w:val="22"/>
                <w:szCs w:val="22"/>
              </w:rPr>
              <w:t>N/A</w:t>
            </w:r>
          </w:p>
        </w:tc>
      </w:tr>
      <w:tr w:rsidR="00A157A9" w:rsidRPr="00D17209" w14:paraId="5D4F3F43" w14:textId="77777777" w:rsidTr="00BC53CA">
        <w:trPr>
          <w:trHeight w:val="1142"/>
        </w:trPr>
        <w:tc>
          <w:tcPr>
            <w:tcW w:w="2689" w:type="dxa"/>
            <w:vMerge/>
            <w:vAlign w:val="center"/>
          </w:tcPr>
          <w:p w14:paraId="787A30AA" w14:textId="77777777" w:rsidR="00A157A9" w:rsidRPr="00ED5AC1" w:rsidRDefault="00A157A9" w:rsidP="00A157A9">
            <w:pPr>
              <w:rPr>
                <w:rFonts w:ascii="Segoe UI Symbol" w:hAnsi="Segoe UI Symbol" w:cs="Segoe UI Symbol"/>
                <w:b/>
                <w:bCs/>
                <w:u w:val="single"/>
              </w:rPr>
            </w:pPr>
          </w:p>
        </w:tc>
        <w:tc>
          <w:tcPr>
            <w:tcW w:w="6915" w:type="dxa"/>
            <w:gridSpan w:val="2"/>
          </w:tcPr>
          <w:p w14:paraId="12B8C277" w14:textId="77777777" w:rsidR="00A157A9" w:rsidRPr="00D17209" w:rsidRDefault="00A157A9" w:rsidP="00A157A9">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99E69D7" w14:textId="53C86686" w:rsidR="00A157A9" w:rsidRPr="00D17209" w:rsidRDefault="002A5C84" w:rsidP="00A157A9">
            <w:pPr>
              <w:rPr>
                <w:rFonts w:ascii="Segoe UI Symbol" w:hAnsi="Segoe UI Symbol" w:cs="Segoe UI Symbol"/>
                <w:sz w:val="22"/>
                <w:szCs w:val="22"/>
              </w:rPr>
            </w:pPr>
            <w:r>
              <w:rPr>
                <w:sz w:val="22"/>
                <w:szCs w:val="22"/>
              </w:rPr>
              <w:t>N/A</w:t>
            </w:r>
          </w:p>
        </w:tc>
      </w:tr>
      <w:tr w:rsidR="00BF21BE" w:rsidRPr="00D17209" w14:paraId="5412C724" w14:textId="77777777" w:rsidTr="00BC53CA">
        <w:trPr>
          <w:trHeight w:val="1234"/>
        </w:trPr>
        <w:tc>
          <w:tcPr>
            <w:tcW w:w="2689" w:type="dxa"/>
            <w:vMerge w:val="restart"/>
            <w:vAlign w:val="center"/>
          </w:tcPr>
          <w:p w14:paraId="443ADC3C" w14:textId="685A8521" w:rsidR="00BF21BE" w:rsidRPr="00ED5AC1" w:rsidRDefault="00BF21BE" w:rsidP="00BC53CA">
            <w:pPr>
              <w:rPr>
                <w:rFonts w:ascii="Segoe UI Symbol" w:hAnsi="Segoe UI Symbol" w:cs="Segoe UI Symbol"/>
                <w:b/>
                <w:bCs/>
                <w:u w:val="single"/>
              </w:rPr>
            </w:pPr>
            <w:r w:rsidRPr="00ED5AC1">
              <w:rPr>
                <w:b/>
                <w:bCs/>
                <w:u w:val="single"/>
              </w:rPr>
              <w:t xml:space="preserve">International </w:t>
            </w:r>
            <w:r>
              <w:rPr>
                <w:b/>
                <w:bCs/>
                <w:u w:val="single"/>
              </w:rPr>
              <w:t>s</w:t>
            </w:r>
            <w:r w:rsidRPr="00ED5AC1">
              <w:rPr>
                <w:b/>
                <w:bCs/>
                <w:u w:val="single"/>
              </w:rPr>
              <w:t>tandards</w:t>
            </w:r>
            <w:r>
              <w:rPr>
                <w:b/>
                <w:bCs/>
                <w:u w:val="single"/>
              </w:rPr>
              <w:t xml:space="preserve">/ </w:t>
            </w:r>
            <w:r w:rsidR="00F22528">
              <w:rPr>
                <w:b/>
                <w:bCs/>
                <w:u w:val="single"/>
              </w:rPr>
              <w:t>R</w:t>
            </w:r>
            <w:r>
              <w:rPr>
                <w:b/>
                <w:bCs/>
                <w:u w:val="single"/>
              </w:rPr>
              <w:t>ecommendations</w:t>
            </w:r>
          </w:p>
        </w:tc>
        <w:tc>
          <w:tcPr>
            <w:tcW w:w="3260" w:type="dxa"/>
          </w:tcPr>
          <w:p w14:paraId="211FBD0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59A42144" w14:textId="6D4660F3" w:rsidR="00BF21BE" w:rsidRPr="00D17209" w:rsidRDefault="002A5C84" w:rsidP="00BC53CA">
            <w:pPr>
              <w:rPr>
                <w:rFonts w:ascii="Segoe UI Symbol" w:hAnsi="Segoe UI Symbol" w:cs="Segoe UI Symbol"/>
                <w:sz w:val="22"/>
                <w:szCs w:val="22"/>
              </w:rPr>
            </w:pPr>
            <w:r>
              <w:rPr>
                <w:sz w:val="22"/>
                <w:szCs w:val="22"/>
              </w:rPr>
              <w:t>N/A</w:t>
            </w:r>
          </w:p>
        </w:tc>
        <w:tc>
          <w:tcPr>
            <w:tcW w:w="3655" w:type="dxa"/>
          </w:tcPr>
          <w:p w14:paraId="089D187B" w14:textId="77777777" w:rsidR="00BF21BE" w:rsidRPr="00D17209" w:rsidRDefault="00BF21BE" w:rsidP="00BC53CA">
            <w:pPr>
              <w:rPr>
                <w:b/>
                <w:bCs/>
                <w:sz w:val="22"/>
                <w:szCs w:val="22"/>
              </w:rPr>
            </w:pPr>
            <w:r w:rsidRPr="00D17209">
              <w:rPr>
                <w:b/>
                <w:bCs/>
                <w:sz w:val="22"/>
                <w:szCs w:val="22"/>
              </w:rPr>
              <w:t>Implementation</w:t>
            </w:r>
          </w:p>
          <w:p w14:paraId="398F934D" w14:textId="6D76B254" w:rsidR="00BF21BE" w:rsidRPr="00D17209" w:rsidRDefault="002A5C84" w:rsidP="00BC53CA">
            <w:pPr>
              <w:rPr>
                <w:rFonts w:ascii="Segoe UI Symbol" w:hAnsi="Segoe UI Symbol" w:cs="Segoe UI Symbol"/>
                <w:sz w:val="22"/>
                <w:szCs w:val="22"/>
              </w:rPr>
            </w:pPr>
            <w:r>
              <w:rPr>
                <w:sz w:val="22"/>
                <w:szCs w:val="22"/>
              </w:rPr>
              <w:t>N/A</w:t>
            </w:r>
          </w:p>
        </w:tc>
      </w:tr>
      <w:tr w:rsidR="00BF21BE" w:rsidRPr="00D17209" w14:paraId="507C5981" w14:textId="77777777" w:rsidTr="00E0623A">
        <w:trPr>
          <w:trHeight w:val="1353"/>
        </w:trPr>
        <w:tc>
          <w:tcPr>
            <w:tcW w:w="2689" w:type="dxa"/>
            <w:vMerge/>
            <w:vAlign w:val="center"/>
          </w:tcPr>
          <w:p w14:paraId="6F6E8592" w14:textId="77777777" w:rsidR="00BF21BE" w:rsidRPr="00D17209" w:rsidRDefault="00BF21BE" w:rsidP="00BC53CA">
            <w:pPr>
              <w:rPr>
                <w:rFonts w:ascii="Segoe UI Symbol" w:hAnsi="Segoe UI Symbol" w:cs="Segoe UI Symbol"/>
                <w:sz w:val="22"/>
                <w:szCs w:val="22"/>
              </w:rPr>
            </w:pPr>
          </w:p>
        </w:tc>
        <w:tc>
          <w:tcPr>
            <w:tcW w:w="6915" w:type="dxa"/>
            <w:gridSpan w:val="2"/>
          </w:tcPr>
          <w:p w14:paraId="7E07158A"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70D257B9" w14:textId="028599A9" w:rsidR="00BF21BE" w:rsidRPr="00D17209" w:rsidRDefault="002A5C84" w:rsidP="00BC53CA">
            <w:pPr>
              <w:rPr>
                <w:rFonts w:ascii="Segoe UI Symbol" w:hAnsi="Segoe UI Symbol" w:cs="Segoe UI Symbol"/>
                <w:sz w:val="22"/>
                <w:szCs w:val="22"/>
              </w:rPr>
            </w:pPr>
            <w:r>
              <w:rPr>
                <w:sz w:val="22"/>
                <w:szCs w:val="22"/>
              </w:rPr>
              <w:t>N/A</w:t>
            </w:r>
          </w:p>
        </w:tc>
      </w:tr>
      <w:tr w:rsidR="00BF21BE" w:rsidRPr="00D17209" w14:paraId="789BD337" w14:textId="77777777" w:rsidTr="00E0623A">
        <w:trPr>
          <w:trHeight w:val="1034"/>
        </w:trPr>
        <w:tc>
          <w:tcPr>
            <w:tcW w:w="2689" w:type="dxa"/>
            <w:vAlign w:val="center"/>
          </w:tcPr>
          <w:p w14:paraId="4D828919" w14:textId="77777777" w:rsidR="00BF21BE" w:rsidRPr="00D17209" w:rsidRDefault="00BF21BE" w:rsidP="00BC53CA">
            <w:pPr>
              <w:rPr>
                <w:b/>
                <w:bCs/>
                <w:sz w:val="22"/>
                <w:szCs w:val="22"/>
              </w:rPr>
            </w:pPr>
            <w:r w:rsidRPr="00085E95">
              <w:rPr>
                <w:b/>
                <w:bCs/>
                <w:u w:val="single"/>
              </w:rPr>
              <w:t>Other</w:t>
            </w:r>
          </w:p>
        </w:tc>
        <w:tc>
          <w:tcPr>
            <w:tcW w:w="6915" w:type="dxa"/>
            <w:gridSpan w:val="2"/>
            <w:vAlign w:val="center"/>
          </w:tcPr>
          <w:p w14:paraId="23D258C1"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3B70FCB7" w14:textId="13B61A22" w:rsidR="00BF21BE" w:rsidRPr="00D17209" w:rsidRDefault="002A5C84" w:rsidP="007D3CBB">
            <w:pPr>
              <w:rPr>
                <w:b/>
                <w:bCs/>
                <w:sz w:val="22"/>
                <w:szCs w:val="22"/>
              </w:rPr>
            </w:pPr>
            <w:r>
              <w:rPr>
                <w:sz w:val="22"/>
                <w:szCs w:val="22"/>
              </w:rPr>
              <w:t>N/A</w:t>
            </w:r>
          </w:p>
        </w:tc>
      </w:tr>
    </w:tbl>
    <w:p w14:paraId="2D2604F0" w14:textId="49022113" w:rsidR="00E71046" w:rsidRDefault="008657EB" w:rsidP="008657EB">
      <w:pPr>
        <w:jc w:val="center"/>
      </w:pPr>
      <w:r>
        <w:t>___________________</w:t>
      </w:r>
    </w:p>
    <w:sectPr w:rsidR="00E71046" w:rsidSect="00FE56F8">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2B86" w14:textId="77777777" w:rsidR="00C2447D" w:rsidRDefault="00C2447D" w:rsidP="00C42125">
      <w:pPr>
        <w:spacing w:before="0"/>
      </w:pPr>
      <w:r>
        <w:separator/>
      </w:r>
    </w:p>
  </w:endnote>
  <w:endnote w:type="continuationSeparator" w:id="0">
    <w:p w14:paraId="67743A56" w14:textId="77777777" w:rsidR="00C2447D" w:rsidRDefault="00C2447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DAC5" w14:textId="77777777" w:rsidR="002A5C84" w:rsidRDefault="002A5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F129" w14:textId="77777777" w:rsidR="002A5C84" w:rsidRDefault="002A5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56F3" w14:textId="77777777" w:rsidR="002A5C84" w:rsidRDefault="002A5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C34E" w14:textId="77777777" w:rsidR="00C2447D" w:rsidRDefault="00C2447D" w:rsidP="00C42125">
      <w:pPr>
        <w:spacing w:before="0"/>
      </w:pPr>
      <w:r>
        <w:separator/>
      </w:r>
    </w:p>
  </w:footnote>
  <w:footnote w:type="continuationSeparator" w:id="0">
    <w:p w14:paraId="617AA182" w14:textId="77777777" w:rsidR="00C2447D" w:rsidRDefault="00C2447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2E74B" w14:textId="77777777" w:rsidR="002A5C84" w:rsidRDefault="002A5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195D" w14:textId="79AAF09F" w:rsidR="008657EB" w:rsidRPr="00FE56F8" w:rsidRDefault="00FE56F8" w:rsidP="00FE56F8">
    <w:pPr>
      <w:pStyle w:val="Header"/>
    </w:pPr>
    <w:r w:rsidRPr="00FE56F8">
      <w:t xml:space="preserve">- </w:t>
    </w:r>
    <w:r w:rsidRPr="00FE56F8">
      <w:fldChar w:fldCharType="begin"/>
    </w:r>
    <w:r w:rsidRPr="00FE56F8">
      <w:instrText xml:space="preserve"> PAGE  \* MERGEFORMAT </w:instrText>
    </w:r>
    <w:r w:rsidRPr="00FE56F8">
      <w:fldChar w:fldCharType="separate"/>
    </w:r>
    <w:r w:rsidRPr="00FE56F8">
      <w:rPr>
        <w:noProof/>
      </w:rPr>
      <w:t>1</w:t>
    </w:r>
    <w:r w:rsidRPr="00FE56F8">
      <w:fldChar w:fldCharType="end"/>
    </w:r>
    <w:r w:rsidRPr="00FE56F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C5B1" w14:textId="77777777" w:rsidR="002A5C84" w:rsidRDefault="002A5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7B63236"/>
    <w:multiLevelType w:val="hybridMultilevel"/>
    <w:tmpl w:val="0D26AE00"/>
    <w:lvl w:ilvl="0" w:tplc="E72652D4">
      <w:start w:val="1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3887724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711CC"/>
    <w:rsid w:val="000920CE"/>
    <w:rsid w:val="000966A8"/>
    <w:rsid w:val="000A5CA2"/>
    <w:rsid w:val="000B739D"/>
    <w:rsid w:val="000C2FE0"/>
    <w:rsid w:val="000C397B"/>
    <w:rsid w:val="000E6125"/>
    <w:rsid w:val="00107900"/>
    <w:rsid w:val="00113DBE"/>
    <w:rsid w:val="00117C0F"/>
    <w:rsid w:val="001200A6"/>
    <w:rsid w:val="00124A40"/>
    <w:rsid w:val="001251DA"/>
    <w:rsid w:val="00125432"/>
    <w:rsid w:val="00125C65"/>
    <w:rsid w:val="00136DDD"/>
    <w:rsid w:val="00137F40"/>
    <w:rsid w:val="001410FD"/>
    <w:rsid w:val="00144BDF"/>
    <w:rsid w:val="00155DDC"/>
    <w:rsid w:val="00161830"/>
    <w:rsid w:val="001871EC"/>
    <w:rsid w:val="001A20C3"/>
    <w:rsid w:val="001A670F"/>
    <w:rsid w:val="001B6A45"/>
    <w:rsid w:val="001C62B8"/>
    <w:rsid w:val="001D22D8"/>
    <w:rsid w:val="001D4296"/>
    <w:rsid w:val="001E4A25"/>
    <w:rsid w:val="001E7B0E"/>
    <w:rsid w:val="001F141D"/>
    <w:rsid w:val="00200A06"/>
    <w:rsid w:val="00200A98"/>
    <w:rsid w:val="00201AFA"/>
    <w:rsid w:val="0021383A"/>
    <w:rsid w:val="002229F1"/>
    <w:rsid w:val="00233F75"/>
    <w:rsid w:val="0023433E"/>
    <w:rsid w:val="002505BD"/>
    <w:rsid w:val="00253DBE"/>
    <w:rsid w:val="00253DC6"/>
    <w:rsid w:val="0025489C"/>
    <w:rsid w:val="002622FA"/>
    <w:rsid w:val="00263518"/>
    <w:rsid w:val="00263B33"/>
    <w:rsid w:val="002759E7"/>
    <w:rsid w:val="002770AA"/>
    <w:rsid w:val="00277326"/>
    <w:rsid w:val="002929EB"/>
    <w:rsid w:val="002A11C4"/>
    <w:rsid w:val="002A399B"/>
    <w:rsid w:val="002A5C84"/>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E1F8C"/>
    <w:rsid w:val="003E39A2"/>
    <w:rsid w:val="003E57AB"/>
    <w:rsid w:val="003E7207"/>
    <w:rsid w:val="003F2BED"/>
    <w:rsid w:val="003F5F17"/>
    <w:rsid w:val="00400B49"/>
    <w:rsid w:val="0042610A"/>
    <w:rsid w:val="00443878"/>
    <w:rsid w:val="004539A8"/>
    <w:rsid w:val="004712CA"/>
    <w:rsid w:val="00473782"/>
    <w:rsid w:val="0047422E"/>
    <w:rsid w:val="0049090D"/>
    <w:rsid w:val="0049674B"/>
    <w:rsid w:val="00497C51"/>
    <w:rsid w:val="004A2B58"/>
    <w:rsid w:val="004C0673"/>
    <w:rsid w:val="004C4E4E"/>
    <w:rsid w:val="004E0AFD"/>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3026"/>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0FE5"/>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15613"/>
    <w:rsid w:val="009302DE"/>
    <w:rsid w:val="00936852"/>
    <w:rsid w:val="0094045D"/>
    <w:rsid w:val="009406B5"/>
    <w:rsid w:val="00946166"/>
    <w:rsid w:val="009507EC"/>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157A9"/>
    <w:rsid w:val="00A21247"/>
    <w:rsid w:val="00A26818"/>
    <w:rsid w:val="00A27601"/>
    <w:rsid w:val="00A31D47"/>
    <w:rsid w:val="00A4013E"/>
    <w:rsid w:val="00A4045F"/>
    <w:rsid w:val="00A40473"/>
    <w:rsid w:val="00A427CD"/>
    <w:rsid w:val="00A45629"/>
    <w:rsid w:val="00A45FEE"/>
    <w:rsid w:val="00A4600B"/>
    <w:rsid w:val="00A50506"/>
    <w:rsid w:val="00A51EF0"/>
    <w:rsid w:val="00A67A81"/>
    <w:rsid w:val="00A70103"/>
    <w:rsid w:val="00A730A6"/>
    <w:rsid w:val="00A84724"/>
    <w:rsid w:val="00A907B3"/>
    <w:rsid w:val="00A971A0"/>
    <w:rsid w:val="00AA045E"/>
    <w:rsid w:val="00AA1F22"/>
    <w:rsid w:val="00AA7EC0"/>
    <w:rsid w:val="00AF5A57"/>
    <w:rsid w:val="00AF735D"/>
    <w:rsid w:val="00AF7DA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788A"/>
    <w:rsid w:val="00BB0648"/>
    <w:rsid w:val="00BB4983"/>
    <w:rsid w:val="00BB7597"/>
    <w:rsid w:val="00BC2AAB"/>
    <w:rsid w:val="00BC62E2"/>
    <w:rsid w:val="00BF02DC"/>
    <w:rsid w:val="00BF1C1D"/>
    <w:rsid w:val="00BF21BE"/>
    <w:rsid w:val="00C01D93"/>
    <w:rsid w:val="00C0228A"/>
    <w:rsid w:val="00C2447D"/>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E64DB"/>
    <w:rsid w:val="00CF34C4"/>
    <w:rsid w:val="00CF5528"/>
    <w:rsid w:val="00D11885"/>
    <w:rsid w:val="00D236BD"/>
    <w:rsid w:val="00D4255B"/>
    <w:rsid w:val="00D56A27"/>
    <w:rsid w:val="00D647EF"/>
    <w:rsid w:val="00D73137"/>
    <w:rsid w:val="00D745B2"/>
    <w:rsid w:val="00D879CB"/>
    <w:rsid w:val="00D977A2"/>
    <w:rsid w:val="00DA1D47"/>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77732"/>
    <w:rsid w:val="00E87795"/>
    <w:rsid w:val="00E92C1F"/>
    <w:rsid w:val="00EB444D"/>
    <w:rsid w:val="00ED5B66"/>
    <w:rsid w:val="00EE5C0D"/>
    <w:rsid w:val="00EF4792"/>
    <w:rsid w:val="00F02294"/>
    <w:rsid w:val="00F22528"/>
    <w:rsid w:val="00F249E4"/>
    <w:rsid w:val="00F30DE7"/>
    <w:rsid w:val="00F323A7"/>
    <w:rsid w:val="00F35F57"/>
    <w:rsid w:val="00F418DD"/>
    <w:rsid w:val="00F44D3D"/>
    <w:rsid w:val="00F50467"/>
    <w:rsid w:val="00F51030"/>
    <w:rsid w:val="00F562A0"/>
    <w:rsid w:val="00F57FA4"/>
    <w:rsid w:val="00F63CCE"/>
    <w:rsid w:val="00F806B3"/>
    <w:rsid w:val="00F835AF"/>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E7CA5"/>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table" w:styleId="TableGrid">
    <w:name w:val="Table Grid"/>
    <w:basedOn w:val="TableNormal"/>
    <w:uiPriority w:val="39"/>
    <w:rsid w:val="006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FE56F8"/>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30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682125353">
      <w:bodyDiv w:val="1"/>
      <w:marLeft w:val="0"/>
      <w:marRight w:val="0"/>
      <w:marTop w:val="0"/>
      <w:marBottom w:val="0"/>
      <w:divBdr>
        <w:top w:val="none" w:sz="0" w:space="0" w:color="auto"/>
        <w:left w:val="none" w:sz="0" w:space="0" w:color="auto"/>
        <w:bottom w:val="none" w:sz="0" w:space="0" w:color="auto"/>
        <w:right w:val="none" w:sz="0" w:space="0" w:color="auto"/>
      </w:divBdr>
    </w:div>
    <w:div w:id="834222216">
      <w:bodyDiv w:val="1"/>
      <w:marLeft w:val="0"/>
      <w:marRight w:val="0"/>
      <w:marTop w:val="0"/>
      <w:marBottom w:val="0"/>
      <w:divBdr>
        <w:top w:val="none" w:sz="0" w:space="0" w:color="auto"/>
        <w:left w:val="none" w:sz="0" w:space="0" w:color="auto"/>
        <w:bottom w:val="none" w:sz="0" w:space="0" w:color="auto"/>
        <w:right w:val="none" w:sz="0" w:space="0" w:color="auto"/>
      </w:divBdr>
    </w:div>
    <w:div w:id="897981169">
      <w:bodyDiv w:val="1"/>
      <w:marLeft w:val="0"/>
      <w:marRight w:val="0"/>
      <w:marTop w:val="0"/>
      <w:marBottom w:val="0"/>
      <w:divBdr>
        <w:top w:val="none" w:sz="0" w:space="0" w:color="auto"/>
        <w:left w:val="none" w:sz="0" w:space="0" w:color="auto"/>
        <w:bottom w:val="none" w:sz="0" w:space="0" w:color="auto"/>
        <w:right w:val="none" w:sz="0" w:space="0" w:color="auto"/>
      </w:divBdr>
    </w:div>
    <w:div w:id="909970927">
      <w:bodyDiv w:val="1"/>
      <w:marLeft w:val="0"/>
      <w:marRight w:val="0"/>
      <w:marTop w:val="0"/>
      <w:marBottom w:val="0"/>
      <w:divBdr>
        <w:top w:val="none" w:sz="0" w:space="0" w:color="auto"/>
        <w:left w:val="none" w:sz="0" w:space="0" w:color="auto"/>
        <w:bottom w:val="none" w:sz="0" w:space="0" w:color="auto"/>
        <w:right w:val="none" w:sz="0" w:space="0" w:color="auto"/>
      </w:divBdr>
    </w:div>
    <w:div w:id="984815500">
      <w:bodyDiv w:val="1"/>
      <w:marLeft w:val="0"/>
      <w:marRight w:val="0"/>
      <w:marTop w:val="0"/>
      <w:marBottom w:val="0"/>
      <w:divBdr>
        <w:top w:val="none" w:sz="0" w:space="0" w:color="auto"/>
        <w:left w:val="none" w:sz="0" w:space="0" w:color="auto"/>
        <w:bottom w:val="none" w:sz="0" w:space="0" w:color="auto"/>
        <w:right w:val="none" w:sz="0" w:space="0" w:color="auto"/>
      </w:divBdr>
    </w:div>
    <w:div w:id="16899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C8044983-2ECC-438B-8B2D-CA91B91F11C4}"/>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on Proposed template for ITU-T Standards Success Stories</vt:lpstr>
    </vt:vector>
  </TitlesOfParts>
  <Manager>ITU-T</Manager>
  <Company>International Telecommunication Union (ITU)</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subject/>
  <dc:creator>TSAG</dc:creator>
  <cp:keywords/>
  <dc:description>SG5-TD622  For: Geneva, 29 October - 6 November 2025_x000d_Document date: _x000d_Saved by ITU51018017 at 3:31:39 PM on 10/9/2025</dc:description>
  <cp:lastModifiedBy>TSB-WG3A</cp:lastModifiedBy>
  <cp:revision>3</cp:revision>
  <cp:lastPrinted>2016-12-23T12:52:00Z</cp:lastPrinted>
  <dcterms:created xsi:type="dcterms:W3CDTF">2025-12-18T15:49:00Z</dcterms:created>
  <dcterms:modified xsi:type="dcterms:W3CDTF">2025-12-21T20:07:00Z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ies>
</file>