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A6205" w14:textId="477C4181" w:rsidR="00A40473" w:rsidRDefault="00A40473">
      <w:pPr>
        <w:spacing w:before="0" w:after="160" w:line="259" w:lineRule="auto"/>
        <w:rPr>
          <w:rFonts w:eastAsia="MS Mincho"/>
        </w:rPr>
      </w:pPr>
    </w:p>
    <w:p w14:paraId="20D13402" w14:textId="39D7141C" w:rsidR="00585E4D" w:rsidRDefault="0016369E" w:rsidP="00FE56F8">
      <w:pPr>
        <w:spacing w:after="120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Attachment 2 - </w:t>
      </w:r>
      <w:r w:rsidR="00E77732">
        <w:rPr>
          <w:b/>
          <w:bCs/>
          <w:sz w:val="32"/>
          <w:szCs w:val="32"/>
          <w:u w:val="single"/>
        </w:rPr>
        <w:t xml:space="preserve">Success Story </w:t>
      </w:r>
      <w:r w:rsidR="00F51030">
        <w:rPr>
          <w:b/>
          <w:bCs/>
          <w:sz w:val="32"/>
          <w:szCs w:val="32"/>
          <w:u w:val="single"/>
        </w:rPr>
        <w:t xml:space="preserve">on </w:t>
      </w:r>
      <w:r w:rsidR="00E77732">
        <w:rPr>
          <w:b/>
          <w:bCs/>
          <w:sz w:val="32"/>
          <w:szCs w:val="32"/>
          <w:u w:val="single"/>
        </w:rPr>
        <w:t>ITU-T K.</w:t>
      </w:r>
      <w:r w:rsidR="001E4A25">
        <w:rPr>
          <w:b/>
          <w:bCs/>
          <w:sz w:val="32"/>
          <w:szCs w:val="32"/>
          <w:u w:val="single"/>
        </w:rPr>
        <w:t>21</w:t>
      </w: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689"/>
        <w:gridCol w:w="3260"/>
        <w:gridCol w:w="3655"/>
      </w:tblGrid>
      <w:tr w:rsidR="00BF21BE" w:rsidRPr="00D17209" w14:paraId="242DE690" w14:textId="77777777" w:rsidTr="00BC53CA">
        <w:trPr>
          <w:trHeight w:val="416"/>
        </w:trPr>
        <w:tc>
          <w:tcPr>
            <w:tcW w:w="9604" w:type="dxa"/>
            <w:gridSpan w:val="3"/>
            <w:shd w:val="clear" w:color="auto" w:fill="D9D9D9" w:themeFill="background1" w:themeFillShade="D9"/>
            <w:vAlign w:val="center"/>
          </w:tcPr>
          <w:p w14:paraId="7C675B7E" w14:textId="77777777" w:rsidR="00BF21BE" w:rsidRPr="00D17209" w:rsidRDefault="00BF21BE" w:rsidP="00BC53CA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ITU-T RECOMMENDATION OVERVIEW</w:t>
            </w:r>
          </w:p>
        </w:tc>
      </w:tr>
      <w:tr w:rsidR="00BF21BE" w:rsidRPr="00D17209" w14:paraId="7AF4B44C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0FF2EA79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ITU-T Recommendation:</w:t>
            </w:r>
          </w:p>
        </w:tc>
        <w:tc>
          <w:tcPr>
            <w:tcW w:w="6915" w:type="dxa"/>
            <w:gridSpan w:val="2"/>
            <w:vAlign w:val="center"/>
          </w:tcPr>
          <w:p w14:paraId="7519D45C" w14:textId="24FD456A" w:rsidR="00BF21BE" w:rsidRPr="00FE7CA5" w:rsidRDefault="00125C65" w:rsidP="00BC53CA">
            <w:pPr>
              <w:rPr>
                <w:color w:val="4472C4" w:themeColor="accent5"/>
                <w:sz w:val="22"/>
                <w:szCs w:val="22"/>
              </w:rPr>
            </w:pPr>
            <w:r w:rsidRPr="00FE7CA5">
              <w:rPr>
                <w:color w:val="4472C4" w:themeColor="accent5"/>
                <w:sz w:val="22"/>
                <w:szCs w:val="22"/>
              </w:rPr>
              <w:t>K.</w:t>
            </w:r>
            <w:r w:rsidR="001E4A25">
              <w:rPr>
                <w:color w:val="4472C4" w:themeColor="accent5"/>
                <w:sz w:val="22"/>
                <w:szCs w:val="22"/>
              </w:rPr>
              <w:t>21</w:t>
            </w:r>
          </w:p>
        </w:tc>
      </w:tr>
      <w:tr w:rsidR="00BF21BE" w:rsidRPr="00D17209" w14:paraId="0C01A4F4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18B5B096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Title:</w:t>
            </w:r>
          </w:p>
        </w:tc>
        <w:tc>
          <w:tcPr>
            <w:tcW w:w="6915" w:type="dxa"/>
            <w:gridSpan w:val="2"/>
            <w:vAlign w:val="center"/>
          </w:tcPr>
          <w:p w14:paraId="0D443067" w14:textId="153BDFBF" w:rsidR="00BF21BE" w:rsidRPr="00FE7CA5" w:rsidRDefault="00E92C1F" w:rsidP="00BC53CA">
            <w:pPr>
              <w:rPr>
                <w:color w:val="4472C4" w:themeColor="accent5"/>
                <w:sz w:val="22"/>
                <w:szCs w:val="22"/>
              </w:rPr>
            </w:pPr>
            <w:r w:rsidRPr="00E92C1F">
              <w:rPr>
                <w:color w:val="4472C4" w:themeColor="accent5"/>
                <w:sz w:val="22"/>
                <w:szCs w:val="22"/>
              </w:rPr>
              <w:t xml:space="preserve">Resistibility of telecommunication equipment installed in customer premises to </w:t>
            </w:r>
            <w:proofErr w:type="spellStart"/>
            <w:r w:rsidRPr="00E92C1F">
              <w:rPr>
                <w:color w:val="4472C4" w:themeColor="accent5"/>
                <w:sz w:val="22"/>
                <w:szCs w:val="22"/>
              </w:rPr>
              <w:t>overvoltages</w:t>
            </w:r>
            <w:proofErr w:type="spellEnd"/>
            <w:r w:rsidRPr="00E92C1F">
              <w:rPr>
                <w:color w:val="4472C4" w:themeColor="accent5"/>
                <w:sz w:val="22"/>
                <w:szCs w:val="22"/>
              </w:rPr>
              <w:t xml:space="preserve"> and </w:t>
            </w:r>
            <w:proofErr w:type="spellStart"/>
            <w:r w:rsidRPr="00E92C1F">
              <w:rPr>
                <w:color w:val="4472C4" w:themeColor="accent5"/>
                <w:sz w:val="22"/>
                <w:szCs w:val="22"/>
              </w:rPr>
              <w:t>overcurrents</w:t>
            </w:r>
            <w:proofErr w:type="spellEnd"/>
          </w:p>
        </w:tc>
      </w:tr>
      <w:tr w:rsidR="00BF21BE" w:rsidRPr="00D17209" w14:paraId="368E82F1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3621EDB2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Effective 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eriod:</w:t>
            </w:r>
          </w:p>
        </w:tc>
        <w:tc>
          <w:tcPr>
            <w:tcW w:w="6915" w:type="dxa"/>
            <w:gridSpan w:val="2"/>
            <w:vAlign w:val="center"/>
          </w:tcPr>
          <w:p w14:paraId="4EA8A353" w14:textId="2EB9C9BF" w:rsidR="00BF21BE" w:rsidRPr="00FE7CA5" w:rsidRDefault="00F51030" w:rsidP="00BC53CA">
            <w:pPr>
              <w:rPr>
                <w:color w:val="4472C4" w:themeColor="accent5"/>
                <w:sz w:val="22"/>
                <w:szCs w:val="22"/>
              </w:rPr>
            </w:pPr>
            <w:r>
              <w:rPr>
                <w:color w:val="4472C4" w:themeColor="accent5"/>
                <w:sz w:val="22"/>
                <w:szCs w:val="22"/>
              </w:rPr>
              <w:t>08/2022 (last publication), cited in EU Regulation 2025/2052 on 13 October 2025</w:t>
            </w:r>
          </w:p>
        </w:tc>
      </w:tr>
      <w:tr w:rsidR="00BF21BE" w:rsidRPr="00D17209" w14:paraId="4AD655D5" w14:textId="77777777" w:rsidTr="00BC53CA">
        <w:trPr>
          <w:trHeight w:val="708"/>
        </w:trPr>
        <w:tc>
          <w:tcPr>
            <w:tcW w:w="2689" w:type="dxa"/>
            <w:vAlign w:val="center"/>
          </w:tcPr>
          <w:p w14:paraId="14421E96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Summary: </w:t>
            </w:r>
          </w:p>
        </w:tc>
        <w:tc>
          <w:tcPr>
            <w:tcW w:w="6915" w:type="dxa"/>
            <w:gridSpan w:val="2"/>
            <w:vAlign w:val="center"/>
          </w:tcPr>
          <w:p w14:paraId="12C0BDF7" w14:textId="77777777" w:rsidR="00E92C1F" w:rsidRPr="00E92C1F" w:rsidRDefault="00E92C1F" w:rsidP="00E92C1F">
            <w:pPr>
              <w:rPr>
                <w:color w:val="4472C4" w:themeColor="accent5"/>
                <w:sz w:val="22"/>
                <w:szCs w:val="22"/>
              </w:rPr>
            </w:pPr>
            <w:r w:rsidRPr="00E92C1F">
              <w:rPr>
                <w:color w:val="4472C4" w:themeColor="accent5"/>
                <w:sz w:val="22"/>
                <w:szCs w:val="22"/>
              </w:rPr>
              <w:t>Recommendation ITU-T K.21 specifies resistibility requirements and test procedures for telecommunication equipment that is attached to or installed within a customer's premises.</w:t>
            </w:r>
          </w:p>
          <w:p w14:paraId="479C1B76" w14:textId="60B46317" w:rsidR="00BF21BE" w:rsidRPr="00FE7CA5" w:rsidRDefault="00F51030" w:rsidP="00E92C1F">
            <w:pPr>
              <w:rPr>
                <w:color w:val="4472C4" w:themeColor="accent5"/>
                <w:sz w:val="22"/>
                <w:szCs w:val="22"/>
              </w:rPr>
            </w:pPr>
            <w:r>
              <w:rPr>
                <w:color w:val="4472C4" w:themeColor="accent5"/>
                <w:sz w:val="22"/>
                <w:szCs w:val="22"/>
              </w:rPr>
              <w:t>The o</w:t>
            </w:r>
            <w:r w:rsidR="00E92C1F" w:rsidRPr="00E92C1F">
              <w:rPr>
                <w:color w:val="4472C4" w:themeColor="accent5"/>
                <w:sz w:val="22"/>
                <w:szCs w:val="22"/>
              </w:rPr>
              <w:t>vervoltage or overcurrent</w:t>
            </w:r>
            <w:r>
              <w:rPr>
                <w:color w:val="4472C4" w:themeColor="accent5"/>
                <w:sz w:val="22"/>
                <w:szCs w:val="22"/>
              </w:rPr>
              <w:t xml:space="preserve"> tests </w:t>
            </w:r>
            <w:r w:rsidR="00E92C1F" w:rsidRPr="00E92C1F">
              <w:rPr>
                <w:color w:val="4472C4" w:themeColor="accent5"/>
                <w:sz w:val="22"/>
                <w:szCs w:val="22"/>
              </w:rPr>
              <w:t>covered by this Recommendation include surges due to lightning on or near the line plant, short-term induction from adjacent alternating current (</w:t>
            </w:r>
            <w:proofErr w:type="spellStart"/>
            <w:r w:rsidR="00E92C1F" w:rsidRPr="00E92C1F">
              <w:rPr>
                <w:color w:val="4472C4" w:themeColor="accent5"/>
                <w:sz w:val="22"/>
                <w:szCs w:val="22"/>
              </w:rPr>
              <w:t>a.c.</w:t>
            </w:r>
            <w:proofErr w:type="spellEnd"/>
            <w:r w:rsidR="00E92C1F" w:rsidRPr="00E92C1F">
              <w:rPr>
                <w:color w:val="4472C4" w:themeColor="accent5"/>
                <w:sz w:val="22"/>
                <w:szCs w:val="22"/>
              </w:rPr>
              <w:t xml:space="preserve">) power lines or railway systems, earth potential rise due to power faults, direct contact between telecommunication lines and power lines, and electrostatic discharges (ESDs). The sources for </w:t>
            </w:r>
            <w:proofErr w:type="spellStart"/>
            <w:r w:rsidR="00E92C1F" w:rsidRPr="00E92C1F">
              <w:rPr>
                <w:color w:val="4472C4" w:themeColor="accent5"/>
                <w:sz w:val="22"/>
                <w:szCs w:val="22"/>
              </w:rPr>
              <w:t>overvoltages</w:t>
            </w:r>
            <w:proofErr w:type="spellEnd"/>
            <w:r w:rsidR="00E92C1F" w:rsidRPr="00E92C1F">
              <w:rPr>
                <w:color w:val="4472C4" w:themeColor="accent5"/>
                <w:sz w:val="22"/>
                <w:szCs w:val="22"/>
              </w:rPr>
              <w:t xml:space="preserve"> in internal lines are mainly inductive coupling caused by lightning currents being conducted in nearby lightning strikes or lightning currents being conducted by nearby conductors.</w:t>
            </w:r>
          </w:p>
        </w:tc>
      </w:tr>
      <w:tr w:rsidR="00BF21BE" w:rsidRPr="00D17209" w14:paraId="0B0AB3B9" w14:textId="77777777" w:rsidTr="00BC53CA">
        <w:trPr>
          <w:trHeight w:val="413"/>
        </w:trPr>
        <w:tc>
          <w:tcPr>
            <w:tcW w:w="9604" w:type="dxa"/>
            <w:gridSpan w:val="3"/>
            <w:shd w:val="clear" w:color="auto" w:fill="D9D9D9" w:themeFill="background1" w:themeFillShade="D9"/>
            <w:vAlign w:val="center"/>
          </w:tcPr>
          <w:p w14:paraId="1BA7AFA9" w14:textId="77777777" w:rsidR="00BF21BE" w:rsidRPr="00D17209" w:rsidRDefault="00BF21BE" w:rsidP="00BC53CA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SUCCESS STORY</w:t>
            </w:r>
          </w:p>
        </w:tc>
      </w:tr>
      <w:tr w:rsidR="00BF21BE" w:rsidRPr="00D17209" w14:paraId="258E572E" w14:textId="77777777" w:rsidTr="00BC53CA">
        <w:trPr>
          <w:trHeight w:val="1246"/>
        </w:trPr>
        <w:tc>
          <w:tcPr>
            <w:tcW w:w="2689" w:type="dxa"/>
            <w:vAlign w:val="center"/>
          </w:tcPr>
          <w:p w14:paraId="349D8511" w14:textId="77777777" w:rsidR="00BF21BE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Implementation </w:t>
            </w:r>
            <w:r>
              <w:rPr>
                <w:sz w:val="22"/>
                <w:szCs w:val="22"/>
              </w:rPr>
              <w:t>t</w:t>
            </w:r>
            <w:r w:rsidRPr="00D17209">
              <w:rPr>
                <w:sz w:val="22"/>
                <w:szCs w:val="22"/>
              </w:rPr>
              <w:t>ype:</w:t>
            </w:r>
          </w:p>
          <w:p w14:paraId="1A06B43F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Select all that apply and provide information below</w:t>
            </w:r>
            <w:r w:rsidRPr="00D17209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915" w:type="dxa"/>
            <w:gridSpan w:val="2"/>
          </w:tcPr>
          <w:p w14:paraId="0E3D8AEA" w14:textId="10CB4144" w:rsidR="00BF21BE" w:rsidRDefault="00BF21BE" w:rsidP="00BC53CA">
            <w:pPr>
              <w:spacing w:before="0"/>
              <w:rPr>
                <w:sz w:val="22"/>
                <w:szCs w:val="22"/>
              </w:rPr>
            </w:pP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Telecom/</w:t>
            </w:r>
            <w:r w:rsidRPr="00D17209">
              <w:rPr>
                <w:sz w:val="22"/>
                <w:szCs w:val="22"/>
              </w:rPr>
              <w:t xml:space="preserve">ICT 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roducts/</w:t>
            </w:r>
            <w:r>
              <w:rPr>
                <w:sz w:val="22"/>
                <w:szCs w:val="22"/>
              </w:rPr>
              <w:t>s</w:t>
            </w:r>
            <w:r w:rsidRPr="00D17209">
              <w:rPr>
                <w:sz w:val="22"/>
                <w:szCs w:val="22"/>
              </w:rPr>
              <w:t>ervices</w:t>
            </w:r>
            <w:r w:rsidRPr="00D17209">
              <w:rPr>
                <w:sz w:val="22"/>
                <w:szCs w:val="22"/>
              </w:rPr>
              <w:br/>
            </w:r>
            <w:r w:rsidR="000711CC">
              <w:rPr>
                <w:rFonts w:ascii="Segoe UI Symbol" w:hAnsi="Segoe UI Symbol" w:cs="Segoe UI Symbol"/>
                <w:sz w:val="22"/>
                <w:szCs w:val="22"/>
                <w:shd w:val="clear" w:color="auto" w:fill="2E74B5" w:themeFill="accent1" w:themeFillShade="BF"/>
              </w:rPr>
              <w:t>X</w:t>
            </w:r>
            <w:r w:rsidRPr="00D172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Telecom/</w:t>
            </w:r>
            <w:r w:rsidRPr="00D17209">
              <w:rPr>
                <w:sz w:val="22"/>
                <w:szCs w:val="22"/>
              </w:rPr>
              <w:t xml:space="preserve">ICT </w:t>
            </w:r>
            <w:r>
              <w:rPr>
                <w:sz w:val="22"/>
                <w:szCs w:val="22"/>
              </w:rPr>
              <w:t>r</w:t>
            </w:r>
            <w:r w:rsidRPr="00D17209">
              <w:rPr>
                <w:sz w:val="22"/>
                <w:szCs w:val="22"/>
              </w:rPr>
              <w:t>egulations/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olicies</w:t>
            </w:r>
            <w:r>
              <w:rPr>
                <w:sz w:val="22"/>
                <w:szCs w:val="22"/>
              </w:rPr>
              <w:t>/national standards</w:t>
            </w:r>
            <w:r w:rsidRPr="00D17209">
              <w:rPr>
                <w:sz w:val="22"/>
                <w:szCs w:val="22"/>
              </w:rPr>
              <w:br/>
            </w: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International </w:t>
            </w:r>
            <w:r>
              <w:rPr>
                <w:sz w:val="22"/>
                <w:szCs w:val="22"/>
              </w:rPr>
              <w:t>s</w:t>
            </w:r>
            <w:r w:rsidRPr="00D17209">
              <w:rPr>
                <w:sz w:val="22"/>
                <w:szCs w:val="22"/>
              </w:rPr>
              <w:t>tandards</w:t>
            </w:r>
            <w:r>
              <w:rPr>
                <w:sz w:val="22"/>
                <w:szCs w:val="22"/>
              </w:rPr>
              <w:t xml:space="preserve">/ </w:t>
            </w:r>
            <w:r w:rsidR="00F22528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ecommendations</w:t>
            </w:r>
          </w:p>
          <w:p w14:paraId="6A06E50F" w14:textId="77777777" w:rsidR="00BF21BE" w:rsidRPr="00D17209" w:rsidRDefault="00BF21BE" w:rsidP="00BC53CA">
            <w:pPr>
              <w:spacing w:before="0"/>
              <w:rPr>
                <w:sz w:val="22"/>
                <w:szCs w:val="22"/>
              </w:rPr>
            </w:pP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 w:rsidRPr="00085E95">
              <w:rPr>
                <w:sz w:val="22"/>
                <w:szCs w:val="22"/>
              </w:rPr>
              <w:t>Other</w:t>
            </w:r>
          </w:p>
        </w:tc>
      </w:tr>
      <w:tr w:rsidR="00BF21BE" w:rsidRPr="00D17209" w14:paraId="45114A40" w14:textId="77777777" w:rsidTr="00BC53CA">
        <w:trPr>
          <w:trHeight w:val="848"/>
        </w:trPr>
        <w:tc>
          <w:tcPr>
            <w:tcW w:w="2689" w:type="dxa"/>
            <w:vMerge w:val="restart"/>
            <w:vAlign w:val="center"/>
          </w:tcPr>
          <w:p w14:paraId="60B3344F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Telecom/</w:t>
            </w:r>
            <w:r w:rsidRPr="00ED5AC1">
              <w:rPr>
                <w:b/>
                <w:bCs/>
                <w:u w:val="single"/>
              </w:rPr>
              <w:t xml:space="preserve">ICT </w:t>
            </w:r>
            <w:r>
              <w:rPr>
                <w:b/>
                <w:bCs/>
                <w:u w:val="single"/>
              </w:rPr>
              <w:t>p</w:t>
            </w:r>
            <w:r w:rsidRPr="00ED5AC1">
              <w:rPr>
                <w:b/>
                <w:bCs/>
                <w:u w:val="single"/>
              </w:rPr>
              <w:t>roducts/</w:t>
            </w:r>
            <w:r>
              <w:rPr>
                <w:b/>
                <w:bCs/>
                <w:u w:val="single"/>
              </w:rPr>
              <w:t>s</w:t>
            </w:r>
            <w:r w:rsidRPr="00ED5AC1">
              <w:rPr>
                <w:b/>
                <w:bCs/>
                <w:u w:val="single"/>
              </w:rPr>
              <w:t>ervices</w:t>
            </w:r>
          </w:p>
        </w:tc>
        <w:tc>
          <w:tcPr>
            <w:tcW w:w="3260" w:type="dxa"/>
          </w:tcPr>
          <w:p w14:paraId="55EAA82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264261EC" w14:textId="1A4F8535" w:rsidR="00BF21BE" w:rsidRPr="00D17209" w:rsidRDefault="0016369E" w:rsidP="00BC53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3655" w:type="dxa"/>
          </w:tcPr>
          <w:p w14:paraId="5BB36E94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Implementation:</w:t>
            </w:r>
          </w:p>
          <w:p w14:paraId="3577840A" w14:textId="3744BACC" w:rsidR="00BF21BE" w:rsidRPr="00D17209" w:rsidRDefault="0016369E" w:rsidP="00BC53CA">
            <w:pPr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203C10B1" w14:textId="77777777" w:rsidTr="00BC53CA">
        <w:trPr>
          <w:trHeight w:val="1232"/>
        </w:trPr>
        <w:tc>
          <w:tcPr>
            <w:tcW w:w="2689" w:type="dxa"/>
            <w:vMerge/>
            <w:vAlign w:val="center"/>
          </w:tcPr>
          <w:p w14:paraId="435A5231" w14:textId="77777777" w:rsidR="00BF21BE" w:rsidRPr="00ED5AC1" w:rsidRDefault="00BF21BE" w:rsidP="00BC53CA">
            <w:pPr>
              <w:rPr>
                <w:b/>
                <w:bCs/>
                <w:u w:val="single"/>
              </w:rPr>
            </w:pPr>
          </w:p>
        </w:tc>
        <w:tc>
          <w:tcPr>
            <w:tcW w:w="6915" w:type="dxa"/>
            <w:gridSpan w:val="2"/>
          </w:tcPr>
          <w:p w14:paraId="7B0FEC93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2CF3CE3F" w14:textId="74BEF490" w:rsidR="00BF21BE" w:rsidRPr="00D17209" w:rsidRDefault="0016369E" w:rsidP="00BC53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74DDB51E" w14:textId="77777777" w:rsidTr="00E0623A">
        <w:trPr>
          <w:trHeight w:val="1169"/>
        </w:trPr>
        <w:tc>
          <w:tcPr>
            <w:tcW w:w="2689" w:type="dxa"/>
            <w:vMerge w:val="restart"/>
            <w:vAlign w:val="center"/>
          </w:tcPr>
          <w:p w14:paraId="3B592CEB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Telecom/</w:t>
            </w:r>
            <w:r w:rsidRPr="00ED5AC1">
              <w:rPr>
                <w:b/>
                <w:bCs/>
                <w:u w:val="single"/>
              </w:rPr>
              <w:t xml:space="preserve">ICT </w:t>
            </w:r>
            <w:r>
              <w:rPr>
                <w:b/>
                <w:bCs/>
                <w:u w:val="single"/>
              </w:rPr>
              <w:t>r</w:t>
            </w:r>
            <w:r w:rsidRPr="00ED5AC1">
              <w:rPr>
                <w:b/>
                <w:bCs/>
                <w:u w:val="single"/>
              </w:rPr>
              <w:t>egulations/</w:t>
            </w:r>
            <w:r>
              <w:rPr>
                <w:b/>
                <w:bCs/>
                <w:u w:val="single"/>
              </w:rPr>
              <w:t>p</w:t>
            </w:r>
            <w:r w:rsidRPr="00ED5AC1">
              <w:rPr>
                <w:b/>
                <w:bCs/>
                <w:u w:val="single"/>
              </w:rPr>
              <w:t>olicies</w:t>
            </w:r>
            <w:r>
              <w:rPr>
                <w:b/>
                <w:bCs/>
                <w:u w:val="single"/>
              </w:rPr>
              <w:t>/ national Standards</w:t>
            </w:r>
          </w:p>
        </w:tc>
        <w:tc>
          <w:tcPr>
            <w:tcW w:w="3260" w:type="dxa"/>
          </w:tcPr>
          <w:p w14:paraId="671D0C4F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606E23D7" w14:textId="2370E27D" w:rsidR="00BF21BE" w:rsidRPr="00D17209" w:rsidRDefault="00F51030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color w:val="4472C4" w:themeColor="accent5"/>
                <w:sz w:val="22"/>
                <w:szCs w:val="22"/>
              </w:rPr>
              <w:t>EU Commission</w:t>
            </w:r>
          </w:p>
        </w:tc>
        <w:tc>
          <w:tcPr>
            <w:tcW w:w="3655" w:type="dxa"/>
          </w:tcPr>
          <w:p w14:paraId="7C61D395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Implementation:</w:t>
            </w:r>
          </w:p>
          <w:p w14:paraId="0192B95C" w14:textId="0B708385" w:rsidR="00BF21BE" w:rsidRPr="00FE7CA5" w:rsidRDefault="00F51030" w:rsidP="00F51030">
            <w:pPr>
              <w:rPr>
                <w:rFonts w:ascii="Segoe UI Symbol" w:hAnsi="Segoe UI Symbol" w:cs="Segoe UI Symbol"/>
                <w:i/>
                <w:iCs/>
                <w:sz w:val="22"/>
                <w:szCs w:val="22"/>
              </w:rPr>
            </w:pPr>
            <w:r w:rsidRPr="00F51030">
              <w:rPr>
                <w:color w:val="4472C4" w:themeColor="accent5"/>
                <w:sz w:val="22"/>
                <w:szCs w:val="22"/>
              </w:rPr>
              <w:t xml:space="preserve">COMMISSION REGULATION(EU) 2025/2052 of 13 October 2025 laying down </w:t>
            </w:r>
            <w:r w:rsidR="0016369E" w:rsidRPr="00F51030">
              <w:rPr>
                <w:color w:val="4472C4" w:themeColor="accent5"/>
                <w:sz w:val="22"/>
                <w:szCs w:val="22"/>
              </w:rPr>
              <w:t>eco-design</w:t>
            </w:r>
            <w:r w:rsidRPr="00F51030">
              <w:rPr>
                <w:color w:val="4472C4" w:themeColor="accent5"/>
                <w:sz w:val="22"/>
                <w:szCs w:val="22"/>
              </w:rPr>
              <w:t xml:space="preserve"> requirements for external power supplies, wireless chargers, wireless charging pads, battery chargers for portable batteries of general use and USB Type-C cables, pursuant to Directive 2009/125/EC of the European Parliament and of the Council and repealing Commission Regulation (EU) 2019/1782</w:t>
            </w:r>
          </w:p>
        </w:tc>
      </w:tr>
      <w:tr w:rsidR="00BF21BE" w:rsidRPr="00D17209" w14:paraId="5D4F3F43" w14:textId="77777777" w:rsidTr="00BC53CA">
        <w:trPr>
          <w:trHeight w:val="1142"/>
        </w:trPr>
        <w:tc>
          <w:tcPr>
            <w:tcW w:w="2689" w:type="dxa"/>
            <w:vMerge/>
            <w:vAlign w:val="center"/>
          </w:tcPr>
          <w:p w14:paraId="787A30AA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</w:p>
        </w:tc>
        <w:tc>
          <w:tcPr>
            <w:tcW w:w="6915" w:type="dxa"/>
            <w:gridSpan w:val="2"/>
          </w:tcPr>
          <w:p w14:paraId="02A9DD60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499E69D7" w14:textId="2126124A" w:rsidR="00BF21BE" w:rsidRPr="00D17209" w:rsidRDefault="00F51030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color w:val="4472C4" w:themeColor="accent5"/>
                <w:sz w:val="22"/>
                <w:szCs w:val="22"/>
              </w:rPr>
              <w:t>In the EU Regulation 2025/2052, on eco-design of external power supplies, the ITU-T Recommendation K.21 and its associated Recommendation for test methodologies, K.44, are quoted as interoperability requirements in Annex IV</w:t>
            </w:r>
            <w:r w:rsidR="000711CC">
              <w:rPr>
                <w:color w:val="4472C4" w:themeColor="accent5"/>
                <w:sz w:val="22"/>
                <w:szCs w:val="22"/>
              </w:rPr>
              <w:t>, bullet “g” for “surge test for interoperable external power supplies.</w:t>
            </w:r>
          </w:p>
        </w:tc>
      </w:tr>
      <w:tr w:rsidR="00BF21BE" w:rsidRPr="00D17209" w14:paraId="5412C724" w14:textId="77777777" w:rsidTr="00BC53CA">
        <w:trPr>
          <w:trHeight w:val="1234"/>
        </w:trPr>
        <w:tc>
          <w:tcPr>
            <w:tcW w:w="2689" w:type="dxa"/>
            <w:vMerge w:val="restart"/>
            <w:vAlign w:val="center"/>
          </w:tcPr>
          <w:p w14:paraId="443ADC3C" w14:textId="685A8521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 w:rsidRPr="00ED5AC1">
              <w:rPr>
                <w:b/>
                <w:bCs/>
                <w:u w:val="single"/>
              </w:rPr>
              <w:t xml:space="preserve">International </w:t>
            </w:r>
            <w:r>
              <w:rPr>
                <w:b/>
                <w:bCs/>
                <w:u w:val="single"/>
              </w:rPr>
              <w:t>s</w:t>
            </w:r>
            <w:r w:rsidRPr="00ED5AC1">
              <w:rPr>
                <w:b/>
                <w:bCs/>
                <w:u w:val="single"/>
              </w:rPr>
              <w:t>tandards</w:t>
            </w:r>
            <w:r>
              <w:rPr>
                <w:b/>
                <w:bCs/>
                <w:u w:val="single"/>
              </w:rPr>
              <w:t xml:space="preserve">/ </w:t>
            </w:r>
            <w:r w:rsidR="00F22528">
              <w:rPr>
                <w:b/>
                <w:bCs/>
                <w:u w:val="single"/>
              </w:rPr>
              <w:t>R</w:t>
            </w:r>
            <w:r>
              <w:rPr>
                <w:b/>
                <w:bCs/>
                <w:u w:val="single"/>
              </w:rPr>
              <w:t>ecommendations</w:t>
            </w:r>
          </w:p>
        </w:tc>
        <w:tc>
          <w:tcPr>
            <w:tcW w:w="3260" w:type="dxa"/>
          </w:tcPr>
          <w:p w14:paraId="211FBD0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59A42144" w14:textId="24750EEC" w:rsidR="00BF21BE" w:rsidRPr="00D17209" w:rsidRDefault="0016369E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3655" w:type="dxa"/>
          </w:tcPr>
          <w:p w14:paraId="089D187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</w:t>
            </w:r>
          </w:p>
          <w:p w14:paraId="398F934D" w14:textId="65052224" w:rsidR="00BF21BE" w:rsidRPr="00D17209" w:rsidRDefault="0016369E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507C5981" w14:textId="77777777" w:rsidTr="00E0623A">
        <w:trPr>
          <w:trHeight w:val="1353"/>
        </w:trPr>
        <w:tc>
          <w:tcPr>
            <w:tcW w:w="2689" w:type="dxa"/>
            <w:vMerge/>
            <w:vAlign w:val="center"/>
          </w:tcPr>
          <w:p w14:paraId="6F6E8592" w14:textId="77777777" w:rsidR="00BF21BE" w:rsidRPr="00D17209" w:rsidRDefault="00BF21BE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</w:p>
        </w:tc>
        <w:tc>
          <w:tcPr>
            <w:tcW w:w="6915" w:type="dxa"/>
            <w:gridSpan w:val="2"/>
          </w:tcPr>
          <w:p w14:paraId="7E07158A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70D257B9" w14:textId="4E8321B1" w:rsidR="00BF21BE" w:rsidRPr="00D17209" w:rsidRDefault="0016369E" w:rsidP="00BC53CA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  <w:tr w:rsidR="00BF21BE" w:rsidRPr="00D17209" w14:paraId="789BD337" w14:textId="77777777" w:rsidTr="00E0623A">
        <w:trPr>
          <w:trHeight w:val="1034"/>
        </w:trPr>
        <w:tc>
          <w:tcPr>
            <w:tcW w:w="2689" w:type="dxa"/>
            <w:vAlign w:val="center"/>
          </w:tcPr>
          <w:p w14:paraId="4D828919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085E95">
              <w:rPr>
                <w:b/>
                <w:bCs/>
                <w:u w:val="single"/>
              </w:rPr>
              <w:t>Other</w:t>
            </w:r>
          </w:p>
        </w:tc>
        <w:tc>
          <w:tcPr>
            <w:tcW w:w="6915" w:type="dxa"/>
            <w:gridSpan w:val="2"/>
            <w:vAlign w:val="center"/>
          </w:tcPr>
          <w:p w14:paraId="23D258C1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3B70FCB7" w14:textId="41720CF7" w:rsidR="00BF21BE" w:rsidRPr="00D17209" w:rsidRDefault="0016369E" w:rsidP="007D3CBB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</w:tr>
    </w:tbl>
    <w:p w14:paraId="2D2604F0" w14:textId="49022113" w:rsidR="00E71046" w:rsidRDefault="008657EB" w:rsidP="008657EB">
      <w:pPr>
        <w:jc w:val="center"/>
      </w:pPr>
      <w:r>
        <w:t>___________________</w:t>
      </w:r>
    </w:p>
    <w:sectPr w:rsidR="00E71046" w:rsidSect="00FE56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9A05B" w14:textId="77777777" w:rsidR="003371B8" w:rsidRDefault="003371B8" w:rsidP="00C42125">
      <w:pPr>
        <w:spacing w:before="0"/>
      </w:pPr>
      <w:r>
        <w:separator/>
      </w:r>
    </w:p>
  </w:endnote>
  <w:endnote w:type="continuationSeparator" w:id="0">
    <w:p w14:paraId="21E8A43F" w14:textId="77777777" w:rsidR="003371B8" w:rsidRDefault="003371B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7267B" w14:textId="77777777" w:rsidR="00AD096D" w:rsidRDefault="00AD09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C558F" w14:textId="77777777" w:rsidR="00AD096D" w:rsidRDefault="00AD09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DC4D5" w14:textId="77777777" w:rsidR="00AD096D" w:rsidRDefault="00AD09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115AA" w14:textId="77777777" w:rsidR="003371B8" w:rsidRDefault="003371B8" w:rsidP="00C42125">
      <w:pPr>
        <w:spacing w:before="0"/>
      </w:pPr>
      <w:r>
        <w:separator/>
      </w:r>
    </w:p>
  </w:footnote>
  <w:footnote w:type="continuationSeparator" w:id="0">
    <w:p w14:paraId="65159E87" w14:textId="77777777" w:rsidR="003371B8" w:rsidRDefault="003371B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3BB80" w14:textId="77777777" w:rsidR="00AD096D" w:rsidRDefault="00AD09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5195D" w14:textId="79AAF09F" w:rsidR="008657EB" w:rsidRPr="00FE56F8" w:rsidRDefault="00FE56F8" w:rsidP="00FE56F8">
    <w:pPr>
      <w:pStyle w:val="Header"/>
    </w:pPr>
    <w:r w:rsidRPr="00FE56F8">
      <w:t xml:space="preserve">- </w:t>
    </w:r>
    <w:r w:rsidRPr="00FE56F8">
      <w:fldChar w:fldCharType="begin"/>
    </w:r>
    <w:r w:rsidRPr="00FE56F8">
      <w:instrText xml:space="preserve"> PAGE  \* MERGEFORMAT </w:instrText>
    </w:r>
    <w:r w:rsidRPr="00FE56F8">
      <w:fldChar w:fldCharType="separate"/>
    </w:r>
    <w:r w:rsidRPr="00FE56F8">
      <w:rPr>
        <w:noProof/>
      </w:rPr>
      <w:t>1</w:t>
    </w:r>
    <w:r w:rsidRPr="00FE56F8">
      <w:fldChar w:fldCharType="end"/>
    </w:r>
    <w:r w:rsidRPr="00FE56F8"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E99B" w14:textId="77777777" w:rsidR="00AD096D" w:rsidRDefault="00AD09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26C34"/>
    <w:rsid w:val="0003582E"/>
    <w:rsid w:val="00043D75"/>
    <w:rsid w:val="0005677D"/>
    <w:rsid w:val="00057000"/>
    <w:rsid w:val="00061268"/>
    <w:rsid w:val="000640E0"/>
    <w:rsid w:val="000711CC"/>
    <w:rsid w:val="000920CE"/>
    <w:rsid w:val="000966A8"/>
    <w:rsid w:val="000A5CA2"/>
    <w:rsid w:val="000B739D"/>
    <w:rsid w:val="000C2FE0"/>
    <w:rsid w:val="000C397B"/>
    <w:rsid w:val="000E6125"/>
    <w:rsid w:val="00107900"/>
    <w:rsid w:val="00113DBE"/>
    <w:rsid w:val="00117C0F"/>
    <w:rsid w:val="001200A6"/>
    <w:rsid w:val="00124A40"/>
    <w:rsid w:val="001251DA"/>
    <w:rsid w:val="00125432"/>
    <w:rsid w:val="00125C65"/>
    <w:rsid w:val="00136DDD"/>
    <w:rsid w:val="00137F40"/>
    <w:rsid w:val="001410FD"/>
    <w:rsid w:val="00144BDF"/>
    <w:rsid w:val="00155DDC"/>
    <w:rsid w:val="00161830"/>
    <w:rsid w:val="0016369E"/>
    <w:rsid w:val="001871EC"/>
    <w:rsid w:val="001A20C3"/>
    <w:rsid w:val="001A670F"/>
    <w:rsid w:val="001B6A45"/>
    <w:rsid w:val="001C62B8"/>
    <w:rsid w:val="001D22D8"/>
    <w:rsid w:val="001D4296"/>
    <w:rsid w:val="001E4A25"/>
    <w:rsid w:val="001E7B0E"/>
    <w:rsid w:val="001F141D"/>
    <w:rsid w:val="00200A06"/>
    <w:rsid w:val="00200A98"/>
    <w:rsid w:val="00201AFA"/>
    <w:rsid w:val="002229F1"/>
    <w:rsid w:val="00233F75"/>
    <w:rsid w:val="0023433E"/>
    <w:rsid w:val="002505BD"/>
    <w:rsid w:val="00253DBE"/>
    <w:rsid w:val="00253DC6"/>
    <w:rsid w:val="0025489C"/>
    <w:rsid w:val="002622FA"/>
    <w:rsid w:val="00263518"/>
    <w:rsid w:val="00263B33"/>
    <w:rsid w:val="002759E7"/>
    <w:rsid w:val="002770AA"/>
    <w:rsid w:val="00277326"/>
    <w:rsid w:val="002929EB"/>
    <w:rsid w:val="002A11C4"/>
    <w:rsid w:val="002A399B"/>
    <w:rsid w:val="002B6B0C"/>
    <w:rsid w:val="002C26C0"/>
    <w:rsid w:val="002C2BC5"/>
    <w:rsid w:val="002C502A"/>
    <w:rsid w:val="002D16B8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35F36"/>
    <w:rsid w:val="003371B8"/>
    <w:rsid w:val="003449F4"/>
    <w:rsid w:val="003571BC"/>
    <w:rsid w:val="00360658"/>
    <w:rsid w:val="0036090C"/>
    <w:rsid w:val="00361116"/>
    <w:rsid w:val="00362562"/>
    <w:rsid w:val="003668D9"/>
    <w:rsid w:val="00385FB5"/>
    <w:rsid w:val="0038715D"/>
    <w:rsid w:val="00394DBF"/>
    <w:rsid w:val="003957A6"/>
    <w:rsid w:val="00396013"/>
    <w:rsid w:val="003A43EF"/>
    <w:rsid w:val="003B4CF8"/>
    <w:rsid w:val="003C0420"/>
    <w:rsid w:val="003C7445"/>
    <w:rsid w:val="003D0336"/>
    <w:rsid w:val="003D45C4"/>
    <w:rsid w:val="003E1F8C"/>
    <w:rsid w:val="003E39A2"/>
    <w:rsid w:val="003E57AB"/>
    <w:rsid w:val="003E7207"/>
    <w:rsid w:val="003F2BED"/>
    <w:rsid w:val="003F5F17"/>
    <w:rsid w:val="00400B49"/>
    <w:rsid w:val="0042610A"/>
    <w:rsid w:val="00443878"/>
    <w:rsid w:val="004539A8"/>
    <w:rsid w:val="004712CA"/>
    <w:rsid w:val="00473782"/>
    <w:rsid w:val="0047422E"/>
    <w:rsid w:val="0049090D"/>
    <w:rsid w:val="004962C4"/>
    <w:rsid w:val="0049674B"/>
    <w:rsid w:val="00497C51"/>
    <w:rsid w:val="004A2B58"/>
    <w:rsid w:val="004C0673"/>
    <w:rsid w:val="004C4E4E"/>
    <w:rsid w:val="004E0AFD"/>
    <w:rsid w:val="004E4362"/>
    <w:rsid w:val="004E7E92"/>
    <w:rsid w:val="004F23BA"/>
    <w:rsid w:val="004F35CE"/>
    <w:rsid w:val="004F3816"/>
    <w:rsid w:val="0050586A"/>
    <w:rsid w:val="00520DBF"/>
    <w:rsid w:val="0053731C"/>
    <w:rsid w:val="00543D41"/>
    <w:rsid w:val="0054697C"/>
    <w:rsid w:val="00556A5B"/>
    <w:rsid w:val="00566EDA"/>
    <w:rsid w:val="0057081A"/>
    <w:rsid w:val="00572654"/>
    <w:rsid w:val="00580E3D"/>
    <w:rsid w:val="0058229A"/>
    <w:rsid w:val="00585E4D"/>
    <w:rsid w:val="005860DC"/>
    <w:rsid w:val="005976A1"/>
    <w:rsid w:val="005B5629"/>
    <w:rsid w:val="005B6B78"/>
    <w:rsid w:val="005C0300"/>
    <w:rsid w:val="005C27A2"/>
    <w:rsid w:val="005D4FEB"/>
    <w:rsid w:val="005E5613"/>
    <w:rsid w:val="005F4B6A"/>
    <w:rsid w:val="006010F3"/>
    <w:rsid w:val="00606DB6"/>
    <w:rsid w:val="00615A0A"/>
    <w:rsid w:val="00626673"/>
    <w:rsid w:val="006333D4"/>
    <w:rsid w:val="006369B2"/>
    <w:rsid w:val="0063718D"/>
    <w:rsid w:val="0064040A"/>
    <w:rsid w:val="00643C81"/>
    <w:rsid w:val="00647525"/>
    <w:rsid w:val="00647A71"/>
    <w:rsid w:val="00647DF2"/>
    <w:rsid w:val="00652D9F"/>
    <w:rsid w:val="00653026"/>
    <w:rsid w:val="006570B0"/>
    <w:rsid w:val="0066022F"/>
    <w:rsid w:val="00670930"/>
    <w:rsid w:val="006813BC"/>
    <w:rsid w:val="006823F3"/>
    <w:rsid w:val="0069210B"/>
    <w:rsid w:val="00692AB1"/>
    <w:rsid w:val="00695DD7"/>
    <w:rsid w:val="00695FC2"/>
    <w:rsid w:val="006A14C5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0E34"/>
    <w:rsid w:val="006F7DEE"/>
    <w:rsid w:val="00705390"/>
    <w:rsid w:val="00715551"/>
    <w:rsid w:val="00715CA6"/>
    <w:rsid w:val="00720955"/>
    <w:rsid w:val="00731135"/>
    <w:rsid w:val="007324AF"/>
    <w:rsid w:val="00740128"/>
    <w:rsid w:val="007409B4"/>
    <w:rsid w:val="00741974"/>
    <w:rsid w:val="00753E9F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795C"/>
    <w:rsid w:val="007B2BC6"/>
    <w:rsid w:val="007B311A"/>
    <w:rsid w:val="007C1840"/>
    <w:rsid w:val="007C7122"/>
    <w:rsid w:val="007D3CBB"/>
    <w:rsid w:val="007D3F11"/>
    <w:rsid w:val="007D66E2"/>
    <w:rsid w:val="007E2C69"/>
    <w:rsid w:val="007E53E4"/>
    <w:rsid w:val="007E656A"/>
    <w:rsid w:val="007F3CAA"/>
    <w:rsid w:val="007F664D"/>
    <w:rsid w:val="00812E67"/>
    <w:rsid w:val="00816426"/>
    <w:rsid w:val="00816C84"/>
    <w:rsid w:val="00835602"/>
    <w:rsid w:val="00837203"/>
    <w:rsid w:val="00842137"/>
    <w:rsid w:val="00845B19"/>
    <w:rsid w:val="00853F5F"/>
    <w:rsid w:val="008560AC"/>
    <w:rsid w:val="008623ED"/>
    <w:rsid w:val="00864B5A"/>
    <w:rsid w:val="008657EB"/>
    <w:rsid w:val="00867C52"/>
    <w:rsid w:val="00870FE5"/>
    <w:rsid w:val="00872559"/>
    <w:rsid w:val="00874AA3"/>
    <w:rsid w:val="00875AA6"/>
    <w:rsid w:val="00880944"/>
    <w:rsid w:val="0089088E"/>
    <w:rsid w:val="00892297"/>
    <w:rsid w:val="008964D6"/>
    <w:rsid w:val="008B5123"/>
    <w:rsid w:val="008C0BEB"/>
    <w:rsid w:val="008D1E8B"/>
    <w:rsid w:val="008E0172"/>
    <w:rsid w:val="008F192B"/>
    <w:rsid w:val="00900EF1"/>
    <w:rsid w:val="00906CD2"/>
    <w:rsid w:val="009302DE"/>
    <w:rsid w:val="00936852"/>
    <w:rsid w:val="0094045D"/>
    <w:rsid w:val="009406B5"/>
    <w:rsid w:val="00946166"/>
    <w:rsid w:val="009507EC"/>
    <w:rsid w:val="009728A0"/>
    <w:rsid w:val="00975925"/>
    <w:rsid w:val="00983164"/>
    <w:rsid w:val="009972EF"/>
    <w:rsid w:val="009A100A"/>
    <w:rsid w:val="009A7C90"/>
    <w:rsid w:val="009A7E9B"/>
    <w:rsid w:val="009B5035"/>
    <w:rsid w:val="009C3160"/>
    <w:rsid w:val="009D0BA8"/>
    <w:rsid w:val="009E628B"/>
    <w:rsid w:val="009E766E"/>
    <w:rsid w:val="009F1904"/>
    <w:rsid w:val="009F1960"/>
    <w:rsid w:val="009F2C64"/>
    <w:rsid w:val="009F715E"/>
    <w:rsid w:val="00A10DBB"/>
    <w:rsid w:val="00A11720"/>
    <w:rsid w:val="00A13AE2"/>
    <w:rsid w:val="00A21247"/>
    <w:rsid w:val="00A26818"/>
    <w:rsid w:val="00A27601"/>
    <w:rsid w:val="00A31D47"/>
    <w:rsid w:val="00A4013E"/>
    <w:rsid w:val="00A4045F"/>
    <w:rsid w:val="00A40473"/>
    <w:rsid w:val="00A427CD"/>
    <w:rsid w:val="00A45629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045E"/>
    <w:rsid w:val="00AA1F22"/>
    <w:rsid w:val="00AA7EC0"/>
    <w:rsid w:val="00AD096D"/>
    <w:rsid w:val="00AF5A57"/>
    <w:rsid w:val="00AF735D"/>
    <w:rsid w:val="00B024D7"/>
    <w:rsid w:val="00B05821"/>
    <w:rsid w:val="00B100D6"/>
    <w:rsid w:val="00B164C9"/>
    <w:rsid w:val="00B26C28"/>
    <w:rsid w:val="00B27EB7"/>
    <w:rsid w:val="00B30F21"/>
    <w:rsid w:val="00B376D2"/>
    <w:rsid w:val="00B402FD"/>
    <w:rsid w:val="00B4174C"/>
    <w:rsid w:val="00B453F5"/>
    <w:rsid w:val="00B532CE"/>
    <w:rsid w:val="00B61624"/>
    <w:rsid w:val="00B66481"/>
    <w:rsid w:val="00B7189C"/>
    <w:rsid w:val="00B718A5"/>
    <w:rsid w:val="00B820E0"/>
    <w:rsid w:val="00B90AD6"/>
    <w:rsid w:val="00B926F2"/>
    <w:rsid w:val="00BA788A"/>
    <w:rsid w:val="00BB4983"/>
    <w:rsid w:val="00BB7597"/>
    <w:rsid w:val="00BC2AAB"/>
    <w:rsid w:val="00BC62E2"/>
    <w:rsid w:val="00BF02DC"/>
    <w:rsid w:val="00BF1C1D"/>
    <w:rsid w:val="00BF21BE"/>
    <w:rsid w:val="00C01D93"/>
    <w:rsid w:val="00C0228A"/>
    <w:rsid w:val="00C37820"/>
    <w:rsid w:val="00C42125"/>
    <w:rsid w:val="00C62814"/>
    <w:rsid w:val="00C62BE6"/>
    <w:rsid w:val="00C67B25"/>
    <w:rsid w:val="00C748F7"/>
    <w:rsid w:val="00C74937"/>
    <w:rsid w:val="00C95E02"/>
    <w:rsid w:val="00CA6409"/>
    <w:rsid w:val="00CB2599"/>
    <w:rsid w:val="00CC0E00"/>
    <w:rsid w:val="00CD2139"/>
    <w:rsid w:val="00CD2497"/>
    <w:rsid w:val="00CD6683"/>
    <w:rsid w:val="00CD6848"/>
    <w:rsid w:val="00CE1E6E"/>
    <w:rsid w:val="00CE5986"/>
    <w:rsid w:val="00CF34C4"/>
    <w:rsid w:val="00CF5528"/>
    <w:rsid w:val="00D11885"/>
    <w:rsid w:val="00D236BD"/>
    <w:rsid w:val="00D4255B"/>
    <w:rsid w:val="00D56A27"/>
    <w:rsid w:val="00D647EF"/>
    <w:rsid w:val="00D73137"/>
    <w:rsid w:val="00D745B2"/>
    <w:rsid w:val="00D879CB"/>
    <w:rsid w:val="00D977A2"/>
    <w:rsid w:val="00DA1D47"/>
    <w:rsid w:val="00DC774A"/>
    <w:rsid w:val="00DD50DE"/>
    <w:rsid w:val="00DE3062"/>
    <w:rsid w:val="00E0581D"/>
    <w:rsid w:val="00E0623A"/>
    <w:rsid w:val="00E07C7D"/>
    <w:rsid w:val="00E204DD"/>
    <w:rsid w:val="00E26621"/>
    <w:rsid w:val="00E353EC"/>
    <w:rsid w:val="00E51F61"/>
    <w:rsid w:val="00E53C24"/>
    <w:rsid w:val="00E56E77"/>
    <w:rsid w:val="00E71046"/>
    <w:rsid w:val="00E72E36"/>
    <w:rsid w:val="00E77732"/>
    <w:rsid w:val="00E87795"/>
    <w:rsid w:val="00E92C1F"/>
    <w:rsid w:val="00EB444D"/>
    <w:rsid w:val="00ED5B66"/>
    <w:rsid w:val="00EE5C0D"/>
    <w:rsid w:val="00EF4792"/>
    <w:rsid w:val="00F02294"/>
    <w:rsid w:val="00F22528"/>
    <w:rsid w:val="00F249E4"/>
    <w:rsid w:val="00F30DE7"/>
    <w:rsid w:val="00F323A7"/>
    <w:rsid w:val="00F35F57"/>
    <w:rsid w:val="00F418DD"/>
    <w:rsid w:val="00F44D3D"/>
    <w:rsid w:val="00F50467"/>
    <w:rsid w:val="00F51030"/>
    <w:rsid w:val="00F562A0"/>
    <w:rsid w:val="00F57FA4"/>
    <w:rsid w:val="00F63CCE"/>
    <w:rsid w:val="00F806B3"/>
    <w:rsid w:val="00F835AF"/>
    <w:rsid w:val="00F953BF"/>
    <w:rsid w:val="00F96821"/>
    <w:rsid w:val="00FA02CB"/>
    <w:rsid w:val="00FA2177"/>
    <w:rsid w:val="00FA676D"/>
    <w:rsid w:val="00FB0783"/>
    <w:rsid w:val="00FB3DC1"/>
    <w:rsid w:val="00FB7A8B"/>
    <w:rsid w:val="00FD439E"/>
    <w:rsid w:val="00FD76CB"/>
    <w:rsid w:val="00FE152B"/>
    <w:rsid w:val="00FE239E"/>
    <w:rsid w:val="00FE3437"/>
    <w:rsid w:val="00FE3520"/>
    <w:rsid w:val="00FE56F8"/>
    <w:rsid w:val="00FE7CA5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table" w:styleId="TableGrid">
    <w:name w:val="Table Grid"/>
    <w:basedOn w:val="TableNormal"/>
    <w:uiPriority w:val="39"/>
    <w:rsid w:val="00647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FE56F8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90BEE15C-9BE9-4387-AEDC-28D9790C05C1}"/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Proposed template for ITU-T Standards Success Stories</vt:lpstr>
    </vt:vector>
  </TitlesOfParts>
  <Manager>ITU-T</Manager>
  <Company>International Telecommunication Union (ITU)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Proposed template for ITU-T Standards Success Stories</dc:title>
  <dc:subject/>
  <dc:creator>TSAG</dc:creator>
  <cp:keywords/>
  <dc:description>SG5-TD622  For: Geneva, 29 October - 6 November 2025_x000d_Document date: _x000d_Saved by ITU51018017 at 3:31:39 PM on 10/9/2025</dc:description>
  <cp:lastModifiedBy>TSB-WG3A</cp:lastModifiedBy>
  <cp:revision>4</cp:revision>
  <cp:lastPrinted>2016-12-23T12:52:00Z</cp:lastPrinted>
  <dcterms:created xsi:type="dcterms:W3CDTF">2025-12-18T15:48:00Z</dcterms:created>
  <dcterms:modified xsi:type="dcterms:W3CDTF">2025-12-21T20:04:00Z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SG5-TD622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29 October - 6 November 2025</vt:lpwstr>
  </property>
  <property fmtid="{D5CDD505-2E9C-101B-9397-08002B2CF9AE}" pid="8" name="Docauthor">
    <vt:lpwstr>TSAG</vt:lpwstr>
  </property>
  <property fmtid="{D5CDD505-2E9C-101B-9397-08002B2CF9AE}" pid="9" name="_NewReviewCycle">
    <vt:lpwstr/>
  </property>
</Properties>
</file>