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DE781" w14:textId="7F6DAFF1" w:rsidR="004E084A" w:rsidRDefault="006647C5">
      <w:pPr>
        <w:spacing w:after="120"/>
        <w:jc w:val="center"/>
        <w:rPr>
          <w:b/>
          <w:bCs/>
          <w:sz w:val="32"/>
          <w:szCs w:val="32"/>
          <w:u w:val="single"/>
        </w:rPr>
      </w:pPr>
      <w:r>
        <w:rPr>
          <w:b/>
          <w:bCs/>
          <w:sz w:val="32"/>
          <w:szCs w:val="32"/>
          <w:u w:val="single"/>
        </w:rPr>
        <w:t>Attachment 12 – Success story on ITU-T L.1391 (2 case studies)</w:t>
      </w:r>
    </w:p>
    <w:p w14:paraId="7737FD23" w14:textId="4FCDBA62" w:rsidR="00863080" w:rsidRDefault="00863080">
      <w:pPr>
        <w:spacing w:after="120"/>
        <w:jc w:val="center"/>
        <w:rPr>
          <w:b/>
          <w:bCs/>
          <w:sz w:val="32"/>
          <w:szCs w:val="32"/>
          <w:u w:val="single"/>
        </w:rPr>
      </w:pPr>
      <w:r>
        <w:rPr>
          <w:b/>
          <w:bCs/>
          <w:sz w:val="32"/>
          <w:szCs w:val="32"/>
          <w:u w:val="single"/>
        </w:rPr>
        <w:t>Case 1</w:t>
      </w:r>
    </w:p>
    <w:tbl>
      <w:tblPr>
        <w:tblStyle w:val="TableGrid"/>
        <w:tblW w:w="9604" w:type="dxa"/>
        <w:tblLook w:val="04A0" w:firstRow="1" w:lastRow="0" w:firstColumn="1" w:lastColumn="0" w:noHBand="0" w:noVBand="1"/>
      </w:tblPr>
      <w:tblGrid>
        <w:gridCol w:w="2689"/>
        <w:gridCol w:w="3260"/>
        <w:gridCol w:w="3655"/>
      </w:tblGrid>
      <w:tr w:rsidR="004E084A" w14:paraId="0573B6A0" w14:textId="77777777">
        <w:trPr>
          <w:trHeight w:val="416"/>
        </w:trPr>
        <w:tc>
          <w:tcPr>
            <w:tcW w:w="9604" w:type="dxa"/>
            <w:gridSpan w:val="3"/>
            <w:shd w:val="clear" w:color="auto" w:fill="D9D9D9" w:themeFill="background1" w:themeFillShade="D9"/>
            <w:vAlign w:val="center"/>
          </w:tcPr>
          <w:p w14:paraId="4AF71F2C" w14:textId="77777777" w:rsidR="004E084A" w:rsidRDefault="00F8404D">
            <w:pPr>
              <w:jc w:val="center"/>
              <w:rPr>
                <w:sz w:val="22"/>
                <w:szCs w:val="22"/>
              </w:rPr>
            </w:pPr>
            <w:r>
              <w:rPr>
                <w:b/>
                <w:bCs/>
                <w:sz w:val="22"/>
                <w:szCs w:val="22"/>
                <w:u w:val="single"/>
              </w:rPr>
              <w:t>ITU-T RECOMMENDATION OVERVIEW</w:t>
            </w:r>
          </w:p>
        </w:tc>
      </w:tr>
      <w:tr w:rsidR="004E084A" w14:paraId="13C52097" w14:textId="77777777">
        <w:trPr>
          <w:trHeight w:val="416"/>
        </w:trPr>
        <w:tc>
          <w:tcPr>
            <w:tcW w:w="2689" w:type="dxa"/>
            <w:vAlign w:val="center"/>
          </w:tcPr>
          <w:p w14:paraId="4331D138" w14:textId="77777777" w:rsidR="004E084A" w:rsidRDefault="00F8404D">
            <w:pPr>
              <w:rPr>
                <w:sz w:val="22"/>
                <w:szCs w:val="22"/>
              </w:rPr>
            </w:pPr>
            <w:r>
              <w:rPr>
                <w:sz w:val="22"/>
                <w:szCs w:val="22"/>
              </w:rPr>
              <w:t>ITU-T Recommendation:</w:t>
            </w:r>
          </w:p>
        </w:tc>
        <w:tc>
          <w:tcPr>
            <w:tcW w:w="6915" w:type="dxa"/>
            <w:gridSpan w:val="2"/>
            <w:vAlign w:val="center"/>
          </w:tcPr>
          <w:p w14:paraId="69343AEA" w14:textId="77777777" w:rsidR="004E084A" w:rsidRDefault="00F8404D">
            <w:pPr>
              <w:rPr>
                <w:rFonts w:eastAsia="SimSun"/>
                <w:sz w:val="22"/>
                <w:szCs w:val="22"/>
                <w:lang w:val="en-US" w:eastAsia="zh-CN"/>
              </w:rPr>
            </w:pPr>
            <w:r w:rsidRPr="006647C5">
              <w:rPr>
                <w:rFonts w:eastAsia="Malgun Gothic" w:hint="eastAsia"/>
                <w:color w:val="5B9BD5" w:themeColor="accent1"/>
                <w:sz w:val="22"/>
                <w:szCs w:val="22"/>
                <w:lang w:eastAsia="ko-KR"/>
              </w:rPr>
              <w:t>ITU-T L.13</w:t>
            </w:r>
            <w:r w:rsidRPr="006647C5">
              <w:rPr>
                <w:rFonts w:eastAsia="SimSun" w:hint="eastAsia"/>
                <w:color w:val="5B9BD5" w:themeColor="accent1"/>
                <w:sz w:val="22"/>
                <w:szCs w:val="22"/>
                <w:lang w:val="en-US" w:eastAsia="zh-CN"/>
              </w:rPr>
              <w:t>91</w:t>
            </w:r>
          </w:p>
        </w:tc>
      </w:tr>
      <w:tr w:rsidR="004E084A" w14:paraId="3F3355DF" w14:textId="77777777">
        <w:trPr>
          <w:trHeight w:val="416"/>
        </w:trPr>
        <w:tc>
          <w:tcPr>
            <w:tcW w:w="2689" w:type="dxa"/>
            <w:vAlign w:val="center"/>
          </w:tcPr>
          <w:p w14:paraId="0C8004D2" w14:textId="77777777" w:rsidR="004E084A" w:rsidRDefault="00F8404D">
            <w:pPr>
              <w:rPr>
                <w:sz w:val="22"/>
                <w:szCs w:val="22"/>
              </w:rPr>
            </w:pPr>
            <w:r>
              <w:rPr>
                <w:sz w:val="22"/>
                <w:szCs w:val="22"/>
              </w:rPr>
              <w:t>Title:</w:t>
            </w:r>
          </w:p>
        </w:tc>
        <w:tc>
          <w:tcPr>
            <w:tcW w:w="6915" w:type="dxa"/>
            <w:gridSpan w:val="2"/>
            <w:vAlign w:val="center"/>
          </w:tcPr>
          <w:p w14:paraId="2645961A" w14:textId="77777777" w:rsidR="004E084A" w:rsidRPr="006647C5" w:rsidRDefault="00F8404D">
            <w:pPr>
              <w:pStyle w:val="BodyText"/>
              <w:spacing w:before="440"/>
              <w:rPr>
                <w:rFonts w:eastAsia="Malgun Gothic"/>
                <w:color w:val="5B9BD5" w:themeColor="accent1"/>
                <w:sz w:val="22"/>
                <w:szCs w:val="22"/>
                <w:lang w:eastAsia="ko-KR"/>
              </w:rPr>
            </w:pPr>
            <w:r w:rsidRPr="006647C5">
              <w:rPr>
                <w:rFonts w:eastAsia="Malgun Gothic" w:hint="eastAsia"/>
                <w:color w:val="5B9BD5" w:themeColor="accent1"/>
                <w:sz w:val="22"/>
                <w:szCs w:val="22"/>
                <w:lang w:eastAsia="ko-KR"/>
              </w:rPr>
              <w:t>Specification of IMT-2020 network sharing and co-construction adapting to climate change mitigation</w:t>
            </w:r>
          </w:p>
          <w:p w14:paraId="569C248F" w14:textId="77777777" w:rsidR="004E084A" w:rsidRDefault="004E084A">
            <w:pPr>
              <w:rPr>
                <w:rFonts w:eastAsia="Malgun Gothic"/>
                <w:sz w:val="22"/>
                <w:szCs w:val="22"/>
                <w:lang w:eastAsia="ko-KR"/>
              </w:rPr>
            </w:pPr>
          </w:p>
        </w:tc>
      </w:tr>
      <w:tr w:rsidR="004E084A" w14:paraId="4CD51687" w14:textId="77777777">
        <w:trPr>
          <w:trHeight w:val="416"/>
        </w:trPr>
        <w:tc>
          <w:tcPr>
            <w:tcW w:w="2689" w:type="dxa"/>
            <w:vAlign w:val="center"/>
          </w:tcPr>
          <w:p w14:paraId="2F721046" w14:textId="77777777" w:rsidR="004E084A" w:rsidRDefault="00F8404D">
            <w:pPr>
              <w:rPr>
                <w:sz w:val="22"/>
                <w:szCs w:val="22"/>
              </w:rPr>
            </w:pPr>
            <w:r>
              <w:rPr>
                <w:sz w:val="22"/>
                <w:szCs w:val="22"/>
              </w:rPr>
              <w:t>Effective period:</w:t>
            </w:r>
          </w:p>
        </w:tc>
        <w:tc>
          <w:tcPr>
            <w:tcW w:w="6915" w:type="dxa"/>
            <w:gridSpan w:val="2"/>
            <w:vAlign w:val="center"/>
          </w:tcPr>
          <w:p w14:paraId="45E7131D" w14:textId="5F69E4CE" w:rsidR="004E084A" w:rsidRDefault="00F8404D">
            <w:pPr>
              <w:rPr>
                <w:sz w:val="22"/>
                <w:szCs w:val="22"/>
              </w:rPr>
            </w:pPr>
            <w:r w:rsidRPr="006647C5">
              <w:rPr>
                <w:rFonts w:hint="eastAsia"/>
                <w:color w:val="5B9BD5" w:themeColor="accent1"/>
                <w:sz w:val="22"/>
                <w:szCs w:val="22"/>
                <w:lang w:val="en-US" w:eastAsia="zh-CN"/>
              </w:rPr>
              <w:t>0</w:t>
            </w:r>
            <w:r w:rsidRPr="006647C5">
              <w:rPr>
                <w:rFonts w:eastAsia="Malgun Gothic" w:hint="eastAsia"/>
                <w:color w:val="5B9BD5" w:themeColor="accent1"/>
                <w:sz w:val="22"/>
                <w:szCs w:val="22"/>
                <w:lang w:eastAsia="ko-KR"/>
              </w:rPr>
              <w:t>1</w:t>
            </w:r>
            <w:r w:rsidRPr="006647C5">
              <w:rPr>
                <w:color w:val="5B9BD5" w:themeColor="accent1"/>
                <w:sz w:val="22"/>
                <w:szCs w:val="22"/>
              </w:rPr>
              <w:t>/</w:t>
            </w:r>
            <w:r w:rsidRPr="006647C5">
              <w:rPr>
                <w:rFonts w:eastAsia="Malgun Gothic" w:hint="eastAsia"/>
                <w:color w:val="5B9BD5" w:themeColor="accent1"/>
                <w:sz w:val="22"/>
                <w:szCs w:val="22"/>
                <w:lang w:eastAsia="ko-KR"/>
              </w:rPr>
              <w:t>20</w:t>
            </w:r>
            <w:r w:rsidRPr="006647C5">
              <w:rPr>
                <w:rFonts w:eastAsia="SimSun" w:hint="eastAsia"/>
                <w:color w:val="5B9BD5" w:themeColor="accent1"/>
                <w:sz w:val="22"/>
                <w:szCs w:val="22"/>
                <w:lang w:val="en-US" w:eastAsia="zh-CN"/>
              </w:rPr>
              <w:t>24</w:t>
            </w:r>
            <w:r w:rsidRPr="006647C5">
              <w:rPr>
                <w:color w:val="5B9BD5" w:themeColor="accent1"/>
                <w:sz w:val="22"/>
                <w:szCs w:val="22"/>
              </w:rPr>
              <w:t xml:space="preserve"> - Present</w:t>
            </w:r>
          </w:p>
        </w:tc>
      </w:tr>
      <w:tr w:rsidR="004E084A" w14:paraId="5D5EC42D" w14:textId="77777777">
        <w:trPr>
          <w:trHeight w:val="708"/>
        </w:trPr>
        <w:tc>
          <w:tcPr>
            <w:tcW w:w="2689" w:type="dxa"/>
            <w:vAlign w:val="center"/>
          </w:tcPr>
          <w:p w14:paraId="25CE0E77" w14:textId="77777777" w:rsidR="004E084A" w:rsidRDefault="00F8404D">
            <w:pPr>
              <w:rPr>
                <w:sz w:val="22"/>
                <w:szCs w:val="22"/>
              </w:rPr>
            </w:pPr>
            <w:r>
              <w:rPr>
                <w:sz w:val="22"/>
                <w:szCs w:val="22"/>
              </w:rPr>
              <w:t xml:space="preserve">Summary: </w:t>
            </w:r>
          </w:p>
        </w:tc>
        <w:tc>
          <w:tcPr>
            <w:tcW w:w="6915" w:type="dxa"/>
            <w:gridSpan w:val="2"/>
            <w:vAlign w:val="center"/>
          </w:tcPr>
          <w:p w14:paraId="6D0DA167" w14:textId="77777777" w:rsidR="004E084A" w:rsidRPr="006647C5" w:rsidRDefault="00F8404D">
            <w:pPr>
              <w:tabs>
                <w:tab w:val="left" w:pos="794"/>
                <w:tab w:val="left" w:pos="1191"/>
                <w:tab w:val="left" w:pos="1588"/>
                <w:tab w:val="left" w:pos="1985"/>
              </w:tabs>
              <w:rPr>
                <w:color w:val="5B9BD5" w:themeColor="accent1"/>
                <w:sz w:val="22"/>
                <w:szCs w:val="22"/>
              </w:rPr>
            </w:pPr>
            <w:r w:rsidRPr="006647C5">
              <w:rPr>
                <w:color w:val="5B9BD5" w:themeColor="accent1"/>
                <w:sz w:val="22"/>
                <w:szCs w:val="22"/>
              </w:rPr>
              <w:t>Recommendation ITU-T L.1391 specifies IMT-2020 (also known as 5G) network sharing and co</w:t>
            </w:r>
            <w:r w:rsidRPr="006647C5">
              <w:rPr>
                <w:color w:val="5B9BD5" w:themeColor="accent1"/>
                <w:sz w:val="22"/>
                <w:szCs w:val="22"/>
              </w:rPr>
              <w:noBreakHyphen/>
              <w:t>construction (NSCC) and their contribution to climate change mitigation, identifies their key technologies and specifies how to assess NSCC in their adaptation to climate change. Recommendation ITU-T L.1391 also addresses the cost-benefit analysis and best practice for IMT</w:t>
            </w:r>
            <w:r w:rsidRPr="006647C5">
              <w:rPr>
                <w:color w:val="5B9BD5" w:themeColor="accent1"/>
                <w:sz w:val="22"/>
                <w:szCs w:val="22"/>
              </w:rPr>
              <w:noBreakHyphen/>
              <w:t>2020 NSCC.</w:t>
            </w:r>
          </w:p>
          <w:p w14:paraId="77A3AE33" w14:textId="2E4F4783" w:rsidR="004E084A" w:rsidRDefault="00F8404D" w:rsidP="006647C5">
            <w:pPr>
              <w:tabs>
                <w:tab w:val="left" w:pos="794"/>
                <w:tab w:val="left" w:pos="1191"/>
                <w:tab w:val="left" w:pos="1588"/>
                <w:tab w:val="left" w:pos="1985"/>
              </w:tabs>
              <w:rPr>
                <w:sz w:val="22"/>
                <w:szCs w:val="22"/>
              </w:rPr>
            </w:pPr>
            <w:r w:rsidRPr="006647C5">
              <w:rPr>
                <w:color w:val="5B9BD5" w:themeColor="accent1"/>
                <w:sz w:val="22"/>
                <w:szCs w:val="22"/>
              </w:rPr>
              <w:t>Mobile network operators around the world are facing unprecedented difficulties in IMT-2020 deployment. Restricted by expensive spectrum resources, the need for high investment and high energy consumption of IMT-2020, the profit gap between operators and equipment manufacturers is growing, and a large number of problems related to business increment with no increase in revenue are arising. Methods of reduction in the cost of network construction and operation, adaptation to climate change mitigation and enablement of the rapid benefits of IMT-2020, especially in underdeveloped communications regions, present major challenges to the global industry and operators.</w:t>
            </w:r>
          </w:p>
        </w:tc>
      </w:tr>
      <w:tr w:rsidR="004E084A" w14:paraId="5C8A9759" w14:textId="77777777">
        <w:trPr>
          <w:trHeight w:val="413"/>
        </w:trPr>
        <w:tc>
          <w:tcPr>
            <w:tcW w:w="9604" w:type="dxa"/>
            <w:gridSpan w:val="3"/>
            <w:shd w:val="clear" w:color="auto" w:fill="D9D9D9" w:themeFill="background1" w:themeFillShade="D9"/>
            <w:vAlign w:val="center"/>
          </w:tcPr>
          <w:p w14:paraId="1798D0AF" w14:textId="77777777" w:rsidR="004E084A" w:rsidRDefault="00F8404D">
            <w:pPr>
              <w:jc w:val="center"/>
              <w:rPr>
                <w:sz w:val="22"/>
                <w:szCs w:val="22"/>
              </w:rPr>
            </w:pPr>
            <w:r>
              <w:rPr>
                <w:b/>
                <w:bCs/>
                <w:sz w:val="22"/>
                <w:szCs w:val="22"/>
                <w:u w:val="single"/>
              </w:rPr>
              <w:t>SUCCESS STORY</w:t>
            </w:r>
          </w:p>
        </w:tc>
      </w:tr>
      <w:tr w:rsidR="004E084A" w14:paraId="4D75E212" w14:textId="77777777">
        <w:trPr>
          <w:trHeight w:val="1246"/>
        </w:trPr>
        <w:tc>
          <w:tcPr>
            <w:tcW w:w="2689" w:type="dxa"/>
            <w:vAlign w:val="center"/>
          </w:tcPr>
          <w:p w14:paraId="4BDD2000" w14:textId="77777777" w:rsidR="004E084A" w:rsidRDefault="00F8404D">
            <w:pPr>
              <w:rPr>
                <w:sz w:val="22"/>
                <w:szCs w:val="22"/>
              </w:rPr>
            </w:pPr>
            <w:r>
              <w:rPr>
                <w:sz w:val="22"/>
                <w:szCs w:val="22"/>
              </w:rPr>
              <w:t>Implementation type:</w:t>
            </w:r>
          </w:p>
          <w:p w14:paraId="7D2184B3" w14:textId="77777777" w:rsidR="004E084A" w:rsidRDefault="00F8404D">
            <w:pPr>
              <w:rPr>
                <w:sz w:val="22"/>
                <w:szCs w:val="22"/>
              </w:rPr>
            </w:pPr>
            <w:r>
              <w:rPr>
                <w:i/>
                <w:iCs/>
                <w:sz w:val="22"/>
                <w:szCs w:val="22"/>
              </w:rPr>
              <w:t>(Select all that apply and provide information below)</w:t>
            </w:r>
          </w:p>
        </w:tc>
        <w:tc>
          <w:tcPr>
            <w:tcW w:w="6915" w:type="dxa"/>
            <w:gridSpan w:val="2"/>
          </w:tcPr>
          <w:p w14:paraId="09ECCC07" w14:textId="77777777" w:rsidR="004E084A" w:rsidRDefault="00F8404D">
            <w:pPr>
              <w:spacing w:before="0"/>
              <w:rPr>
                <w:sz w:val="22"/>
                <w:szCs w:val="22"/>
              </w:rPr>
            </w:pPr>
            <w:r w:rsidRPr="006647C5">
              <w:rPr>
                <w:rFonts w:ascii="Segoe UI Symbol" w:hAnsi="Segoe UI Symbol" w:cs="Segoe UI Symbol"/>
                <w:sz w:val="22"/>
                <w:szCs w:val="22"/>
                <w:shd w:val="clear" w:color="auto" w:fill="5B9BD5" w:themeFill="accent1"/>
              </w:rPr>
              <w:sym w:font="Wingdings" w:char="F0FC"/>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5C5BEBE7" w14:textId="77777777" w:rsidR="004E084A" w:rsidRDefault="00F8404D">
            <w:pPr>
              <w:spacing w:before="0"/>
              <w:rPr>
                <w:sz w:val="22"/>
                <w:szCs w:val="22"/>
              </w:rPr>
            </w:pPr>
            <w:r>
              <w:rPr>
                <w:rFonts w:ascii="Segoe UI Symbol" w:hAnsi="Segoe UI Symbol" w:cs="Segoe UI Symbol"/>
                <w:sz w:val="22"/>
                <w:szCs w:val="22"/>
              </w:rPr>
              <w:t>☐</w:t>
            </w:r>
            <w:r>
              <w:rPr>
                <w:sz w:val="22"/>
                <w:szCs w:val="22"/>
              </w:rPr>
              <w:t xml:space="preserve"> Other</w:t>
            </w:r>
          </w:p>
        </w:tc>
      </w:tr>
      <w:tr w:rsidR="004E084A" w14:paraId="3EDFB841" w14:textId="77777777">
        <w:trPr>
          <w:trHeight w:val="848"/>
        </w:trPr>
        <w:tc>
          <w:tcPr>
            <w:tcW w:w="2689" w:type="dxa"/>
            <w:vMerge w:val="restart"/>
            <w:vAlign w:val="center"/>
          </w:tcPr>
          <w:p w14:paraId="3E6EAE9F" w14:textId="77777777" w:rsidR="004E084A" w:rsidRDefault="00F8404D">
            <w:pPr>
              <w:rPr>
                <w:rFonts w:ascii="Segoe UI Symbol" w:hAnsi="Segoe UI Symbol" w:cs="Segoe UI Symbol"/>
                <w:b/>
                <w:bCs/>
                <w:u w:val="single"/>
              </w:rPr>
            </w:pPr>
            <w:r>
              <w:rPr>
                <w:b/>
                <w:bCs/>
                <w:u w:val="single"/>
              </w:rPr>
              <w:t>Telecom/ICT products/services</w:t>
            </w:r>
          </w:p>
        </w:tc>
        <w:tc>
          <w:tcPr>
            <w:tcW w:w="3260" w:type="dxa"/>
          </w:tcPr>
          <w:p w14:paraId="372DDAAF" w14:textId="77777777" w:rsidR="004E084A" w:rsidRDefault="00F8404D">
            <w:pPr>
              <w:rPr>
                <w:b/>
                <w:bCs/>
                <w:sz w:val="22"/>
                <w:szCs w:val="22"/>
              </w:rPr>
            </w:pPr>
            <w:r>
              <w:rPr>
                <w:b/>
                <w:bCs/>
                <w:sz w:val="22"/>
                <w:szCs w:val="22"/>
              </w:rPr>
              <w:t xml:space="preserve">Implementing body: </w:t>
            </w:r>
          </w:p>
          <w:p w14:paraId="752B4C01" w14:textId="77777777" w:rsidR="004E084A" w:rsidRDefault="00F8404D">
            <w:pPr>
              <w:rPr>
                <w:sz w:val="22"/>
                <w:szCs w:val="22"/>
                <w:lang w:val="en-US" w:eastAsia="zh-CN"/>
              </w:rPr>
            </w:pPr>
            <w:r w:rsidRPr="006647C5">
              <w:rPr>
                <w:rFonts w:hint="eastAsia"/>
                <w:color w:val="5B9BD5" w:themeColor="accent1"/>
                <w:sz w:val="22"/>
                <w:szCs w:val="22"/>
                <w:lang w:val="en-US" w:eastAsia="zh-CN"/>
              </w:rPr>
              <w:t>China Telecom &amp; China Unicom</w:t>
            </w:r>
          </w:p>
        </w:tc>
        <w:tc>
          <w:tcPr>
            <w:tcW w:w="3655" w:type="dxa"/>
          </w:tcPr>
          <w:p w14:paraId="190FB9CD" w14:textId="77777777" w:rsidR="004E084A" w:rsidRDefault="00F8404D">
            <w:pPr>
              <w:rPr>
                <w:b/>
                <w:bCs/>
                <w:sz w:val="22"/>
                <w:szCs w:val="22"/>
              </w:rPr>
            </w:pPr>
            <w:r>
              <w:rPr>
                <w:b/>
                <w:bCs/>
                <w:sz w:val="22"/>
                <w:szCs w:val="22"/>
              </w:rPr>
              <w:t>Implementation:</w:t>
            </w:r>
          </w:p>
          <w:p w14:paraId="0B57B5A2" w14:textId="77777777" w:rsidR="004E084A" w:rsidRDefault="00F8404D">
            <w:pPr>
              <w:rPr>
                <w:i/>
                <w:iCs/>
                <w:sz w:val="22"/>
                <w:szCs w:val="22"/>
                <w:lang w:val="en-US" w:eastAsia="zh-CN"/>
              </w:rPr>
            </w:pPr>
            <w:r w:rsidRPr="006647C5">
              <w:rPr>
                <w:rFonts w:hint="eastAsia"/>
                <w:color w:val="5B9BD5" w:themeColor="accent1"/>
                <w:sz w:val="22"/>
                <w:szCs w:val="22"/>
                <w:lang w:val="en-US" w:eastAsia="zh-CN"/>
              </w:rPr>
              <w:t>IMT-2020 network sharing and co-construction in China</w:t>
            </w:r>
          </w:p>
        </w:tc>
      </w:tr>
      <w:tr w:rsidR="004E084A" w14:paraId="39FEED33" w14:textId="77777777">
        <w:trPr>
          <w:trHeight w:val="1232"/>
        </w:trPr>
        <w:tc>
          <w:tcPr>
            <w:tcW w:w="2689" w:type="dxa"/>
            <w:vMerge/>
            <w:vAlign w:val="center"/>
          </w:tcPr>
          <w:p w14:paraId="27AC7C7E" w14:textId="77777777" w:rsidR="004E084A" w:rsidRDefault="004E084A">
            <w:pPr>
              <w:rPr>
                <w:b/>
                <w:bCs/>
                <w:u w:val="single"/>
              </w:rPr>
            </w:pPr>
          </w:p>
        </w:tc>
        <w:tc>
          <w:tcPr>
            <w:tcW w:w="6915" w:type="dxa"/>
            <w:gridSpan w:val="2"/>
          </w:tcPr>
          <w:p w14:paraId="1F30B050" w14:textId="77777777" w:rsidR="004E084A" w:rsidRDefault="00F8404D">
            <w:pPr>
              <w:rPr>
                <w:b/>
                <w:bCs/>
                <w:sz w:val="22"/>
                <w:szCs w:val="22"/>
              </w:rPr>
            </w:pPr>
            <w:r>
              <w:rPr>
                <w:b/>
                <w:bCs/>
                <w:sz w:val="22"/>
                <w:szCs w:val="22"/>
              </w:rPr>
              <w:t>Implementation summary:</w:t>
            </w:r>
          </w:p>
          <w:p w14:paraId="5E188C25" w14:textId="6F37B67E" w:rsidR="004E084A" w:rsidRPr="006647C5" w:rsidRDefault="00F8404D">
            <w:pPr>
              <w:rPr>
                <w:color w:val="5B9BD5" w:themeColor="accent1"/>
                <w:sz w:val="22"/>
                <w:szCs w:val="22"/>
                <w:lang w:val="en-US" w:eastAsia="zh-CN"/>
              </w:rPr>
            </w:pPr>
            <w:r w:rsidRPr="006647C5">
              <w:rPr>
                <w:rFonts w:hint="eastAsia"/>
                <w:bCs/>
                <w:color w:val="5B9BD5" w:themeColor="accent1"/>
                <w:sz w:val="22"/>
                <w:szCs w:val="22"/>
                <w:lang w:val="en-US" w:eastAsia="zh-CN"/>
              </w:rPr>
              <w:t>The implementation is a case of China Telecom</w:t>
            </w:r>
            <w:r w:rsidRPr="006647C5">
              <w:rPr>
                <w:bCs/>
                <w:color w:val="5B9BD5" w:themeColor="accent1"/>
                <w:sz w:val="22"/>
                <w:szCs w:val="22"/>
                <w:lang w:val="en-US" w:eastAsia="zh-CN"/>
              </w:rPr>
              <w:t>’</w:t>
            </w:r>
            <w:r w:rsidRPr="006647C5">
              <w:rPr>
                <w:rFonts w:hint="eastAsia"/>
                <w:bCs/>
                <w:color w:val="5B9BD5" w:themeColor="accent1"/>
                <w:sz w:val="22"/>
                <w:szCs w:val="22"/>
                <w:lang w:val="en-US" w:eastAsia="zh-CN"/>
              </w:rPr>
              <w:t>s and China Unicom</w:t>
            </w:r>
            <w:r w:rsidRPr="006647C5">
              <w:rPr>
                <w:bCs/>
                <w:color w:val="5B9BD5" w:themeColor="accent1"/>
                <w:sz w:val="22"/>
                <w:szCs w:val="22"/>
                <w:lang w:val="en-US" w:eastAsia="zh-CN"/>
              </w:rPr>
              <w:t>’</w:t>
            </w:r>
            <w:r w:rsidRPr="006647C5">
              <w:rPr>
                <w:rFonts w:hint="eastAsia"/>
                <w:bCs/>
                <w:color w:val="5B9BD5" w:themeColor="accent1"/>
                <w:sz w:val="22"/>
                <w:szCs w:val="22"/>
                <w:lang w:val="en-US" w:eastAsia="zh-CN"/>
              </w:rPr>
              <w:t xml:space="preserve">s </w:t>
            </w:r>
            <w:r w:rsidRPr="006647C5">
              <w:rPr>
                <w:color w:val="5B9BD5" w:themeColor="accent1"/>
                <w:sz w:val="22"/>
                <w:szCs w:val="22"/>
              </w:rPr>
              <w:t>IMT-2020 network sharing and co-constru</w:t>
            </w:r>
            <w:r w:rsidRPr="006647C5">
              <w:rPr>
                <w:rFonts w:hint="eastAsia"/>
                <w:color w:val="5B9BD5" w:themeColor="accent1"/>
                <w:sz w:val="22"/>
                <w:szCs w:val="22"/>
                <w:lang w:val="en-US" w:eastAsia="zh-CN"/>
              </w:rPr>
              <w:t xml:space="preserve">ction practices and it is also captured in Recommendation </w:t>
            </w:r>
            <w:r w:rsidR="006647C5" w:rsidRPr="006647C5">
              <w:rPr>
                <w:rFonts w:hint="eastAsia"/>
                <w:color w:val="5B9BD5" w:themeColor="accent1"/>
                <w:sz w:val="22"/>
                <w:szCs w:val="22"/>
                <w:lang w:val="en-US" w:eastAsia="zh-CN"/>
              </w:rPr>
              <w:t>ITU</w:t>
            </w:r>
            <w:r w:rsidR="006647C5">
              <w:rPr>
                <w:color w:val="5B9BD5" w:themeColor="accent1"/>
                <w:sz w:val="22"/>
                <w:szCs w:val="22"/>
                <w:lang w:val="en-US" w:eastAsia="zh-CN"/>
              </w:rPr>
              <w:t>-T</w:t>
            </w:r>
            <w:r w:rsidR="006647C5" w:rsidRPr="006647C5">
              <w:rPr>
                <w:rFonts w:hint="eastAsia"/>
                <w:color w:val="5B9BD5" w:themeColor="accent1"/>
                <w:sz w:val="22"/>
                <w:szCs w:val="22"/>
                <w:lang w:val="en-US" w:eastAsia="zh-CN"/>
              </w:rPr>
              <w:t xml:space="preserve"> </w:t>
            </w:r>
            <w:r w:rsidRPr="006647C5">
              <w:rPr>
                <w:rFonts w:hint="eastAsia"/>
                <w:color w:val="5B9BD5" w:themeColor="accent1"/>
                <w:sz w:val="22"/>
                <w:szCs w:val="22"/>
                <w:lang w:val="en-US" w:eastAsia="zh-CN"/>
              </w:rPr>
              <w:t>L.1391 Appendix I as a practice.</w:t>
            </w:r>
          </w:p>
          <w:p w14:paraId="6EC55A9B" w14:textId="77777777" w:rsidR="004E084A" w:rsidRPr="006647C5" w:rsidRDefault="00F8404D">
            <w:pPr>
              <w:rPr>
                <w:bCs/>
                <w:color w:val="5B9BD5" w:themeColor="accent1"/>
                <w:sz w:val="22"/>
                <w:szCs w:val="22"/>
              </w:rPr>
            </w:pPr>
            <w:r w:rsidRPr="006647C5">
              <w:rPr>
                <w:bCs/>
                <w:color w:val="5B9BD5" w:themeColor="accent1"/>
                <w:sz w:val="22"/>
                <w:szCs w:val="22"/>
              </w:rPr>
              <w:t xml:space="preserve"> In September 2019, China Telecom and China Unicom signed an IMT</w:t>
            </w:r>
            <w:r w:rsidRPr="006647C5">
              <w:rPr>
                <w:bCs/>
                <w:color w:val="5B9BD5" w:themeColor="accent1"/>
                <w:sz w:val="22"/>
                <w:szCs w:val="22"/>
              </w:rPr>
              <w:noBreakHyphen/>
              <w:t xml:space="preserve">2020 </w:t>
            </w:r>
            <w:r w:rsidRPr="006647C5">
              <w:rPr>
                <w:color w:val="5B9BD5" w:themeColor="accent1"/>
                <w:sz w:val="22"/>
                <w:szCs w:val="22"/>
              </w:rPr>
              <w:t>NSCC</w:t>
            </w:r>
            <w:r w:rsidRPr="006647C5">
              <w:rPr>
                <w:bCs/>
                <w:color w:val="5B9BD5" w:themeColor="accent1"/>
                <w:sz w:val="22"/>
                <w:szCs w:val="22"/>
              </w:rPr>
              <w:t xml:space="preserve"> framework cooperation agreement, which clearly stated that they would build a joint IMT-2020 access network nationwide, sharing the IMT-2020 frequency resources, and building IMT-2020 core networks independently. </w:t>
            </w:r>
          </w:p>
          <w:p w14:paraId="2431CD1E" w14:textId="77777777" w:rsidR="004E084A" w:rsidRPr="006647C5" w:rsidRDefault="00F8404D">
            <w:pPr>
              <w:tabs>
                <w:tab w:val="left" w:pos="794"/>
                <w:tab w:val="left" w:pos="1191"/>
                <w:tab w:val="left" w:pos="1588"/>
                <w:tab w:val="left" w:pos="1985"/>
              </w:tabs>
              <w:rPr>
                <w:bCs/>
                <w:color w:val="5B9BD5" w:themeColor="accent1"/>
                <w:sz w:val="22"/>
                <w:szCs w:val="22"/>
              </w:rPr>
            </w:pPr>
            <w:r w:rsidRPr="006647C5">
              <w:rPr>
                <w:bCs/>
                <w:color w:val="5B9BD5" w:themeColor="accent1"/>
                <w:sz w:val="22"/>
                <w:szCs w:val="22"/>
              </w:rPr>
              <w:t>On 2020-09-30, the first and largest IMT-2020 sharing network finished its phase I construction and commercial deployment, which promoted IMT-2020 network construction and completed the end-to-end network evolution of the SA mode.</w:t>
            </w:r>
          </w:p>
          <w:p w14:paraId="2596C573" w14:textId="77777777" w:rsidR="004E084A" w:rsidRPr="006647C5" w:rsidRDefault="00F8404D">
            <w:pPr>
              <w:tabs>
                <w:tab w:val="left" w:pos="794"/>
                <w:tab w:val="left" w:pos="1191"/>
                <w:tab w:val="left" w:pos="1588"/>
                <w:tab w:val="left" w:pos="1985"/>
              </w:tabs>
              <w:rPr>
                <w:bCs/>
                <w:color w:val="5B9BD5" w:themeColor="accent1"/>
                <w:sz w:val="22"/>
                <w:szCs w:val="22"/>
              </w:rPr>
            </w:pPr>
            <w:r w:rsidRPr="006647C5">
              <w:rPr>
                <w:bCs/>
                <w:color w:val="5B9BD5" w:themeColor="accent1"/>
                <w:sz w:val="22"/>
                <w:szCs w:val="22"/>
              </w:rPr>
              <w:lastRenderedPageBreak/>
              <w:t>By 2021-12-31, China Telecom and China Unicom had deployed about 700 000 base stations in IMT-2020 networks, accounting for more than 40% of the world's built IMT-2020 base stations, and built the world's first and largest IMT-2020 SA shared network, realizing large-scale industrial applications</w:t>
            </w:r>
            <w:r w:rsidRPr="006647C5">
              <w:rPr>
                <w:bCs/>
                <w:color w:val="5B9BD5" w:themeColor="accent1"/>
                <w:sz w:val="22"/>
                <w:szCs w:val="22"/>
                <w:lang w:eastAsia="zh-CN"/>
              </w:rPr>
              <w:t>.</w:t>
            </w:r>
            <w:r w:rsidRPr="006647C5">
              <w:rPr>
                <w:bCs/>
                <w:color w:val="5B9BD5" w:themeColor="accent1"/>
                <w:sz w:val="22"/>
                <w:szCs w:val="22"/>
              </w:rPr>
              <w:t xml:space="preserve"> Meanwhile, it has promoted the sharing of 4G access networks between the two partners, saving more than CNY 210 billion in network construction investment, CNY 20 billion in network operating costs, more than 10 GWh of electricity, and reducing carbon emissions by 6 Mt every year.</w:t>
            </w:r>
          </w:p>
          <w:p w14:paraId="2421A68B" w14:textId="77777777" w:rsidR="004E084A" w:rsidRDefault="00F8404D">
            <w:pPr>
              <w:rPr>
                <w:bCs/>
                <w:lang w:val="en-US" w:eastAsia="zh-CN"/>
              </w:rPr>
            </w:pPr>
            <w:r w:rsidRPr="006647C5">
              <w:rPr>
                <w:rFonts w:hint="eastAsia"/>
                <w:bCs/>
                <w:color w:val="5B9BD5" w:themeColor="accent1"/>
                <w:sz w:val="22"/>
                <w:szCs w:val="22"/>
                <w:lang w:val="en-US" w:eastAsia="zh-CN"/>
              </w:rPr>
              <w:t xml:space="preserve">By using this network sharing and co-construction technologies, the total carbon reduction is </w:t>
            </w:r>
            <w:r w:rsidRPr="006647C5">
              <w:rPr>
                <w:color w:val="5B9BD5" w:themeColor="accent1"/>
                <w:sz w:val="22"/>
                <w:szCs w:val="22"/>
                <w:lang w:eastAsia="zh-CN"/>
              </w:rPr>
              <w:t>4</w:t>
            </w:r>
            <w:r w:rsidRPr="006647C5">
              <w:rPr>
                <w:rFonts w:hint="eastAsia"/>
                <w:color w:val="5B9BD5" w:themeColor="accent1"/>
                <w:sz w:val="22"/>
                <w:szCs w:val="22"/>
                <w:lang w:val="en-US" w:eastAsia="zh-CN"/>
              </w:rPr>
              <w:t>,</w:t>
            </w:r>
            <w:r w:rsidRPr="006647C5">
              <w:rPr>
                <w:color w:val="5B9BD5" w:themeColor="accent1"/>
                <w:sz w:val="22"/>
                <w:szCs w:val="22"/>
                <w:lang w:eastAsia="zh-CN"/>
              </w:rPr>
              <w:t>326</w:t>
            </w:r>
            <w:r w:rsidRPr="006647C5">
              <w:rPr>
                <w:rFonts w:hint="eastAsia"/>
                <w:color w:val="5B9BD5" w:themeColor="accent1"/>
                <w:sz w:val="22"/>
                <w:szCs w:val="22"/>
                <w:lang w:val="en-US" w:eastAsia="zh-CN"/>
              </w:rPr>
              <w:t>,</w:t>
            </w:r>
            <w:r w:rsidRPr="006647C5">
              <w:rPr>
                <w:color w:val="5B9BD5" w:themeColor="accent1"/>
                <w:sz w:val="22"/>
                <w:szCs w:val="22"/>
                <w:lang w:eastAsia="zh-CN"/>
              </w:rPr>
              <w:t>126</w:t>
            </w:r>
            <w:r w:rsidRPr="006647C5">
              <w:rPr>
                <w:rFonts w:hint="eastAsia"/>
                <w:color w:val="5B9BD5" w:themeColor="accent1"/>
                <w:sz w:val="22"/>
                <w:szCs w:val="22"/>
                <w:lang w:val="en-US" w:eastAsia="zh-CN"/>
              </w:rPr>
              <w:t xml:space="preserve"> </w:t>
            </w:r>
            <w:r w:rsidRPr="006647C5">
              <w:rPr>
                <w:color w:val="5B9BD5" w:themeColor="accent1"/>
                <w:sz w:val="22"/>
                <w:szCs w:val="22"/>
              </w:rPr>
              <w:t>tCO</w:t>
            </w:r>
            <w:r w:rsidRPr="006647C5">
              <w:rPr>
                <w:color w:val="5B9BD5" w:themeColor="accent1"/>
                <w:sz w:val="22"/>
                <w:szCs w:val="22"/>
                <w:vertAlign w:val="subscript"/>
              </w:rPr>
              <w:t>2</w:t>
            </w:r>
            <w:r w:rsidRPr="006647C5">
              <w:rPr>
                <w:color w:val="5B9BD5" w:themeColor="accent1"/>
                <w:sz w:val="22"/>
                <w:szCs w:val="22"/>
              </w:rPr>
              <w:t>e</w:t>
            </w:r>
            <w:r w:rsidRPr="006647C5">
              <w:rPr>
                <w:rFonts w:hint="eastAsia"/>
                <w:color w:val="5B9BD5" w:themeColor="accent1"/>
                <w:sz w:val="22"/>
                <w:szCs w:val="22"/>
                <w:lang w:val="en-US" w:eastAsia="zh-CN"/>
              </w:rPr>
              <w:t xml:space="preserve"> from the year 2020 to 2025. The detailed data and information is been captured in the Appendix I of ITU Recommendation L.1391</w:t>
            </w:r>
            <w:r w:rsidRPr="006647C5">
              <w:rPr>
                <w:rFonts w:hint="eastAsia"/>
                <w:color w:val="5B9BD5" w:themeColor="accent1"/>
                <w:lang w:val="en-US" w:eastAsia="zh-CN"/>
              </w:rPr>
              <w:t>.</w:t>
            </w:r>
          </w:p>
        </w:tc>
      </w:tr>
      <w:tr w:rsidR="004E084A" w14:paraId="025AF7FF" w14:textId="77777777">
        <w:trPr>
          <w:trHeight w:val="1169"/>
        </w:trPr>
        <w:tc>
          <w:tcPr>
            <w:tcW w:w="2689" w:type="dxa"/>
            <w:vMerge w:val="restart"/>
            <w:vAlign w:val="center"/>
          </w:tcPr>
          <w:p w14:paraId="03DE9B0B" w14:textId="77777777" w:rsidR="004E084A" w:rsidRDefault="00F8404D">
            <w:pPr>
              <w:rPr>
                <w:rFonts w:ascii="Segoe UI Symbol" w:hAnsi="Segoe UI Symbol" w:cs="Segoe UI Symbol"/>
                <w:b/>
                <w:bCs/>
                <w:u w:val="single"/>
              </w:rPr>
            </w:pPr>
            <w:r>
              <w:rPr>
                <w:b/>
                <w:bCs/>
                <w:u w:val="single"/>
              </w:rPr>
              <w:lastRenderedPageBreak/>
              <w:t>Telecom/ICT regulations/policies/ national Standards</w:t>
            </w:r>
          </w:p>
        </w:tc>
        <w:tc>
          <w:tcPr>
            <w:tcW w:w="3260" w:type="dxa"/>
          </w:tcPr>
          <w:p w14:paraId="0DEE9C7D" w14:textId="77777777" w:rsidR="004E084A" w:rsidRDefault="00F8404D">
            <w:pPr>
              <w:rPr>
                <w:b/>
                <w:bCs/>
                <w:sz w:val="22"/>
                <w:szCs w:val="22"/>
              </w:rPr>
            </w:pPr>
            <w:r>
              <w:rPr>
                <w:b/>
                <w:bCs/>
                <w:sz w:val="22"/>
                <w:szCs w:val="22"/>
              </w:rPr>
              <w:t xml:space="preserve">Implementing body: </w:t>
            </w:r>
          </w:p>
          <w:p w14:paraId="15F61053" w14:textId="135F1151" w:rsidR="004E084A" w:rsidRDefault="006647C5">
            <w:pPr>
              <w:rPr>
                <w:rFonts w:ascii="Segoe UI Symbol" w:hAnsi="Segoe UI Symbol" w:cs="Segoe UI Symbol"/>
                <w:sz w:val="22"/>
                <w:szCs w:val="22"/>
              </w:rPr>
            </w:pPr>
            <w:r>
              <w:rPr>
                <w:sz w:val="22"/>
                <w:szCs w:val="22"/>
              </w:rPr>
              <w:t>N/A</w:t>
            </w:r>
          </w:p>
        </w:tc>
        <w:tc>
          <w:tcPr>
            <w:tcW w:w="3655" w:type="dxa"/>
          </w:tcPr>
          <w:p w14:paraId="1BDCFA60" w14:textId="77777777" w:rsidR="004E084A" w:rsidRDefault="00F8404D">
            <w:pPr>
              <w:rPr>
                <w:b/>
                <w:bCs/>
                <w:sz w:val="22"/>
                <w:szCs w:val="22"/>
              </w:rPr>
            </w:pPr>
            <w:r>
              <w:rPr>
                <w:b/>
                <w:bCs/>
                <w:sz w:val="22"/>
                <w:szCs w:val="22"/>
              </w:rPr>
              <w:t>Implementation:</w:t>
            </w:r>
          </w:p>
          <w:p w14:paraId="050DED73" w14:textId="6427680F" w:rsidR="004E084A" w:rsidRDefault="006647C5">
            <w:pPr>
              <w:rPr>
                <w:rFonts w:ascii="Segoe UI Symbol" w:hAnsi="Segoe UI Symbol" w:cs="Segoe UI Symbol"/>
                <w:sz w:val="22"/>
                <w:szCs w:val="22"/>
              </w:rPr>
            </w:pPr>
            <w:r>
              <w:rPr>
                <w:sz w:val="22"/>
                <w:szCs w:val="22"/>
              </w:rPr>
              <w:t>N/A</w:t>
            </w:r>
          </w:p>
        </w:tc>
      </w:tr>
      <w:tr w:rsidR="004E084A" w14:paraId="52B6FBDC" w14:textId="77777777">
        <w:trPr>
          <w:trHeight w:val="1142"/>
        </w:trPr>
        <w:tc>
          <w:tcPr>
            <w:tcW w:w="2689" w:type="dxa"/>
            <w:vMerge/>
            <w:vAlign w:val="center"/>
          </w:tcPr>
          <w:p w14:paraId="76E8B359" w14:textId="77777777" w:rsidR="004E084A" w:rsidRDefault="004E084A">
            <w:pPr>
              <w:rPr>
                <w:rFonts w:ascii="Segoe UI Symbol" w:hAnsi="Segoe UI Symbol" w:cs="Segoe UI Symbol"/>
                <w:b/>
                <w:bCs/>
                <w:u w:val="single"/>
              </w:rPr>
            </w:pPr>
          </w:p>
        </w:tc>
        <w:tc>
          <w:tcPr>
            <w:tcW w:w="6915" w:type="dxa"/>
            <w:gridSpan w:val="2"/>
          </w:tcPr>
          <w:p w14:paraId="583542A3" w14:textId="77777777" w:rsidR="004E084A" w:rsidRDefault="00F8404D">
            <w:pPr>
              <w:rPr>
                <w:b/>
                <w:bCs/>
                <w:sz w:val="22"/>
                <w:szCs w:val="22"/>
              </w:rPr>
            </w:pPr>
            <w:r>
              <w:rPr>
                <w:b/>
                <w:bCs/>
                <w:sz w:val="22"/>
                <w:szCs w:val="22"/>
              </w:rPr>
              <w:t>Implementation summary:</w:t>
            </w:r>
          </w:p>
          <w:p w14:paraId="0E4A47F3" w14:textId="09130008" w:rsidR="004E084A" w:rsidRDefault="006647C5">
            <w:pPr>
              <w:rPr>
                <w:rFonts w:ascii="Segoe UI Symbol" w:hAnsi="Segoe UI Symbol" w:cs="Segoe UI Symbol"/>
                <w:sz w:val="22"/>
                <w:szCs w:val="22"/>
              </w:rPr>
            </w:pPr>
            <w:r>
              <w:rPr>
                <w:sz w:val="22"/>
                <w:szCs w:val="22"/>
              </w:rPr>
              <w:t>N/A</w:t>
            </w:r>
          </w:p>
        </w:tc>
      </w:tr>
      <w:tr w:rsidR="004E084A" w14:paraId="22E213A2" w14:textId="77777777">
        <w:trPr>
          <w:trHeight w:val="1234"/>
        </w:trPr>
        <w:tc>
          <w:tcPr>
            <w:tcW w:w="2689" w:type="dxa"/>
            <w:vMerge w:val="restart"/>
            <w:vAlign w:val="center"/>
          </w:tcPr>
          <w:p w14:paraId="50E904CE" w14:textId="77777777" w:rsidR="004E084A" w:rsidRDefault="00F8404D">
            <w:pPr>
              <w:rPr>
                <w:rFonts w:ascii="Segoe UI Symbol" w:hAnsi="Segoe UI Symbol" w:cs="Segoe UI Symbol"/>
                <w:b/>
                <w:bCs/>
                <w:u w:val="single"/>
              </w:rPr>
            </w:pPr>
            <w:r>
              <w:rPr>
                <w:b/>
                <w:bCs/>
                <w:u w:val="single"/>
              </w:rPr>
              <w:t>International standards/ Recommendations</w:t>
            </w:r>
          </w:p>
        </w:tc>
        <w:tc>
          <w:tcPr>
            <w:tcW w:w="3260" w:type="dxa"/>
          </w:tcPr>
          <w:p w14:paraId="166A4388" w14:textId="77777777" w:rsidR="004E084A" w:rsidRDefault="00F8404D">
            <w:pPr>
              <w:rPr>
                <w:b/>
                <w:bCs/>
                <w:sz w:val="22"/>
                <w:szCs w:val="22"/>
              </w:rPr>
            </w:pPr>
            <w:r>
              <w:rPr>
                <w:b/>
                <w:bCs/>
                <w:sz w:val="22"/>
                <w:szCs w:val="22"/>
              </w:rPr>
              <w:t xml:space="preserve">Implementing body: </w:t>
            </w:r>
          </w:p>
          <w:p w14:paraId="05AD7314" w14:textId="2127FABE" w:rsidR="004E084A" w:rsidRDefault="006647C5">
            <w:pPr>
              <w:rPr>
                <w:rFonts w:ascii="Segoe UI Symbol" w:hAnsi="Segoe UI Symbol" w:cs="Segoe UI Symbol"/>
                <w:sz w:val="22"/>
                <w:szCs w:val="22"/>
              </w:rPr>
            </w:pPr>
            <w:r>
              <w:rPr>
                <w:sz w:val="22"/>
                <w:szCs w:val="22"/>
              </w:rPr>
              <w:t>N/A</w:t>
            </w:r>
          </w:p>
        </w:tc>
        <w:tc>
          <w:tcPr>
            <w:tcW w:w="3655" w:type="dxa"/>
          </w:tcPr>
          <w:p w14:paraId="6A24825B" w14:textId="77777777" w:rsidR="004E084A" w:rsidRDefault="00F8404D">
            <w:pPr>
              <w:rPr>
                <w:b/>
                <w:bCs/>
                <w:sz w:val="22"/>
                <w:szCs w:val="22"/>
              </w:rPr>
            </w:pPr>
            <w:r>
              <w:rPr>
                <w:b/>
                <w:bCs/>
                <w:sz w:val="22"/>
                <w:szCs w:val="22"/>
              </w:rPr>
              <w:t>Implementation</w:t>
            </w:r>
          </w:p>
          <w:p w14:paraId="2EBCFA7B" w14:textId="39463C8E" w:rsidR="004E084A" w:rsidRDefault="006647C5">
            <w:pPr>
              <w:rPr>
                <w:rFonts w:ascii="Segoe UI Symbol" w:hAnsi="Segoe UI Symbol" w:cs="Segoe UI Symbol"/>
                <w:sz w:val="22"/>
                <w:szCs w:val="22"/>
              </w:rPr>
            </w:pPr>
            <w:r>
              <w:rPr>
                <w:sz w:val="22"/>
                <w:szCs w:val="22"/>
              </w:rPr>
              <w:t>N/A</w:t>
            </w:r>
          </w:p>
        </w:tc>
      </w:tr>
      <w:tr w:rsidR="004E084A" w14:paraId="558A7A26" w14:textId="77777777">
        <w:trPr>
          <w:trHeight w:val="1353"/>
        </w:trPr>
        <w:tc>
          <w:tcPr>
            <w:tcW w:w="2689" w:type="dxa"/>
            <w:vMerge/>
            <w:vAlign w:val="center"/>
          </w:tcPr>
          <w:p w14:paraId="5617E440" w14:textId="77777777" w:rsidR="004E084A" w:rsidRDefault="004E084A">
            <w:pPr>
              <w:rPr>
                <w:rFonts w:ascii="Segoe UI Symbol" w:hAnsi="Segoe UI Symbol" w:cs="Segoe UI Symbol"/>
                <w:sz w:val="22"/>
                <w:szCs w:val="22"/>
              </w:rPr>
            </w:pPr>
          </w:p>
        </w:tc>
        <w:tc>
          <w:tcPr>
            <w:tcW w:w="6915" w:type="dxa"/>
            <w:gridSpan w:val="2"/>
          </w:tcPr>
          <w:p w14:paraId="6D9C4024" w14:textId="77777777" w:rsidR="004E084A" w:rsidRDefault="00F8404D">
            <w:pPr>
              <w:rPr>
                <w:b/>
                <w:bCs/>
                <w:sz w:val="22"/>
                <w:szCs w:val="22"/>
              </w:rPr>
            </w:pPr>
            <w:r>
              <w:rPr>
                <w:b/>
                <w:bCs/>
                <w:sz w:val="22"/>
                <w:szCs w:val="22"/>
              </w:rPr>
              <w:t>Implementation summary:</w:t>
            </w:r>
          </w:p>
          <w:p w14:paraId="1E559D91" w14:textId="2BCFEB6E" w:rsidR="004E084A" w:rsidRDefault="006647C5">
            <w:pPr>
              <w:rPr>
                <w:rFonts w:ascii="Segoe UI Symbol" w:hAnsi="Segoe UI Symbol" w:cs="Segoe UI Symbol"/>
                <w:sz w:val="22"/>
                <w:szCs w:val="22"/>
              </w:rPr>
            </w:pPr>
            <w:r>
              <w:rPr>
                <w:sz w:val="22"/>
                <w:szCs w:val="22"/>
              </w:rPr>
              <w:t>N/A</w:t>
            </w:r>
          </w:p>
        </w:tc>
      </w:tr>
      <w:tr w:rsidR="004E084A" w14:paraId="71895C5D" w14:textId="77777777">
        <w:trPr>
          <w:trHeight w:val="1034"/>
        </w:trPr>
        <w:tc>
          <w:tcPr>
            <w:tcW w:w="2689" w:type="dxa"/>
            <w:vAlign w:val="center"/>
          </w:tcPr>
          <w:p w14:paraId="3C7CDFAB" w14:textId="77777777" w:rsidR="004E084A" w:rsidRDefault="00F8404D">
            <w:pPr>
              <w:rPr>
                <w:b/>
                <w:bCs/>
                <w:sz w:val="22"/>
                <w:szCs w:val="22"/>
              </w:rPr>
            </w:pPr>
            <w:r>
              <w:rPr>
                <w:b/>
                <w:bCs/>
                <w:u w:val="single"/>
              </w:rPr>
              <w:t>Other</w:t>
            </w:r>
          </w:p>
        </w:tc>
        <w:tc>
          <w:tcPr>
            <w:tcW w:w="6915" w:type="dxa"/>
            <w:gridSpan w:val="2"/>
            <w:vAlign w:val="center"/>
          </w:tcPr>
          <w:p w14:paraId="1D9D7120" w14:textId="77777777" w:rsidR="004E084A" w:rsidRDefault="00F8404D">
            <w:pPr>
              <w:rPr>
                <w:b/>
                <w:bCs/>
                <w:sz w:val="22"/>
                <w:szCs w:val="22"/>
              </w:rPr>
            </w:pPr>
            <w:r>
              <w:rPr>
                <w:b/>
                <w:bCs/>
                <w:sz w:val="22"/>
                <w:szCs w:val="22"/>
              </w:rPr>
              <w:t>Implementation summary:</w:t>
            </w:r>
          </w:p>
          <w:p w14:paraId="55D1ED4C" w14:textId="56BA691B" w:rsidR="004E084A" w:rsidRDefault="006647C5">
            <w:pPr>
              <w:rPr>
                <w:b/>
                <w:bCs/>
                <w:sz w:val="22"/>
                <w:szCs w:val="22"/>
              </w:rPr>
            </w:pPr>
            <w:r>
              <w:rPr>
                <w:sz w:val="22"/>
                <w:szCs w:val="22"/>
              </w:rPr>
              <w:t>N/A</w:t>
            </w:r>
          </w:p>
        </w:tc>
      </w:tr>
    </w:tbl>
    <w:p w14:paraId="352473F5" w14:textId="77777777" w:rsidR="00863080" w:rsidRDefault="00863080">
      <w:pPr>
        <w:jc w:val="center"/>
      </w:pPr>
    </w:p>
    <w:p w14:paraId="476CE722" w14:textId="77777777" w:rsidR="00863080" w:rsidRDefault="00863080">
      <w:pPr>
        <w:spacing w:before="0"/>
      </w:pPr>
      <w:r>
        <w:br w:type="page"/>
      </w:r>
    </w:p>
    <w:p w14:paraId="6C9A691A" w14:textId="77777777" w:rsidR="00863080" w:rsidRDefault="00863080">
      <w:pPr>
        <w:jc w:val="center"/>
      </w:pPr>
    </w:p>
    <w:p w14:paraId="7ABF027A" w14:textId="413975CD" w:rsidR="00863080" w:rsidRDefault="00863080" w:rsidP="00863080">
      <w:pPr>
        <w:spacing w:after="120"/>
        <w:jc w:val="center"/>
        <w:rPr>
          <w:b/>
          <w:bCs/>
          <w:sz w:val="32"/>
          <w:szCs w:val="32"/>
          <w:u w:val="single"/>
        </w:rPr>
      </w:pPr>
      <w:r>
        <w:rPr>
          <w:b/>
          <w:bCs/>
          <w:sz w:val="32"/>
          <w:szCs w:val="32"/>
          <w:u w:val="single"/>
        </w:rPr>
        <w:t>Case 2</w:t>
      </w:r>
    </w:p>
    <w:tbl>
      <w:tblPr>
        <w:tblStyle w:val="TableGrid"/>
        <w:tblW w:w="9604" w:type="dxa"/>
        <w:tblLook w:val="04A0" w:firstRow="1" w:lastRow="0" w:firstColumn="1" w:lastColumn="0" w:noHBand="0" w:noVBand="1"/>
      </w:tblPr>
      <w:tblGrid>
        <w:gridCol w:w="2539"/>
        <w:gridCol w:w="3452"/>
        <w:gridCol w:w="3613"/>
      </w:tblGrid>
      <w:tr w:rsidR="00863080" w14:paraId="7C9520F1" w14:textId="77777777" w:rsidTr="00FA0E2A">
        <w:trPr>
          <w:trHeight w:val="416"/>
        </w:trPr>
        <w:tc>
          <w:tcPr>
            <w:tcW w:w="9604" w:type="dxa"/>
            <w:gridSpan w:val="3"/>
            <w:shd w:val="clear" w:color="auto" w:fill="D9D9D9" w:themeFill="background1" w:themeFillShade="D9"/>
            <w:vAlign w:val="center"/>
          </w:tcPr>
          <w:p w14:paraId="0CCF023A" w14:textId="77777777" w:rsidR="00863080" w:rsidRDefault="00863080" w:rsidP="00FA0E2A">
            <w:pPr>
              <w:jc w:val="center"/>
              <w:rPr>
                <w:sz w:val="22"/>
                <w:szCs w:val="22"/>
              </w:rPr>
            </w:pPr>
            <w:r>
              <w:rPr>
                <w:b/>
                <w:bCs/>
                <w:sz w:val="22"/>
                <w:szCs w:val="22"/>
                <w:u w:val="single"/>
              </w:rPr>
              <w:t>ITU-T RECOMMENDATION OVERVIEW</w:t>
            </w:r>
          </w:p>
        </w:tc>
      </w:tr>
      <w:tr w:rsidR="00863080" w14:paraId="6BE7FA90" w14:textId="77777777" w:rsidTr="00FA0E2A">
        <w:trPr>
          <w:trHeight w:val="416"/>
        </w:trPr>
        <w:tc>
          <w:tcPr>
            <w:tcW w:w="2689" w:type="dxa"/>
            <w:vAlign w:val="center"/>
          </w:tcPr>
          <w:p w14:paraId="001DAE66" w14:textId="77777777" w:rsidR="00863080" w:rsidRDefault="00863080" w:rsidP="00FA0E2A">
            <w:pPr>
              <w:rPr>
                <w:sz w:val="22"/>
                <w:szCs w:val="22"/>
              </w:rPr>
            </w:pPr>
            <w:r>
              <w:rPr>
                <w:sz w:val="22"/>
                <w:szCs w:val="22"/>
              </w:rPr>
              <w:t>ITU-T Recommendation:</w:t>
            </w:r>
          </w:p>
        </w:tc>
        <w:tc>
          <w:tcPr>
            <w:tcW w:w="6915" w:type="dxa"/>
            <w:gridSpan w:val="2"/>
            <w:vAlign w:val="center"/>
          </w:tcPr>
          <w:p w14:paraId="0DB82173" w14:textId="77777777" w:rsidR="00863080" w:rsidRDefault="00863080" w:rsidP="00FA0E2A">
            <w:pPr>
              <w:rPr>
                <w:sz w:val="22"/>
                <w:szCs w:val="22"/>
                <w:lang w:val="en-US" w:eastAsia="zh-CN"/>
              </w:rPr>
            </w:pPr>
            <w:r w:rsidRPr="00863080">
              <w:rPr>
                <w:color w:val="5B9BD5" w:themeColor="accent1"/>
                <w:sz w:val="22"/>
                <w:szCs w:val="22"/>
              </w:rPr>
              <w:t>L.1</w:t>
            </w:r>
            <w:r w:rsidRPr="00863080">
              <w:rPr>
                <w:rFonts w:hint="eastAsia"/>
                <w:color w:val="5B9BD5" w:themeColor="accent1"/>
                <w:sz w:val="22"/>
                <w:szCs w:val="22"/>
                <w:lang w:val="en-US" w:eastAsia="zh-CN"/>
              </w:rPr>
              <w:t>391</w:t>
            </w:r>
          </w:p>
        </w:tc>
      </w:tr>
      <w:tr w:rsidR="00863080" w14:paraId="77090019" w14:textId="77777777" w:rsidTr="00FA0E2A">
        <w:trPr>
          <w:trHeight w:val="416"/>
        </w:trPr>
        <w:tc>
          <w:tcPr>
            <w:tcW w:w="2689" w:type="dxa"/>
            <w:vAlign w:val="center"/>
          </w:tcPr>
          <w:p w14:paraId="3D8460F4" w14:textId="77777777" w:rsidR="00863080" w:rsidRDefault="00863080" w:rsidP="00FA0E2A">
            <w:pPr>
              <w:rPr>
                <w:sz w:val="22"/>
                <w:szCs w:val="22"/>
              </w:rPr>
            </w:pPr>
            <w:r>
              <w:rPr>
                <w:sz w:val="22"/>
                <w:szCs w:val="22"/>
              </w:rPr>
              <w:t>Title:</w:t>
            </w:r>
          </w:p>
        </w:tc>
        <w:tc>
          <w:tcPr>
            <w:tcW w:w="6915" w:type="dxa"/>
            <w:gridSpan w:val="2"/>
            <w:vAlign w:val="center"/>
          </w:tcPr>
          <w:p w14:paraId="1A883940" w14:textId="77777777" w:rsidR="00863080" w:rsidRDefault="00863080" w:rsidP="00FA0E2A">
            <w:pPr>
              <w:rPr>
                <w:sz w:val="22"/>
                <w:szCs w:val="22"/>
              </w:rPr>
            </w:pPr>
            <w:r w:rsidRPr="00863080">
              <w:rPr>
                <w:rFonts w:hint="eastAsia"/>
                <w:color w:val="5B9BD5" w:themeColor="accent1"/>
                <w:sz w:val="22"/>
                <w:szCs w:val="22"/>
              </w:rPr>
              <w:t>Specification of IMT-2020 network sharing and co-construction adapting to climate change mitigation</w:t>
            </w:r>
          </w:p>
        </w:tc>
      </w:tr>
      <w:tr w:rsidR="00863080" w14:paraId="3FF1FB1E" w14:textId="77777777" w:rsidTr="00FA0E2A">
        <w:trPr>
          <w:trHeight w:val="416"/>
        </w:trPr>
        <w:tc>
          <w:tcPr>
            <w:tcW w:w="2689" w:type="dxa"/>
            <w:vAlign w:val="center"/>
          </w:tcPr>
          <w:p w14:paraId="2F55B399" w14:textId="77777777" w:rsidR="00863080" w:rsidRDefault="00863080" w:rsidP="00FA0E2A">
            <w:pPr>
              <w:rPr>
                <w:sz w:val="22"/>
                <w:szCs w:val="22"/>
              </w:rPr>
            </w:pPr>
            <w:r>
              <w:rPr>
                <w:sz w:val="22"/>
                <w:szCs w:val="22"/>
              </w:rPr>
              <w:t>Effective period:</w:t>
            </w:r>
          </w:p>
        </w:tc>
        <w:tc>
          <w:tcPr>
            <w:tcW w:w="6915" w:type="dxa"/>
            <w:gridSpan w:val="2"/>
            <w:vAlign w:val="center"/>
          </w:tcPr>
          <w:p w14:paraId="05D7B972" w14:textId="77777777" w:rsidR="00863080" w:rsidRDefault="00863080" w:rsidP="00FA0E2A">
            <w:pPr>
              <w:rPr>
                <w:sz w:val="22"/>
                <w:szCs w:val="22"/>
              </w:rPr>
            </w:pPr>
            <w:r w:rsidRPr="00863080">
              <w:rPr>
                <w:rFonts w:hint="eastAsia"/>
                <w:color w:val="5B9BD5" w:themeColor="accent1"/>
                <w:sz w:val="22"/>
                <w:szCs w:val="22"/>
                <w:lang w:val="en-US" w:eastAsia="zh-CN"/>
              </w:rPr>
              <w:t>0</w:t>
            </w:r>
            <w:r w:rsidRPr="00863080">
              <w:rPr>
                <w:color w:val="5B9BD5" w:themeColor="accent1"/>
                <w:sz w:val="22"/>
                <w:szCs w:val="22"/>
              </w:rPr>
              <w:t>1-20</w:t>
            </w:r>
            <w:r w:rsidRPr="00863080">
              <w:rPr>
                <w:rFonts w:hint="eastAsia"/>
                <w:color w:val="5B9BD5" w:themeColor="accent1"/>
                <w:sz w:val="22"/>
                <w:szCs w:val="22"/>
                <w:lang w:val="en-US" w:eastAsia="zh-CN"/>
              </w:rPr>
              <w:t>24</w:t>
            </w:r>
            <w:r w:rsidRPr="00863080">
              <w:rPr>
                <w:color w:val="5B9BD5" w:themeColor="accent1"/>
                <w:sz w:val="22"/>
                <w:szCs w:val="22"/>
              </w:rPr>
              <w:t xml:space="preserve"> - Present</w:t>
            </w:r>
          </w:p>
        </w:tc>
      </w:tr>
      <w:tr w:rsidR="00863080" w14:paraId="4B4C312F" w14:textId="77777777" w:rsidTr="00FA0E2A">
        <w:trPr>
          <w:trHeight w:val="708"/>
        </w:trPr>
        <w:tc>
          <w:tcPr>
            <w:tcW w:w="2689" w:type="dxa"/>
            <w:vAlign w:val="center"/>
          </w:tcPr>
          <w:p w14:paraId="413B8A49" w14:textId="77777777" w:rsidR="00863080" w:rsidRDefault="00863080" w:rsidP="00FA0E2A">
            <w:pPr>
              <w:rPr>
                <w:sz w:val="22"/>
                <w:szCs w:val="22"/>
              </w:rPr>
            </w:pPr>
            <w:r>
              <w:rPr>
                <w:sz w:val="22"/>
                <w:szCs w:val="22"/>
              </w:rPr>
              <w:t xml:space="preserve">Summary: </w:t>
            </w:r>
          </w:p>
        </w:tc>
        <w:tc>
          <w:tcPr>
            <w:tcW w:w="6915" w:type="dxa"/>
            <w:gridSpan w:val="2"/>
            <w:vAlign w:val="center"/>
          </w:tcPr>
          <w:p w14:paraId="2434EAF0" w14:textId="54690107" w:rsidR="00863080" w:rsidRPr="00863080" w:rsidRDefault="00863080" w:rsidP="00FA0E2A">
            <w:pPr>
              <w:rPr>
                <w:color w:val="5B9BD5" w:themeColor="accent1"/>
                <w:sz w:val="22"/>
                <w:szCs w:val="22"/>
              </w:rPr>
            </w:pPr>
            <w:r w:rsidRPr="00863080">
              <w:rPr>
                <w:rFonts w:hint="eastAsia"/>
                <w:color w:val="5B9BD5" w:themeColor="accent1"/>
                <w:sz w:val="22"/>
                <w:szCs w:val="22"/>
              </w:rPr>
              <w:t>Recommendation ITU-T L.1391 specifies IMT-2020 (also known as 5G) network sharing and co</w:t>
            </w:r>
            <w:r w:rsidRPr="00863080">
              <w:rPr>
                <w:color w:val="5B9BD5" w:themeColor="accent1"/>
                <w:sz w:val="22"/>
                <w:szCs w:val="22"/>
              </w:rPr>
              <w:t>-</w:t>
            </w:r>
            <w:r w:rsidRPr="00863080">
              <w:rPr>
                <w:rFonts w:hint="eastAsia"/>
                <w:color w:val="5B9BD5" w:themeColor="accent1"/>
                <w:sz w:val="22"/>
                <w:szCs w:val="22"/>
              </w:rPr>
              <w:t>construction (NSCC) and their contribution to climate change mitigation, identifies their key technologies and specifies how to assess NSCC in their adaptation to climate change. Recommendation ITU-T L.1391 also addresses the cost-benefit analysis and best practice for IMT2020 NSCC.</w:t>
            </w:r>
          </w:p>
          <w:p w14:paraId="1D25B98E" w14:textId="77777777" w:rsidR="00863080" w:rsidRDefault="00863080" w:rsidP="00FA0E2A">
            <w:pPr>
              <w:rPr>
                <w:sz w:val="22"/>
                <w:szCs w:val="22"/>
              </w:rPr>
            </w:pPr>
            <w:r w:rsidRPr="00863080">
              <w:rPr>
                <w:rFonts w:hint="eastAsia"/>
                <w:color w:val="5B9BD5" w:themeColor="accent1"/>
                <w:sz w:val="22"/>
                <w:szCs w:val="22"/>
              </w:rPr>
              <w:t>Mobile network operators around the world are facing unprecedented difficulties in IMT-2020 deployment. Restricted by expensive spectrum resources, the need for high investment and high energy consumption of IMT-2020, the profit gap between operators and equipment manufacturers is growing, and a large number of problems related to business increment with no increase in revenue are arising. Methods of reduction in the cost of network construction and operation, adaptation to climate change mitigation and enablement of the rapid benefits of IMT-2020, especially in underdeveloped communications regions, present major challenges to the global industry and operators.</w:t>
            </w:r>
          </w:p>
        </w:tc>
      </w:tr>
      <w:tr w:rsidR="00863080" w14:paraId="56324DCC" w14:textId="77777777" w:rsidTr="00FA0E2A">
        <w:trPr>
          <w:trHeight w:val="413"/>
        </w:trPr>
        <w:tc>
          <w:tcPr>
            <w:tcW w:w="9604" w:type="dxa"/>
            <w:gridSpan w:val="3"/>
            <w:shd w:val="clear" w:color="auto" w:fill="D9D9D9" w:themeFill="background1" w:themeFillShade="D9"/>
            <w:vAlign w:val="center"/>
          </w:tcPr>
          <w:p w14:paraId="4507C58B" w14:textId="77777777" w:rsidR="00863080" w:rsidRDefault="00863080" w:rsidP="00FA0E2A">
            <w:pPr>
              <w:jc w:val="center"/>
              <w:rPr>
                <w:sz w:val="22"/>
                <w:szCs w:val="22"/>
              </w:rPr>
            </w:pPr>
            <w:r>
              <w:rPr>
                <w:b/>
                <w:bCs/>
                <w:sz w:val="22"/>
                <w:szCs w:val="22"/>
                <w:u w:val="single"/>
              </w:rPr>
              <w:t>SUCCESS STORY</w:t>
            </w:r>
          </w:p>
        </w:tc>
      </w:tr>
      <w:tr w:rsidR="00863080" w14:paraId="07F03092" w14:textId="77777777" w:rsidTr="00FA0E2A">
        <w:trPr>
          <w:trHeight w:val="1246"/>
        </w:trPr>
        <w:tc>
          <w:tcPr>
            <w:tcW w:w="2689" w:type="dxa"/>
            <w:vAlign w:val="center"/>
          </w:tcPr>
          <w:p w14:paraId="62DF5EF4" w14:textId="77777777" w:rsidR="00863080" w:rsidRDefault="00863080" w:rsidP="00FA0E2A">
            <w:pPr>
              <w:rPr>
                <w:sz w:val="22"/>
                <w:szCs w:val="22"/>
              </w:rPr>
            </w:pPr>
            <w:r>
              <w:rPr>
                <w:sz w:val="22"/>
                <w:szCs w:val="22"/>
              </w:rPr>
              <w:t>Implementation type:</w:t>
            </w:r>
          </w:p>
          <w:p w14:paraId="2E4A9A4C" w14:textId="77777777" w:rsidR="00863080" w:rsidRDefault="00863080" w:rsidP="00FA0E2A">
            <w:pPr>
              <w:rPr>
                <w:sz w:val="22"/>
                <w:szCs w:val="22"/>
              </w:rPr>
            </w:pPr>
            <w:r>
              <w:rPr>
                <w:i/>
                <w:iCs/>
                <w:sz w:val="22"/>
                <w:szCs w:val="22"/>
              </w:rPr>
              <w:t>(Select all that apply and provide information below)</w:t>
            </w:r>
          </w:p>
        </w:tc>
        <w:tc>
          <w:tcPr>
            <w:tcW w:w="6915" w:type="dxa"/>
            <w:gridSpan w:val="2"/>
          </w:tcPr>
          <w:p w14:paraId="7F0E1F69" w14:textId="77777777" w:rsidR="00863080" w:rsidRDefault="00863080" w:rsidP="00FA0E2A">
            <w:pPr>
              <w:spacing w:before="0"/>
              <w:rPr>
                <w:sz w:val="22"/>
                <w:szCs w:val="22"/>
              </w:rPr>
            </w:pPr>
            <w:r w:rsidRPr="00863080">
              <w:rPr>
                <w:rFonts w:ascii="Segoe UI Symbol" w:hAnsi="Segoe UI Symbol" w:cs="Segoe UI Symbol"/>
                <w:sz w:val="22"/>
                <w:szCs w:val="22"/>
                <w:shd w:val="clear" w:color="auto" w:fill="5B9BD5" w:themeFill="accent1"/>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5BD7FC20" w14:textId="77777777" w:rsidR="00863080" w:rsidRDefault="00863080" w:rsidP="00FA0E2A">
            <w:pPr>
              <w:spacing w:before="0"/>
              <w:rPr>
                <w:sz w:val="22"/>
                <w:szCs w:val="22"/>
              </w:rPr>
            </w:pPr>
            <w:r>
              <w:rPr>
                <w:rFonts w:ascii="Segoe UI Symbol" w:hAnsi="Segoe UI Symbol" w:cs="Segoe UI Symbol"/>
                <w:sz w:val="22"/>
                <w:szCs w:val="22"/>
              </w:rPr>
              <w:t>☐</w:t>
            </w:r>
            <w:r>
              <w:rPr>
                <w:sz w:val="22"/>
                <w:szCs w:val="22"/>
              </w:rPr>
              <w:t xml:space="preserve"> Other</w:t>
            </w:r>
          </w:p>
        </w:tc>
      </w:tr>
      <w:tr w:rsidR="00863080" w14:paraId="5C528B04" w14:textId="77777777" w:rsidTr="00FA0E2A">
        <w:trPr>
          <w:trHeight w:val="848"/>
        </w:trPr>
        <w:tc>
          <w:tcPr>
            <w:tcW w:w="2689" w:type="dxa"/>
            <w:vMerge w:val="restart"/>
            <w:vAlign w:val="center"/>
          </w:tcPr>
          <w:p w14:paraId="2483F575" w14:textId="77777777" w:rsidR="00863080" w:rsidRDefault="00863080" w:rsidP="00FA0E2A">
            <w:pPr>
              <w:rPr>
                <w:rFonts w:ascii="Segoe UI Symbol" w:hAnsi="Segoe UI Symbol" w:cs="Segoe UI Symbol"/>
                <w:b/>
                <w:bCs/>
                <w:u w:val="single"/>
              </w:rPr>
            </w:pPr>
            <w:r>
              <w:rPr>
                <w:b/>
                <w:bCs/>
                <w:u w:val="single"/>
              </w:rPr>
              <w:t>Telecom/ICT products/services</w:t>
            </w:r>
          </w:p>
        </w:tc>
        <w:tc>
          <w:tcPr>
            <w:tcW w:w="3260" w:type="dxa"/>
          </w:tcPr>
          <w:p w14:paraId="756C479E" w14:textId="77777777" w:rsidR="00863080" w:rsidRDefault="00863080" w:rsidP="00FA0E2A">
            <w:pPr>
              <w:rPr>
                <w:b/>
                <w:bCs/>
                <w:sz w:val="22"/>
                <w:szCs w:val="22"/>
              </w:rPr>
            </w:pPr>
            <w:r>
              <w:rPr>
                <w:b/>
                <w:bCs/>
                <w:sz w:val="22"/>
                <w:szCs w:val="22"/>
              </w:rPr>
              <w:t xml:space="preserve">Implementing body: </w:t>
            </w:r>
          </w:p>
          <w:p w14:paraId="5604687D" w14:textId="77777777" w:rsidR="00863080" w:rsidRDefault="00863080" w:rsidP="00FA0E2A">
            <w:pPr>
              <w:rPr>
                <w:sz w:val="22"/>
                <w:szCs w:val="22"/>
                <w:lang w:val="en-US" w:eastAsia="zh-CN"/>
              </w:rPr>
            </w:pPr>
            <w:r w:rsidRPr="00863080">
              <w:rPr>
                <w:color w:val="5B9BD5" w:themeColor="accent1"/>
                <w:sz w:val="22"/>
                <w:szCs w:val="22"/>
                <w:lang w:eastAsia="zh-CN"/>
              </w:rPr>
              <w:t>China Telecommunications Corp.</w:t>
            </w:r>
          </w:p>
        </w:tc>
        <w:tc>
          <w:tcPr>
            <w:tcW w:w="3655" w:type="dxa"/>
          </w:tcPr>
          <w:p w14:paraId="0229796D" w14:textId="77777777" w:rsidR="00863080" w:rsidRDefault="00863080" w:rsidP="00FA0E2A">
            <w:pPr>
              <w:rPr>
                <w:b/>
                <w:bCs/>
                <w:sz w:val="22"/>
                <w:szCs w:val="22"/>
              </w:rPr>
            </w:pPr>
            <w:r>
              <w:rPr>
                <w:b/>
                <w:bCs/>
                <w:sz w:val="22"/>
                <w:szCs w:val="22"/>
              </w:rPr>
              <w:t>Implementation:</w:t>
            </w:r>
          </w:p>
          <w:p w14:paraId="0C24014C" w14:textId="77777777" w:rsidR="00863080" w:rsidRDefault="00863080" w:rsidP="00FA0E2A">
            <w:pPr>
              <w:rPr>
                <w:i/>
                <w:iCs/>
                <w:sz w:val="22"/>
                <w:szCs w:val="22"/>
                <w:lang w:val="en-US" w:eastAsia="zh-CN"/>
              </w:rPr>
            </w:pPr>
            <w:r w:rsidRPr="00863080">
              <w:rPr>
                <w:color w:val="5B9BD5" w:themeColor="accent1"/>
                <w:sz w:val="22"/>
                <w:szCs w:val="22"/>
                <w:lang w:val="en-US" w:eastAsia="zh-CN"/>
              </w:rPr>
              <w:t>5G network sharing and co-construction</w:t>
            </w:r>
          </w:p>
        </w:tc>
      </w:tr>
      <w:tr w:rsidR="00863080" w14:paraId="2FB09342" w14:textId="77777777" w:rsidTr="00FA0E2A">
        <w:trPr>
          <w:trHeight w:val="1232"/>
        </w:trPr>
        <w:tc>
          <w:tcPr>
            <w:tcW w:w="2689" w:type="dxa"/>
            <w:vMerge/>
            <w:vAlign w:val="center"/>
          </w:tcPr>
          <w:p w14:paraId="65ABF115" w14:textId="77777777" w:rsidR="00863080" w:rsidRDefault="00863080" w:rsidP="00FA0E2A">
            <w:pPr>
              <w:rPr>
                <w:b/>
                <w:bCs/>
                <w:u w:val="single"/>
              </w:rPr>
            </w:pPr>
          </w:p>
        </w:tc>
        <w:tc>
          <w:tcPr>
            <w:tcW w:w="6915" w:type="dxa"/>
            <w:gridSpan w:val="2"/>
          </w:tcPr>
          <w:p w14:paraId="104C9EFA" w14:textId="77777777" w:rsidR="00863080" w:rsidRDefault="00863080" w:rsidP="00FA0E2A">
            <w:pPr>
              <w:rPr>
                <w:b/>
                <w:bCs/>
                <w:sz w:val="22"/>
                <w:szCs w:val="22"/>
              </w:rPr>
            </w:pPr>
            <w:r>
              <w:rPr>
                <w:b/>
                <w:bCs/>
                <w:sz w:val="22"/>
                <w:szCs w:val="22"/>
              </w:rPr>
              <w:t>Implementation summary:</w:t>
            </w:r>
          </w:p>
          <w:p w14:paraId="667BA952" w14:textId="77777777" w:rsidR="00863080" w:rsidRPr="00863080" w:rsidRDefault="00863080" w:rsidP="00FA0E2A">
            <w:pPr>
              <w:pStyle w:val="NormalWeb"/>
              <w:rPr>
                <w:color w:val="5B9BD5" w:themeColor="accent1"/>
                <w:sz w:val="22"/>
                <w:szCs w:val="22"/>
              </w:rPr>
            </w:pPr>
            <w:r w:rsidRPr="00863080">
              <w:rPr>
                <w:color w:val="5B9BD5" w:themeColor="accent1"/>
                <w:sz w:val="22"/>
                <w:szCs w:val="22"/>
              </w:rPr>
              <w:t>Recommendation ITU-T L.1391 defines 5G network sharing and co-construction (NSCC) and their contribution to climate-change mitigation, identifies the key enabling technologies, and specifies methods for assessing NSCC in relation to climate-change adaptation. It also addresses cost–benefit analysis and best practices for the deployment of 5G NSCC.</w:t>
            </w:r>
          </w:p>
          <w:p w14:paraId="311B9A16" w14:textId="77777777" w:rsidR="00863080" w:rsidRPr="00863080" w:rsidRDefault="00863080" w:rsidP="00FA0E2A">
            <w:pPr>
              <w:pStyle w:val="NormalWeb"/>
              <w:rPr>
                <w:color w:val="5B9BD5" w:themeColor="accent1"/>
                <w:sz w:val="22"/>
                <w:szCs w:val="22"/>
                <w:lang w:val="en-US" w:eastAsia="zh-CN"/>
              </w:rPr>
            </w:pPr>
            <w:r w:rsidRPr="00863080">
              <w:rPr>
                <w:color w:val="5B9BD5" w:themeColor="accent1"/>
                <w:sz w:val="22"/>
                <w:szCs w:val="22"/>
              </w:rPr>
              <w:t xml:space="preserve">Based on the co-construction and sharing scheme defined in Recommendation ITU-T L.1391, China Telecom has built a 5G ultra-large-scale access-network sharing architecture featuring </w:t>
            </w:r>
            <w:r w:rsidRPr="00863080">
              <w:rPr>
                <w:color w:val="5B9BD5" w:themeColor="accent1"/>
                <w:sz w:val="22"/>
                <w:szCs w:val="22"/>
                <w:lang w:val="en-US" w:eastAsia="zh-CN"/>
              </w:rPr>
              <w:t>“</w:t>
            </w:r>
            <w:r w:rsidRPr="00863080">
              <w:rPr>
                <w:color w:val="5B9BD5" w:themeColor="accent1"/>
                <w:sz w:val="22"/>
                <w:szCs w:val="22"/>
              </w:rPr>
              <w:t>one physical network, two logical networks and multiple customized networks</w:t>
            </w:r>
            <w:r w:rsidRPr="00863080">
              <w:rPr>
                <w:color w:val="5B9BD5" w:themeColor="accent1"/>
                <w:sz w:val="22"/>
                <w:szCs w:val="22"/>
                <w:lang w:val="en-US" w:eastAsia="zh-CN"/>
              </w:rPr>
              <w:t>”</w:t>
            </w:r>
            <w:r w:rsidRPr="00863080">
              <w:rPr>
                <w:color w:val="5B9BD5" w:themeColor="accent1"/>
                <w:sz w:val="22"/>
                <w:szCs w:val="22"/>
              </w:rPr>
              <w:t>. It has proposed a multi-scenario anchor-point sharing solution for NSA (non-standalone) deployment to enable smooth evolution towards SA (standalone). At the same time, it has developed a blockchain-based shared-network operations and scheduling platform, addressing key challenges in service scheduling, network management and operational coordination under a shared-network architecture.</w:t>
            </w:r>
            <w:r w:rsidRPr="00863080">
              <w:rPr>
                <w:color w:val="5B9BD5" w:themeColor="accent1"/>
                <w:sz w:val="22"/>
                <w:szCs w:val="22"/>
                <w:lang w:val="en-US" w:eastAsia="zh-CN"/>
              </w:rPr>
              <w:t xml:space="preserve"> </w:t>
            </w:r>
          </w:p>
          <w:p w14:paraId="0AF31C08" w14:textId="77777777" w:rsidR="00863080" w:rsidRPr="00863080" w:rsidRDefault="00863080" w:rsidP="00FA0E2A">
            <w:pPr>
              <w:pStyle w:val="NormalWeb"/>
              <w:rPr>
                <w:color w:val="5B9BD5" w:themeColor="accent1"/>
                <w:sz w:val="22"/>
                <w:szCs w:val="22"/>
              </w:rPr>
            </w:pPr>
            <w:r w:rsidRPr="00863080">
              <w:rPr>
                <w:noProof/>
                <w:color w:val="5B9BD5" w:themeColor="accent1"/>
                <w:sz w:val="22"/>
                <w:szCs w:val="22"/>
              </w:rPr>
              <w:lastRenderedPageBreak/>
              <w:drawing>
                <wp:inline distT="0" distB="0" distL="114300" distR="114300" wp14:anchorId="75A13C9F" wp14:editId="0DAD224D">
                  <wp:extent cx="4298950" cy="1350010"/>
                  <wp:effectExtent l="0" t="0" r="0" b="0"/>
                  <wp:docPr id="8" name="图片 7"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A screen shot of a computer&#10;&#10;AI-generated content may be incorrect."/>
                          <pic:cNvPicPr>
                            <a:picLocks noChangeAspect="1"/>
                          </pic:cNvPicPr>
                        </pic:nvPicPr>
                        <pic:blipFill>
                          <a:blip r:embed="rId10">
                            <a:duotone>
                              <a:schemeClr val="accent1">
                                <a:shade val="45000"/>
                                <a:satMod val="135000"/>
                              </a:schemeClr>
                              <a:prstClr val="white"/>
                            </a:duotone>
                            <a:extLst>
                              <a:ext uri="{BEBA8EAE-BF5A-486C-A8C5-ECC9F3942E4B}">
                                <a14:imgProps xmlns:a14="http://schemas.microsoft.com/office/drawing/2010/main">
                                  <a14:imgLayer r:embed="rId11">
                                    <a14:imgEffect>
                                      <a14:artisticGlowEdges/>
                                    </a14:imgEffect>
                                    <a14:imgEffect>
                                      <a14:brightnessContrast bright="-40000" contrast="-40000"/>
                                    </a14:imgEffect>
                                  </a14:imgLayer>
                                </a14:imgProps>
                              </a:ext>
                            </a:extLst>
                          </a:blip>
                          <a:srcRect t="13718"/>
                          <a:stretch>
                            <a:fillRect/>
                          </a:stretch>
                        </pic:blipFill>
                        <pic:spPr>
                          <a:xfrm>
                            <a:off x="0" y="0"/>
                            <a:ext cx="4298950" cy="1350010"/>
                          </a:xfrm>
                          <a:prstGeom prst="rect">
                            <a:avLst/>
                          </a:prstGeom>
                        </pic:spPr>
                      </pic:pic>
                    </a:graphicData>
                  </a:graphic>
                </wp:inline>
              </w:drawing>
            </w:r>
          </w:p>
          <w:p w14:paraId="2B8710CF" w14:textId="77777777" w:rsidR="00863080" w:rsidRPr="00863080" w:rsidRDefault="00863080" w:rsidP="00FA0E2A">
            <w:pPr>
              <w:pStyle w:val="NormalWeb"/>
              <w:rPr>
                <w:color w:val="5B9BD5" w:themeColor="accent1"/>
                <w:sz w:val="22"/>
                <w:szCs w:val="22"/>
              </w:rPr>
            </w:pPr>
            <w:r w:rsidRPr="00863080">
              <w:rPr>
                <w:color w:val="5B9BD5" w:themeColor="accent1"/>
                <w:sz w:val="22"/>
                <w:szCs w:val="22"/>
              </w:rPr>
              <w:t xml:space="preserve">By applying </w:t>
            </w:r>
            <w:r w:rsidRPr="00863080">
              <w:rPr>
                <w:color w:val="5B9BD5" w:themeColor="accent1"/>
                <w:sz w:val="22"/>
                <w:szCs w:val="22"/>
                <w:lang w:val="en-US" w:eastAsia="zh-CN"/>
              </w:rPr>
              <w:t>scheme in L.1391</w:t>
            </w:r>
            <w:r w:rsidRPr="00863080">
              <w:rPr>
                <w:color w:val="5B9BD5" w:themeColor="accent1"/>
                <w:sz w:val="22"/>
                <w:szCs w:val="22"/>
              </w:rPr>
              <w:t>, China Telecom and partners such as China Unicom have deployed the world</w:t>
            </w:r>
            <w:r w:rsidRPr="00863080">
              <w:rPr>
                <w:color w:val="5B9BD5" w:themeColor="accent1"/>
                <w:sz w:val="22"/>
                <w:szCs w:val="22"/>
                <w:lang w:val="en-US" w:eastAsia="zh-CN"/>
              </w:rPr>
              <w:t>’</w:t>
            </w:r>
            <w:r w:rsidRPr="00863080">
              <w:rPr>
                <w:color w:val="5B9BD5" w:themeColor="accent1"/>
                <w:sz w:val="22"/>
                <w:szCs w:val="22"/>
              </w:rPr>
              <w:t>s first, largest and fastest co-</w:t>
            </w:r>
            <w:r w:rsidRPr="00863080">
              <w:rPr>
                <w:color w:val="5B9BD5" w:themeColor="accent1"/>
                <w:sz w:val="22"/>
                <w:szCs w:val="22"/>
                <w:lang w:val="en-US" w:eastAsia="zh-CN"/>
              </w:rPr>
              <w:t>construct</w:t>
            </w:r>
            <w:r w:rsidRPr="00863080">
              <w:rPr>
                <w:color w:val="5B9BD5" w:themeColor="accent1"/>
                <w:sz w:val="22"/>
                <w:szCs w:val="22"/>
              </w:rPr>
              <w:t xml:space="preserve"> and shared 5G SA network, achieving smooth evolution from NSA to SA in real-world operation. To date, China Telecom and its partners have put into service more than 1.37 million 5G</w:t>
            </w:r>
            <w:r w:rsidRPr="00863080">
              <w:rPr>
                <w:color w:val="5B9BD5" w:themeColor="accent1"/>
                <w:sz w:val="22"/>
                <w:szCs w:val="22"/>
                <w:lang w:val="en-US" w:eastAsia="zh-CN"/>
              </w:rPr>
              <w:t xml:space="preserve"> NSCC</w:t>
            </w:r>
            <w:r w:rsidRPr="00863080">
              <w:rPr>
                <w:color w:val="5B9BD5" w:themeColor="accent1"/>
                <w:sz w:val="22"/>
                <w:szCs w:val="22"/>
              </w:rPr>
              <w:t xml:space="preserve"> base stations</w:t>
            </w:r>
            <w:r w:rsidRPr="00863080">
              <w:rPr>
                <w:color w:val="5B9BD5" w:themeColor="accent1"/>
                <w:sz w:val="22"/>
                <w:szCs w:val="22"/>
                <w:lang w:val="en-US" w:eastAsia="zh-CN"/>
              </w:rPr>
              <w:t>, covering 17% percent of global population. With the development of 5G-Advanced (5G-A), China Telecom is also driving the continuous evolution of NSCC technologies, and the number of 5G-A NSCC base stations has now exceeded 70,000.</w:t>
            </w:r>
            <w:r w:rsidRPr="00863080">
              <w:rPr>
                <w:color w:val="5B9BD5" w:themeColor="accent1"/>
                <w:sz w:val="22"/>
                <w:szCs w:val="22"/>
              </w:rPr>
              <w:t xml:space="preserve"> </w:t>
            </w:r>
          </w:p>
          <w:p w14:paraId="779CADFC" w14:textId="77777777" w:rsidR="00863080" w:rsidRPr="00863080" w:rsidRDefault="00863080" w:rsidP="00FA0E2A">
            <w:pPr>
              <w:pStyle w:val="NormalWeb"/>
              <w:rPr>
                <w:color w:val="5B9BD5" w:themeColor="accent1"/>
                <w:sz w:val="22"/>
                <w:szCs w:val="22"/>
              </w:rPr>
            </w:pPr>
            <w:r w:rsidRPr="00863080">
              <w:rPr>
                <w:color w:val="5B9BD5" w:themeColor="accent1"/>
                <w:sz w:val="22"/>
                <w:szCs w:val="22"/>
                <w:lang w:val="en-US" w:eastAsia="zh-CN"/>
              </w:rPr>
              <w:t xml:space="preserve">During the implementation of NSCC, China Telecom and its partners have </w:t>
            </w:r>
            <w:r w:rsidRPr="00863080">
              <w:rPr>
                <w:color w:val="5B9BD5" w:themeColor="accent1"/>
                <w:sz w:val="22"/>
                <w:szCs w:val="22"/>
              </w:rPr>
              <w:t xml:space="preserve">secured over </w:t>
            </w:r>
            <w:r w:rsidRPr="00863080">
              <w:rPr>
                <w:color w:val="5B9BD5" w:themeColor="accent1"/>
                <w:sz w:val="22"/>
                <w:szCs w:val="22"/>
                <w:lang w:val="en-US" w:eastAsia="zh-CN"/>
              </w:rPr>
              <w:t>10</w:t>
            </w:r>
            <w:r w:rsidRPr="00863080">
              <w:rPr>
                <w:color w:val="5B9BD5" w:themeColor="accent1"/>
                <w:sz w:val="22"/>
                <w:szCs w:val="22"/>
              </w:rPr>
              <w:t xml:space="preserve">00 patents, saved more than 20 billion kWh of electricity per year and reduced carbon emissions by about 13 million </w:t>
            </w:r>
            <w:r w:rsidRPr="00863080">
              <w:rPr>
                <w:color w:val="5B9BD5" w:themeColor="accent1"/>
                <w:sz w:val="22"/>
                <w:szCs w:val="22"/>
                <w:lang w:val="en-US" w:eastAsia="zh-CN"/>
              </w:rPr>
              <w:t>ton</w:t>
            </w:r>
            <w:r w:rsidRPr="00863080">
              <w:rPr>
                <w:color w:val="5B9BD5" w:themeColor="accent1"/>
                <w:sz w:val="22"/>
                <w:szCs w:val="22"/>
              </w:rPr>
              <w:t xml:space="preserve">. At the same time, </w:t>
            </w:r>
            <w:r w:rsidRPr="00863080">
              <w:rPr>
                <w:color w:val="5B9BD5" w:themeColor="accent1"/>
                <w:sz w:val="22"/>
                <w:szCs w:val="22"/>
                <w:lang w:val="en-US" w:eastAsia="zh-CN"/>
              </w:rPr>
              <w:t xml:space="preserve">this initiative </w:t>
            </w:r>
            <w:r w:rsidRPr="00863080">
              <w:rPr>
                <w:color w:val="5B9BD5" w:themeColor="accent1"/>
                <w:sz w:val="22"/>
                <w:szCs w:val="22"/>
              </w:rPr>
              <w:t>ha</w:t>
            </w:r>
            <w:r w:rsidRPr="00863080">
              <w:rPr>
                <w:color w:val="5B9BD5" w:themeColor="accent1"/>
                <w:sz w:val="22"/>
                <w:szCs w:val="22"/>
                <w:lang w:val="en-US" w:eastAsia="zh-CN"/>
              </w:rPr>
              <w:t>s</w:t>
            </w:r>
            <w:r w:rsidRPr="00863080">
              <w:rPr>
                <w:color w:val="5B9BD5" w:themeColor="accent1"/>
                <w:sz w:val="22"/>
                <w:szCs w:val="22"/>
              </w:rPr>
              <w:t xml:space="preserve"> cumulatively saved over 360 billion CNY in capital expenditure and more than 40 billion CNY per year in operating costs, delivering a win–win outcome in both economic and social benefits.</w:t>
            </w:r>
          </w:p>
          <w:p w14:paraId="50CBA61D" w14:textId="77777777" w:rsidR="00863080" w:rsidRDefault="00863080" w:rsidP="00FA0E2A">
            <w:pPr>
              <w:rPr>
                <w:color w:val="0000FF"/>
                <w:sz w:val="22"/>
                <w:szCs w:val="22"/>
                <w:lang w:val="en-US" w:eastAsia="zh-CN"/>
              </w:rPr>
            </w:pPr>
          </w:p>
        </w:tc>
      </w:tr>
      <w:tr w:rsidR="00863080" w14:paraId="2E768DE7" w14:textId="77777777" w:rsidTr="00FA0E2A">
        <w:trPr>
          <w:trHeight w:val="1169"/>
        </w:trPr>
        <w:tc>
          <w:tcPr>
            <w:tcW w:w="2689" w:type="dxa"/>
            <w:vMerge w:val="restart"/>
            <w:vAlign w:val="center"/>
          </w:tcPr>
          <w:p w14:paraId="240E13F5" w14:textId="77777777" w:rsidR="00863080" w:rsidRDefault="00863080" w:rsidP="00FA0E2A">
            <w:pPr>
              <w:rPr>
                <w:rFonts w:ascii="Segoe UI Symbol" w:hAnsi="Segoe UI Symbol" w:cs="Segoe UI Symbol"/>
                <w:b/>
                <w:bCs/>
                <w:u w:val="single"/>
              </w:rPr>
            </w:pPr>
            <w:r>
              <w:rPr>
                <w:b/>
                <w:bCs/>
                <w:u w:val="single"/>
              </w:rPr>
              <w:lastRenderedPageBreak/>
              <w:t>Telecom/ICT regulations/policies/ national Standards</w:t>
            </w:r>
          </w:p>
        </w:tc>
        <w:tc>
          <w:tcPr>
            <w:tcW w:w="3260" w:type="dxa"/>
          </w:tcPr>
          <w:p w14:paraId="4B2074B2" w14:textId="77777777" w:rsidR="00863080" w:rsidRDefault="00863080" w:rsidP="00FA0E2A">
            <w:pPr>
              <w:rPr>
                <w:b/>
                <w:bCs/>
                <w:sz w:val="22"/>
                <w:szCs w:val="22"/>
              </w:rPr>
            </w:pPr>
            <w:r>
              <w:rPr>
                <w:b/>
                <w:bCs/>
                <w:sz w:val="22"/>
                <w:szCs w:val="22"/>
              </w:rPr>
              <w:t xml:space="preserve">Implementing body: </w:t>
            </w:r>
          </w:p>
          <w:p w14:paraId="3729B093" w14:textId="461E7C38" w:rsidR="00863080" w:rsidRDefault="00863080" w:rsidP="00FA0E2A">
            <w:pPr>
              <w:rPr>
                <w:rFonts w:ascii="Segoe UI Symbol" w:hAnsi="Segoe UI Symbol" w:cs="Segoe UI Symbol"/>
                <w:sz w:val="22"/>
                <w:szCs w:val="22"/>
              </w:rPr>
            </w:pPr>
            <w:r>
              <w:rPr>
                <w:sz w:val="22"/>
                <w:szCs w:val="22"/>
              </w:rPr>
              <w:t>N/A</w:t>
            </w:r>
          </w:p>
        </w:tc>
        <w:tc>
          <w:tcPr>
            <w:tcW w:w="3655" w:type="dxa"/>
          </w:tcPr>
          <w:p w14:paraId="5567BE0F" w14:textId="77777777" w:rsidR="00863080" w:rsidRDefault="00863080" w:rsidP="00FA0E2A">
            <w:pPr>
              <w:rPr>
                <w:b/>
                <w:bCs/>
                <w:sz w:val="22"/>
                <w:szCs w:val="22"/>
              </w:rPr>
            </w:pPr>
            <w:r>
              <w:rPr>
                <w:b/>
                <w:bCs/>
                <w:sz w:val="22"/>
                <w:szCs w:val="22"/>
              </w:rPr>
              <w:t>Implementation:</w:t>
            </w:r>
          </w:p>
          <w:p w14:paraId="16AAB88C" w14:textId="7EA2F6C6" w:rsidR="00863080" w:rsidRDefault="00863080" w:rsidP="00FA0E2A">
            <w:pPr>
              <w:rPr>
                <w:rFonts w:ascii="Segoe UI Symbol" w:hAnsi="Segoe UI Symbol" w:cs="Segoe UI Symbol"/>
                <w:sz w:val="22"/>
                <w:szCs w:val="22"/>
              </w:rPr>
            </w:pPr>
            <w:r>
              <w:rPr>
                <w:sz w:val="22"/>
                <w:szCs w:val="22"/>
              </w:rPr>
              <w:t>N/A</w:t>
            </w:r>
          </w:p>
        </w:tc>
      </w:tr>
      <w:tr w:rsidR="00863080" w14:paraId="62598D2D" w14:textId="77777777" w:rsidTr="00FA0E2A">
        <w:trPr>
          <w:trHeight w:val="1142"/>
        </w:trPr>
        <w:tc>
          <w:tcPr>
            <w:tcW w:w="2689" w:type="dxa"/>
            <w:vMerge/>
            <w:vAlign w:val="center"/>
          </w:tcPr>
          <w:p w14:paraId="152EB5DB" w14:textId="77777777" w:rsidR="00863080" w:rsidRDefault="00863080" w:rsidP="00FA0E2A">
            <w:pPr>
              <w:rPr>
                <w:rFonts w:ascii="Segoe UI Symbol" w:hAnsi="Segoe UI Symbol" w:cs="Segoe UI Symbol"/>
                <w:b/>
                <w:bCs/>
                <w:u w:val="single"/>
              </w:rPr>
            </w:pPr>
          </w:p>
        </w:tc>
        <w:tc>
          <w:tcPr>
            <w:tcW w:w="6915" w:type="dxa"/>
            <w:gridSpan w:val="2"/>
          </w:tcPr>
          <w:p w14:paraId="3C034B5B" w14:textId="77777777" w:rsidR="00863080" w:rsidRDefault="00863080" w:rsidP="00FA0E2A">
            <w:pPr>
              <w:rPr>
                <w:b/>
                <w:bCs/>
                <w:sz w:val="22"/>
                <w:szCs w:val="22"/>
              </w:rPr>
            </w:pPr>
            <w:r>
              <w:rPr>
                <w:b/>
                <w:bCs/>
                <w:sz w:val="22"/>
                <w:szCs w:val="22"/>
              </w:rPr>
              <w:t>Implementation summary:</w:t>
            </w:r>
          </w:p>
          <w:p w14:paraId="656EAFC2" w14:textId="3A5FA503" w:rsidR="00863080" w:rsidRDefault="00863080" w:rsidP="00FA0E2A">
            <w:pPr>
              <w:rPr>
                <w:rFonts w:ascii="Segoe UI Symbol" w:hAnsi="Segoe UI Symbol" w:cs="Segoe UI Symbol"/>
                <w:sz w:val="22"/>
                <w:szCs w:val="22"/>
              </w:rPr>
            </w:pPr>
            <w:r>
              <w:rPr>
                <w:sz w:val="22"/>
                <w:szCs w:val="22"/>
              </w:rPr>
              <w:t>N/A</w:t>
            </w:r>
          </w:p>
        </w:tc>
      </w:tr>
      <w:tr w:rsidR="00863080" w14:paraId="696594D3" w14:textId="77777777" w:rsidTr="00FA0E2A">
        <w:trPr>
          <w:trHeight w:val="1234"/>
        </w:trPr>
        <w:tc>
          <w:tcPr>
            <w:tcW w:w="2689" w:type="dxa"/>
            <w:vMerge w:val="restart"/>
            <w:vAlign w:val="center"/>
          </w:tcPr>
          <w:p w14:paraId="2089E02D" w14:textId="77777777" w:rsidR="00863080" w:rsidRDefault="00863080" w:rsidP="00FA0E2A">
            <w:pPr>
              <w:rPr>
                <w:rFonts w:ascii="Segoe UI Symbol" w:hAnsi="Segoe UI Symbol" w:cs="Segoe UI Symbol"/>
                <w:b/>
                <w:bCs/>
                <w:u w:val="single"/>
              </w:rPr>
            </w:pPr>
            <w:r>
              <w:rPr>
                <w:b/>
                <w:bCs/>
                <w:u w:val="single"/>
              </w:rPr>
              <w:t>International standards/ Recommendations</w:t>
            </w:r>
          </w:p>
        </w:tc>
        <w:tc>
          <w:tcPr>
            <w:tcW w:w="3260" w:type="dxa"/>
          </w:tcPr>
          <w:p w14:paraId="6469D63E" w14:textId="77777777" w:rsidR="00863080" w:rsidRDefault="00863080" w:rsidP="00FA0E2A">
            <w:pPr>
              <w:rPr>
                <w:b/>
                <w:bCs/>
                <w:sz w:val="22"/>
                <w:szCs w:val="22"/>
              </w:rPr>
            </w:pPr>
            <w:r>
              <w:rPr>
                <w:b/>
                <w:bCs/>
                <w:sz w:val="22"/>
                <w:szCs w:val="22"/>
              </w:rPr>
              <w:t xml:space="preserve">Implementing body: </w:t>
            </w:r>
          </w:p>
          <w:p w14:paraId="4B4CF5B2" w14:textId="34BBF1CD" w:rsidR="00863080" w:rsidRDefault="00863080" w:rsidP="00FA0E2A">
            <w:pPr>
              <w:rPr>
                <w:rFonts w:ascii="Segoe UI Symbol" w:hAnsi="Segoe UI Symbol" w:cs="Segoe UI Symbol"/>
                <w:sz w:val="22"/>
                <w:szCs w:val="22"/>
              </w:rPr>
            </w:pPr>
            <w:r>
              <w:rPr>
                <w:sz w:val="22"/>
                <w:szCs w:val="22"/>
              </w:rPr>
              <w:t>N/A</w:t>
            </w:r>
          </w:p>
        </w:tc>
        <w:tc>
          <w:tcPr>
            <w:tcW w:w="3655" w:type="dxa"/>
          </w:tcPr>
          <w:p w14:paraId="627A7A17" w14:textId="77777777" w:rsidR="00863080" w:rsidRDefault="00863080" w:rsidP="00FA0E2A">
            <w:pPr>
              <w:rPr>
                <w:b/>
                <w:bCs/>
                <w:sz w:val="22"/>
                <w:szCs w:val="22"/>
              </w:rPr>
            </w:pPr>
            <w:r>
              <w:rPr>
                <w:b/>
                <w:bCs/>
                <w:sz w:val="22"/>
                <w:szCs w:val="22"/>
              </w:rPr>
              <w:t>Implementation</w:t>
            </w:r>
          </w:p>
          <w:p w14:paraId="211623BC" w14:textId="6CBD1685" w:rsidR="00863080" w:rsidRDefault="00863080" w:rsidP="00FA0E2A">
            <w:pPr>
              <w:rPr>
                <w:rFonts w:ascii="Segoe UI Symbol" w:hAnsi="Segoe UI Symbol" w:cs="Segoe UI Symbol"/>
                <w:sz w:val="22"/>
                <w:szCs w:val="22"/>
              </w:rPr>
            </w:pPr>
            <w:r>
              <w:rPr>
                <w:sz w:val="22"/>
                <w:szCs w:val="22"/>
              </w:rPr>
              <w:t>N/A</w:t>
            </w:r>
          </w:p>
        </w:tc>
      </w:tr>
      <w:tr w:rsidR="00863080" w14:paraId="2B5B10A0" w14:textId="77777777" w:rsidTr="00FA0E2A">
        <w:trPr>
          <w:trHeight w:val="1353"/>
        </w:trPr>
        <w:tc>
          <w:tcPr>
            <w:tcW w:w="2689" w:type="dxa"/>
            <w:vMerge/>
            <w:vAlign w:val="center"/>
          </w:tcPr>
          <w:p w14:paraId="790B3EF6" w14:textId="77777777" w:rsidR="00863080" w:rsidRDefault="00863080" w:rsidP="00FA0E2A">
            <w:pPr>
              <w:rPr>
                <w:rFonts w:ascii="Segoe UI Symbol" w:hAnsi="Segoe UI Symbol" w:cs="Segoe UI Symbol"/>
                <w:sz w:val="22"/>
                <w:szCs w:val="22"/>
              </w:rPr>
            </w:pPr>
          </w:p>
        </w:tc>
        <w:tc>
          <w:tcPr>
            <w:tcW w:w="6915" w:type="dxa"/>
            <w:gridSpan w:val="2"/>
          </w:tcPr>
          <w:p w14:paraId="3F7B5B2E" w14:textId="77777777" w:rsidR="00863080" w:rsidRDefault="00863080" w:rsidP="00FA0E2A">
            <w:pPr>
              <w:rPr>
                <w:b/>
                <w:bCs/>
                <w:sz w:val="22"/>
                <w:szCs w:val="22"/>
              </w:rPr>
            </w:pPr>
            <w:r>
              <w:rPr>
                <w:b/>
                <w:bCs/>
                <w:sz w:val="22"/>
                <w:szCs w:val="22"/>
              </w:rPr>
              <w:t>Implementation summary:</w:t>
            </w:r>
          </w:p>
          <w:p w14:paraId="7A65B844" w14:textId="02E0AAAA" w:rsidR="00863080" w:rsidRDefault="00863080" w:rsidP="00FA0E2A">
            <w:pPr>
              <w:rPr>
                <w:rFonts w:ascii="Segoe UI Symbol" w:hAnsi="Segoe UI Symbol" w:cs="Segoe UI Symbol"/>
                <w:sz w:val="22"/>
                <w:szCs w:val="22"/>
              </w:rPr>
            </w:pPr>
            <w:r>
              <w:rPr>
                <w:sz w:val="22"/>
                <w:szCs w:val="22"/>
              </w:rPr>
              <w:t>N/A</w:t>
            </w:r>
          </w:p>
        </w:tc>
      </w:tr>
      <w:tr w:rsidR="00863080" w14:paraId="7F442DE2" w14:textId="77777777" w:rsidTr="00FA0E2A">
        <w:trPr>
          <w:trHeight w:val="1034"/>
        </w:trPr>
        <w:tc>
          <w:tcPr>
            <w:tcW w:w="2689" w:type="dxa"/>
            <w:vAlign w:val="center"/>
          </w:tcPr>
          <w:p w14:paraId="5F9990C8" w14:textId="77777777" w:rsidR="00863080" w:rsidRDefault="00863080" w:rsidP="00FA0E2A">
            <w:pPr>
              <w:rPr>
                <w:b/>
                <w:bCs/>
                <w:sz w:val="22"/>
                <w:szCs w:val="22"/>
              </w:rPr>
            </w:pPr>
            <w:r>
              <w:rPr>
                <w:b/>
                <w:bCs/>
                <w:u w:val="single"/>
              </w:rPr>
              <w:t>Other</w:t>
            </w:r>
          </w:p>
        </w:tc>
        <w:tc>
          <w:tcPr>
            <w:tcW w:w="6915" w:type="dxa"/>
            <w:gridSpan w:val="2"/>
            <w:vAlign w:val="center"/>
          </w:tcPr>
          <w:p w14:paraId="21542D83" w14:textId="77777777" w:rsidR="00863080" w:rsidRDefault="00863080" w:rsidP="00FA0E2A">
            <w:pPr>
              <w:rPr>
                <w:b/>
                <w:bCs/>
                <w:sz w:val="22"/>
                <w:szCs w:val="22"/>
              </w:rPr>
            </w:pPr>
            <w:r>
              <w:rPr>
                <w:b/>
                <w:bCs/>
                <w:sz w:val="22"/>
                <w:szCs w:val="22"/>
              </w:rPr>
              <w:t>Implementation summary:</w:t>
            </w:r>
          </w:p>
          <w:p w14:paraId="288B3385" w14:textId="3A0A8FAF" w:rsidR="00863080" w:rsidRDefault="00863080" w:rsidP="00FA0E2A">
            <w:pPr>
              <w:rPr>
                <w:b/>
                <w:bCs/>
                <w:sz w:val="22"/>
                <w:szCs w:val="22"/>
              </w:rPr>
            </w:pPr>
            <w:r>
              <w:rPr>
                <w:sz w:val="22"/>
                <w:szCs w:val="22"/>
              </w:rPr>
              <w:t>N/A</w:t>
            </w:r>
          </w:p>
        </w:tc>
      </w:tr>
    </w:tbl>
    <w:p w14:paraId="3DA9613C" w14:textId="37EBD014" w:rsidR="004E084A" w:rsidRDefault="00F8404D">
      <w:pPr>
        <w:jc w:val="center"/>
      </w:pPr>
      <w:r>
        <w:t>___________________</w:t>
      </w:r>
    </w:p>
    <w:sectPr w:rsidR="004E084A">
      <w:headerReference w:type="default" r:id="rId12"/>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AC78F" w14:textId="77777777" w:rsidR="004E084A" w:rsidRDefault="00F8404D">
      <w:r>
        <w:separator/>
      </w:r>
    </w:p>
  </w:endnote>
  <w:endnote w:type="continuationSeparator" w:id="0">
    <w:p w14:paraId="112E6BAA" w14:textId="77777777" w:rsidR="004E084A" w:rsidRDefault="00F84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26749" w14:textId="77777777" w:rsidR="004E084A" w:rsidRDefault="00F8404D">
      <w:pPr>
        <w:spacing w:before="0"/>
      </w:pPr>
      <w:r>
        <w:separator/>
      </w:r>
    </w:p>
  </w:footnote>
  <w:footnote w:type="continuationSeparator" w:id="0">
    <w:p w14:paraId="2610D9F8" w14:textId="77777777" w:rsidR="004E084A" w:rsidRDefault="00F8404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C6F5B" w14:textId="244E0F37" w:rsidR="004E084A" w:rsidRDefault="00F8404D" w:rsidP="006647C5">
    <w:pPr>
      <w:pStyle w:val="Header"/>
    </w:pPr>
    <w:r>
      <w:t xml:space="preserve">- </w:t>
    </w:r>
    <w:r>
      <w:fldChar w:fldCharType="begin"/>
    </w:r>
    <w:r>
      <w:instrText xml:space="preserve"> PAGE  \* MERGEFORMAT </w:instrText>
    </w:r>
    <w:r>
      <w:fldChar w:fldCharType="separate"/>
    </w:r>
    <w:r>
      <w:t>1</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758403711">
    <w:abstractNumId w:val="3"/>
  </w:num>
  <w:num w:numId="2" w16cid:durableId="1619726524">
    <w:abstractNumId w:val="5"/>
  </w:num>
  <w:num w:numId="3" w16cid:durableId="2059696230">
    <w:abstractNumId w:val="8"/>
  </w:num>
  <w:num w:numId="4" w16cid:durableId="1596203669">
    <w:abstractNumId w:val="9"/>
  </w:num>
  <w:num w:numId="5" w16cid:durableId="1095436632">
    <w:abstractNumId w:val="6"/>
  </w:num>
  <w:num w:numId="6" w16cid:durableId="709376280">
    <w:abstractNumId w:val="2"/>
  </w:num>
  <w:num w:numId="7" w16cid:durableId="1257322802">
    <w:abstractNumId w:val="7"/>
  </w:num>
  <w:num w:numId="8" w16cid:durableId="125200379">
    <w:abstractNumId w:val="4"/>
  </w:num>
  <w:num w:numId="9" w16cid:durableId="1735471128">
    <w:abstractNumId w:val="1"/>
  </w:num>
  <w:num w:numId="10" w16cid:durableId="213658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6C34"/>
    <w:rsid w:val="0003582E"/>
    <w:rsid w:val="00043D75"/>
    <w:rsid w:val="0005677D"/>
    <w:rsid w:val="00057000"/>
    <w:rsid w:val="00061268"/>
    <w:rsid w:val="000640E0"/>
    <w:rsid w:val="000920CE"/>
    <w:rsid w:val="000966A8"/>
    <w:rsid w:val="000A5CA2"/>
    <w:rsid w:val="000B739D"/>
    <w:rsid w:val="000C2FE0"/>
    <w:rsid w:val="000C397B"/>
    <w:rsid w:val="000E6125"/>
    <w:rsid w:val="00113DBE"/>
    <w:rsid w:val="00117C0F"/>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3433E"/>
    <w:rsid w:val="002505BD"/>
    <w:rsid w:val="00253DBE"/>
    <w:rsid w:val="00253DC6"/>
    <w:rsid w:val="0025489C"/>
    <w:rsid w:val="002622FA"/>
    <w:rsid w:val="00263518"/>
    <w:rsid w:val="00263B33"/>
    <w:rsid w:val="002759E7"/>
    <w:rsid w:val="002770AA"/>
    <w:rsid w:val="00277326"/>
    <w:rsid w:val="002929EB"/>
    <w:rsid w:val="002A11C4"/>
    <w:rsid w:val="002A399B"/>
    <w:rsid w:val="002B6B0C"/>
    <w:rsid w:val="002C26C0"/>
    <w:rsid w:val="002C2BC5"/>
    <w:rsid w:val="002C502A"/>
    <w:rsid w:val="002D16B8"/>
    <w:rsid w:val="002D6447"/>
    <w:rsid w:val="002E0407"/>
    <w:rsid w:val="002E3C52"/>
    <w:rsid w:val="002E79CB"/>
    <w:rsid w:val="002F5070"/>
    <w:rsid w:val="002F7F55"/>
    <w:rsid w:val="0030745F"/>
    <w:rsid w:val="00314630"/>
    <w:rsid w:val="0032090A"/>
    <w:rsid w:val="00321CDE"/>
    <w:rsid w:val="00333E15"/>
    <w:rsid w:val="00335F36"/>
    <w:rsid w:val="003449F4"/>
    <w:rsid w:val="003571BC"/>
    <w:rsid w:val="00360658"/>
    <w:rsid w:val="0036090C"/>
    <w:rsid w:val="00361116"/>
    <w:rsid w:val="00362562"/>
    <w:rsid w:val="003668D9"/>
    <w:rsid w:val="00385FB5"/>
    <w:rsid w:val="0038715D"/>
    <w:rsid w:val="00394DBF"/>
    <w:rsid w:val="003957A6"/>
    <w:rsid w:val="00396013"/>
    <w:rsid w:val="003A43EF"/>
    <w:rsid w:val="003B4CF8"/>
    <w:rsid w:val="003C0420"/>
    <w:rsid w:val="003C7445"/>
    <w:rsid w:val="003D0336"/>
    <w:rsid w:val="003D45C4"/>
    <w:rsid w:val="003E1F8C"/>
    <w:rsid w:val="003E39A2"/>
    <w:rsid w:val="003E57AB"/>
    <w:rsid w:val="003E7207"/>
    <w:rsid w:val="003F2BED"/>
    <w:rsid w:val="00400B49"/>
    <w:rsid w:val="0042610A"/>
    <w:rsid w:val="00443878"/>
    <w:rsid w:val="004539A8"/>
    <w:rsid w:val="004712CA"/>
    <w:rsid w:val="00473782"/>
    <w:rsid w:val="0047422E"/>
    <w:rsid w:val="0049090D"/>
    <w:rsid w:val="0049674B"/>
    <w:rsid w:val="00497C51"/>
    <w:rsid w:val="004A2B58"/>
    <w:rsid w:val="004C0673"/>
    <w:rsid w:val="004C4E4E"/>
    <w:rsid w:val="004E084A"/>
    <w:rsid w:val="004E4362"/>
    <w:rsid w:val="004E7E92"/>
    <w:rsid w:val="004F23BA"/>
    <w:rsid w:val="004F35CE"/>
    <w:rsid w:val="004F3816"/>
    <w:rsid w:val="0050586A"/>
    <w:rsid w:val="00520DBF"/>
    <w:rsid w:val="0053731C"/>
    <w:rsid w:val="00543D41"/>
    <w:rsid w:val="0054697C"/>
    <w:rsid w:val="00556A5B"/>
    <w:rsid w:val="00566EDA"/>
    <w:rsid w:val="0057081A"/>
    <w:rsid w:val="00572654"/>
    <w:rsid w:val="00580E3D"/>
    <w:rsid w:val="0058229A"/>
    <w:rsid w:val="00585E4D"/>
    <w:rsid w:val="005860DC"/>
    <w:rsid w:val="005976A1"/>
    <w:rsid w:val="005B5629"/>
    <w:rsid w:val="005B6B78"/>
    <w:rsid w:val="005C0300"/>
    <w:rsid w:val="005C27A2"/>
    <w:rsid w:val="005D4FEB"/>
    <w:rsid w:val="005E5613"/>
    <w:rsid w:val="005F4B6A"/>
    <w:rsid w:val="006010F3"/>
    <w:rsid w:val="00606DB6"/>
    <w:rsid w:val="00615A0A"/>
    <w:rsid w:val="00626673"/>
    <w:rsid w:val="006333D4"/>
    <w:rsid w:val="006369B2"/>
    <w:rsid w:val="0063718D"/>
    <w:rsid w:val="0064040A"/>
    <w:rsid w:val="00643C81"/>
    <w:rsid w:val="00647525"/>
    <w:rsid w:val="00647A71"/>
    <w:rsid w:val="00647DF2"/>
    <w:rsid w:val="00652D9F"/>
    <w:rsid w:val="006570B0"/>
    <w:rsid w:val="0066022F"/>
    <w:rsid w:val="006647C5"/>
    <w:rsid w:val="00670930"/>
    <w:rsid w:val="006813BC"/>
    <w:rsid w:val="006823F3"/>
    <w:rsid w:val="0069210B"/>
    <w:rsid w:val="00692AB1"/>
    <w:rsid w:val="00695DD7"/>
    <w:rsid w:val="00695FC2"/>
    <w:rsid w:val="006A14C5"/>
    <w:rsid w:val="006A4055"/>
    <w:rsid w:val="006A6DA0"/>
    <w:rsid w:val="006A7C27"/>
    <w:rsid w:val="006B2FE4"/>
    <w:rsid w:val="006B37B0"/>
    <w:rsid w:val="006C5641"/>
    <w:rsid w:val="006D1089"/>
    <w:rsid w:val="006D1B86"/>
    <w:rsid w:val="006D7355"/>
    <w:rsid w:val="006F0E34"/>
    <w:rsid w:val="006F7DEE"/>
    <w:rsid w:val="00705390"/>
    <w:rsid w:val="00715551"/>
    <w:rsid w:val="00715CA6"/>
    <w:rsid w:val="00720955"/>
    <w:rsid w:val="00731135"/>
    <w:rsid w:val="007324AF"/>
    <w:rsid w:val="00740128"/>
    <w:rsid w:val="007409B4"/>
    <w:rsid w:val="00741974"/>
    <w:rsid w:val="00753E9F"/>
    <w:rsid w:val="00754192"/>
    <w:rsid w:val="0075525E"/>
    <w:rsid w:val="00756D3D"/>
    <w:rsid w:val="007806C2"/>
    <w:rsid w:val="00781FEE"/>
    <w:rsid w:val="007903F8"/>
    <w:rsid w:val="00793E2B"/>
    <w:rsid w:val="00794F4F"/>
    <w:rsid w:val="007974BE"/>
    <w:rsid w:val="007A0916"/>
    <w:rsid w:val="007A0DFD"/>
    <w:rsid w:val="007A795C"/>
    <w:rsid w:val="007B2BC6"/>
    <w:rsid w:val="007B311A"/>
    <w:rsid w:val="007C1840"/>
    <w:rsid w:val="007C7122"/>
    <w:rsid w:val="007D3CBB"/>
    <w:rsid w:val="007D3F11"/>
    <w:rsid w:val="007D66E2"/>
    <w:rsid w:val="007E2C69"/>
    <w:rsid w:val="007E53E4"/>
    <w:rsid w:val="007E656A"/>
    <w:rsid w:val="007F3CAA"/>
    <w:rsid w:val="007F664D"/>
    <w:rsid w:val="00812E67"/>
    <w:rsid w:val="00816426"/>
    <w:rsid w:val="00816C84"/>
    <w:rsid w:val="00835602"/>
    <w:rsid w:val="00837203"/>
    <w:rsid w:val="00842137"/>
    <w:rsid w:val="00845B19"/>
    <w:rsid w:val="00853F5F"/>
    <w:rsid w:val="008560AC"/>
    <w:rsid w:val="008623ED"/>
    <w:rsid w:val="00863080"/>
    <w:rsid w:val="00864B5A"/>
    <w:rsid w:val="008657EB"/>
    <w:rsid w:val="00867C52"/>
    <w:rsid w:val="00872559"/>
    <w:rsid w:val="00874AA3"/>
    <w:rsid w:val="00875AA6"/>
    <w:rsid w:val="00880944"/>
    <w:rsid w:val="00882AD8"/>
    <w:rsid w:val="0089088E"/>
    <w:rsid w:val="00892297"/>
    <w:rsid w:val="008964D6"/>
    <w:rsid w:val="008B5123"/>
    <w:rsid w:val="008C0BEB"/>
    <w:rsid w:val="008D1E8B"/>
    <w:rsid w:val="008E0172"/>
    <w:rsid w:val="008E13E1"/>
    <w:rsid w:val="008F192B"/>
    <w:rsid w:val="00900EF1"/>
    <w:rsid w:val="00906CD2"/>
    <w:rsid w:val="009302DE"/>
    <w:rsid w:val="00936852"/>
    <w:rsid w:val="0094045D"/>
    <w:rsid w:val="009406B5"/>
    <w:rsid w:val="00946166"/>
    <w:rsid w:val="009507EC"/>
    <w:rsid w:val="009728A0"/>
    <w:rsid w:val="00975925"/>
    <w:rsid w:val="00983164"/>
    <w:rsid w:val="009972EF"/>
    <w:rsid w:val="009A100A"/>
    <w:rsid w:val="009A7C90"/>
    <w:rsid w:val="009A7E9B"/>
    <w:rsid w:val="009B5035"/>
    <w:rsid w:val="009C3160"/>
    <w:rsid w:val="009D0BA8"/>
    <w:rsid w:val="009E628B"/>
    <w:rsid w:val="009E766E"/>
    <w:rsid w:val="009F1904"/>
    <w:rsid w:val="009F1960"/>
    <w:rsid w:val="009F2C64"/>
    <w:rsid w:val="009F715E"/>
    <w:rsid w:val="00A10DBB"/>
    <w:rsid w:val="00A11720"/>
    <w:rsid w:val="00A13AE2"/>
    <w:rsid w:val="00A21247"/>
    <w:rsid w:val="00A26818"/>
    <w:rsid w:val="00A27601"/>
    <w:rsid w:val="00A31D47"/>
    <w:rsid w:val="00A4013E"/>
    <w:rsid w:val="00A4045F"/>
    <w:rsid w:val="00A40473"/>
    <w:rsid w:val="00A427CD"/>
    <w:rsid w:val="00A45FEE"/>
    <w:rsid w:val="00A4600B"/>
    <w:rsid w:val="00A50506"/>
    <w:rsid w:val="00A51EF0"/>
    <w:rsid w:val="00A67A81"/>
    <w:rsid w:val="00A730A6"/>
    <w:rsid w:val="00A84724"/>
    <w:rsid w:val="00A907B3"/>
    <w:rsid w:val="00A971A0"/>
    <w:rsid w:val="00AA045E"/>
    <w:rsid w:val="00AA1F22"/>
    <w:rsid w:val="00AA7EC0"/>
    <w:rsid w:val="00AF5A57"/>
    <w:rsid w:val="00AF735D"/>
    <w:rsid w:val="00B024D7"/>
    <w:rsid w:val="00B05821"/>
    <w:rsid w:val="00B100D6"/>
    <w:rsid w:val="00B164C9"/>
    <w:rsid w:val="00B26C28"/>
    <w:rsid w:val="00B27EB7"/>
    <w:rsid w:val="00B30F21"/>
    <w:rsid w:val="00B376D2"/>
    <w:rsid w:val="00B402FD"/>
    <w:rsid w:val="00B4174C"/>
    <w:rsid w:val="00B453F5"/>
    <w:rsid w:val="00B532CE"/>
    <w:rsid w:val="00B61624"/>
    <w:rsid w:val="00B66481"/>
    <w:rsid w:val="00B7189C"/>
    <w:rsid w:val="00B718A5"/>
    <w:rsid w:val="00B820E0"/>
    <w:rsid w:val="00B90AD6"/>
    <w:rsid w:val="00B926F2"/>
    <w:rsid w:val="00BA22C3"/>
    <w:rsid w:val="00BA788A"/>
    <w:rsid w:val="00BB4983"/>
    <w:rsid w:val="00BB7597"/>
    <w:rsid w:val="00BC2AAB"/>
    <w:rsid w:val="00BC62E2"/>
    <w:rsid w:val="00BF02DC"/>
    <w:rsid w:val="00BF1C1D"/>
    <w:rsid w:val="00BF21BE"/>
    <w:rsid w:val="00C01D93"/>
    <w:rsid w:val="00C0228A"/>
    <w:rsid w:val="00C37820"/>
    <w:rsid w:val="00C42125"/>
    <w:rsid w:val="00C62814"/>
    <w:rsid w:val="00C62BE6"/>
    <w:rsid w:val="00C67B25"/>
    <w:rsid w:val="00C748F7"/>
    <w:rsid w:val="00C74937"/>
    <w:rsid w:val="00C95E02"/>
    <w:rsid w:val="00CA6409"/>
    <w:rsid w:val="00CB2599"/>
    <w:rsid w:val="00CC0E00"/>
    <w:rsid w:val="00CD2139"/>
    <w:rsid w:val="00CD2497"/>
    <w:rsid w:val="00CD6683"/>
    <w:rsid w:val="00CD6848"/>
    <w:rsid w:val="00CE1E6E"/>
    <w:rsid w:val="00CE5986"/>
    <w:rsid w:val="00CF34C4"/>
    <w:rsid w:val="00CF5528"/>
    <w:rsid w:val="00D11885"/>
    <w:rsid w:val="00D236BD"/>
    <w:rsid w:val="00D4255B"/>
    <w:rsid w:val="00D56A27"/>
    <w:rsid w:val="00D647EF"/>
    <w:rsid w:val="00D73137"/>
    <w:rsid w:val="00D745B2"/>
    <w:rsid w:val="00D879CB"/>
    <w:rsid w:val="00D977A2"/>
    <w:rsid w:val="00DA1D47"/>
    <w:rsid w:val="00DC774A"/>
    <w:rsid w:val="00DD50DE"/>
    <w:rsid w:val="00DE3062"/>
    <w:rsid w:val="00E0581D"/>
    <w:rsid w:val="00E0623A"/>
    <w:rsid w:val="00E07C7D"/>
    <w:rsid w:val="00E204DD"/>
    <w:rsid w:val="00E26621"/>
    <w:rsid w:val="00E353EC"/>
    <w:rsid w:val="00E51F61"/>
    <w:rsid w:val="00E53C24"/>
    <w:rsid w:val="00E56E77"/>
    <w:rsid w:val="00E71046"/>
    <w:rsid w:val="00E72E36"/>
    <w:rsid w:val="00E87795"/>
    <w:rsid w:val="00EB444D"/>
    <w:rsid w:val="00ED5B66"/>
    <w:rsid w:val="00EE5C0D"/>
    <w:rsid w:val="00EF4792"/>
    <w:rsid w:val="00F02294"/>
    <w:rsid w:val="00F22528"/>
    <w:rsid w:val="00F249E4"/>
    <w:rsid w:val="00F30DE7"/>
    <w:rsid w:val="00F323A7"/>
    <w:rsid w:val="00F35F57"/>
    <w:rsid w:val="00F418DD"/>
    <w:rsid w:val="00F44D3D"/>
    <w:rsid w:val="00F50467"/>
    <w:rsid w:val="00F562A0"/>
    <w:rsid w:val="00F57FA4"/>
    <w:rsid w:val="00F63CCE"/>
    <w:rsid w:val="00F8404D"/>
    <w:rsid w:val="00F953BF"/>
    <w:rsid w:val="00F96821"/>
    <w:rsid w:val="00FA02CB"/>
    <w:rsid w:val="00FA2177"/>
    <w:rsid w:val="00FA676D"/>
    <w:rsid w:val="00FB0783"/>
    <w:rsid w:val="00FB3DC1"/>
    <w:rsid w:val="00FB7A8B"/>
    <w:rsid w:val="00FD439E"/>
    <w:rsid w:val="00FD76CB"/>
    <w:rsid w:val="00FE152B"/>
    <w:rsid w:val="00FE239E"/>
    <w:rsid w:val="00FE3437"/>
    <w:rsid w:val="00FE3520"/>
    <w:rsid w:val="00FE56F8"/>
    <w:rsid w:val="00FF4546"/>
    <w:rsid w:val="00FF538F"/>
    <w:rsid w:val="28EE24EE"/>
    <w:rsid w:val="3B7EA76E"/>
    <w:rsid w:val="3E6F3C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EA0A"/>
  <w15:docId w15:val="{057CEC88-17E2-4407-BDA6-940DD4BFC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lsdException w:name="index heading" w:semiHidden="1" w:unhideWhenUsed="1"/>
    <w:lsdException w:name="caption" w:semiHidden="1" w:uiPriority="35" w:unhideWhenUsed="1"/>
    <w:lsdException w:name="table of figures"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uiPriority w:val="99"/>
    <w:semiHidden/>
    <w:unhideWhenUsed/>
    <w:pPr>
      <w:ind w:left="1080" w:hanging="360"/>
      <w:contextualSpacing/>
    </w:pPr>
  </w:style>
  <w:style w:type="paragraph" w:styleId="TOC7">
    <w:name w:val="toc 7"/>
    <w:basedOn w:val="Normal"/>
    <w:next w:val="Normal"/>
    <w:uiPriority w:val="39"/>
    <w:semiHidden/>
    <w:unhideWhenUsed/>
    <w:pPr>
      <w:spacing w:after="100"/>
      <w:ind w:left="1440"/>
    </w:pPr>
  </w:style>
  <w:style w:type="paragraph" w:styleId="ListNumber2">
    <w:name w:val="List Number 2"/>
    <w:basedOn w:val="Normal"/>
    <w:uiPriority w:val="99"/>
    <w:semiHidden/>
    <w:unhideWhenUsed/>
    <w:pPr>
      <w:numPr>
        <w:numId w:val="1"/>
      </w:numPr>
      <w:contextualSpacing/>
    </w:pPr>
  </w:style>
  <w:style w:type="paragraph" w:styleId="TableofAuthorities">
    <w:name w:val="table of authorities"/>
    <w:basedOn w:val="Normal"/>
    <w:next w:val="Normal"/>
    <w:uiPriority w:val="99"/>
    <w:semiHidden/>
    <w:unhideWhenUsed/>
    <w:pPr>
      <w:ind w:left="240" w:hanging="240"/>
    </w:pPr>
  </w:style>
  <w:style w:type="paragraph" w:styleId="NoteHeading">
    <w:name w:val="Note Heading"/>
    <w:basedOn w:val="Normal"/>
    <w:next w:val="Normal"/>
    <w:link w:val="NoteHeadingChar"/>
    <w:uiPriority w:val="99"/>
    <w:semiHidden/>
    <w:unhideWhenUsed/>
    <w:pPr>
      <w:spacing w:before="0"/>
    </w:pPr>
  </w:style>
  <w:style w:type="paragraph" w:styleId="ListBullet4">
    <w:name w:val="List Bullet 4"/>
    <w:basedOn w:val="Normal"/>
    <w:uiPriority w:val="99"/>
    <w:semiHidden/>
    <w:unhideWhenUsed/>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pPr>
      <w:numPr>
        <w:numId w:val="3"/>
      </w:numPr>
      <w:contextualSpacing/>
    </w:pPr>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pPr>
      <w:numPr>
        <w:numId w:val="6"/>
      </w:numPr>
      <w:contextualSpacing/>
    </w:pPr>
  </w:style>
  <w:style w:type="paragraph" w:styleId="List2">
    <w:name w:val="List 2"/>
    <w:basedOn w:val="Normal"/>
    <w:uiPriority w:val="99"/>
    <w:semiHidden/>
    <w:unhideWhenUsed/>
    <w:pPr>
      <w:ind w:left="720" w:hanging="360"/>
      <w:contextualSpacing/>
    </w:pPr>
  </w:style>
  <w:style w:type="paragraph" w:styleId="ListContinue">
    <w:name w:val="List Continue"/>
    <w:basedOn w:val="Normal"/>
    <w:uiPriority w:val="99"/>
    <w:semiHidden/>
    <w:unhideWhenUsed/>
    <w:pPr>
      <w:spacing w:after="120"/>
      <w:ind w:left="360"/>
      <w:contextualSpacing/>
    </w:pPr>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pPr>
      <w:numPr>
        <w:numId w:val="7"/>
      </w:numPr>
      <w:contextualSpacing/>
    </w:pPr>
  </w:style>
  <w:style w:type="paragraph" w:styleId="HTMLAddress">
    <w:name w:val="HTML Address"/>
    <w:basedOn w:val="Normal"/>
    <w:link w:val="HTMLAddressChar"/>
    <w:uiPriority w:val="99"/>
    <w:semiHidden/>
    <w:unhideWhenUsed/>
    <w:pPr>
      <w:spacing w:before="0"/>
    </w:pPr>
    <w:rPr>
      <w:i/>
      <w:iCs/>
    </w:rPr>
  </w:style>
  <w:style w:type="paragraph" w:styleId="Index4">
    <w:name w:val="index 4"/>
    <w:basedOn w:val="Normal"/>
    <w:next w:val="Normal"/>
    <w:uiPriority w:val="99"/>
    <w:semiHidden/>
    <w:unhideWhenUsed/>
    <w:pPr>
      <w:spacing w:before="0"/>
      <w:ind w:left="960" w:hanging="240"/>
    </w:pPr>
  </w:style>
  <w:style w:type="paragraph" w:styleId="TOC5">
    <w:name w:val="toc 5"/>
    <w:basedOn w:val="Normal"/>
    <w:next w:val="Normal"/>
    <w:uiPriority w:val="39"/>
    <w:semiHidden/>
    <w:unhideWhenUsed/>
    <w:pPr>
      <w:spacing w:after="100"/>
      <w:ind w:left="960"/>
    </w:pPr>
  </w:style>
  <w:style w:type="paragraph" w:styleId="TOC3">
    <w:name w:val="toc 3"/>
    <w:basedOn w:val="TOC2"/>
    <w:next w:val="Normal"/>
    <w:pPr>
      <w:ind w:left="2269"/>
    </w:pPr>
  </w:style>
  <w:style w:type="paragraph" w:styleId="TOC2">
    <w:name w:val="toc 2"/>
    <w:basedOn w:val="TOC1"/>
    <w:next w:val="Normal"/>
    <w:uiPriority w:val="39"/>
    <w:pPr>
      <w:spacing w:before="80"/>
      <w:ind w:left="1531" w:hanging="851"/>
    </w:pPr>
  </w:style>
  <w:style w:type="paragraph" w:styleId="TOC1">
    <w:name w:val="toc 1"/>
    <w:basedOn w:val="Normal"/>
    <w:next w:val="Normal"/>
    <w:uiPriority w:val="3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pPr>
      <w:spacing w:before="0"/>
    </w:pPr>
    <w:rPr>
      <w:rFonts w:ascii="Consolas" w:hAnsi="Consolas"/>
      <w:sz w:val="21"/>
      <w:szCs w:val="21"/>
    </w:rPr>
  </w:style>
  <w:style w:type="paragraph" w:styleId="ListBullet5">
    <w:name w:val="List Bullet 5"/>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TOC8">
    <w:name w:val="toc 8"/>
    <w:basedOn w:val="Normal"/>
    <w:next w:val="Normal"/>
    <w:uiPriority w:val="39"/>
    <w:semiHidden/>
    <w:unhideWhenUsed/>
    <w:pPr>
      <w:spacing w:after="100"/>
      <w:ind w:left="1680"/>
    </w:pPr>
  </w:style>
  <w:style w:type="paragraph" w:styleId="Index3">
    <w:name w:val="index 3"/>
    <w:basedOn w:val="Normal"/>
    <w:next w:val="Normal"/>
    <w:uiPriority w:val="99"/>
    <w:semiHidden/>
    <w:unhideWhenUsed/>
    <w:pPr>
      <w:spacing w:before="0"/>
      <w:ind w:left="720" w:hanging="24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pPr>
      <w:spacing w:after="120"/>
      <w:ind w:left="1800"/>
      <w:contextualSpacing/>
    </w:p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p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pPr>
      <w:spacing w:before="0"/>
      <w:ind w:left="4320"/>
    </w:pPr>
  </w:style>
  <w:style w:type="paragraph" w:styleId="ListContinue4">
    <w:name w:val="List Continue 4"/>
    <w:basedOn w:val="Normal"/>
    <w:uiPriority w:val="99"/>
    <w:semiHidden/>
    <w:unhideWhenUsed/>
    <w:pPr>
      <w:spacing w:after="120"/>
      <w:ind w:left="1440"/>
      <w:contextualSpacing/>
    </w:pPr>
  </w:style>
  <w:style w:type="paragraph" w:styleId="TOC4">
    <w:name w:val="toc 4"/>
    <w:basedOn w:val="Normal"/>
    <w:next w:val="Normal"/>
    <w:uiPriority w:val="39"/>
    <w:semiHidden/>
    <w:unhideWhenUsed/>
    <w:pPr>
      <w:spacing w:after="100"/>
      <w:ind w:left="7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pPr>
      <w:numPr>
        <w:numId w:val="10"/>
      </w:numPr>
      <w:contextualSpacing/>
    </w:pPr>
  </w:style>
  <w:style w:type="paragraph" w:styleId="List">
    <w:name w:val="List"/>
    <w:basedOn w:val="Normal"/>
    <w:uiPriority w:val="99"/>
    <w:semiHidden/>
    <w:unhideWhenUsed/>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pPr>
      <w:spacing w:after="100"/>
      <w:ind w:left="1200"/>
    </w:pPr>
  </w:style>
  <w:style w:type="paragraph" w:styleId="List5">
    <w:name w:val="List 5"/>
    <w:basedOn w:val="Normal"/>
    <w:uiPriority w:val="99"/>
    <w:semiHidden/>
    <w:unhideWhenUsed/>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pPr>
      <w:spacing w:after="100"/>
      <w:ind w:left="1920"/>
    </w:pPr>
  </w:style>
  <w:style w:type="paragraph" w:styleId="BodyText2">
    <w:name w:val="Body Text 2"/>
    <w:basedOn w:val="Normal"/>
    <w:link w:val="BodyText2Char"/>
    <w:uiPriority w:val="99"/>
    <w:semiHidden/>
    <w:unhideWhenUsed/>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pPr>
      <w:spacing w:after="120"/>
      <w:ind w:left="720"/>
      <w:contextualSpacing/>
    </w:p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style>
  <w:style w:type="paragraph" w:styleId="ListContinue3">
    <w:name w:val="List Continue 3"/>
    <w:basedOn w:val="Normal"/>
    <w:uiPriority w:val="99"/>
    <w:semiHidden/>
    <w:unhideWhenUsed/>
    <w:pPr>
      <w:spacing w:after="120"/>
      <w:ind w:left="1080"/>
      <w:contextualSpacing/>
    </w:pPr>
  </w:style>
  <w:style w:type="paragraph" w:styleId="Index2">
    <w:name w:val="index 2"/>
    <w:basedOn w:val="Normal"/>
    <w:next w:val="Normal"/>
    <w:uiPriority w:val="99"/>
    <w:semiHidden/>
    <w:unhideWhenUsed/>
    <w:pPr>
      <w:spacing w:before="0"/>
      <w:ind w:left="48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pPr>
      <w:spacing w:after="0"/>
      <w:ind w:firstLine="360"/>
    </w:pPr>
  </w:style>
  <w:style w:type="paragraph" w:styleId="BodyTextFirstIndent2">
    <w:name w:val="Body Text First Indent 2"/>
    <w:basedOn w:val="BodyTextIndent"/>
    <w:link w:val="BodyTextFirstIndent2Char"/>
    <w:uiPriority w:val="99"/>
    <w:semiHidden/>
    <w:unhideWhenUsed/>
    <w:pPr>
      <w:spacing w:after="0"/>
      <w:ind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rPr>
      <w:rFonts w:eastAsiaTheme="minorHAnsi"/>
      <w:bCs w:val="0"/>
    </w:rPr>
  </w:style>
  <w:style w:type="paragraph" w:customStyle="1" w:styleId="Revision1">
    <w:name w:val="Revision1"/>
    <w:hidden/>
    <w:uiPriority w:val="99"/>
    <w:semiHidden/>
    <w:qFormat/>
    <w:rPr>
      <w:rFonts w:ascii="Times New Roman" w:hAnsi="Times New Roman" w:cs="Times New Roman"/>
      <w:sz w:val="24"/>
      <w:szCs w:val="24"/>
      <w:lang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rPr>
      <w:color w:val="2B579A"/>
      <w:shd w:val="clear" w:color="auto" w:fill="E1DFDD"/>
    </w:rPr>
  </w:style>
  <w:style w:type="character" w:customStyle="1" w:styleId="HTMLAddressChar">
    <w:name w:val="HTML Address Char"/>
    <w:basedOn w:val="DefaultParagraphFont"/>
    <w:link w:val="HTMLAddress"/>
    <w:uiPriority w:val="99"/>
    <w:semiHidden/>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rPr>
      <w:i/>
      <w:iCs/>
      <w:color w:val="5B9BD5" w:themeColor="accent1"/>
    </w:rPr>
  </w:style>
  <w:style w:type="paragraph" w:styleId="IntenseQuote">
    <w:name w:val="Intense Quote"/>
    <w:basedOn w:val="Normal"/>
    <w:next w:val="Normal"/>
    <w:link w:val="IntenseQuoteChar"/>
    <w:uiPriority w:val="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uiPriority w:val="34"/>
    <w:pPr>
      <w:ind w:left="720"/>
      <w:contextualSpacing/>
    </w:pPr>
  </w:style>
  <w:style w:type="character" w:customStyle="1" w:styleId="MacroTextChar">
    <w:name w:val="Macro Text Char"/>
    <w:basedOn w:val="DefaultParagraphFont"/>
    <w:link w:val="MacroText"/>
    <w:uiPriority w:val="99"/>
    <w:semiHidden/>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Pr>
      <w:rFonts w:ascii="Times New Roman" w:hAnsi="Times New Roman" w:cs="Times New Roman"/>
      <w:sz w:val="24"/>
      <w:szCs w:val="24"/>
      <w:lang w:eastAsia="ja-JP"/>
    </w:rPr>
  </w:style>
  <w:style w:type="character" w:customStyle="1" w:styleId="NoteHeadingChar">
    <w:name w:val="Note Heading Char"/>
    <w:basedOn w:val="DefaultParagraphFont"/>
    <w:link w:val="NoteHeading"/>
    <w:uiPriority w:val="99"/>
    <w:semiHidden/>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Pr>
      <w:u w:val="dotted"/>
    </w:rPr>
  </w:style>
  <w:style w:type="character" w:customStyle="1" w:styleId="SmartLink1">
    <w:name w:val="SmartLink1"/>
    <w:basedOn w:val="DefaultParagraphFont"/>
    <w:uiPriority w:val="99"/>
    <w:semiHidden/>
    <w:unhideWhenUsed/>
    <w:rPr>
      <w:color w:val="0000FF"/>
      <w:u w:val="single"/>
      <w:shd w:val="clear" w:color="auto" w:fill="F3F2F1"/>
    </w:rPr>
  </w:style>
  <w:style w:type="character" w:customStyle="1" w:styleId="SubtleEmphasis1">
    <w:name w:val="Subtle Emphasis1"/>
    <w:basedOn w:val="DefaultParagraphFont"/>
    <w:uiPriority w:val="19"/>
    <w:rPr>
      <w:i/>
      <w:iCs/>
      <w:color w:val="404040" w:themeColor="text1" w:themeTint="BF"/>
    </w:rPr>
  </w:style>
  <w:style w:type="character" w:customStyle="1" w:styleId="SubtleReference1">
    <w:name w:val="Subtle Reference1"/>
    <w:basedOn w:val="DefaultParagraphFont"/>
    <w:uiPriority w:val="31"/>
    <w:rPr>
      <w:smallCaps/>
      <w:color w:val="595959" w:themeColor="text1" w:themeTint="A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style>
  <w:style w:type="paragraph" w:customStyle="1" w:styleId="LSApproval">
    <w:name w:val="LSApproval"/>
    <w:basedOn w:val="Normal"/>
    <w:rPr>
      <w:bCs/>
    </w:rPr>
  </w:style>
  <w:style w:type="paragraph" w:customStyle="1" w:styleId="TSBHeaderRight14">
    <w:name w:val="TSBHeaderRight14"/>
    <w:basedOn w:val="Normal"/>
    <w:qFormat/>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07/relationships/hdphoto" Target="media/hdphoto1.wdp"/><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datastoreItem>
</file>

<file path=customXml/itemProps2.xml><?xml version="1.0" encoding="utf-8"?>
<ds:datastoreItem xmlns:ds="http://schemas.openxmlformats.org/officeDocument/2006/customXml" ds:itemID="{33751D69-C054-4D4D-81C3-C6AE3340C6F4}">
  <ds:schemaRefs/>
</ds:datastoreItem>
</file>

<file path=customXml/itemProps3.xml><?xml version="1.0" encoding="utf-8"?>
<ds:datastoreItem xmlns:ds="http://schemas.openxmlformats.org/officeDocument/2006/customXml" ds:itemID="{899BA8ED-B18B-43DB-B4B9-632D94B2777D}"/>
</file>

<file path=docProps/app.xml><?xml version="1.0" encoding="utf-8"?>
<Properties xmlns="http://schemas.openxmlformats.org/officeDocument/2006/extended-properties" xmlns:vt="http://schemas.openxmlformats.org/officeDocument/2006/docPropsVTypes">
  <Template>Basic_Liaison_Statement.dotx</Template>
  <TotalTime>10</TotalTime>
  <Pages>4</Pages>
  <Words>1124</Words>
  <Characters>6412</Characters>
  <Application>Microsoft Office Word</Application>
  <DocSecurity>0</DocSecurity>
  <Lines>53</Lines>
  <Paragraphs>15</Paragraphs>
  <ScaleCrop>false</ScaleCrop>
  <Manager>ITU-T</Manager>
  <Company>International Telecommunication Union (ITU)</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Standards Success Stories</dc:title>
  <dc:creator>TSAG</dc:creator>
  <dc:description>SG5-TD622  For: Geneva, 29 October - 6 November 2025_x000d_Document date: _x000d_Saved by ITU51018017 at 3:31:39 PM on 10/9/2025</dc:description>
  <cp:lastModifiedBy>TSB-WG3A</cp:lastModifiedBy>
  <cp:revision>4</cp:revision>
  <cp:lastPrinted>2016-12-23T12:52:00Z</cp:lastPrinted>
  <dcterms:created xsi:type="dcterms:W3CDTF">2025-12-18T16:09:00Z</dcterms:created>
  <dcterms:modified xsi:type="dcterms:W3CDTF">2025-12-21T21:02:00Z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SG5-TD622</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29 October - 6 November 2025</vt:lpwstr>
  </property>
  <property fmtid="{D5CDD505-2E9C-101B-9397-08002B2CF9AE}" pid="8" name="Docauthor">
    <vt:lpwstr>TSAG</vt:lpwstr>
  </property>
  <property fmtid="{D5CDD505-2E9C-101B-9397-08002B2CF9AE}" pid="9" name="_NewReviewCycle">
    <vt:lpwstr/>
  </property>
  <property fmtid="{D5CDD505-2E9C-101B-9397-08002B2CF9AE}" pid="10" name="KSOProductBuildVer">
    <vt:lpwstr>2052-11.8.2.12085</vt:lpwstr>
  </property>
  <property fmtid="{D5CDD505-2E9C-101B-9397-08002B2CF9AE}" pid="11" name="ICV">
    <vt:lpwstr>8C500F4D00CA4DAAA88888C88509C306</vt:lpwstr>
  </property>
</Properties>
</file>