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AFE31" w14:textId="15E5402F" w:rsidR="00265EFA" w:rsidRDefault="00EE7818">
      <w:pPr>
        <w:spacing w:after="120"/>
        <w:jc w:val="center"/>
        <w:rPr>
          <w:b/>
          <w:bCs/>
          <w:sz w:val="32"/>
          <w:szCs w:val="32"/>
          <w:u w:val="single"/>
        </w:rPr>
      </w:pPr>
      <w:r>
        <w:rPr>
          <w:b/>
          <w:bCs/>
          <w:sz w:val="32"/>
          <w:szCs w:val="32"/>
          <w:u w:val="single"/>
        </w:rPr>
        <w:t>Attachment 10 - Success story on ITU-T L.1326</w:t>
      </w:r>
    </w:p>
    <w:tbl>
      <w:tblPr>
        <w:tblStyle w:val="TableGrid"/>
        <w:tblW w:w="9604" w:type="dxa"/>
        <w:tblLook w:val="04A0" w:firstRow="1" w:lastRow="0" w:firstColumn="1" w:lastColumn="0" w:noHBand="0" w:noVBand="1"/>
      </w:tblPr>
      <w:tblGrid>
        <w:gridCol w:w="2152"/>
        <w:gridCol w:w="3695"/>
        <w:gridCol w:w="3782"/>
      </w:tblGrid>
      <w:tr w:rsidR="00265EFA" w14:paraId="63CABD46" w14:textId="77777777">
        <w:trPr>
          <w:trHeight w:val="416"/>
        </w:trPr>
        <w:tc>
          <w:tcPr>
            <w:tcW w:w="9604" w:type="dxa"/>
            <w:gridSpan w:val="3"/>
            <w:shd w:val="clear" w:color="auto" w:fill="D9D9D9" w:themeFill="background1" w:themeFillShade="D9"/>
            <w:vAlign w:val="center"/>
          </w:tcPr>
          <w:p w14:paraId="4BE6795D" w14:textId="77777777" w:rsidR="00265EFA" w:rsidRDefault="000640FA">
            <w:pPr>
              <w:jc w:val="center"/>
              <w:rPr>
                <w:sz w:val="22"/>
                <w:szCs w:val="22"/>
              </w:rPr>
            </w:pPr>
            <w:r>
              <w:rPr>
                <w:b/>
                <w:bCs/>
                <w:sz w:val="22"/>
                <w:szCs w:val="22"/>
                <w:u w:val="single"/>
              </w:rPr>
              <w:t>ITU-T RECOMMENDATION OVERVIEW</w:t>
            </w:r>
          </w:p>
        </w:tc>
      </w:tr>
      <w:tr w:rsidR="00265EFA" w14:paraId="10925127" w14:textId="77777777">
        <w:trPr>
          <w:trHeight w:val="416"/>
        </w:trPr>
        <w:tc>
          <w:tcPr>
            <w:tcW w:w="2689" w:type="dxa"/>
            <w:vAlign w:val="center"/>
          </w:tcPr>
          <w:p w14:paraId="73CC141F" w14:textId="77777777" w:rsidR="00265EFA" w:rsidRDefault="000640FA">
            <w:pPr>
              <w:rPr>
                <w:sz w:val="22"/>
                <w:szCs w:val="22"/>
              </w:rPr>
            </w:pPr>
            <w:r>
              <w:rPr>
                <w:sz w:val="22"/>
                <w:szCs w:val="22"/>
              </w:rPr>
              <w:t>ITU-T Recommendation:</w:t>
            </w:r>
          </w:p>
        </w:tc>
        <w:tc>
          <w:tcPr>
            <w:tcW w:w="6915" w:type="dxa"/>
            <w:gridSpan w:val="2"/>
            <w:vAlign w:val="center"/>
          </w:tcPr>
          <w:p w14:paraId="772CE677" w14:textId="77777777" w:rsidR="00265EFA" w:rsidRDefault="000640FA">
            <w:pPr>
              <w:rPr>
                <w:sz w:val="22"/>
                <w:szCs w:val="22"/>
                <w:lang w:val="en-US" w:eastAsia="zh-CN"/>
              </w:rPr>
            </w:pPr>
            <w:r w:rsidRPr="00EE7818">
              <w:rPr>
                <w:color w:val="5B9BD5" w:themeColor="accent1"/>
                <w:sz w:val="22"/>
                <w:szCs w:val="22"/>
                <w:lang w:val="en-US" w:eastAsia="zh-CN"/>
              </w:rPr>
              <w:t xml:space="preserve">L.1326 </w:t>
            </w:r>
          </w:p>
        </w:tc>
      </w:tr>
      <w:tr w:rsidR="00265EFA" w14:paraId="78BEDD2E" w14:textId="77777777">
        <w:trPr>
          <w:trHeight w:val="416"/>
        </w:trPr>
        <w:tc>
          <w:tcPr>
            <w:tcW w:w="2689" w:type="dxa"/>
            <w:vAlign w:val="center"/>
          </w:tcPr>
          <w:p w14:paraId="58400AA0" w14:textId="77777777" w:rsidR="00265EFA" w:rsidRDefault="000640FA">
            <w:pPr>
              <w:rPr>
                <w:sz w:val="22"/>
                <w:szCs w:val="22"/>
              </w:rPr>
            </w:pPr>
            <w:r>
              <w:rPr>
                <w:sz w:val="22"/>
                <w:szCs w:val="22"/>
              </w:rPr>
              <w:t>Title:</w:t>
            </w:r>
          </w:p>
        </w:tc>
        <w:tc>
          <w:tcPr>
            <w:tcW w:w="6915" w:type="dxa"/>
            <w:gridSpan w:val="2"/>
            <w:vAlign w:val="center"/>
          </w:tcPr>
          <w:p w14:paraId="2BE48494" w14:textId="77777777" w:rsidR="00265EFA" w:rsidRDefault="000640FA">
            <w:pPr>
              <w:rPr>
                <w:sz w:val="22"/>
                <w:szCs w:val="22"/>
              </w:rPr>
            </w:pPr>
            <w:r w:rsidRPr="00EE7818">
              <w:rPr>
                <w:rFonts w:hint="eastAsia"/>
                <w:color w:val="5B9BD5" w:themeColor="accent1"/>
                <w:sz w:val="22"/>
                <w:szCs w:val="22"/>
              </w:rPr>
              <w:t>Requirements and use cases of liquid cooling solutions and high energy efficiency solutions for 5G BBU in centralized-RAN mode</w:t>
            </w:r>
          </w:p>
        </w:tc>
      </w:tr>
      <w:tr w:rsidR="00265EFA" w14:paraId="50330B4E" w14:textId="77777777">
        <w:trPr>
          <w:trHeight w:val="416"/>
        </w:trPr>
        <w:tc>
          <w:tcPr>
            <w:tcW w:w="2689" w:type="dxa"/>
            <w:vAlign w:val="center"/>
          </w:tcPr>
          <w:p w14:paraId="4D382F7C" w14:textId="77777777" w:rsidR="00265EFA" w:rsidRDefault="000640FA">
            <w:pPr>
              <w:rPr>
                <w:sz w:val="22"/>
                <w:szCs w:val="22"/>
              </w:rPr>
            </w:pPr>
            <w:r>
              <w:rPr>
                <w:sz w:val="22"/>
                <w:szCs w:val="22"/>
              </w:rPr>
              <w:t>Effective period:</w:t>
            </w:r>
          </w:p>
        </w:tc>
        <w:tc>
          <w:tcPr>
            <w:tcW w:w="6915" w:type="dxa"/>
            <w:gridSpan w:val="2"/>
            <w:vAlign w:val="center"/>
          </w:tcPr>
          <w:p w14:paraId="7F8298F6" w14:textId="77777777" w:rsidR="00265EFA" w:rsidRDefault="000640FA">
            <w:pPr>
              <w:rPr>
                <w:sz w:val="22"/>
                <w:szCs w:val="22"/>
              </w:rPr>
            </w:pPr>
            <w:r w:rsidRPr="00EE7818">
              <w:rPr>
                <w:rFonts w:hint="eastAsia"/>
                <w:color w:val="5B9BD5" w:themeColor="accent1"/>
                <w:sz w:val="22"/>
                <w:szCs w:val="22"/>
                <w:lang w:val="en-US" w:eastAsia="zh-CN"/>
              </w:rPr>
              <w:t>08</w:t>
            </w:r>
            <w:r w:rsidRPr="00EE7818">
              <w:rPr>
                <w:color w:val="5B9BD5" w:themeColor="accent1"/>
                <w:sz w:val="22"/>
                <w:szCs w:val="22"/>
              </w:rPr>
              <w:t>-20</w:t>
            </w:r>
            <w:r w:rsidRPr="00EE7818">
              <w:rPr>
                <w:rFonts w:hint="eastAsia"/>
                <w:color w:val="5B9BD5" w:themeColor="accent1"/>
                <w:sz w:val="22"/>
                <w:szCs w:val="22"/>
                <w:lang w:val="en-US" w:eastAsia="zh-CN"/>
              </w:rPr>
              <w:t>23</w:t>
            </w:r>
            <w:r w:rsidRPr="00EE7818">
              <w:rPr>
                <w:color w:val="5B9BD5" w:themeColor="accent1"/>
                <w:sz w:val="22"/>
                <w:szCs w:val="22"/>
              </w:rPr>
              <w:t xml:space="preserve"> - Present</w:t>
            </w:r>
          </w:p>
        </w:tc>
      </w:tr>
      <w:tr w:rsidR="00265EFA" w14:paraId="2A44E599" w14:textId="77777777">
        <w:trPr>
          <w:trHeight w:val="708"/>
        </w:trPr>
        <w:tc>
          <w:tcPr>
            <w:tcW w:w="2689" w:type="dxa"/>
            <w:vAlign w:val="center"/>
          </w:tcPr>
          <w:p w14:paraId="51458594" w14:textId="77777777" w:rsidR="00265EFA" w:rsidRDefault="000640FA">
            <w:pPr>
              <w:rPr>
                <w:sz w:val="22"/>
                <w:szCs w:val="22"/>
              </w:rPr>
            </w:pPr>
            <w:r>
              <w:rPr>
                <w:sz w:val="22"/>
                <w:szCs w:val="22"/>
              </w:rPr>
              <w:t xml:space="preserve">Summary: </w:t>
            </w:r>
          </w:p>
        </w:tc>
        <w:tc>
          <w:tcPr>
            <w:tcW w:w="6915" w:type="dxa"/>
            <w:gridSpan w:val="2"/>
            <w:vAlign w:val="center"/>
          </w:tcPr>
          <w:p w14:paraId="73225B39" w14:textId="77777777" w:rsidR="00265EFA" w:rsidRPr="00EE7818" w:rsidRDefault="000640FA">
            <w:pPr>
              <w:rPr>
                <w:color w:val="5B9BD5" w:themeColor="accent1"/>
                <w:sz w:val="22"/>
                <w:szCs w:val="22"/>
              </w:rPr>
            </w:pPr>
            <w:r w:rsidRPr="00EE7818">
              <w:rPr>
                <w:rFonts w:hint="eastAsia"/>
                <w:color w:val="5B9BD5" w:themeColor="accent1"/>
                <w:sz w:val="22"/>
                <w:szCs w:val="22"/>
              </w:rPr>
              <w:t>Liquid cooling systems are mainly used for processing high thermal power density which exceeds the physical limits of air-cooling methods, to support application scenarios where manufacturers are creating competitive advantages. Liquid cooling can provide heat transfer capabilities several orders of magnitude higher than those of air cooling, and applications dealing with high heat density in the core and in edge computing as well as in access networks will increasingly require the support of liquid cooling technology.</w:t>
            </w:r>
          </w:p>
          <w:p w14:paraId="08129F75" w14:textId="77777777" w:rsidR="00265EFA" w:rsidRPr="00EE7818" w:rsidRDefault="000640FA">
            <w:pPr>
              <w:rPr>
                <w:color w:val="5B9BD5" w:themeColor="accent1"/>
                <w:sz w:val="22"/>
                <w:szCs w:val="22"/>
              </w:rPr>
            </w:pPr>
            <w:r w:rsidRPr="00EE7818">
              <w:rPr>
                <w:rFonts w:hint="eastAsia"/>
                <w:color w:val="5B9BD5" w:themeColor="accent1"/>
                <w:sz w:val="22"/>
                <w:szCs w:val="22"/>
              </w:rPr>
              <w:t>Recommendation ITU-T L.1326 identifies the requirements for liquid cooling and high energy efficiency solutions for 5G BBU in centralized-RAN mode, including requirements of immersion and spray liquid cooling technology, key indicators of immersion and spray liquid, safety requirements of immersion and spray liquid cooling system, management procedure and an energy efficiency measurement method, and use cases of liquid cooling solutions.</w:t>
            </w:r>
          </w:p>
          <w:p w14:paraId="4D7C07D2" w14:textId="77777777" w:rsidR="00265EFA" w:rsidRDefault="000640FA">
            <w:pPr>
              <w:rPr>
                <w:sz w:val="22"/>
                <w:szCs w:val="22"/>
              </w:rPr>
            </w:pPr>
            <w:r w:rsidRPr="00EE7818">
              <w:rPr>
                <w:rFonts w:hint="eastAsia"/>
                <w:color w:val="5B9BD5" w:themeColor="accent1"/>
                <w:sz w:val="22"/>
                <w:szCs w:val="22"/>
              </w:rPr>
              <w:t>In this Recommendation, a complete infrastructure solution in 5G BBU is proposed that can provide safe and efficient liquid cooling technical support, which can assist in the design of full liquid cooling facilities as well as the successful introduction of liquid cooling solutions to existing air-cooling telecommunication rooms and data centres.</w:t>
            </w:r>
          </w:p>
        </w:tc>
      </w:tr>
      <w:tr w:rsidR="00265EFA" w14:paraId="2ADB466E" w14:textId="77777777">
        <w:trPr>
          <w:trHeight w:val="413"/>
        </w:trPr>
        <w:tc>
          <w:tcPr>
            <w:tcW w:w="9604" w:type="dxa"/>
            <w:gridSpan w:val="3"/>
            <w:shd w:val="clear" w:color="auto" w:fill="D9D9D9" w:themeFill="background1" w:themeFillShade="D9"/>
            <w:vAlign w:val="center"/>
          </w:tcPr>
          <w:p w14:paraId="3028DE0C" w14:textId="77777777" w:rsidR="00265EFA" w:rsidRDefault="000640FA">
            <w:pPr>
              <w:jc w:val="center"/>
              <w:rPr>
                <w:sz w:val="22"/>
                <w:szCs w:val="22"/>
              </w:rPr>
            </w:pPr>
            <w:r>
              <w:rPr>
                <w:b/>
                <w:bCs/>
                <w:sz w:val="22"/>
                <w:szCs w:val="22"/>
                <w:u w:val="single"/>
              </w:rPr>
              <w:t>SUCCESS STORY</w:t>
            </w:r>
          </w:p>
        </w:tc>
      </w:tr>
      <w:tr w:rsidR="00265EFA" w14:paraId="0D3ED46D" w14:textId="77777777">
        <w:trPr>
          <w:trHeight w:val="1246"/>
        </w:trPr>
        <w:tc>
          <w:tcPr>
            <w:tcW w:w="2689" w:type="dxa"/>
            <w:vAlign w:val="center"/>
          </w:tcPr>
          <w:p w14:paraId="3929BC28" w14:textId="77777777" w:rsidR="00265EFA" w:rsidRDefault="000640FA">
            <w:pPr>
              <w:rPr>
                <w:sz w:val="22"/>
                <w:szCs w:val="22"/>
              </w:rPr>
            </w:pPr>
            <w:r>
              <w:rPr>
                <w:sz w:val="22"/>
                <w:szCs w:val="22"/>
              </w:rPr>
              <w:t>Implementation type:</w:t>
            </w:r>
          </w:p>
          <w:p w14:paraId="11242E57" w14:textId="77777777" w:rsidR="00265EFA" w:rsidRDefault="000640FA">
            <w:pPr>
              <w:rPr>
                <w:sz w:val="22"/>
                <w:szCs w:val="22"/>
              </w:rPr>
            </w:pPr>
            <w:r>
              <w:rPr>
                <w:i/>
                <w:iCs/>
                <w:sz w:val="22"/>
                <w:szCs w:val="22"/>
              </w:rPr>
              <w:t>(Select all that apply and provide information below)</w:t>
            </w:r>
          </w:p>
        </w:tc>
        <w:tc>
          <w:tcPr>
            <w:tcW w:w="6915" w:type="dxa"/>
            <w:gridSpan w:val="2"/>
          </w:tcPr>
          <w:p w14:paraId="341270FC" w14:textId="77777777" w:rsidR="00265EFA" w:rsidRDefault="000640FA">
            <w:pPr>
              <w:spacing w:before="0"/>
              <w:rPr>
                <w:sz w:val="22"/>
                <w:szCs w:val="22"/>
              </w:rPr>
            </w:pPr>
            <w:r w:rsidRPr="00EE7818">
              <w:rPr>
                <w:rFonts w:ascii="Segoe UI Symbol" w:hAnsi="Segoe UI Symbol" w:cs="Segoe UI Symbol"/>
                <w:sz w:val="22"/>
                <w:szCs w:val="22"/>
                <w:shd w:val="clear" w:color="auto" w:fill="5B9BD5" w:themeFill="accent1"/>
              </w:rPr>
              <w:t>☑</w:t>
            </w:r>
            <w:r>
              <w:rPr>
                <w:sz w:val="22"/>
                <w:szCs w:val="22"/>
              </w:rPr>
              <w:t xml:space="preserve"> Telecom/ICT products/services</w:t>
            </w:r>
            <w:r>
              <w:rPr>
                <w:sz w:val="22"/>
                <w:szCs w:val="22"/>
              </w:rPr>
              <w:br/>
            </w:r>
            <w:r>
              <w:rPr>
                <w:rFonts w:ascii="Segoe UI Symbol" w:hAnsi="Segoe UI Symbol" w:cs="Segoe UI Symbol"/>
                <w:sz w:val="22"/>
                <w:szCs w:val="22"/>
              </w:rPr>
              <w:t>☐</w:t>
            </w:r>
            <w:r>
              <w:rPr>
                <w:sz w:val="22"/>
                <w:szCs w:val="22"/>
              </w:rPr>
              <w:t xml:space="preserve"> Telecom/ICT regulations/policies/national standards</w:t>
            </w:r>
            <w:r>
              <w:rPr>
                <w:sz w:val="22"/>
                <w:szCs w:val="22"/>
              </w:rPr>
              <w:br/>
            </w:r>
            <w:r>
              <w:rPr>
                <w:rFonts w:ascii="Segoe UI Symbol" w:hAnsi="Segoe UI Symbol" w:cs="Segoe UI Symbol"/>
                <w:sz w:val="22"/>
                <w:szCs w:val="22"/>
              </w:rPr>
              <w:t>☐</w:t>
            </w:r>
            <w:r>
              <w:rPr>
                <w:sz w:val="22"/>
                <w:szCs w:val="22"/>
              </w:rPr>
              <w:t xml:space="preserve"> International standards/ Recommendations</w:t>
            </w:r>
          </w:p>
          <w:p w14:paraId="428541EC" w14:textId="77777777" w:rsidR="00265EFA" w:rsidRDefault="000640FA">
            <w:pPr>
              <w:spacing w:before="0"/>
              <w:rPr>
                <w:sz w:val="22"/>
                <w:szCs w:val="22"/>
              </w:rPr>
            </w:pPr>
            <w:r>
              <w:rPr>
                <w:rFonts w:ascii="Segoe UI Symbol" w:hAnsi="Segoe UI Symbol" w:cs="Segoe UI Symbol"/>
                <w:sz w:val="22"/>
                <w:szCs w:val="22"/>
              </w:rPr>
              <w:t>☐</w:t>
            </w:r>
            <w:r>
              <w:rPr>
                <w:sz w:val="22"/>
                <w:szCs w:val="22"/>
              </w:rPr>
              <w:t xml:space="preserve"> Other</w:t>
            </w:r>
          </w:p>
        </w:tc>
      </w:tr>
      <w:tr w:rsidR="00265EFA" w14:paraId="21E2BA4B" w14:textId="77777777">
        <w:trPr>
          <w:trHeight w:val="848"/>
        </w:trPr>
        <w:tc>
          <w:tcPr>
            <w:tcW w:w="2689" w:type="dxa"/>
            <w:vMerge w:val="restart"/>
            <w:vAlign w:val="center"/>
          </w:tcPr>
          <w:p w14:paraId="3E681D55" w14:textId="77777777" w:rsidR="00265EFA" w:rsidRDefault="000640FA">
            <w:pPr>
              <w:rPr>
                <w:rFonts w:ascii="Segoe UI Symbol" w:hAnsi="Segoe UI Symbol" w:cs="Segoe UI Symbol"/>
                <w:b/>
                <w:bCs/>
                <w:u w:val="single"/>
              </w:rPr>
            </w:pPr>
            <w:r>
              <w:rPr>
                <w:b/>
                <w:bCs/>
                <w:u w:val="single"/>
              </w:rPr>
              <w:t>Telecom/ICT products/services</w:t>
            </w:r>
          </w:p>
        </w:tc>
        <w:tc>
          <w:tcPr>
            <w:tcW w:w="3260" w:type="dxa"/>
          </w:tcPr>
          <w:p w14:paraId="3B3A2783" w14:textId="77777777" w:rsidR="00265EFA" w:rsidRDefault="000640FA">
            <w:pPr>
              <w:rPr>
                <w:b/>
                <w:bCs/>
                <w:sz w:val="22"/>
                <w:szCs w:val="22"/>
              </w:rPr>
            </w:pPr>
            <w:r>
              <w:rPr>
                <w:b/>
                <w:bCs/>
                <w:sz w:val="22"/>
                <w:szCs w:val="22"/>
              </w:rPr>
              <w:t xml:space="preserve">Implementing body: </w:t>
            </w:r>
          </w:p>
          <w:p w14:paraId="410A9A11" w14:textId="77777777" w:rsidR="00265EFA" w:rsidRDefault="000640FA">
            <w:pPr>
              <w:rPr>
                <w:sz w:val="22"/>
                <w:szCs w:val="22"/>
                <w:lang w:val="en-US" w:eastAsia="zh-CN"/>
              </w:rPr>
            </w:pPr>
            <w:r w:rsidRPr="00EE7818">
              <w:rPr>
                <w:color w:val="5B9BD5" w:themeColor="accent1"/>
                <w:sz w:val="22"/>
                <w:szCs w:val="22"/>
                <w:lang w:eastAsia="zh-CN"/>
              </w:rPr>
              <w:t>China Telecommunications Corp.</w:t>
            </w:r>
          </w:p>
        </w:tc>
        <w:tc>
          <w:tcPr>
            <w:tcW w:w="3655" w:type="dxa"/>
          </w:tcPr>
          <w:p w14:paraId="4EC550F9" w14:textId="77777777" w:rsidR="00265EFA" w:rsidRDefault="000640FA">
            <w:pPr>
              <w:rPr>
                <w:b/>
                <w:bCs/>
                <w:sz w:val="22"/>
                <w:szCs w:val="22"/>
              </w:rPr>
            </w:pPr>
            <w:r>
              <w:rPr>
                <w:b/>
                <w:bCs/>
                <w:sz w:val="22"/>
                <w:szCs w:val="22"/>
              </w:rPr>
              <w:t>Implementation:</w:t>
            </w:r>
          </w:p>
          <w:p w14:paraId="02C02F49" w14:textId="77777777" w:rsidR="00265EFA" w:rsidRDefault="000640FA">
            <w:pPr>
              <w:rPr>
                <w:i/>
                <w:iCs/>
                <w:sz w:val="22"/>
                <w:szCs w:val="22"/>
                <w:lang w:val="en-US" w:eastAsia="zh-CN"/>
              </w:rPr>
            </w:pPr>
            <w:r w:rsidRPr="00EE7818">
              <w:rPr>
                <w:rFonts w:hint="eastAsia"/>
                <w:color w:val="5B9BD5" w:themeColor="accent1"/>
                <w:sz w:val="22"/>
                <w:szCs w:val="22"/>
                <w:lang w:val="en-US" w:eastAsia="zh-CN"/>
              </w:rPr>
              <w:t>Liquid cooling 5G BBU cabinet</w:t>
            </w:r>
          </w:p>
        </w:tc>
      </w:tr>
      <w:tr w:rsidR="00265EFA" w14:paraId="5186F393" w14:textId="77777777">
        <w:trPr>
          <w:trHeight w:val="1232"/>
        </w:trPr>
        <w:tc>
          <w:tcPr>
            <w:tcW w:w="2689" w:type="dxa"/>
            <w:vMerge/>
            <w:vAlign w:val="center"/>
          </w:tcPr>
          <w:p w14:paraId="1211A0A0" w14:textId="77777777" w:rsidR="00265EFA" w:rsidRDefault="00265EFA">
            <w:pPr>
              <w:rPr>
                <w:b/>
                <w:bCs/>
                <w:u w:val="single"/>
              </w:rPr>
            </w:pPr>
          </w:p>
        </w:tc>
        <w:tc>
          <w:tcPr>
            <w:tcW w:w="6915" w:type="dxa"/>
            <w:gridSpan w:val="2"/>
          </w:tcPr>
          <w:p w14:paraId="494BC848" w14:textId="77777777" w:rsidR="00265EFA" w:rsidRDefault="000640FA">
            <w:pPr>
              <w:rPr>
                <w:b/>
                <w:bCs/>
                <w:sz w:val="22"/>
                <w:szCs w:val="22"/>
              </w:rPr>
            </w:pPr>
            <w:r>
              <w:rPr>
                <w:b/>
                <w:bCs/>
                <w:sz w:val="22"/>
                <w:szCs w:val="22"/>
              </w:rPr>
              <w:t>Implementation summary:</w:t>
            </w:r>
          </w:p>
          <w:p w14:paraId="7B4F47CC" w14:textId="77777777" w:rsidR="00265EFA" w:rsidRPr="00EE7818" w:rsidRDefault="000640FA">
            <w:pPr>
              <w:rPr>
                <w:color w:val="5B9BD5" w:themeColor="accent1"/>
                <w:sz w:val="22"/>
                <w:szCs w:val="22"/>
                <w:lang w:val="en-US" w:eastAsia="zh-CN"/>
              </w:rPr>
            </w:pPr>
            <w:r w:rsidRPr="00EE7818">
              <w:rPr>
                <w:color w:val="5B9BD5" w:themeColor="accent1"/>
                <w:sz w:val="22"/>
                <w:szCs w:val="22"/>
                <w:lang w:val="en-US" w:eastAsia="zh-CN"/>
              </w:rPr>
              <w:t xml:space="preserve">As 5G base stations have increased sharply in both density and power consumption, this has placed stringent demands on equipment-room space and cooling capacity, creating </w:t>
            </w:r>
            <w:proofErr w:type="gramStart"/>
            <w:r w:rsidRPr="00EE7818">
              <w:rPr>
                <w:color w:val="5B9BD5" w:themeColor="accent1"/>
                <w:sz w:val="22"/>
                <w:szCs w:val="22"/>
                <w:lang w:val="en-US" w:eastAsia="zh-CN"/>
              </w:rPr>
              <w:t>particular challenges</w:t>
            </w:r>
            <w:proofErr w:type="gramEnd"/>
            <w:r w:rsidRPr="00EE7818">
              <w:rPr>
                <w:color w:val="5B9BD5" w:themeColor="accent1"/>
                <w:sz w:val="22"/>
                <w:szCs w:val="22"/>
                <w:lang w:val="en-US" w:eastAsia="zh-CN"/>
              </w:rPr>
              <w:t xml:space="preserve"> for the deployment of baseband units (BBUs). Building on the scheme of Recommendation ITU-T L.1326, China Telecom and its partners have developed a series of liquid-cooling solutions and products for 5G BBUs that effectively address these issues and have achieved the following results:</w:t>
            </w:r>
          </w:p>
          <w:p w14:paraId="2B824E8D" w14:textId="77777777" w:rsidR="00265EFA" w:rsidRPr="00EE7818" w:rsidRDefault="000640FA">
            <w:pPr>
              <w:numPr>
                <w:ilvl w:val="0"/>
                <w:numId w:val="11"/>
              </w:numPr>
              <w:rPr>
                <w:color w:val="5B9BD5" w:themeColor="accent1"/>
                <w:sz w:val="22"/>
                <w:szCs w:val="22"/>
                <w:lang w:val="en-US" w:eastAsia="zh-CN"/>
              </w:rPr>
            </w:pPr>
            <w:r w:rsidRPr="00EE7818">
              <w:rPr>
                <w:color w:val="5B9BD5" w:themeColor="accent1"/>
                <w:sz w:val="22"/>
                <w:szCs w:val="22"/>
                <w:lang w:val="en-US" w:eastAsia="zh-CN"/>
              </w:rPr>
              <w:t>Spray liquid</w:t>
            </w:r>
            <w:r w:rsidRPr="00EE7818">
              <w:rPr>
                <w:rFonts w:hint="eastAsia"/>
                <w:color w:val="5B9BD5" w:themeColor="accent1"/>
                <w:sz w:val="22"/>
                <w:szCs w:val="22"/>
                <w:lang w:val="en-US" w:eastAsia="zh-CN"/>
              </w:rPr>
              <w:t xml:space="preserve"> </w:t>
            </w:r>
            <w:r w:rsidRPr="00EE7818">
              <w:rPr>
                <w:color w:val="5B9BD5" w:themeColor="accent1"/>
                <w:sz w:val="22"/>
                <w:szCs w:val="22"/>
                <w:lang w:val="en-US" w:eastAsia="zh-CN"/>
              </w:rPr>
              <w:t>cool</w:t>
            </w:r>
            <w:r w:rsidRPr="00EE7818">
              <w:rPr>
                <w:rFonts w:hint="eastAsia"/>
                <w:color w:val="5B9BD5" w:themeColor="accent1"/>
                <w:sz w:val="22"/>
                <w:szCs w:val="22"/>
                <w:lang w:val="en-US" w:eastAsia="zh-CN"/>
              </w:rPr>
              <w:t>ing</w:t>
            </w:r>
            <w:r w:rsidRPr="00EE7818">
              <w:rPr>
                <w:color w:val="5B9BD5" w:themeColor="accent1"/>
                <w:sz w:val="22"/>
                <w:szCs w:val="22"/>
                <w:lang w:val="en-US" w:eastAsia="zh-CN"/>
              </w:rPr>
              <w:t>5G BBU cabinet</w:t>
            </w:r>
          </w:p>
          <w:p w14:paraId="410C515D" w14:textId="77777777" w:rsidR="00265EFA" w:rsidRPr="00EE7818" w:rsidRDefault="000640FA">
            <w:pPr>
              <w:rPr>
                <w:color w:val="5B9BD5" w:themeColor="accent1"/>
                <w:sz w:val="22"/>
                <w:szCs w:val="22"/>
                <w:lang w:val="en-US" w:eastAsia="zh-CN"/>
              </w:rPr>
            </w:pPr>
            <w:r w:rsidRPr="00EE7818">
              <w:rPr>
                <w:color w:val="5B9BD5" w:themeColor="accent1"/>
                <w:sz w:val="22"/>
                <w:szCs w:val="22"/>
                <w:lang w:val="en-US" w:eastAsia="zh-CN"/>
              </w:rPr>
              <w:t>The BBU capacity per cabinet is 2–3 times higher than that of traditional air-cooled solutions, enabling a reduction in floor space by up to 80% and thereby resolving the problem of insufficient equipment-room capacity. At the same time, the energy-saving effect is significant: measurements show more than 40% energy savings compared with air cooling.</w:t>
            </w:r>
          </w:p>
          <w:p w14:paraId="109A23F8" w14:textId="77777777" w:rsidR="00265EFA" w:rsidRDefault="000640FA">
            <w:pPr>
              <w:rPr>
                <w:color w:val="0000FF"/>
                <w:sz w:val="22"/>
                <w:szCs w:val="22"/>
                <w:lang w:val="en-US" w:eastAsia="zh-CN"/>
              </w:rPr>
            </w:pPr>
            <w:r>
              <w:rPr>
                <w:noProof/>
              </w:rPr>
              <w:lastRenderedPageBreak/>
              <w:drawing>
                <wp:inline distT="0" distB="0" distL="114300" distR="114300" wp14:anchorId="48C6B9A7" wp14:editId="0ACD2133">
                  <wp:extent cx="4845050" cy="3601720"/>
                  <wp:effectExtent l="0" t="0" r="635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845050" cy="3601720"/>
                          </a:xfrm>
                          <a:prstGeom prst="rect">
                            <a:avLst/>
                          </a:prstGeom>
                          <a:noFill/>
                          <a:ln>
                            <a:noFill/>
                          </a:ln>
                        </pic:spPr>
                      </pic:pic>
                    </a:graphicData>
                  </a:graphic>
                </wp:inline>
              </w:drawing>
            </w:r>
          </w:p>
          <w:p w14:paraId="0462AA01" w14:textId="77777777" w:rsidR="00265EFA" w:rsidRPr="00EE7818" w:rsidRDefault="000640FA">
            <w:pPr>
              <w:rPr>
                <w:color w:val="5B9BD5" w:themeColor="accent1"/>
                <w:sz w:val="22"/>
                <w:szCs w:val="22"/>
                <w:lang w:val="en-US" w:eastAsia="zh-CN"/>
              </w:rPr>
            </w:pPr>
            <w:r w:rsidRPr="00EE7818">
              <w:rPr>
                <w:rFonts w:hint="eastAsia"/>
                <w:color w:val="5B9BD5" w:themeColor="accent1"/>
                <w:sz w:val="22"/>
                <w:szCs w:val="22"/>
                <w:lang w:val="en-US" w:eastAsia="zh-CN"/>
              </w:rPr>
              <w:t>2.</w:t>
            </w:r>
            <w:r w:rsidRPr="00EE7818">
              <w:rPr>
                <w:color w:val="5B9BD5" w:themeColor="accent1"/>
                <w:sz w:val="22"/>
                <w:szCs w:val="22"/>
                <w:lang w:val="en-US" w:eastAsia="zh-CN"/>
              </w:rPr>
              <w:t>Immersion liquid</w:t>
            </w:r>
            <w:r w:rsidRPr="00EE7818">
              <w:rPr>
                <w:rFonts w:hint="eastAsia"/>
                <w:color w:val="5B9BD5" w:themeColor="accent1"/>
                <w:sz w:val="22"/>
                <w:szCs w:val="22"/>
                <w:lang w:val="en-US" w:eastAsia="zh-CN"/>
              </w:rPr>
              <w:t xml:space="preserve"> </w:t>
            </w:r>
            <w:r w:rsidRPr="00EE7818">
              <w:rPr>
                <w:color w:val="5B9BD5" w:themeColor="accent1"/>
                <w:sz w:val="22"/>
                <w:szCs w:val="22"/>
                <w:lang w:val="en-US" w:eastAsia="zh-CN"/>
              </w:rPr>
              <w:t>cool</w:t>
            </w:r>
            <w:r w:rsidRPr="00EE7818">
              <w:rPr>
                <w:rFonts w:hint="eastAsia"/>
                <w:color w:val="5B9BD5" w:themeColor="accent1"/>
                <w:sz w:val="22"/>
                <w:szCs w:val="22"/>
                <w:lang w:val="en-US" w:eastAsia="zh-CN"/>
              </w:rPr>
              <w:t>ing</w:t>
            </w:r>
            <w:r w:rsidRPr="00EE7818">
              <w:rPr>
                <w:color w:val="5B9BD5" w:themeColor="accent1"/>
                <w:sz w:val="22"/>
                <w:szCs w:val="22"/>
                <w:lang w:val="en-US" w:eastAsia="zh-CN"/>
              </w:rPr>
              <w:t xml:space="preserve"> 5G BBU cabinet</w:t>
            </w:r>
          </w:p>
          <w:p w14:paraId="582091B9" w14:textId="77777777" w:rsidR="00265EFA" w:rsidRPr="00EE7818" w:rsidRDefault="000640FA">
            <w:pPr>
              <w:rPr>
                <w:color w:val="5B9BD5" w:themeColor="accent1"/>
                <w:sz w:val="22"/>
                <w:szCs w:val="22"/>
                <w:lang w:val="en-US" w:eastAsia="zh-CN"/>
              </w:rPr>
            </w:pPr>
            <w:r w:rsidRPr="00EE7818">
              <w:rPr>
                <w:color w:val="5B9BD5" w:themeColor="accent1"/>
                <w:sz w:val="22"/>
                <w:szCs w:val="22"/>
                <w:lang w:val="en-US" w:eastAsia="zh-CN"/>
              </w:rPr>
              <w:t>Also targeting heat dissipation and energy efficiency, this solution achieves an energy-saving rate of up to 40% per cabinet, with annual power savings of about 60,000 kWh. In hot regions, the power usage effectiveness (PUE) can be reduced to as low as 1.1.</w:t>
            </w:r>
          </w:p>
          <w:p w14:paraId="74834A3C" w14:textId="77777777" w:rsidR="00265EFA" w:rsidRDefault="000640FA">
            <w:pPr>
              <w:rPr>
                <w:color w:val="0000FF"/>
                <w:sz w:val="22"/>
                <w:szCs w:val="22"/>
                <w:lang w:val="en-US" w:eastAsia="zh-CN"/>
              </w:rPr>
            </w:pPr>
            <w:r>
              <w:rPr>
                <w:noProof/>
              </w:rPr>
              <w:drawing>
                <wp:inline distT="0" distB="0" distL="114300" distR="114300" wp14:anchorId="7A7F59B8" wp14:editId="02A1F0E4">
                  <wp:extent cx="4624070" cy="2573655"/>
                  <wp:effectExtent l="0" t="0" r="1143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624070" cy="2573655"/>
                          </a:xfrm>
                          <a:prstGeom prst="rect">
                            <a:avLst/>
                          </a:prstGeom>
                          <a:noFill/>
                          <a:ln>
                            <a:noFill/>
                          </a:ln>
                        </pic:spPr>
                      </pic:pic>
                    </a:graphicData>
                  </a:graphic>
                </wp:inline>
              </w:drawing>
            </w:r>
          </w:p>
          <w:p w14:paraId="6BC3CC71" w14:textId="77777777" w:rsidR="00265EFA" w:rsidRDefault="000640FA">
            <w:pPr>
              <w:rPr>
                <w:color w:val="0000FF"/>
                <w:sz w:val="22"/>
                <w:szCs w:val="22"/>
                <w:lang w:val="en-US" w:eastAsia="zh-CN"/>
              </w:rPr>
            </w:pPr>
            <w:r w:rsidRPr="00EE7818">
              <w:rPr>
                <w:color w:val="5B9BD5" w:themeColor="accent1"/>
                <w:sz w:val="22"/>
                <w:szCs w:val="22"/>
                <w:lang w:val="en-US" w:eastAsia="zh-CN"/>
              </w:rPr>
              <w:t>The liquid</w:t>
            </w:r>
            <w:r w:rsidRPr="00EE7818">
              <w:rPr>
                <w:rFonts w:hint="eastAsia"/>
                <w:color w:val="5B9BD5" w:themeColor="accent1"/>
                <w:sz w:val="22"/>
                <w:szCs w:val="22"/>
                <w:lang w:val="en-US" w:eastAsia="zh-CN"/>
              </w:rPr>
              <w:t xml:space="preserve"> </w:t>
            </w:r>
            <w:r w:rsidRPr="00EE7818">
              <w:rPr>
                <w:color w:val="5B9BD5" w:themeColor="accent1"/>
                <w:sz w:val="22"/>
                <w:szCs w:val="22"/>
                <w:lang w:val="en-US" w:eastAsia="zh-CN"/>
              </w:rPr>
              <w:t>cool</w:t>
            </w:r>
            <w:r w:rsidRPr="00EE7818">
              <w:rPr>
                <w:rFonts w:hint="eastAsia"/>
                <w:color w:val="5B9BD5" w:themeColor="accent1"/>
                <w:sz w:val="22"/>
                <w:szCs w:val="22"/>
                <w:lang w:val="en-US" w:eastAsia="zh-CN"/>
              </w:rPr>
              <w:t>ing</w:t>
            </w:r>
            <w:r w:rsidRPr="00EE7818">
              <w:rPr>
                <w:color w:val="5B9BD5" w:themeColor="accent1"/>
                <w:sz w:val="22"/>
                <w:szCs w:val="22"/>
                <w:lang w:val="en-US" w:eastAsia="zh-CN"/>
              </w:rPr>
              <w:t xml:space="preserve"> 5G BBU solutions described in Recommendation ITU-T L.1326 have been selected for multiple authoritative recommended catalogues in China, including the </w:t>
            </w:r>
            <w:r w:rsidRPr="00EE7818">
              <w:rPr>
                <w:i/>
                <w:iCs/>
                <w:color w:val="5B9BD5" w:themeColor="accent1"/>
                <w:sz w:val="22"/>
                <w:szCs w:val="22"/>
                <w:lang w:val="en-US" w:eastAsia="zh-CN"/>
              </w:rPr>
              <w:t>National Green Data Center Advanced and Applicable Technology and Product Catalogue</w:t>
            </w:r>
            <w:r w:rsidRPr="00EE7818">
              <w:rPr>
                <w:color w:val="5B9BD5" w:themeColor="accent1"/>
                <w:sz w:val="22"/>
                <w:szCs w:val="22"/>
                <w:lang w:val="en-US" w:eastAsia="zh-CN"/>
              </w:rPr>
              <w:t xml:space="preserve">, </w:t>
            </w:r>
            <w:r w:rsidRPr="00EE7818">
              <w:rPr>
                <w:i/>
                <w:iCs/>
                <w:color w:val="5B9BD5" w:themeColor="accent1"/>
                <w:sz w:val="22"/>
                <w:szCs w:val="22"/>
                <w:lang w:val="en-US" w:eastAsia="zh-CN"/>
              </w:rPr>
              <w:t>the Recommended Catalogue of Energy-Saving Technologies and Products for the National Communications Industry</w:t>
            </w:r>
            <w:r w:rsidRPr="00EE7818">
              <w:rPr>
                <w:color w:val="5B9BD5" w:themeColor="accent1"/>
                <w:sz w:val="22"/>
                <w:szCs w:val="22"/>
                <w:lang w:val="en-US" w:eastAsia="zh-CN"/>
              </w:rPr>
              <w:t xml:space="preserve">, and the </w:t>
            </w:r>
            <w:r w:rsidRPr="00EE7818">
              <w:rPr>
                <w:i/>
                <w:iCs/>
                <w:color w:val="5B9BD5" w:themeColor="accent1"/>
                <w:sz w:val="22"/>
                <w:szCs w:val="22"/>
                <w:lang w:val="en-US" w:eastAsia="zh-CN"/>
              </w:rPr>
              <w:t>Recommended Catalogue of Energy-Saving Technologies and Equipment for the National Industry and Information Technology Sector</w:t>
            </w:r>
            <w:r w:rsidRPr="00EE7818">
              <w:rPr>
                <w:color w:val="5B9BD5" w:themeColor="accent1"/>
                <w:sz w:val="22"/>
                <w:szCs w:val="22"/>
                <w:lang w:val="en-US" w:eastAsia="zh-CN"/>
              </w:rPr>
              <w:t>.</w:t>
            </w:r>
          </w:p>
        </w:tc>
      </w:tr>
      <w:tr w:rsidR="00265EFA" w14:paraId="13BB5511" w14:textId="77777777">
        <w:trPr>
          <w:trHeight w:val="1169"/>
        </w:trPr>
        <w:tc>
          <w:tcPr>
            <w:tcW w:w="2689" w:type="dxa"/>
            <w:vMerge w:val="restart"/>
            <w:vAlign w:val="center"/>
          </w:tcPr>
          <w:p w14:paraId="413B373A" w14:textId="77777777" w:rsidR="00265EFA" w:rsidRDefault="000640FA">
            <w:pPr>
              <w:rPr>
                <w:rFonts w:ascii="Segoe UI Symbol" w:hAnsi="Segoe UI Symbol" w:cs="Segoe UI Symbol"/>
                <w:b/>
                <w:bCs/>
                <w:u w:val="single"/>
              </w:rPr>
            </w:pPr>
            <w:r>
              <w:rPr>
                <w:b/>
                <w:bCs/>
                <w:u w:val="single"/>
              </w:rPr>
              <w:lastRenderedPageBreak/>
              <w:t>Telecom/ICT regulations/policies/ national Standards</w:t>
            </w:r>
          </w:p>
        </w:tc>
        <w:tc>
          <w:tcPr>
            <w:tcW w:w="3260" w:type="dxa"/>
          </w:tcPr>
          <w:p w14:paraId="17C28A55" w14:textId="77777777" w:rsidR="00265EFA" w:rsidRDefault="000640FA">
            <w:pPr>
              <w:rPr>
                <w:b/>
                <w:bCs/>
                <w:sz w:val="22"/>
                <w:szCs w:val="22"/>
              </w:rPr>
            </w:pPr>
            <w:r>
              <w:rPr>
                <w:b/>
                <w:bCs/>
                <w:sz w:val="22"/>
                <w:szCs w:val="22"/>
              </w:rPr>
              <w:t xml:space="preserve">Implementing body: </w:t>
            </w:r>
          </w:p>
          <w:p w14:paraId="1D41A5B0" w14:textId="5A836DC8" w:rsidR="00265EFA" w:rsidRDefault="00EE7818">
            <w:pPr>
              <w:rPr>
                <w:rFonts w:ascii="Segoe UI Symbol" w:hAnsi="Segoe UI Symbol" w:cs="Segoe UI Symbol"/>
                <w:sz w:val="22"/>
                <w:szCs w:val="22"/>
              </w:rPr>
            </w:pPr>
            <w:r>
              <w:rPr>
                <w:sz w:val="22"/>
                <w:szCs w:val="22"/>
              </w:rPr>
              <w:t>N/A</w:t>
            </w:r>
          </w:p>
        </w:tc>
        <w:tc>
          <w:tcPr>
            <w:tcW w:w="3655" w:type="dxa"/>
          </w:tcPr>
          <w:p w14:paraId="7A7E1D5C" w14:textId="77777777" w:rsidR="00265EFA" w:rsidRDefault="000640FA">
            <w:pPr>
              <w:rPr>
                <w:b/>
                <w:bCs/>
                <w:sz w:val="22"/>
                <w:szCs w:val="22"/>
              </w:rPr>
            </w:pPr>
            <w:r>
              <w:rPr>
                <w:b/>
                <w:bCs/>
                <w:sz w:val="22"/>
                <w:szCs w:val="22"/>
              </w:rPr>
              <w:t>Implementation:</w:t>
            </w:r>
          </w:p>
          <w:p w14:paraId="5AB603C4" w14:textId="26957445" w:rsidR="00265EFA" w:rsidRDefault="00EE7818">
            <w:pPr>
              <w:rPr>
                <w:rFonts w:ascii="Segoe UI Symbol" w:hAnsi="Segoe UI Symbol" w:cs="Segoe UI Symbol"/>
                <w:sz w:val="22"/>
                <w:szCs w:val="22"/>
              </w:rPr>
            </w:pPr>
            <w:r>
              <w:rPr>
                <w:sz w:val="22"/>
                <w:szCs w:val="22"/>
              </w:rPr>
              <w:t>N/A</w:t>
            </w:r>
          </w:p>
        </w:tc>
      </w:tr>
      <w:tr w:rsidR="00265EFA" w14:paraId="646D7266" w14:textId="77777777">
        <w:trPr>
          <w:trHeight w:val="1142"/>
        </w:trPr>
        <w:tc>
          <w:tcPr>
            <w:tcW w:w="2689" w:type="dxa"/>
            <w:vMerge/>
            <w:vAlign w:val="center"/>
          </w:tcPr>
          <w:p w14:paraId="14BB1F02" w14:textId="77777777" w:rsidR="00265EFA" w:rsidRDefault="00265EFA">
            <w:pPr>
              <w:rPr>
                <w:rFonts w:ascii="Segoe UI Symbol" w:hAnsi="Segoe UI Symbol" w:cs="Segoe UI Symbol"/>
                <w:b/>
                <w:bCs/>
                <w:u w:val="single"/>
              </w:rPr>
            </w:pPr>
          </w:p>
        </w:tc>
        <w:tc>
          <w:tcPr>
            <w:tcW w:w="6915" w:type="dxa"/>
            <w:gridSpan w:val="2"/>
          </w:tcPr>
          <w:p w14:paraId="69A13B2F" w14:textId="77777777" w:rsidR="00265EFA" w:rsidRDefault="000640FA">
            <w:pPr>
              <w:rPr>
                <w:b/>
                <w:bCs/>
                <w:sz w:val="22"/>
                <w:szCs w:val="22"/>
              </w:rPr>
            </w:pPr>
            <w:r>
              <w:rPr>
                <w:b/>
                <w:bCs/>
                <w:sz w:val="22"/>
                <w:szCs w:val="22"/>
              </w:rPr>
              <w:t>Implementation summary:</w:t>
            </w:r>
          </w:p>
          <w:p w14:paraId="69686166" w14:textId="57D1EDAB" w:rsidR="00265EFA" w:rsidRDefault="00EE7818">
            <w:pPr>
              <w:rPr>
                <w:rFonts w:ascii="Segoe UI Symbol" w:hAnsi="Segoe UI Symbol" w:cs="Segoe UI Symbol"/>
                <w:sz w:val="22"/>
                <w:szCs w:val="22"/>
              </w:rPr>
            </w:pPr>
            <w:r>
              <w:rPr>
                <w:rFonts w:ascii="Segoe UI Symbol" w:hAnsi="Segoe UI Symbol" w:cs="Segoe UI Symbol"/>
                <w:sz w:val="22"/>
                <w:szCs w:val="22"/>
              </w:rPr>
              <w:t>N/A</w:t>
            </w:r>
          </w:p>
        </w:tc>
      </w:tr>
      <w:tr w:rsidR="00265EFA" w14:paraId="63236E11" w14:textId="77777777">
        <w:trPr>
          <w:trHeight w:val="1234"/>
        </w:trPr>
        <w:tc>
          <w:tcPr>
            <w:tcW w:w="2689" w:type="dxa"/>
            <w:vMerge w:val="restart"/>
            <w:vAlign w:val="center"/>
          </w:tcPr>
          <w:p w14:paraId="55CAA5EB" w14:textId="77777777" w:rsidR="00265EFA" w:rsidRDefault="000640FA">
            <w:pPr>
              <w:rPr>
                <w:rFonts w:ascii="Segoe UI Symbol" w:hAnsi="Segoe UI Symbol" w:cs="Segoe UI Symbol"/>
                <w:b/>
                <w:bCs/>
                <w:u w:val="single"/>
              </w:rPr>
            </w:pPr>
            <w:r>
              <w:rPr>
                <w:b/>
                <w:bCs/>
                <w:u w:val="single"/>
              </w:rPr>
              <w:t>International standards/ Recommendations</w:t>
            </w:r>
          </w:p>
        </w:tc>
        <w:tc>
          <w:tcPr>
            <w:tcW w:w="3260" w:type="dxa"/>
          </w:tcPr>
          <w:p w14:paraId="5A4C13AB" w14:textId="77777777" w:rsidR="00265EFA" w:rsidRDefault="000640FA">
            <w:pPr>
              <w:rPr>
                <w:b/>
                <w:bCs/>
                <w:sz w:val="22"/>
                <w:szCs w:val="22"/>
              </w:rPr>
            </w:pPr>
            <w:r>
              <w:rPr>
                <w:b/>
                <w:bCs/>
                <w:sz w:val="22"/>
                <w:szCs w:val="22"/>
              </w:rPr>
              <w:t xml:space="preserve">Implementing body: </w:t>
            </w:r>
          </w:p>
          <w:p w14:paraId="339B6528" w14:textId="563EBBE1" w:rsidR="00265EFA" w:rsidRDefault="00EE7818">
            <w:pPr>
              <w:rPr>
                <w:rFonts w:ascii="Segoe UI Symbol" w:hAnsi="Segoe UI Symbol" w:cs="Segoe UI Symbol"/>
                <w:sz w:val="22"/>
                <w:szCs w:val="22"/>
              </w:rPr>
            </w:pPr>
            <w:r>
              <w:rPr>
                <w:sz w:val="22"/>
                <w:szCs w:val="22"/>
              </w:rPr>
              <w:t>N/A</w:t>
            </w:r>
          </w:p>
        </w:tc>
        <w:tc>
          <w:tcPr>
            <w:tcW w:w="3655" w:type="dxa"/>
          </w:tcPr>
          <w:p w14:paraId="6B8487CB" w14:textId="77777777" w:rsidR="00265EFA" w:rsidRDefault="000640FA">
            <w:pPr>
              <w:rPr>
                <w:b/>
                <w:bCs/>
                <w:sz w:val="22"/>
                <w:szCs w:val="22"/>
              </w:rPr>
            </w:pPr>
            <w:r>
              <w:rPr>
                <w:b/>
                <w:bCs/>
                <w:sz w:val="22"/>
                <w:szCs w:val="22"/>
              </w:rPr>
              <w:t>Implementation</w:t>
            </w:r>
          </w:p>
          <w:p w14:paraId="6769DBD5" w14:textId="7EF15AA3" w:rsidR="00265EFA" w:rsidRDefault="00EE7818">
            <w:pPr>
              <w:rPr>
                <w:rFonts w:ascii="Segoe UI Symbol" w:hAnsi="Segoe UI Symbol" w:cs="Segoe UI Symbol"/>
                <w:sz w:val="22"/>
                <w:szCs w:val="22"/>
              </w:rPr>
            </w:pPr>
            <w:r>
              <w:rPr>
                <w:sz w:val="22"/>
                <w:szCs w:val="22"/>
              </w:rPr>
              <w:t>N/A</w:t>
            </w:r>
          </w:p>
        </w:tc>
      </w:tr>
      <w:tr w:rsidR="00265EFA" w14:paraId="18D0D6B9" w14:textId="77777777">
        <w:trPr>
          <w:trHeight w:val="1353"/>
        </w:trPr>
        <w:tc>
          <w:tcPr>
            <w:tcW w:w="2689" w:type="dxa"/>
            <w:vMerge/>
            <w:vAlign w:val="center"/>
          </w:tcPr>
          <w:p w14:paraId="61426D65" w14:textId="77777777" w:rsidR="00265EFA" w:rsidRDefault="00265EFA">
            <w:pPr>
              <w:rPr>
                <w:rFonts w:ascii="Segoe UI Symbol" w:hAnsi="Segoe UI Symbol" w:cs="Segoe UI Symbol"/>
                <w:sz w:val="22"/>
                <w:szCs w:val="22"/>
              </w:rPr>
            </w:pPr>
          </w:p>
        </w:tc>
        <w:tc>
          <w:tcPr>
            <w:tcW w:w="6915" w:type="dxa"/>
            <w:gridSpan w:val="2"/>
          </w:tcPr>
          <w:p w14:paraId="4C6BB91F" w14:textId="77777777" w:rsidR="00265EFA" w:rsidRDefault="000640FA">
            <w:pPr>
              <w:rPr>
                <w:b/>
                <w:bCs/>
                <w:sz w:val="22"/>
                <w:szCs w:val="22"/>
              </w:rPr>
            </w:pPr>
            <w:r>
              <w:rPr>
                <w:b/>
                <w:bCs/>
                <w:sz w:val="22"/>
                <w:szCs w:val="22"/>
              </w:rPr>
              <w:t>Implementation summary:</w:t>
            </w:r>
          </w:p>
          <w:p w14:paraId="5BA9B6A6" w14:textId="2A027C62" w:rsidR="00265EFA" w:rsidRDefault="00EE7818">
            <w:pPr>
              <w:rPr>
                <w:rFonts w:ascii="Segoe UI Symbol" w:hAnsi="Segoe UI Symbol" w:cs="Segoe UI Symbol"/>
                <w:sz w:val="22"/>
                <w:szCs w:val="22"/>
              </w:rPr>
            </w:pPr>
            <w:r>
              <w:rPr>
                <w:sz w:val="22"/>
                <w:szCs w:val="22"/>
              </w:rPr>
              <w:t>N/A</w:t>
            </w:r>
          </w:p>
        </w:tc>
      </w:tr>
      <w:tr w:rsidR="00265EFA" w14:paraId="23FE440A" w14:textId="77777777">
        <w:trPr>
          <w:trHeight w:val="1034"/>
        </w:trPr>
        <w:tc>
          <w:tcPr>
            <w:tcW w:w="2689" w:type="dxa"/>
            <w:vAlign w:val="center"/>
          </w:tcPr>
          <w:p w14:paraId="1ECA3793" w14:textId="77777777" w:rsidR="00265EFA" w:rsidRDefault="000640FA">
            <w:pPr>
              <w:rPr>
                <w:b/>
                <w:bCs/>
                <w:sz w:val="22"/>
                <w:szCs w:val="22"/>
              </w:rPr>
            </w:pPr>
            <w:r>
              <w:rPr>
                <w:b/>
                <w:bCs/>
                <w:u w:val="single"/>
              </w:rPr>
              <w:t>Other</w:t>
            </w:r>
          </w:p>
        </w:tc>
        <w:tc>
          <w:tcPr>
            <w:tcW w:w="6915" w:type="dxa"/>
            <w:gridSpan w:val="2"/>
            <w:vAlign w:val="center"/>
          </w:tcPr>
          <w:p w14:paraId="4EC2B700" w14:textId="77777777" w:rsidR="00265EFA" w:rsidRDefault="000640FA">
            <w:pPr>
              <w:rPr>
                <w:b/>
                <w:bCs/>
                <w:sz w:val="22"/>
                <w:szCs w:val="22"/>
              </w:rPr>
            </w:pPr>
            <w:r>
              <w:rPr>
                <w:b/>
                <w:bCs/>
                <w:sz w:val="22"/>
                <w:szCs w:val="22"/>
              </w:rPr>
              <w:t>Implementation summary:</w:t>
            </w:r>
          </w:p>
          <w:p w14:paraId="7AFBABE4" w14:textId="228C9E7F" w:rsidR="00265EFA" w:rsidRDefault="00EE7818">
            <w:pPr>
              <w:rPr>
                <w:b/>
                <w:bCs/>
                <w:sz w:val="22"/>
                <w:szCs w:val="22"/>
              </w:rPr>
            </w:pPr>
            <w:r>
              <w:rPr>
                <w:sz w:val="22"/>
                <w:szCs w:val="22"/>
              </w:rPr>
              <w:t>N/A</w:t>
            </w:r>
          </w:p>
        </w:tc>
      </w:tr>
    </w:tbl>
    <w:p w14:paraId="6C84F0FF" w14:textId="77777777" w:rsidR="00265EFA" w:rsidRDefault="000640FA">
      <w:pPr>
        <w:jc w:val="center"/>
      </w:pPr>
      <w:r>
        <w:t>___________________</w:t>
      </w:r>
    </w:p>
    <w:sectPr w:rsidR="00265EFA">
      <w:headerReference w:type="default" r:id="rId12"/>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374CD" w14:textId="77777777" w:rsidR="00265EFA" w:rsidRDefault="000640FA">
      <w:r>
        <w:separator/>
      </w:r>
    </w:p>
  </w:endnote>
  <w:endnote w:type="continuationSeparator" w:id="0">
    <w:p w14:paraId="2A57A951" w14:textId="77777777" w:rsidR="00265EFA" w:rsidRDefault="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04945" w14:textId="77777777" w:rsidR="00265EFA" w:rsidRDefault="000640FA">
      <w:pPr>
        <w:spacing w:before="0"/>
      </w:pPr>
      <w:r>
        <w:separator/>
      </w:r>
    </w:p>
  </w:footnote>
  <w:footnote w:type="continuationSeparator" w:id="0">
    <w:p w14:paraId="2741A28A" w14:textId="77777777" w:rsidR="00265EFA" w:rsidRDefault="000640F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A59D" w14:textId="7F29FF4D" w:rsidR="00265EFA" w:rsidRDefault="000640FA" w:rsidP="00EE7818">
    <w:pPr>
      <w:pStyle w:val="Header"/>
    </w:pPr>
    <w:r>
      <w:t xml:space="preserve">- </w:t>
    </w:r>
    <w:r>
      <w:fldChar w:fldCharType="begin"/>
    </w:r>
    <w:r>
      <w:instrText xml:space="preserve"> PAGE  \* MERGEFORMAT </w:instrText>
    </w:r>
    <w:r>
      <w:fldChar w:fldCharType="separate"/>
    </w:r>
    <w:r>
      <w:t>1</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07FC86D"/>
    <w:multiLevelType w:val="singleLevel"/>
    <w:tmpl w:val="407FC86D"/>
    <w:lvl w:ilvl="0">
      <w:start w:val="1"/>
      <w:numFmt w:val="decimal"/>
      <w:suff w:val="space"/>
      <w:lvlText w:val="%1."/>
      <w:lvlJc w:val="left"/>
    </w:lvl>
  </w:abstractNum>
  <w:num w:numId="1" w16cid:durableId="1803036866">
    <w:abstractNumId w:val="3"/>
  </w:num>
  <w:num w:numId="2" w16cid:durableId="593517811">
    <w:abstractNumId w:val="5"/>
  </w:num>
  <w:num w:numId="3" w16cid:durableId="2121366837">
    <w:abstractNumId w:val="8"/>
  </w:num>
  <w:num w:numId="4" w16cid:durableId="737165066">
    <w:abstractNumId w:val="9"/>
  </w:num>
  <w:num w:numId="5" w16cid:durableId="55251678">
    <w:abstractNumId w:val="6"/>
  </w:num>
  <w:num w:numId="6" w16cid:durableId="340401223">
    <w:abstractNumId w:val="2"/>
  </w:num>
  <w:num w:numId="7" w16cid:durableId="189346495">
    <w:abstractNumId w:val="7"/>
  </w:num>
  <w:num w:numId="8" w16cid:durableId="630987299">
    <w:abstractNumId w:val="4"/>
  </w:num>
  <w:num w:numId="9" w16cid:durableId="1043554042">
    <w:abstractNumId w:val="1"/>
  </w:num>
  <w:num w:numId="10" w16cid:durableId="1852529650">
    <w:abstractNumId w:val="0"/>
  </w:num>
  <w:num w:numId="11" w16cid:durableId="11650504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6C34"/>
    <w:rsid w:val="0003582E"/>
    <w:rsid w:val="00043D75"/>
    <w:rsid w:val="0005677D"/>
    <w:rsid w:val="00057000"/>
    <w:rsid w:val="00061268"/>
    <w:rsid w:val="000640E0"/>
    <w:rsid w:val="000640FA"/>
    <w:rsid w:val="000920CE"/>
    <w:rsid w:val="000966A8"/>
    <w:rsid w:val="000A5CA2"/>
    <w:rsid w:val="000B739D"/>
    <w:rsid w:val="000C2FE0"/>
    <w:rsid w:val="000C397B"/>
    <w:rsid w:val="000E6125"/>
    <w:rsid w:val="00113DBE"/>
    <w:rsid w:val="00117C0F"/>
    <w:rsid w:val="001200A6"/>
    <w:rsid w:val="00124A40"/>
    <w:rsid w:val="001251DA"/>
    <w:rsid w:val="00125432"/>
    <w:rsid w:val="00136586"/>
    <w:rsid w:val="00136DDD"/>
    <w:rsid w:val="00137F40"/>
    <w:rsid w:val="001410FD"/>
    <w:rsid w:val="00144BDF"/>
    <w:rsid w:val="00155DDC"/>
    <w:rsid w:val="00161830"/>
    <w:rsid w:val="001871EC"/>
    <w:rsid w:val="00195586"/>
    <w:rsid w:val="001A20C3"/>
    <w:rsid w:val="001A670F"/>
    <w:rsid w:val="001B6A45"/>
    <w:rsid w:val="001C62B8"/>
    <w:rsid w:val="001D22D8"/>
    <w:rsid w:val="001D4296"/>
    <w:rsid w:val="001E6EA3"/>
    <w:rsid w:val="001E7B0E"/>
    <w:rsid w:val="001F141D"/>
    <w:rsid w:val="00200A06"/>
    <w:rsid w:val="00200A98"/>
    <w:rsid w:val="00201AFA"/>
    <w:rsid w:val="002229F1"/>
    <w:rsid w:val="00233F75"/>
    <w:rsid w:val="0023433E"/>
    <w:rsid w:val="002505BD"/>
    <w:rsid w:val="00253DBE"/>
    <w:rsid w:val="00253DC6"/>
    <w:rsid w:val="0025489C"/>
    <w:rsid w:val="002622FA"/>
    <w:rsid w:val="00263518"/>
    <w:rsid w:val="00263B33"/>
    <w:rsid w:val="00265EFA"/>
    <w:rsid w:val="002759E7"/>
    <w:rsid w:val="002770AA"/>
    <w:rsid w:val="00277326"/>
    <w:rsid w:val="002929EB"/>
    <w:rsid w:val="002A11C4"/>
    <w:rsid w:val="002A399B"/>
    <w:rsid w:val="002B6B0C"/>
    <w:rsid w:val="002C26C0"/>
    <w:rsid w:val="002C2BC5"/>
    <w:rsid w:val="002C502A"/>
    <w:rsid w:val="002D16B8"/>
    <w:rsid w:val="002D6447"/>
    <w:rsid w:val="002E0407"/>
    <w:rsid w:val="002E3C52"/>
    <w:rsid w:val="002E79CB"/>
    <w:rsid w:val="002F5070"/>
    <w:rsid w:val="002F7F55"/>
    <w:rsid w:val="0030745F"/>
    <w:rsid w:val="00314630"/>
    <w:rsid w:val="0032090A"/>
    <w:rsid w:val="00321CDE"/>
    <w:rsid w:val="00333E15"/>
    <w:rsid w:val="00335F36"/>
    <w:rsid w:val="003449F4"/>
    <w:rsid w:val="003557BF"/>
    <w:rsid w:val="003571BC"/>
    <w:rsid w:val="00360658"/>
    <w:rsid w:val="0036090C"/>
    <w:rsid w:val="00361116"/>
    <w:rsid w:val="00362562"/>
    <w:rsid w:val="003668D9"/>
    <w:rsid w:val="00385FB5"/>
    <w:rsid w:val="0038715D"/>
    <w:rsid w:val="00394DBF"/>
    <w:rsid w:val="003957A6"/>
    <w:rsid w:val="00396013"/>
    <w:rsid w:val="003A43EF"/>
    <w:rsid w:val="003B4CF8"/>
    <w:rsid w:val="003C0420"/>
    <w:rsid w:val="003C7445"/>
    <w:rsid w:val="003D0336"/>
    <w:rsid w:val="003D45C4"/>
    <w:rsid w:val="003D727D"/>
    <w:rsid w:val="003E1F8C"/>
    <w:rsid w:val="003E39A2"/>
    <w:rsid w:val="003E57AB"/>
    <w:rsid w:val="003E7207"/>
    <w:rsid w:val="003F2BED"/>
    <w:rsid w:val="00400B49"/>
    <w:rsid w:val="0042610A"/>
    <w:rsid w:val="00443878"/>
    <w:rsid w:val="004539A8"/>
    <w:rsid w:val="004712CA"/>
    <w:rsid w:val="00473782"/>
    <w:rsid w:val="0047422E"/>
    <w:rsid w:val="0049090D"/>
    <w:rsid w:val="0049674B"/>
    <w:rsid w:val="00497C51"/>
    <w:rsid w:val="004A2B58"/>
    <w:rsid w:val="004C0673"/>
    <w:rsid w:val="004C4E4E"/>
    <w:rsid w:val="004E4362"/>
    <w:rsid w:val="004E7E92"/>
    <w:rsid w:val="004F23BA"/>
    <w:rsid w:val="004F35CE"/>
    <w:rsid w:val="004F3816"/>
    <w:rsid w:val="0050586A"/>
    <w:rsid w:val="00520DBF"/>
    <w:rsid w:val="0053731C"/>
    <w:rsid w:val="00543D41"/>
    <w:rsid w:val="0054697C"/>
    <w:rsid w:val="00556A5B"/>
    <w:rsid w:val="00566EDA"/>
    <w:rsid w:val="0057081A"/>
    <w:rsid w:val="00572654"/>
    <w:rsid w:val="00580E3D"/>
    <w:rsid w:val="0058229A"/>
    <w:rsid w:val="00585E4D"/>
    <w:rsid w:val="005860DC"/>
    <w:rsid w:val="005976A1"/>
    <w:rsid w:val="005B5629"/>
    <w:rsid w:val="005B6B78"/>
    <w:rsid w:val="005C0300"/>
    <w:rsid w:val="005C27A2"/>
    <w:rsid w:val="005D3A54"/>
    <w:rsid w:val="005D4FEB"/>
    <w:rsid w:val="005E5613"/>
    <w:rsid w:val="005F4B6A"/>
    <w:rsid w:val="006010F3"/>
    <w:rsid w:val="00606DB6"/>
    <w:rsid w:val="00615A0A"/>
    <w:rsid w:val="00626673"/>
    <w:rsid w:val="006333D4"/>
    <w:rsid w:val="006369B2"/>
    <w:rsid w:val="0063718D"/>
    <w:rsid w:val="0064040A"/>
    <w:rsid w:val="00643C81"/>
    <w:rsid w:val="00647525"/>
    <w:rsid w:val="00647A71"/>
    <w:rsid w:val="00647DF2"/>
    <w:rsid w:val="00652D9F"/>
    <w:rsid w:val="006570B0"/>
    <w:rsid w:val="0066022F"/>
    <w:rsid w:val="00670930"/>
    <w:rsid w:val="006813BC"/>
    <w:rsid w:val="006823F3"/>
    <w:rsid w:val="0069210B"/>
    <w:rsid w:val="00692AB1"/>
    <w:rsid w:val="00695DD7"/>
    <w:rsid w:val="00695FC2"/>
    <w:rsid w:val="006A14C5"/>
    <w:rsid w:val="006A4055"/>
    <w:rsid w:val="006A6DA0"/>
    <w:rsid w:val="006A7C27"/>
    <w:rsid w:val="006B2FE4"/>
    <w:rsid w:val="006B37B0"/>
    <w:rsid w:val="006C5641"/>
    <w:rsid w:val="006D1089"/>
    <w:rsid w:val="006D1B86"/>
    <w:rsid w:val="006D7355"/>
    <w:rsid w:val="006F0E34"/>
    <w:rsid w:val="006F7DEE"/>
    <w:rsid w:val="00705390"/>
    <w:rsid w:val="00715551"/>
    <w:rsid w:val="00715CA6"/>
    <w:rsid w:val="00720955"/>
    <w:rsid w:val="00731135"/>
    <w:rsid w:val="007324AF"/>
    <w:rsid w:val="00740128"/>
    <w:rsid w:val="007409B4"/>
    <w:rsid w:val="00741974"/>
    <w:rsid w:val="00753E9F"/>
    <w:rsid w:val="00754192"/>
    <w:rsid w:val="0075525E"/>
    <w:rsid w:val="00756D3D"/>
    <w:rsid w:val="007806C2"/>
    <w:rsid w:val="00781FEE"/>
    <w:rsid w:val="007903F8"/>
    <w:rsid w:val="00794F4F"/>
    <w:rsid w:val="007974BE"/>
    <w:rsid w:val="007A0916"/>
    <w:rsid w:val="007A0DFD"/>
    <w:rsid w:val="007A795C"/>
    <w:rsid w:val="007B2BC6"/>
    <w:rsid w:val="007B311A"/>
    <w:rsid w:val="007C1840"/>
    <w:rsid w:val="007C7122"/>
    <w:rsid w:val="007D3CBB"/>
    <w:rsid w:val="007D3F11"/>
    <w:rsid w:val="007D66E2"/>
    <w:rsid w:val="007E2C69"/>
    <w:rsid w:val="007E53E4"/>
    <w:rsid w:val="007E656A"/>
    <w:rsid w:val="007F3CAA"/>
    <w:rsid w:val="007F664D"/>
    <w:rsid w:val="00812E67"/>
    <w:rsid w:val="00816426"/>
    <w:rsid w:val="00816C84"/>
    <w:rsid w:val="00835602"/>
    <w:rsid w:val="00837203"/>
    <w:rsid w:val="00842137"/>
    <w:rsid w:val="00845B19"/>
    <w:rsid w:val="00853F5F"/>
    <w:rsid w:val="008560AC"/>
    <w:rsid w:val="008623ED"/>
    <w:rsid w:val="00864B5A"/>
    <w:rsid w:val="008657EB"/>
    <w:rsid w:val="00867C52"/>
    <w:rsid w:val="00872559"/>
    <w:rsid w:val="00874AA3"/>
    <w:rsid w:val="00875AA6"/>
    <w:rsid w:val="00880944"/>
    <w:rsid w:val="0089088E"/>
    <w:rsid w:val="00892297"/>
    <w:rsid w:val="008964D6"/>
    <w:rsid w:val="008B5123"/>
    <w:rsid w:val="008C0BEB"/>
    <w:rsid w:val="008D1E8B"/>
    <w:rsid w:val="008E0172"/>
    <w:rsid w:val="008F192B"/>
    <w:rsid w:val="00900EF1"/>
    <w:rsid w:val="00906CD2"/>
    <w:rsid w:val="009302DE"/>
    <w:rsid w:val="00936852"/>
    <w:rsid w:val="0094045D"/>
    <w:rsid w:val="009406B5"/>
    <w:rsid w:val="00946166"/>
    <w:rsid w:val="009507EC"/>
    <w:rsid w:val="009728A0"/>
    <w:rsid w:val="00975925"/>
    <w:rsid w:val="00983164"/>
    <w:rsid w:val="009972EF"/>
    <w:rsid w:val="009A100A"/>
    <w:rsid w:val="009A7C90"/>
    <w:rsid w:val="009A7E9B"/>
    <w:rsid w:val="009B5035"/>
    <w:rsid w:val="009C3160"/>
    <w:rsid w:val="009D0BA8"/>
    <w:rsid w:val="009E628B"/>
    <w:rsid w:val="009E766E"/>
    <w:rsid w:val="009F1904"/>
    <w:rsid w:val="009F1960"/>
    <w:rsid w:val="009F2C64"/>
    <w:rsid w:val="009F715E"/>
    <w:rsid w:val="00A10DBB"/>
    <w:rsid w:val="00A11720"/>
    <w:rsid w:val="00A13AE2"/>
    <w:rsid w:val="00A21247"/>
    <w:rsid w:val="00A26818"/>
    <w:rsid w:val="00A27601"/>
    <w:rsid w:val="00A31D47"/>
    <w:rsid w:val="00A4013E"/>
    <w:rsid w:val="00A4045F"/>
    <w:rsid w:val="00A40473"/>
    <w:rsid w:val="00A427CD"/>
    <w:rsid w:val="00A45FEE"/>
    <w:rsid w:val="00A4600B"/>
    <w:rsid w:val="00A50506"/>
    <w:rsid w:val="00A51EF0"/>
    <w:rsid w:val="00A67763"/>
    <w:rsid w:val="00A67A81"/>
    <w:rsid w:val="00A730A6"/>
    <w:rsid w:val="00A84724"/>
    <w:rsid w:val="00A907B3"/>
    <w:rsid w:val="00A971A0"/>
    <w:rsid w:val="00AA045E"/>
    <w:rsid w:val="00AA1F22"/>
    <w:rsid w:val="00AA7EC0"/>
    <w:rsid w:val="00AF5A57"/>
    <w:rsid w:val="00AF735D"/>
    <w:rsid w:val="00B024D7"/>
    <w:rsid w:val="00B05821"/>
    <w:rsid w:val="00B100D6"/>
    <w:rsid w:val="00B164C9"/>
    <w:rsid w:val="00B26C28"/>
    <w:rsid w:val="00B27EB7"/>
    <w:rsid w:val="00B30F21"/>
    <w:rsid w:val="00B376D2"/>
    <w:rsid w:val="00B402FD"/>
    <w:rsid w:val="00B4174C"/>
    <w:rsid w:val="00B453F5"/>
    <w:rsid w:val="00B532CE"/>
    <w:rsid w:val="00B61624"/>
    <w:rsid w:val="00B66481"/>
    <w:rsid w:val="00B7189C"/>
    <w:rsid w:val="00B718A5"/>
    <w:rsid w:val="00B820E0"/>
    <w:rsid w:val="00B90AD6"/>
    <w:rsid w:val="00B926F2"/>
    <w:rsid w:val="00BA22C3"/>
    <w:rsid w:val="00BA788A"/>
    <w:rsid w:val="00BB4983"/>
    <w:rsid w:val="00BB7597"/>
    <w:rsid w:val="00BC2AAB"/>
    <w:rsid w:val="00BC62E2"/>
    <w:rsid w:val="00BF02DC"/>
    <w:rsid w:val="00BF1C1D"/>
    <w:rsid w:val="00BF21BE"/>
    <w:rsid w:val="00C01D93"/>
    <w:rsid w:val="00C0228A"/>
    <w:rsid w:val="00C37820"/>
    <w:rsid w:val="00C42125"/>
    <w:rsid w:val="00C62814"/>
    <w:rsid w:val="00C62BE6"/>
    <w:rsid w:val="00C67B25"/>
    <w:rsid w:val="00C748F7"/>
    <w:rsid w:val="00C74937"/>
    <w:rsid w:val="00C95E02"/>
    <w:rsid w:val="00CA6409"/>
    <w:rsid w:val="00CB2599"/>
    <w:rsid w:val="00CC0E00"/>
    <w:rsid w:val="00CD2139"/>
    <w:rsid w:val="00CD2497"/>
    <w:rsid w:val="00CD6683"/>
    <w:rsid w:val="00CD6848"/>
    <w:rsid w:val="00CE1E6E"/>
    <w:rsid w:val="00CE5986"/>
    <w:rsid w:val="00CF34C4"/>
    <w:rsid w:val="00CF5528"/>
    <w:rsid w:val="00D11885"/>
    <w:rsid w:val="00D236BD"/>
    <w:rsid w:val="00D4255B"/>
    <w:rsid w:val="00D56A27"/>
    <w:rsid w:val="00D647EF"/>
    <w:rsid w:val="00D73137"/>
    <w:rsid w:val="00D745B2"/>
    <w:rsid w:val="00D879CB"/>
    <w:rsid w:val="00D977A2"/>
    <w:rsid w:val="00DA1D47"/>
    <w:rsid w:val="00DC774A"/>
    <w:rsid w:val="00DD50DE"/>
    <w:rsid w:val="00DE3062"/>
    <w:rsid w:val="00E0581D"/>
    <w:rsid w:val="00E0623A"/>
    <w:rsid w:val="00E07C7D"/>
    <w:rsid w:val="00E204DD"/>
    <w:rsid w:val="00E26621"/>
    <w:rsid w:val="00E353EC"/>
    <w:rsid w:val="00E51F61"/>
    <w:rsid w:val="00E53C24"/>
    <w:rsid w:val="00E56E77"/>
    <w:rsid w:val="00E71046"/>
    <w:rsid w:val="00E72E36"/>
    <w:rsid w:val="00E87795"/>
    <w:rsid w:val="00EB444D"/>
    <w:rsid w:val="00ED5B66"/>
    <w:rsid w:val="00EE5C0D"/>
    <w:rsid w:val="00EE7818"/>
    <w:rsid w:val="00EF4792"/>
    <w:rsid w:val="00F02294"/>
    <w:rsid w:val="00F22528"/>
    <w:rsid w:val="00F249E4"/>
    <w:rsid w:val="00F30DE7"/>
    <w:rsid w:val="00F323A7"/>
    <w:rsid w:val="00F35F57"/>
    <w:rsid w:val="00F418DD"/>
    <w:rsid w:val="00F44D3D"/>
    <w:rsid w:val="00F50467"/>
    <w:rsid w:val="00F562A0"/>
    <w:rsid w:val="00F57FA4"/>
    <w:rsid w:val="00F63CCE"/>
    <w:rsid w:val="00F953BF"/>
    <w:rsid w:val="00F96821"/>
    <w:rsid w:val="00FA02CB"/>
    <w:rsid w:val="00FA2177"/>
    <w:rsid w:val="00FA676D"/>
    <w:rsid w:val="00FB0783"/>
    <w:rsid w:val="00FB3DC1"/>
    <w:rsid w:val="00FB7A8B"/>
    <w:rsid w:val="00FD439E"/>
    <w:rsid w:val="00FD76CB"/>
    <w:rsid w:val="00FE152B"/>
    <w:rsid w:val="00FE239E"/>
    <w:rsid w:val="00FE3437"/>
    <w:rsid w:val="00FE3520"/>
    <w:rsid w:val="00FE56F8"/>
    <w:rsid w:val="00FF4546"/>
    <w:rsid w:val="00FF538F"/>
    <w:rsid w:val="08283FBB"/>
    <w:rsid w:val="211127AB"/>
    <w:rsid w:val="27D908D7"/>
    <w:rsid w:val="2876770A"/>
    <w:rsid w:val="28EE24EE"/>
    <w:rsid w:val="3B7EA76E"/>
    <w:rsid w:val="61A12E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AE75"/>
  <w15:docId w15:val="{057CEC88-17E2-4407-BDA6-940DD4BFC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lsdException w:name="header" w:uiPriority="0" w:qFormat="1"/>
    <w:lsdException w:name="footer" w:unhideWhenUsed="1" w:qFormat="1"/>
    <w:lsdException w:name="index heading" w:semiHidden="1" w:unhideWhenUsed="1" w:qFormat="1"/>
    <w:lsdException w:name="caption" w:semiHidden="1" w:uiPriority="35" w:unhideWhenUsed="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customStyle="1" w:styleId="Revision1">
    <w:name w:val="Revision1"/>
    <w:hidden/>
    <w:uiPriority w:val="99"/>
    <w:semiHidden/>
    <w:qFormat/>
    <w:rPr>
      <w:rFonts w:eastAsiaTheme="minorEastAsia"/>
      <w:sz w:val="24"/>
      <w:szCs w:val="24"/>
      <w:lang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Cs/>
    </w:rPr>
  </w:style>
  <w:style w:type="paragraph" w:customStyle="1" w:styleId="TSBHeaderRight14">
    <w:name w:val="TSBHeaderRight14"/>
    <w:basedOn w:val="Normal"/>
    <w:qFormat/>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0B9993-1E6B-4CED-8FDF-D25C581ACED8}"/>
</file>

<file path=customXml/itemProps2.xml><?xml version="1.0" encoding="utf-8"?>
<ds:datastoreItem xmlns:ds="http://schemas.openxmlformats.org/officeDocument/2006/customXml" ds:itemID="{33751D69-C054-4D4D-81C3-C6AE3340C6F4}">
  <ds:schemaRefs/>
</ds:datastoreItem>
</file>

<file path=customXml/itemProps3.xml><?xml version="1.0" encoding="utf-8"?>
<ds:datastoreItem xmlns:ds="http://schemas.openxmlformats.org/officeDocument/2006/customXml" ds:itemID="{EF8523CC-DEB2-463D-9A27-DF0B8D2CAEC3}">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3</TotalTime>
  <Pages>3</Pages>
  <Words>591</Words>
  <Characters>3369</Characters>
  <Application>Microsoft Office Word</Application>
  <DocSecurity>0</DocSecurity>
  <Lines>28</Lines>
  <Paragraphs>7</Paragraphs>
  <ScaleCrop>false</ScaleCrop>
  <Manager>ITU-T</Manager>
  <Company>International Telecommunication Union (ITU)</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Proposed template for ITU-T Standards Success Stories</dc:title>
  <dc:creator>TSAG</dc:creator>
  <dc:description>SG5-TD622  For: Geneva, 29 October - 6 November 2025_x000d_Document date: _x000d_Saved by ITU51018017 at 3:31:39 PM on 10/9/2025</dc:description>
  <cp:lastModifiedBy>TSB-WG3A</cp:lastModifiedBy>
  <cp:revision>3</cp:revision>
  <cp:lastPrinted>2016-12-23T12:52:00Z</cp:lastPrinted>
  <dcterms:created xsi:type="dcterms:W3CDTF">2025-12-18T15:57:00Z</dcterms:created>
  <dcterms:modified xsi:type="dcterms:W3CDTF">2025-12-21T20:49:00Z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Docnum">
    <vt:lpwstr>SG5-TD622</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Geneva, 29 October - 6 November 2025</vt:lpwstr>
  </property>
  <property fmtid="{D5CDD505-2E9C-101B-9397-08002B2CF9AE}" pid="8" name="Docauthor">
    <vt:lpwstr>TSAG</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1764229535</vt:lpwstr>
  </property>
  <property fmtid="{D5CDD505-2E9C-101B-9397-08002B2CF9AE}" pid="14" name="KSOTemplateDocerSaveRecord">
    <vt:lpwstr>eyJoZGlkIjoiMWQ4NTkwNmFiY2M5MGQzMzUyYmZkYTI0Zjg4Nzk3MmQiLCJ1c2VySWQiOiIyNDI3NTgzMjcifQ==</vt:lpwstr>
  </property>
  <property fmtid="{D5CDD505-2E9C-101B-9397-08002B2CF9AE}" pid="15" name="KSOProductBuildVer">
    <vt:lpwstr>2052-12.1.0.23542</vt:lpwstr>
  </property>
  <property fmtid="{D5CDD505-2E9C-101B-9397-08002B2CF9AE}" pid="16" name="ICV">
    <vt:lpwstr>D083E71E3FCF4B389D8C0BC10BA558C2_13</vt:lpwstr>
  </property>
</Properties>
</file>