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663"/>
        <w:gridCol w:w="3279"/>
        <w:gridCol w:w="84"/>
        <w:gridCol w:w="4026"/>
      </w:tblGrid>
      <w:tr w:rsidR="00C7362F" w:rsidRPr="00C7362F" w14:paraId="50D1A863" w14:textId="77777777" w:rsidTr="00C7362F">
        <w:trPr>
          <w:cantSplit/>
        </w:trPr>
        <w:tc>
          <w:tcPr>
            <w:tcW w:w="1132" w:type="dxa"/>
            <w:vMerge w:val="restart"/>
            <w:vAlign w:val="center"/>
          </w:tcPr>
          <w:p w14:paraId="139A7C60" w14:textId="77777777" w:rsidR="00C7362F" w:rsidRPr="00C7362F" w:rsidRDefault="00C7362F" w:rsidP="00C7362F">
            <w:pPr>
              <w:spacing w:before="0"/>
              <w:jc w:val="center"/>
              <w:rPr>
                <w:sz w:val="20"/>
                <w:szCs w:val="20"/>
              </w:rPr>
            </w:pPr>
            <w:bookmarkStart w:id="0" w:name="dnum" w:colFirst="2" w:colLast="2"/>
            <w:bookmarkStart w:id="1" w:name="dtableau"/>
            <w:r w:rsidRPr="00C7362F">
              <w:rPr>
                <w:noProof/>
              </w:rPr>
              <w:drawing>
                <wp:inline distT="0" distB="0" distL="0" distR="0" wp14:anchorId="561FA86B" wp14:editId="178D0024">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28A217DD" w14:textId="77777777" w:rsidR="00C7362F" w:rsidRPr="00C7362F" w:rsidRDefault="00C7362F" w:rsidP="00C7362F">
            <w:pPr>
              <w:rPr>
                <w:sz w:val="16"/>
                <w:szCs w:val="16"/>
              </w:rPr>
            </w:pPr>
            <w:r w:rsidRPr="00C7362F">
              <w:rPr>
                <w:sz w:val="16"/>
                <w:szCs w:val="16"/>
              </w:rPr>
              <w:t>INTERNATIONAL TELECOMMUNICATION UNION</w:t>
            </w:r>
          </w:p>
          <w:p w14:paraId="6D7A3A78" w14:textId="77777777" w:rsidR="00C7362F" w:rsidRPr="00C7362F" w:rsidRDefault="00C7362F" w:rsidP="00C7362F">
            <w:pPr>
              <w:rPr>
                <w:b/>
                <w:bCs/>
                <w:sz w:val="26"/>
                <w:szCs w:val="26"/>
              </w:rPr>
            </w:pPr>
            <w:r w:rsidRPr="00C7362F">
              <w:rPr>
                <w:b/>
                <w:bCs/>
                <w:sz w:val="26"/>
                <w:szCs w:val="26"/>
              </w:rPr>
              <w:t>TELECOMMUNICATION</w:t>
            </w:r>
            <w:r w:rsidRPr="00C7362F">
              <w:rPr>
                <w:b/>
                <w:bCs/>
                <w:sz w:val="26"/>
                <w:szCs w:val="26"/>
              </w:rPr>
              <w:br/>
              <w:t>STANDARDIZATION SECTOR</w:t>
            </w:r>
          </w:p>
          <w:p w14:paraId="05220ED9" w14:textId="20AD64DC" w:rsidR="00C7362F" w:rsidRPr="00C7362F" w:rsidRDefault="00C7362F" w:rsidP="00C7362F">
            <w:pPr>
              <w:rPr>
                <w:sz w:val="20"/>
                <w:szCs w:val="20"/>
              </w:rPr>
            </w:pPr>
            <w:r w:rsidRPr="00C7362F">
              <w:rPr>
                <w:sz w:val="20"/>
                <w:szCs w:val="20"/>
              </w:rPr>
              <w:t xml:space="preserve">STUDY PERIOD </w:t>
            </w:r>
            <w:r>
              <w:rPr>
                <w:sz w:val="20"/>
              </w:rPr>
              <w:t>2025-2028</w:t>
            </w:r>
          </w:p>
        </w:tc>
        <w:tc>
          <w:tcPr>
            <w:tcW w:w="4026" w:type="dxa"/>
            <w:vAlign w:val="center"/>
          </w:tcPr>
          <w:p w14:paraId="06A05B0D" w14:textId="0D1C5781" w:rsidR="00C7362F" w:rsidRPr="00C7362F" w:rsidRDefault="00C7362F" w:rsidP="00C7362F">
            <w:pPr>
              <w:pStyle w:val="Docnumber"/>
              <w:rPr>
                <w:sz w:val="32"/>
              </w:rPr>
            </w:pPr>
            <w:r>
              <w:rPr>
                <w:sz w:val="32"/>
              </w:rPr>
              <w:t>TSAG-TD266</w:t>
            </w:r>
          </w:p>
        </w:tc>
      </w:tr>
      <w:tr w:rsidR="00C7362F" w:rsidRPr="00C7362F" w14:paraId="15E0E63D" w14:textId="77777777" w:rsidTr="00C7362F">
        <w:trPr>
          <w:cantSplit/>
        </w:trPr>
        <w:tc>
          <w:tcPr>
            <w:tcW w:w="1132" w:type="dxa"/>
            <w:vMerge/>
          </w:tcPr>
          <w:p w14:paraId="1635AD51" w14:textId="77777777" w:rsidR="00C7362F" w:rsidRPr="00C7362F" w:rsidRDefault="00C7362F" w:rsidP="00C7362F">
            <w:pPr>
              <w:rPr>
                <w:smallCaps/>
                <w:sz w:val="20"/>
              </w:rPr>
            </w:pPr>
            <w:bookmarkStart w:id="2" w:name="dsg" w:colFirst="2" w:colLast="2"/>
            <w:bookmarkEnd w:id="0"/>
          </w:p>
        </w:tc>
        <w:tc>
          <w:tcPr>
            <w:tcW w:w="4481" w:type="dxa"/>
            <w:gridSpan w:val="4"/>
            <w:vMerge/>
          </w:tcPr>
          <w:p w14:paraId="2446BD9E" w14:textId="77777777" w:rsidR="00C7362F" w:rsidRPr="00C7362F" w:rsidRDefault="00C7362F" w:rsidP="00C7362F">
            <w:pPr>
              <w:rPr>
                <w:smallCaps/>
                <w:sz w:val="20"/>
              </w:rPr>
            </w:pPr>
          </w:p>
        </w:tc>
        <w:tc>
          <w:tcPr>
            <w:tcW w:w="4026" w:type="dxa"/>
          </w:tcPr>
          <w:p w14:paraId="48E50AEC" w14:textId="5DC94301" w:rsidR="00C7362F" w:rsidRPr="00C7362F" w:rsidRDefault="00C7362F" w:rsidP="00C7362F">
            <w:pPr>
              <w:pStyle w:val="TSBHeaderRight14"/>
              <w:rPr>
                <w:smallCaps/>
              </w:rPr>
            </w:pPr>
            <w:r>
              <w:rPr>
                <w:smallCaps/>
              </w:rPr>
              <w:t>TSAG</w:t>
            </w:r>
          </w:p>
        </w:tc>
      </w:tr>
      <w:bookmarkEnd w:id="2"/>
      <w:tr w:rsidR="00C7362F" w:rsidRPr="00C7362F" w14:paraId="188401D0" w14:textId="77777777" w:rsidTr="00C7362F">
        <w:trPr>
          <w:cantSplit/>
        </w:trPr>
        <w:tc>
          <w:tcPr>
            <w:tcW w:w="1132" w:type="dxa"/>
            <w:vMerge/>
            <w:tcBorders>
              <w:bottom w:val="single" w:sz="12" w:space="0" w:color="auto"/>
            </w:tcBorders>
          </w:tcPr>
          <w:p w14:paraId="6FED7837" w14:textId="77777777" w:rsidR="00C7362F" w:rsidRPr="00C7362F" w:rsidRDefault="00C7362F" w:rsidP="00C7362F">
            <w:pPr>
              <w:rPr>
                <w:b/>
                <w:bCs/>
                <w:sz w:val="26"/>
              </w:rPr>
            </w:pPr>
          </w:p>
        </w:tc>
        <w:tc>
          <w:tcPr>
            <w:tcW w:w="4481" w:type="dxa"/>
            <w:gridSpan w:val="4"/>
            <w:vMerge/>
            <w:tcBorders>
              <w:bottom w:val="single" w:sz="12" w:space="0" w:color="auto"/>
            </w:tcBorders>
          </w:tcPr>
          <w:p w14:paraId="0429CFD1" w14:textId="77777777" w:rsidR="00C7362F" w:rsidRPr="00C7362F" w:rsidRDefault="00C7362F" w:rsidP="00C7362F">
            <w:pPr>
              <w:rPr>
                <w:b/>
                <w:bCs/>
                <w:sz w:val="26"/>
              </w:rPr>
            </w:pPr>
          </w:p>
        </w:tc>
        <w:tc>
          <w:tcPr>
            <w:tcW w:w="4026" w:type="dxa"/>
            <w:tcBorders>
              <w:bottom w:val="single" w:sz="12" w:space="0" w:color="auto"/>
            </w:tcBorders>
            <w:vAlign w:val="center"/>
          </w:tcPr>
          <w:p w14:paraId="531645E3" w14:textId="77777777" w:rsidR="00C7362F" w:rsidRPr="00C7362F" w:rsidRDefault="00C7362F" w:rsidP="00C7362F">
            <w:pPr>
              <w:pStyle w:val="TSBHeaderRight14"/>
            </w:pPr>
            <w:r w:rsidRPr="00C7362F">
              <w:t>Original: English</w:t>
            </w:r>
          </w:p>
        </w:tc>
      </w:tr>
      <w:tr w:rsidR="00C7362F" w:rsidRPr="00C7362F" w14:paraId="7F42DB97" w14:textId="77777777" w:rsidTr="00C7362F">
        <w:trPr>
          <w:cantSplit/>
        </w:trPr>
        <w:tc>
          <w:tcPr>
            <w:tcW w:w="1587" w:type="dxa"/>
            <w:gridSpan w:val="2"/>
          </w:tcPr>
          <w:p w14:paraId="1B465511" w14:textId="602291E8" w:rsidR="00C7362F" w:rsidRPr="00C7362F" w:rsidRDefault="00C7362F" w:rsidP="00C7362F">
            <w:pPr>
              <w:rPr>
                <w:b/>
                <w:bCs/>
              </w:rPr>
            </w:pPr>
            <w:bookmarkStart w:id="3" w:name="dbluepink" w:colFirst="1" w:colLast="1"/>
            <w:bookmarkStart w:id="4" w:name="dmeeting" w:colFirst="2" w:colLast="2"/>
          </w:p>
        </w:tc>
        <w:tc>
          <w:tcPr>
            <w:tcW w:w="4026" w:type="dxa"/>
            <w:gridSpan w:val="3"/>
          </w:tcPr>
          <w:p w14:paraId="743A321B" w14:textId="7035EF19" w:rsidR="00C7362F" w:rsidRPr="00C7362F" w:rsidRDefault="00C7362F" w:rsidP="00C7362F">
            <w:pPr>
              <w:pStyle w:val="TSBHeaderQuestion"/>
            </w:pPr>
          </w:p>
        </w:tc>
        <w:tc>
          <w:tcPr>
            <w:tcW w:w="4026" w:type="dxa"/>
          </w:tcPr>
          <w:p w14:paraId="77A13A34" w14:textId="5A5C1043" w:rsidR="00C7362F" w:rsidRPr="00C7362F" w:rsidRDefault="00C7362F" w:rsidP="00C7362F">
            <w:pPr>
              <w:pStyle w:val="VenueDate"/>
            </w:pPr>
            <w:r w:rsidRPr="00C7362F">
              <w:t>Geneva, 26-30 January 2026</w:t>
            </w:r>
          </w:p>
        </w:tc>
      </w:tr>
      <w:tr w:rsidR="00C7362F" w:rsidRPr="00C7362F" w14:paraId="6DF976D9" w14:textId="77777777" w:rsidTr="005F7827">
        <w:trPr>
          <w:cantSplit/>
        </w:trPr>
        <w:tc>
          <w:tcPr>
            <w:tcW w:w="9639" w:type="dxa"/>
            <w:gridSpan w:val="6"/>
          </w:tcPr>
          <w:p w14:paraId="24C8CCF2" w14:textId="77777777" w:rsidR="00C7362F" w:rsidRPr="00C7362F" w:rsidRDefault="00C7362F" w:rsidP="00C7362F">
            <w:pPr>
              <w:jc w:val="center"/>
              <w:rPr>
                <w:b/>
                <w:bCs/>
              </w:rPr>
            </w:pPr>
            <w:bookmarkStart w:id="5" w:name="ddoctype"/>
            <w:bookmarkEnd w:id="3"/>
            <w:bookmarkEnd w:id="4"/>
            <w:r w:rsidRPr="00C7362F">
              <w:rPr>
                <w:b/>
                <w:bCs/>
              </w:rPr>
              <w:t>TD</w:t>
            </w:r>
          </w:p>
          <w:p w14:paraId="42EF360D" w14:textId="2544C7A3" w:rsidR="00C7362F" w:rsidRPr="00C7362F" w:rsidRDefault="00C7362F" w:rsidP="00C7362F">
            <w:pPr>
              <w:spacing w:before="0"/>
              <w:jc w:val="center"/>
              <w:rPr>
                <w:b/>
                <w:bCs/>
              </w:rPr>
            </w:pPr>
            <w:r w:rsidRPr="00C7362F">
              <w:rPr>
                <w:b/>
                <w:bCs/>
              </w:rPr>
              <w:t xml:space="preserve">(Ref.: </w:t>
            </w:r>
            <w:hyperlink r:id="rId12" w:history="1">
              <w:r w:rsidRPr="00C7362F">
                <w:rPr>
                  <w:rStyle w:val="Hyperlink"/>
                  <w:rFonts w:ascii="Times New Roman" w:hAnsi="Times New Roman"/>
                  <w:b/>
                  <w:bCs/>
                </w:rPr>
                <w:t>SG</w:t>
              </w:r>
              <w:r w:rsidRPr="00C7362F">
                <w:rPr>
                  <w:rStyle w:val="Hyperlink"/>
                  <w:rFonts w:ascii="Times New Roman" w:hAnsi="Times New Roman"/>
                  <w:b/>
                  <w:bCs/>
                </w:rPr>
                <w:t>1</w:t>
              </w:r>
              <w:r w:rsidRPr="00C7362F">
                <w:rPr>
                  <w:rStyle w:val="Hyperlink"/>
                  <w:rFonts w:ascii="Times New Roman" w:hAnsi="Times New Roman"/>
                  <w:b/>
                  <w:bCs/>
                </w:rPr>
                <w:t>2-LS20</w:t>
              </w:r>
            </w:hyperlink>
            <w:r w:rsidRPr="00C7362F">
              <w:rPr>
                <w:b/>
                <w:bCs/>
              </w:rPr>
              <w:t>)</w:t>
            </w:r>
          </w:p>
        </w:tc>
      </w:tr>
      <w:tr w:rsidR="00C7362F" w:rsidRPr="00C7362F" w14:paraId="08E5F169" w14:textId="77777777" w:rsidTr="00C7362F">
        <w:trPr>
          <w:cantSplit/>
        </w:trPr>
        <w:tc>
          <w:tcPr>
            <w:tcW w:w="1587" w:type="dxa"/>
            <w:gridSpan w:val="2"/>
          </w:tcPr>
          <w:p w14:paraId="165152C7" w14:textId="77777777" w:rsidR="00C7362F" w:rsidRPr="00C7362F" w:rsidRDefault="00C7362F" w:rsidP="00C7362F">
            <w:pPr>
              <w:rPr>
                <w:b/>
                <w:bCs/>
              </w:rPr>
            </w:pPr>
            <w:bookmarkStart w:id="6" w:name="dsource" w:colFirst="1" w:colLast="1"/>
            <w:bookmarkEnd w:id="5"/>
            <w:r w:rsidRPr="00C7362F">
              <w:rPr>
                <w:b/>
                <w:bCs/>
              </w:rPr>
              <w:t>Source:</w:t>
            </w:r>
          </w:p>
        </w:tc>
        <w:tc>
          <w:tcPr>
            <w:tcW w:w="8052" w:type="dxa"/>
            <w:gridSpan w:val="4"/>
          </w:tcPr>
          <w:p w14:paraId="48E15E28" w14:textId="18E8D06E" w:rsidR="00C7362F" w:rsidRPr="00C7362F" w:rsidRDefault="00C7362F" w:rsidP="00C7362F">
            <w:pPr>
              <w:pStyle w:val="TSBHeaderSource"/>
            </w:pPr>
            <w:r w:rsidRPr="00C7362F">
              <w:t>ITU-T Study Group 12</w:t>
            </w:r>
          </w:p>
        </w:tc>
      </w:tr>
      <w:tr w:rsidR="00C7362F" w:rsidRPr="00C7362F" w14:paraId="13203861" w14:textId="77777777" w:rsidTr="00C7362F">
        <w:trPr>
          <w:cantSplit/>
        </w:trPr>
        <w:tc>
          <w:tcPr>
            <w:tcW w:w="1587" w:type="dxa"/>
            <w:gridSpan w:val="2"/>
            <w:tcBorders>
              <w:bottom w:val="single" w:sz="8" w:space="0" w:color="auto"/>
            </w:tcBorders>
          </w:tcPr>
          <w:p w14:paraId="786B0A8E" w14:textId="77777777" w:rsidR="00C7362F" w:rsidRPr="00C7362F" w:rsidRDefault="00C7362F" w:rsidP="00C7362F">
            <w:pPr>
              <w:rPr>
                <w:b/>
                <w:bCs/>
              </w:rPr>
            </w:pPr>
            <w:bookmarkStart w:id="7" w:name="dtitle1" w:colFirst="1" w:colLast="1"/>
            <w:bookmarkEnd w:id="6"/>
            <w:r w:rsidRPr="00C7362F">
              <w:rPr>
                <w:b/>
                <w:bCs/>
              </w:rPr>
              <w:t>Title:</w:t>
            </w:r>
          </w:p>
        </w:tc>
        <w:tc>
          <w:tcPr>
            <w:tcW w:w="8052" w:type="dxa"/>
            <w:gridSpan w:val="4"/>
            <w:tcBorders>
              <w:bottom w:val="single" w:sz="8" w:space="0" w:color="auto"/>
            </w:tcBorders>
          </w:tcPr>
          <w:p w14:paraId="3D80D961" w14:textId="1985D6D9" w:rsidR="00C7362F" w:rsidRPr="00C7362F" w:rsidRDefault="00C7362F" w:rsidP="00C7362F">
            <w:pPr>
              <w:pStyle w:val="TSBHeaderTitle"/>
            </w:pPr>
            <w:r w:rsidRPr="00C7362F">
              <w:t>LS/</w:t>
            </w:r>
            <w:proofErr w:type="spellStart"/>
            <w:r>
              <w:t>i</w:t>
            </w:r>
            <w:proofErr w:type="spellEnd"/>
            <w:r>
              <w:t>/</w:t>
            </w:r>
            <w:r w:rsidRPr="00C7362F">
              <w:t>r on ITU-T Standards Success Stories (reply to TSAG-LS5 and TSAG-LS14) [</w:t>
            </w:r>
            <w:r>
              <w:t>from ITU-T SG12</w:t>
            </w:r>
            <w:r w:rsidRPr="00C7362F">
              <w:t>]</w:t>
            </w:r>
          </w:p>
        </w:tc>
      </w:tr>
      <w:bookmarkEnd w:id="1"/>
      <w:bookmarkEnd w:id="7"/>
      <w:tr w:rsidR="00457399" w14:paraId="04385433" w14:textId="77777777">
        <w:trPr>
          <w:cantSplit/>
          <w:trHeight w:val="357"/>
        </w:trPr>
        <w:tc>
          <w:tcPr>
            <w:tcW w:w="9639" w:type="dxa"/>
            <w:gridSpan w:val="6"/>
            <w:tcBorders>
              <w:top w:val="single" w:sz="12" w:space="0" w:color="auto"/>
            </w:tcBorders>
          </w:tcPr>
          <w:p w14:paraId="1B361109" w14:textId="77777777" w:rsidR="00457399" w:rsidRDefault="00F42A0C">
            <w:pPr>
              <w:jc w:val="center"/>
              <w:rPr>
                <w:b/>
              </w:rPr>
            </w:pPr>
            <w:r>
              <w:rPr>
                <w:b/>
              </w:rPr>
              <w:t>LIAISON STATEMENT</w:t>
            </w:r>
          </w:p>
        </w:tc>
      </w:tr>
      <w:tr w:rsidR="00457399" w14:paraId="710B2BE8" w14:textId="77777777" w:rsidTr="00C7362F">
        <w:trPr>
          <w:cantSplit/>
          <w:trHeight w:val="357"/>
        </w:trPr>
        <w:tc>
          <w:tcPr>
            <w:tcW w:w="2250" w:type="dxa"/>
            <w:gridSpan w:val="3"/>
          </w:tcPr>
          <w:p w14:paraId="0002D869" w14:textId="77777777" w:rsidR="00457399" w:rsidRDefault="00F42A0C">
            <w:pPr>
              <w:rPr>
                <w:b/>
                <w:bCs/>
              </w:rPr>
            </w:pPr>
            <w:r>
              <w:rPr>
                <w:b/>
                <w:bCs/>
              </w:rPr>
              <w:t>For action to:</w:t>
            </w:r>
          </w:p>
        </w:tc>
        <w:tc>
          <w:tcPr>
            <w:tcW w:w="7389" w:type="dxa"/>
            <w:gridSpan w:val="3"/>
          </w:tcPr>
          <w:p w14:paraId="0834EA3F" w14:textId="77777777" w:rsidR="00457399" w:rsidRDefault="00F42A0C">
            <w:pPr>
              <w:pStyle w:val="LSForAction"/>
            </w:pPr>
            <w:r>
              <w:t>-</w:t>
            </w:r>
          </w:p>
        </w:tc>
      </w:tr>
      <w:tr w:rsidR="00457399" w14:paraId="37A1543E" w14:textId="77777777" w:rsidTr="00C7362F">
        <w:trPr>
          <w:cantSplit/>
          <w:trHeight w:val="357"/>
        </w:trPr>
        <w:tc>
          <w:tcPr>
            <w:tcW w:w="2250" w:type="dxa"/>
            <w:gridSpan w:val="3"/>
          </w:tcPr>
          <w:p w14:paraId="54A053B8" w14:textId="77777777" w:rsidR="00457399" w:rsidRDefault="00F42A0C">
            <w:pPr>
              <w:rPr>
                <w:b/>
                <w:bCs/>
              </w:rPr>
            </w:pPr>
            <w:r>
              <w:rPr>
                <w:b/>
                <w:bCs/>
              </w:rPr>
              <w:t>For information to:</w:t>
            </w:r>
          </w:p>
        </w:tc>
        <w:tc>
          <w:tcPr>
            <w:tcW w:w="7389" w:type="dxa"/>
            <w:gridSpan w:val="3"/>
          </w:tcPr>
          <w:p w14:paraId="25B8A511" w14:textId="77777777" w:rsidR="00457399" w:rsidRDefault="00F42A0C">
            <w:pPr>
              <w:pStyle w:val="LSForInfo"/>
            </w:pPr>
            <w:r>
              <w:t>TSAG</w:t>
            </w:r>
          </w:p>
        </w:tc>
      </w:tr>
      <w:tr w:rsidR="00457399" w14:paraId="6693772D" w14:textId="77777777" w:rsidTr="00C7362F">
        <w:trPr>
          <w:cantSplit/>
          <w:trHeight w:val="357"/>
        </w:trPr>
        <w:tc>
          <w:tcPr>
            <w:tcW w:w="2250" w:type="dxa"/>
            <w:gridSpan w:val="3"/>
          </w:tcPr>
          <w:p w14:paraId="4329AAE9" w14:textId="77777777" w:rsidR="00457399" w:rsidRDefault="00F42A0C">
            <w:pPr>
              <w:rPr>
                <w:b/>
                <w:bCs/>
              </w:rPr>
            </w:pPr>
            <w:r>
              <w:rPr>
                <w:b/>
                <w:bCs/>
              </w:rPr>
              <w:t>Approval:</w:t>
            </w:r>
          </w:p>
        </w:tc>
        <w:tc>
          <w:tcPr>
            <w:tcW w:w="7389" w:type="dxa"/>
            <w:gridSpan w:val="3"/>
          </w:tcPr>
          <w:p w14:paraId="308E8510" w14:textId="3B52446E" w:rsidR="00457399" w:rsidRDefault="00F42A0C">
            <w:r>
              <w:t>ITU-T Study Group 12 extended management (by correspondence, 12/12/2025)</w:t>
            </w:r>
          </w:p>
        </w:tc>
      </w:tr>
      <w:tr w:rsidR="00457399" w14:paraId="4C5C01EC" w14:textId="77777777" w:rsidTr="00C7362F">
        <w:trPr>
          <w:cantSplit/>
          <w:trHeight w:val="357"/>
        </w:trPr>
        <w:tc>
          <w:tcPr>
            <w:tcW w:w="2250" w:type="dxa"/>
            <w:gridSpan w:val="3"/>
            <w:tcBorders>
              <w:bottom w:val="single" w:sz="12" w:space="0" w:color="auto"/>
            </w:tcBorders>
          </w:tcPr>
          <w:p w14:paraId="424FD450" w14:textId="77777777" w:rsidR="00457399" w:rsidRDefault="00F42A0C">
            <w:pPr>
              <w:rPr>
                <w:b/>
                <w:bCs/>
              </w:rPr>
            </w:pPr>
            <w:r>
              <w:rPr>
                <w:b/>
                <w:bCs/>
              </w:rPr>
              <w:t>Deadline:</w:t>
            </w:r>
          </w:p>
        </w:tc>
        <w:tc>
          <w:tcPr>
            <w:tcW w:w="7389" w:type="dxa"/>
            <w:gridSpan w:val="3"/>
            <w:tcBorders>
              <w:bottom w:val="single" w:sz="12" w:space="0" w:color="auto"/>
            </w:tcBorders>
          </w:tcPr>
          <w:p w14:paraId="0B90C82C" w14:textId="77777777" w:rsidR="00457399" w:rsidRDefault="00F42A0C">
            <w:pPr>
              <w:pStyle w:val="LSDeadline"/>
            </w:pPr>
            <w:r>
              <w:t>-</w:t>
            </w:r>
          </w:p>
        </w:tc>
      </w:tr>
      <w:tr w:rsidR="00457399" w:rsidRPr="00C7362F" w14:paraId="2F5CF5B7" w14:textId="77777777" w:rsidTr="00C7362F">
        <w:trPr>
          <w:cantSplit/>
          <w:trHeight w:val="357"/>
        </w:trPr>
        <w:tc>
          <w:tcPr>
            <w:tcW w:w="2250" w:type="dxa"/>
            <w:gridSpan w:val="3"/>
            <w:tcBorders>
              <w:top w:val="single" w:sz="12" w:space="0" w:color="auto"/>
              <w:bottom w:val="single" w:sz="12" w:space="0" w:color="auto"/>
            </w:tcBorders>
          </w:tcPr>
          <w:p w14:paraId="00C28E95" w14:textId="77777777" w:rsidR="00457399" w:rsidRPr="004912EB" w:rsidRDefault="00F42A0C">
            <w:pPr>
              <w:rPr>
                <w:b/>
                <w:bCs/>
              </w:rPr>
            </w:pPr>
            <w:r w:rsidRPr="004912EB">
              <w:rPr>
                <w:b/>
                <w:bCs/>
              </w:rPr>
              <w:t>Contact:</w:t>
            </w:r>
          </w:p>
        </w:tc>
        <w:tc>
          <w:tcPr>
            <w:tcW w:w="3279" w:type="dxa"/>
            <w:tcBorders>
              <w:top w:val="single" w:sz="4" w:space="0" w:color="auto"/>
              <w:bottom w:val="single" w:sz="4" w:space="0" w:color="auto"/>
            </w:tcBorders>
          </w:tcPr>
          <w:p w14:paraId="42E4A76C" w14:textId="77777777" w:rsidR="00457399" w:rsidRPr="004912EB" w:rsidRDefault="00F42A0C">
            <w:pPr>
              <w:pStyle w:val="LSDeadline"/>
              <w:rPr>
                <w:rFonts w:eastAsiaTheme="minorEastAsia"/>
                <w:szCs w:val="24"/>
                <w:lang w:val="fr-FR" w:eastAsia="ja-JP"/>
              </w:rPr>
            </w:pPr>
            <w:r w:rsidRPr="004912EB">
              <w:rPr>
                <w:lang w:val="fr-FR"/>
              </w:rPr>
              <w:t>Tania Villa</w:t>
            </w:r>
            <w:r w:rsidRPr="004912EB">
              <w:rPr>
                <w:lang w:val="fr-FR"/>
              </w:rPr>
              <w:br/>
              <w:t>SG12 Chair</w:t>
            </w:r>
            <w:r w:rsidRPr="004912EB">
              <w:rPr>
                <w:lang w:val="fr-FR"/>
              </w:rPr>
              <w:br/>
              <w:t>Mexico</w:t>
            </w:r>
          </w:p>
        </w:tc>
        <w:tc>
          <w:tcPr>
            <w:tcW w:w="4110" w:type="dxa"/>
            <w:gridSpan w:val="2"/>
            <w:tcBorders>
              <w:top w:val="single" w:sz="4" w:space="0" w:color="auto"/>
              <w:bottom w:val="single" w:sz="4" w:space="0" w:color="auto"/>
            </w:tcBorders>
          </w:tcPr>
          <w:p w14:paraId="58F7A40A" w14:textId="77777777" w:rsidR="00457399" w:rsidRPr="004912EB" w:rsidRDefault="00F42A0C">
            <w:pPr>
              <w:pStyle w:val="LSDeadline"/>
              <w:rPr>
                <w:rFonts w:eastAsiaTheme="minorEastAsia"/>
                <w:szCs w:val="24"/>
                <w:lang w:val="de-DE" w:eastAsia="ja-JP"/>
              </w:rPr>
            </w:pPr>
            <w:r w:rsidRPr="004912EB">
              <w:rPr>
                <w:lang w:val="de-AT"/>
              </w:rPr>
              <w:t xml:space="preserve">E-mail: </w:t>
            </w:r>
            <w:r>
              <w:fldChar w:fldCharType="begin"/>
            </w:r>
            <w:r w:rsidRPr="00C7362F">
              <w:rPr>
                <w:lang w:val="fr-CH"/>
              </w:rPr>
              <w:instrText>HYPERLINK "mailto:tania.villa@crt.gob.mx"</w:instrText>
            </w:r>
            <w:r>
              <w:fldChar w:fldCharType="separate"/>
            </w:r>
            <w:r w:rsidRPr="004912EB">
              <w:rPr>
                <w:rStyle w:val="Hyperlink"/>
                <w:rFonts w:ascii="Times New Roman" w:hAnsi="Times New Roman"/>
                <w:lang w:val="de-DE"/>
              </w:rPr>
              <w:t>tania.villa@crt.gob.mx</w:t>
            </w:r>
            <w:r>
              <w:fldChar w:fldCharType="end"/>
            </w:r>
            <w:r w:rsidRPr="004912EB">
              <w:rPr>
                <w:lang w:val="de-DE"/>
              </w:rPr>
              <w:t xml:space="preserve"> </w:t>
            </w:r>
          </w:p>
        </w:tc>
      </w:tr>
    </w:tbl>
    <w:p w14:paraId="1C4B3E68" w14:textId="77777777" w:rsidR="00457399" w:rsidRDefault="00457399">
      <w:pPr>
        <w:rPr>
          <w:lang w:val="pt-BR"/>
        </w:rPr>
      </w:pPr>
    </w:p>
    <w:tbl>
      <w:tblPr>
        <w:tblW w:w="5000" w:type="pct"/>
        <w:tblCellMar>
          <w:left w:w="57" w:type="dxa"/>
          <w:right w:w="57" w:type="dxa"/>
        </w:tblCellMar>
        <w:tblLook w:val="0000" w:firstRow="0" w:lastRow="0" w:firstColumn="0" w:lastColumn="0" w:noHBand="0" w:noVBand="0"/>
      </w:tblPr>
      <w:tblGrid>
        <w:gridCol w:w="1592"/>
        <w:gridCol w:w="8046"/>
      </w:tblGrid>
      <w:tr w:rsidR="00457399" w14:paraId="4B7A6812" w14:textId="77777777">
        <w:trPr>
          <w:cantSplit/>
          <w:trHeight w:val="467"/>
        </w:trPr>
        <w:tc>
          <w:tcPr>
            <w:tcW w:w="826" w:type="pct"/>
          </w:tcPr>
          <w:p w14:paraId="0DA5D5DB" w14:textId="77777777" w:rsidR="00457399" w:rsidRDefault="00F42A0C">
            <w:pPr>
              <w:rPr>
                <w:b/>
                <w:bCs/>
              </w:rPr>
            </w:pPr>
            <w:r>
              <w:rPr>
                <w:b/>
                <w:bCs/>
              </w:rPr>
              <w:t>Abstract:</w:t>
            </w:r>
          </w:p>
        </w:tc>
        <w:tc>
          <w:tcPr>
            <w:tcW w:w="4174" w:type="pct"/>
          </w:tcPr>
          <w:p w14:paraId="2E09DD45" w14:textId="77777777" w:rsidR="00457399" w:rsidRDefault="00F42A0C">
            <w:r>
              <w:t>SG12’s reply to TSAG on ITU-T Standards Success Stories.</w:t>
            </w:r>
          </w:p>
        </w:tc>
      </w:tr>
    </w:tbl>
    <w:p w14:paraId="31F769BC" w14:textId="77777777" w:rsidR="00457399" w:rsidRPr="004912EB" w:rsidRDefault="00F42A0C">
      <w:pPr>
        <w:tabs>
          <w:tab w:val="left" w:pos="1560"/>
          <w:tab w:val="left" w:pos="1588"/>
          <w:tab w:val="left" w:pos="1985"/>
        </w:tabs>
        <w:spacing w:before="360"/>
      </w:pPr>
      <w:r w:rsidRPr="004912EB">
        <w:t xml:space="preserve">ITU-T Study Group 12 (SG12) thanks TSAG for the two liaison statements on the topic of ITU-T standards success stories. </w:t>
      </w:r>
    </w:p>
    <w:p w14:paraId="7BA01A0D" w14:textId="77777777" w:rsidR="00457399" w:rsidRPr="004912EB" w:rsidRDefault="00F42A0C">
      <w:pPr>
        <w:tabs>
          <w:tab w:val="left" w:pos="1560"/>
          <w:tab w:val="left" w:pos="1588"/>
          <w:tab w:val="left" w:pos="1985"/>
        </w:tabs>
      </w:pPr>
      <w:r w:rsidRPr="004912EB">
        <w:t xml:space="preserve">SG12 reviewed and discussed </w:t>
      </w:r>
      <w:hyperlink r:id="rId13" w:tooltip="https://www.itu.int/ifa/t/2025/ls/tsag/sp18-tsag-oLS-00005.docx" w:history="1">
        <w:r w:rsidRPr="004912EB">
          <w:rPr>
            <w:rStyle w:val="Hyperlink"/>
            <w:rFonts w:ascii="Times New Roman" w:eastAsia="MS Mincho" w:hAnsi="Times New Roman"/>
          </w:rPr>
          <w:t>TSAG-LS5</w:t>
        </w:r>
      </w:hyperlink>
      <w:r w:rsidRPr="004912EB">
        <w:t xml:space="preserve"> at its meeting from 9-18 September 2025. The outcome is a non-exhaustive overview and brief description of success stories as identified by the Questions under study. It can be found in Annex A.</w:t>
      </w:r>
    </w:p>
    <w:p w14:paraId="48144CDF" w14:textId="77777777" w:rsidR="00457399" w:rsidRPr="004912EB" w:rsidRDefault="00F42A0C">
      <w:pPr>
        <w:tabs>
          <w:tab w:val="left" w:pos="1560"/>
          <w:tab w:val="left" w:pos="1588"/>
          <w:tab w:val="left" w:pos="1985"/>
        </w:tabs>
      </w:pPr>
      <w:hyperlink r:id="rId14" w:tooltip="ITU-T ftp file restricted to TIES access only" w:history="1">
        <w:r w:rsidRPr="004912EB">
          <w:rPr>
            <w:rStyle w:val="Hyperlink"/>
            <w:rFonts w:ascii="Times New Roman" w:hAnsi="Times New Roman"/>
          </w:rPr>
          <w:t>TSAG-LS14</w:t>
        </w:r>
      </w:hyperlink>
      <w:r w:rsidRPr="004912EB">
        <w:t xml:space="preserve"> was dispatched to SG12 a few days after our meeting in September 2025. </w:t>
      </w:r>
      <w:r w:rsidRPr="004912EB">
        <w:rPr>
          <w:color w:val="000000"/>
        </w:rPr>
        <w:t>Following the RG-IES template, the extended SG12 management team provides in Annex B a selection of success stories from Annex A.</w:t>
      </w:r>
    </w:p>
    <w:p w14:paraId="4DD5F36F" w14:textId="77777777" w:rsidR="00457399" w:rsidRDefault="00F42A0C">
      <w:pPr>
        <w:tabs>
          <w:tab w:val="left" w:pos="1560"/>
          <w:tab w:val="left" w:pos="1588"/>
          <w:tab w:val="left" w:pos="1985"/>
        </w:tabs>
      </w:pPr>
      <w:r>
        <w:t>SG12 will meet again in Geneva, 9-17 June 2026, and looks forward to collaborating</w:t>
      </w:r>
      <w:r>
        <w:rPr>
          <w:lang w:val="en-US"/>
        </w:rPr>
        <w:t xml:space="preserve"> </w:t>
      </w:r>
      <w:r>
        <w:t>with TSAG.</w:t>
      </w:r>
    </w:p>
    <w:p w14:paraId="23E8BCCC" w14:textId="77777777" w:rsidR="00457399" w:rsidRDefault="00F42A0C">
      <w:pPr>
        <w:spacing w:before="0"/>
      </w:pPr>
      <w:r>
        <w:br w:type="page" w:clear="all"/>
      </w:r>
    </w:p>
    <w:p w14:paraId="329F9EEC" w14:textId="77777777" w:rsidR="00457399" w:rsidRDefault="00F42A0C">
      <w:pPr>
        <w:pStyle w:val="AnnexNotitle"/>
      </w:pPr>
      <w:r>
        <w:lastRenderedPageBreak/>
        <w:t>Annex A</w:t>
      </w:r>
    </w:p>
    <w:p w14:paraId="30A0A225" w14:textId="77777777" w:rsidR="00457399" w:rsidRDefault="00F42A0C">
      <w:pPr>
        <w:pStyle w:val="Heading2"/>
        <w:jc w:val="both"/>
      </w:pPr>
      <w:r>
        <w:t>Hands-free and emergency communication in motor vehicles (Q4/12)</w:t>
      </w:r>
    </w:p>
    <w:p w14:paraId="1D793A30" w14:textId="77777777" w:rsidR="00457399" w:rsidRDefault="00F42A0C">
      <w:pPr>
        <w:tabs>
          <w:tab w:val="left" w:pos="1560"/>
          <w:tab w:val="left" w:pos="1588"/>
          <w:tab w:val="left" w:pos="1985"/>
        </w:tabs>
        <w:jc w:val="both"/>
      </w:pPr>
      <w:r>
        <w:t xml:space="preserve">The groundwork for hands-free communication quality began with the German automotive industry association (VDA). In 2006, this initiative transitioned to ITU-T, where Focus Groups </w:t>
      </w:r>
      <w:proofErr w:type="spellStart"/>
      <w:r>
        <w:t>CarCom</w:t>
      </w:r>
      <w:proofErr w:type="spellEnd"/>
      <w:r>
        <w:t xml:space="preserve"> (very first ITU-T Focus Group) and </w:t>
      </w:r>
      <w:proofErr w:type="spellStart"/>
      <w:r>
        <w:t>FitCar</w:t>
      </w:r>
      <w:proofErr w:type="spellEnd"/>
      <w:r>
        <w:t xml:space="preserve"> further developed the specification, engaging global stakeholders from the car industry and suppliers—even those not yet ITU-T members. </w:t>
      </w:r>
    </w:p>
    <w:p w14:paraId="4EBA079F" w14:textId="77777777" w:rsidR="00457399" w:rsidRDefault="00F42A0C">
      <w:pPr>
        <w:tabs>
          <w:tab w:val="left" w:pos="1560"/>
          <w:tab w:val="left" w:pos="1588"/>
          <w:tab w:val="left" w:pos="1985"/>
        </w:tabs>
        <w:jc w:val="both"/>
      </w:pPr>
      <w:r>
        <w:t>SG12 established a dedicated question on objective methods for speech and audio evaluation in vehicles, resulting in: P.1100 (Narrowband, 2008), P.1110 (Wideband, 2009), Super-wideband/</w:t>
      </w:r>
      <w:proofErr w:type="spellStart"/>
      <w:r>
        <w:t>fullband</w:t>
      </w:r>
      <w:proofErr w:type="spellEnd"/>
      <w:r>
        <w:t xml:space="preserve"> (2017). These Recommendations are regularly updated and widely adopted by the automotive and mobile industries, benefiting millions of users worldwide.</w:t>
      </w:r>
    </w:p>
    <w:p w14:paraId="51C343D7" w14:textId="380140DC" w:rsidR="00457399" w:rsidRDefault="00F42A0C">
      <w:pPr>
        <w:tabs>
          <w:tab w:val="left" w:pos="1560"/>
          <w:tab w:val="left" w:pos="1588"/>
          <w:tab w:val="left" w:pos="1985"/>
        </w:tabs>
        <w:jc w:val="both"/>
      </w:pPr>
      <w:r>
        <w:t>P.1140 (firs</w:t>
      </w:r>
      <w:r w:rsidR="004912EB">
        <w:t>t</w:t>
      </w:r>
      <w:r>
        <w:t xml:space="preserve"> edition in 2015) addresses emergency call communication in vehicles, is referenced in UNECE vehicle regulations, and is globally applied.</w:t>
      </w:r>
    </w:p>
    <w:p w14:paraId="4B0E6A38" w14:textId="77777777" w:rsidR="00457399" w:rsidRDefault="00F42A0C">
      <w:pPr>
        <w:pStyle w:val="Heading2"/>
        <w:jc w:val="both"/>
      </w:pPr>
      <w:r>
        <w:t>ITU-T standards enabling safe listening (Q5/12)</w:t>
      </w:r>
    </w:p>
    <w:p w14:paraId="030DBB64" w14:textId="77777777" w:rsidR="00457399" w:rsidRDefault="00F42A0C">
      <w:pPr>
        <w:tabs>
          <w:tab w:val="left" w:pos="1560"/>
          <w:tab w:val="left" w:pos="1588"/>
          <w:tab w:val="left" w:pos="1985"/>
        </w:tabs>
        <w:jc w:val="both"/>
      </w:pPr>
      <w:r>
        <w:t>SG12 developed ITU-T Recommendations P.57 and P.58, which are widely recognized for ensuring equipment calibration and safe listening.</w:t>
      </w:r>
    </w:p>
    <w:p w14:paraId="40DAA506" w14:textId="77777777" w:rsidR="00457399" w:rsidRDefault="00F42A0C">
      <w:pPr>
        <w:tabs>
          <w:tab w:val="left" w:pos="1560"/>
          <w:tab w:val="left" w:pos="1588"/>
          <w:tab w:val="left" w:pos="1985"/>
        </w:tabs>
        <w:jc w:val="both"/>
      </w:pPr>
      <w:r>
        <w:t>These standards are referenced for hearing aid compatibility, including mandates by the US Federal Communications Commission.</w:t>
      </w:r>
    </w:p>
    <w:p w14:paraId="1EF9ABC7" w14:textId="77777777" w:rsidR="00457399" w:rsidRDefault="00F42A0C">
      <w:pPr>
        <w:pStyle w:val="Heading2"/>
        <w:jc w:val="both"/>
      </w:pPr>
      <w:r>
        <w:t>Voice quality testing (Q9/12)</w:t>
      </w:r>
    </w:p>
    <w:p w14:paraId="6B3FBE8B" w14:textId="77777777" w:rsidR="00457399" w:rsidRDefault="00F42A0C">
      <w:pPr>
        <w:tabs>
          <w:tab w:val="left" w:pos="1560"/>
          <w:tab w:val="left" w:pos="1588"/>
          <w:tab w:val="left" w:pos="1985"/>
        </w:tabs>
        <w:jc w:val="both"/>
      </w:pPr>
      <w:r>
        <w:t>ITU-T P.863 (first edition approved in 2011) is a benchmark for automated speech quality prediction, continuously updated to reflect new technologies and use cases.</w:t>
      </w:r>
    </w:p>
    <w:p w14:paraId="077DBEC1" w14:textId="77777777" w:rsidR="00457399" w:rsidRDefault="00F42A0C">
      <w:pPr>
        <w:tabs>
          <w:tab w:val="left" w:pos="1560"/>
          <w:tab w:val="left" w:pos="1588"/>
          <w:tab w:val="left" w:pos="1985"/>
        </w:tabs>
        <w:jc w:val="both"/>
      </w:pPr>
      <w:r>
        <w:t xml:space="preserve">It has inspired over 50 contributions and serves as a foundation for models like P.565.1 and the upcoming </w:t>
      </w:r>
      <w:proofErr w:type="gramStart"/>
      <w:r>
        <w:t>P.SAMD</w:t>
      </w:r>
      <w:proofErr w:type="gramEnd"/>
      <w:r>
        <w:t>.</w:t>
      </w:r>
    </w:p>
    <w:p w14:paraId="7E0BA716" w14:textId="77777777" w:rsidR="00457399" w:rsidRDefault="00F42A0C">
      <w:pPr>
        <w:tabs>
          <w:tab w:val="left" w:pos="1560"/>
          <w:tab w:val="left" w:pos="1588"/>
          <w:tab w:val="left" w:pos="1985"/>
        </w:tabs>
        <w:jc w:val="both"/>
      </w:pPr>
      <w:r>
        <w:t>P.863 is extensively used in drive-test tools by network operators and regulators, with tens of thousands of deployments across Windows, Linux, and Android platforms.</w:t>
      </w:r>
    </w:p>
    <w:p w14:paraId="2015E0F1" w14:textId="77777777" w:rsidR="00457399" w:rsidRDefault="00F42A0C">
      <w:pPr>
        <w:pStyle w:val="Heading2"/>
        <w:jc w:val="both"/>
      </w:pPr>
      <w:r>
        <w:t xml:space="preserve">Quality of </w:t>
      </w:r>
      <w:proofErr w:type="spellStart"/>
      <w:r>
        <w:t>telemeetings</w:t>
      </w:r>
      <w:proofErr w:type="spellEnd"/>
      <w:r>
        <w:t xml:space="preserve"> (Q10/12)</w:t>
      </w:r>
    </w:p>
    <w:p w14:paraId="02635166" w14:textId="77777777" w:rsidR="00457399" w:rsidRDefault="00F42A0C">
      <w:pPr>
        <w:tabs>
          <w:tab w:val="left" w:pos="1560"/>
          <w:tab w:val="left" w:pos="1588"/>
          <w:tab w:val="left" w:pos="1985"/>
        </w:tabs>
        <w:jc w:val="both"/>
      </w:pPr>
      <w:r>
        <w:t xml:space="preserve">The importance of </w:t>
      </w:r>
      <w:proofErr w:type="spellStart"/>
      <w:r>
        <w:t>telemeeting</w:t>
      </w:r>
      <w:proofErr w:type="spellEnd"/>
      <w:r>
        <w:t xml:space="preserve"> quality became evident during the pandemic.</w:t>
      </w:r>
    </w:p>
    <w:p w14:paraId="37367359" w14:textId="77777777" w:rsidR="00457399" w:rsidRDefault="00F42A0C">
      <w:pPr>
        <w:tabs>
          <w:tab w:val="left" w:pos="1560"/>
          <w:tab w:val="left" w:pos="1588"/>
          <w:tab w:val="left" w:pos="1985"/>
        </w:tabs>
        <w:jc w:val="both"/>
      </w:pPr>
      <w:r>
        <w:t xml:space="preserve">SG12’s recommendations, such as P.1320 (testing XR </w:t>
      </w:r>
      <w:proofErr w:type="spellStart"/>
      <w:r>
        <w:t>telemeetings</w:t>
      </w:r>
      <w:proofErr w:type="spellEnd"/>
      <w:r>
        <w:t>) and G.1092 (</w:t>
      </w:r>
      <w:proofErr w:type="spellStart"/>
      <w:r>
        <w:t>QoE</w:t>
      </w:r>
      <w:proofErr w:type="spellEnd"/>
      <w:r>
        <w:t xml:space="preserve"> factors for </w:t>
      </w:r>
      <w:proofErr w:type="spellStart"/>
      <w:r>
        <w:t>telemeetings</w:t>
      </w:r>
      <w:proofErr w:type="spellEnd"/>
      <w:r>
        <w:t>), are increasingly referenced in the field.</w:t>
      </w:r>
    </w:p>
    <w:p w14:paraId="3EF3E724" w14:textId="77777777" w:rsidR="00457399" w:rsidRDefault="00F42A0C">
      <w:pPr>
        <w:pStyle w:val="Heading2"/>
        <w:jc w:val="both"/>
      </w:pPr>
      <w:r>
        <w:t>Setting quality frameworks (Q12/12)</w:t>
      </w:r>
    </w:p>
    <w:p w14:paraId="2DF71756" w14:textId="77777777" w:rsidR="00457399" w:rsidRDefault="00F42A0C">
      <w:pPr>
        <w:tabs>
          <w:tab w:val="left" w:pos="1560"/>
          <w:tab w:val="left" w:pos="1588"/>
          <w:tab w:val="left" w:pos="1985"/>
        </w:tabs>
        <w:jc w:val="both"/>
      </w:pPr>
      <w:r>
        <w:t>ITU-T E-series Recommendations provide essential guidance for regulators, operators, and stakeholders to ensure high-quality, reliable, and user-centric communication services.</w:t>
      </w:r>
    </w:p>
    <w:p w14:paraId="7B470E1D" w14:textId="77777777" w:rsidR="00457399" w:rsidRDefault="00F42A0C">
      <w:pPr>
        <w:tabs>
          <w:tab w:val="left" w:pos="1560"/>
          <w:tab w:val="left" w:pos="1588"/>
          <w:tab w:val="left" w:pos="1985"/>
        </w:tabs>
        <w:jc w:val="both"/>
      </w:pPr>
      <w:r>
        <w:t xml:space="preserve">These standards form a robust ecosystem for monitoring and ensuring QoS and </w:t>
      </w:r>
      <w:proofErr w:type="spellStart"/>
      <w:r>
        <w:t>QoE</w:t>
      </w:r>
      <w:proofErr w:type="spellEnd"/>
      <w:r>
        <w:t>, supporting regulatory oversight, fair competition, and improved service delivery.</w:t>
      </w:r>
    </w:p>
    <w:p w14:paraId="6FF56080" w14:textId="77777777" w:rsidR="00457399" w:rsidRDefault="00F42A0C">
      <w:pPr>
        <w:pStyle w:val="Heading2"/>
        <w:jc w:val="both"/>
        <w:rPr>
          <w:lang w:val="en-US"/>
        </w:rPr>
      </w:pPr>
      <w:r>
        <w:rPr>
          <w:lang w:val="en-US"/>
        </w:rPr>
        <w:t>Quality on the move (Q13/12)</w:t>
      </w:r>
    </w:p>
    <w:p w14:paraId="3383F2FB" w14:textId="77777777" w:rsidR="00457399" w:rsidRDefault="00F42A0C">
      <w:pPr>
        <w:tabs>
          <w:tab w:val="left" w:pos="1560"/>
          <w:tab w:val="left" w:pos="1588"/>
          <w:tab w:val="left" w:pos="1985"/>
        </w:tabs>
        <w:jc w:val="both"/>
      </w:pPr>
      <w:r>
        <w:t>ITU-T G.1034 offers methodologies for assessing end-to-end QoS of mobile communication services on vehicles (trains, road vehicles, public transport).</w:t>
      </w:r>
    </w:p>
    <w:p w14:paraId="680D50FC" w14:textId="77777777" w:rsidR="00457399" w:rsidRDefault="00F42A0C">
      <w:pPr>
        <w:tabs>
          <w:tab w:val="left" w:pos="1560"/>
          <w:tab w:val="left" w:pos="1588"/>
          <w:tab w:val="left" w:pos="1985"/>
        </w:tabs>
        <w:jc w:val="both"/>
      </w:pPr>
      <w:r>
        <w:t>Major rail operators rely on this standard to measure call stability during transit.</w:t>
      </w:r>
    </w:p>
    <w:p w14:paraId="61E8D087" w14:textId="77777777" w:rsidR="00457399" w:rsidRDefault="00F42A0C">
      <w:pPr>
        <w:pStyle w:val="Heading2"/>
        <w:jc w:val="both"/>
        <w:rPr>
          <w:lang w:val="en-US"/>
        </w:rPr>
      </w:pPr>
      <w:proofErr w:type="spellStart"/>
      <w:r>
        <w:lastRenderedPageBreak/>
        <w:t>QoE</w:t>
      </w:r>
      <w:proofErr w:type="spellEnd"/>
      <w:r>
        <w:t xml:space="preserve"> monitoring of video streaming (Q14/12)</w:t>
      </w:r>
    </w:p>
    <w:p w14:paraId="3B94A3FC" w14:textId="77777777" w:rsidR="00457399" w:rsidRDefault="00F42A0C">
      <w:pPr>
        <w:jc w:val="both"/>
      </w:pPr>
      <w:r>
        <w:t xml:space="preserve">SG12 has developed two series of standards for video streaming </w:t>
      </w:r>
      <w:proofErr w:type="spellStart"/>
      <w:r>
        <w:t>QoE</w:t>
      </w:r>
      <w:proofErr w:type="spellEnd"/>
      <w:r>
        <w:t xml:space="preserve"> monitoring. ITU-T P.1203 defines a parametric bitstream-based model, comprising P.1203.1, P.1203.2, and P.1203.3 for video, audio, and integrated session quality prediction. Widely used and cited in academic studies and deployed in practical implementations, its “Mode 0” offers a lightweight approach for monitoring sessions of 30s–5min length.</w:t>
      </w:r>
    </w:p>
    <w:p w14:paraId="5063C553" w14:textId="77777777" w:rsidR="00457399" w:rsidRDefault="00F42A0C">
      <w:pPr>
        <w:jc w:val="both"/>
      </w:pPr>
      <w:r>
        <w:t>Its successor, the P.1204 series, includes models for short-term video quality up to 12s: P.1204.3 (bitstream), P.1204.4 (pixel-based), and P.1204.5 (hybrid). These match or even outperform state-of-the-art non-standardized models used by the industry in terms of accuracy. P.1204.1 and P.1204.2 complete the series and add no-reference models that are easier to compute.</w:t>
      </w:r>
    </w:p>
    <w:p w14:paraId="1E95E5A2" w14:textId="77777777" w:rsidR="00457399" w:rsidRDefault="00F42A0C">
      <w:pPr>
        <w:jc w:val="both"/>
      </w:pPr>
      <w:r>
        <w:t xml:space="preserve">The modular designs of P.1203 and P.1204 allow interoperability and extension for future applications. The models both are continuously updated for new codecs and resolutions as well as new features like HDR and AI processing. The extensible P.1203 architecture also informs ongoing SG12 work on cloud gaming and social XR </w:t>
      </w:r>
      <w:proofErr w:type="spellStart"/>
      <w:r>
        <w:t>QoE</w:t>
      </w:r>
      <w:proofErr w:type="spellEnd"/>
      <w:r>
        <w:t>.</w:t>
      </w:r>
    </w:p>
    <w:p w14:paraId="77974194" w14:textId="77777777" w:rsidR="00457399" w:rsidRDefault="00F42A0C">
      <w:pPr>
        <w:pStyle w:val="Heading2"/>
        <w:jc w:val="both"/>
      </w:pPr>
      <w:r>
        <w:t>The E-model – in daily use to predict the impact of network health on VoIP quality (Q15/12)</w:t>
      </w:r>
    </w:p>
    <w:p w14:paraId="00BBC0C8" w14:textId="77777777" w:rsidR="00457399" w:rsidRDefault="00F42A0C">
      <w:pPr>
        <w:jc w:val="both"/>
      </w:pPr>
      <w:r>
        <w:t>The computational model for use in transmission planning described in Recommendation ITU-T G.107, widely known as “E-model,” deserves the qualification of “success story”. Almost 30 years after its first adoption as ITU-T standard, it is heavily used both in the academic world (4000 mentions on Google Scholar since 2021) and by the industry, with successful application in several network performance monitoring tools, where it is used on a daily basis to supervise and predict the impact of network health and its variations on perceived quality of VoIP services.</w:t>
      </w:r>
    </w:p>
    <w:p w14:paraId="3DDF6F6E" w14:textId="77777777" w:rsidR="00457399" w:rsidRDefault="00F42A0C">
      <w:pPr>
        <w:jc w:val="both"/>
      </w:pPr>
      <w:r>
        <w:t xml:space="preserve">With the evolution of speech processing technologies in telecommunication networks over the years, the E-model has been regularly augmented and adapted towards wideband and </w:t>
      </w:r>
      <w:proofErr w:type="spellStart"/>
      <w:r>
        <w:t>fullband</w:t>
      </w:r>
      <w:proofErr w:type="spellEnd"/>
      <w:r>
        <w:t xml:space="preserve"> transmission (see G.107.1 and G.107.2). It is now possible to imply it in the assessment of conversation quality for all types of telephony services, including voice over cellular networks with high quality coding (VoLTE, </w:t>
      </w:r>
      <w:proofErr w:type="spellStart"/>
      <w:r>
        <w:t>VoNR</w:t>
      </w:r>
      <w:proofErr w:type="spellEnd"/>
      <w:r>
        <w:t>, with coders such as EVS) and most over-the-top solutions. Future updates are expected to embed inside the scope of the E model new ultra-low bitrate coding technologies present in satellite communications. The modular impairment-factor based approach of the E-model has also been adopted for other applications, such as video telephony.</w:t>
      </w:r>
    </w:p>
    <w:p w14:paraId="3FC2A056" w14:textId="77777777" w:rsidR="00457399" w:rsidRDefault="00F42A0C">
      <w:pPr>
        <w:pStyle w:val="Heading2"/>
        <w:jc w:val="both"/>
      </w:pPr>
      <w:r>
        <w:t>IP service performance metrics and measurement (Q17/12)</w:t>
      </w:r>
    </w:p>
    <w:p w14:paraId="288DCC39" w14:textId="77777777" w:rsidR="00457399" w:rsidRDefault="00F42A0C">
      <w:pPr>
        <w:jc w:val="both"/>
      </w:pPr>
      <w:r>
        <w:t>The ITU-T Y.1540 series specifies parameters for evaluating IP service performance (speed, accuracy, dependability, availability) for both IPv4 and IPv6.</w:t>
      </w:r>
    </w:p>
    <w:p w14:paraId="62E07D66" w14:textId="77777777" w:rsidR="00457399" w:rsidRDefault="00F42A0C">
      <w:pPr>
        <w:jc w:val="both"/>
      </w:pPr>
      <w:r>
        <w:t>It is used globally by providers, manufacturers, and users for planning, monitoring, and assessing IP services.</w:t>
      </w:r>
    </w:p>
    <w:p w14:paraId="593791F6" w14:textId="77777777" w:rsidR="00457399" w:rsidRDefault="00F42A0C">
      <w:pPr>
        <w:jc w:val="both"/>
      </w:pPr>
      <w:r>
        <w:t>Related Recommendations include G.1023, G.1051, Y.1545.2, and Y.1567, covering capacity, latency, and continuity metrics.</w:t>
      </w:r>
    </w:p>
    <w:p w14:paraId="43E77763" w14:textId="77777777" w:rsidR="00457399" w:rsidRDefault="00F42A0C">
      <w:pPr>
        <w:pStyle w:val="Heading2"/>
        <w:jc w:val="both"/>
      </w:pPr>
      <w:r>
        <w:rPr>
          <w:rFonts w:eastAsiaTheme="minorEastAsia"/>
          <w:lang w:val="en-US"/>
        </w:rPr>
        <w:t>Subjective video quality assessment methods for multimedia applications</w:t>
      </w:r>
      <w:r>
        <w:rPr>
          <w:lang w:val="en-US"/>
        </w:rPr>
        <w:t xml:space="preserve"> (Q19/12)</w:t>
      </w:r>
    </w:p>
    <w:p w14:paraId="21DBF5D2" w14:textId="77777777" w:rsidR="00457399" w:rsidRDefault="00F42A0C">
      <w:pPr>
        <w:jc w:val="both"/>
      </w:pPr>
      <w:r>
        <w:t>Recommendation ITU-T P.910 titled "Subjective video quality assessment methods for multimedia applications" is a significant success story for the ITU-T. It has been widely adopted by the video quality assessment community. The Recommendation is extensively used for conducting subjective tests and developing objective models for perceptual video quality measurement.</w:t>
      </w:r>
    </w:p>
    <w:p w14:paraId="0E723F80" w14:textId="77777777" w:rsidR="00457399" w:rsidRDefault="00F42A0C">
      <w:pPr>
        <w:jc w:val="both"/>
      </w:pPr>
      <w:r>
        <w:t xml:space="preserve">As multimedia delivery over communication networks has grown, quality monitoring has become crucial. In this context, ITU-T P.910 has played a key role in ensuring </w:t>
      </w:r>
      <w:proofErr w:type="spellStart"/>
      <w:r>
        <w:t>QoE</w:t>
      </w:r>
      <w:proofErr w:type="spellEnd"/>
      <w:r>
        <w:t xml:space="preserve"> and QoS.</w:t>
      </w:r>
    </w:p>
    <w:p w14:paraId="4FFACC8B" w14:textId="77777777" w:rsidR="00457399" w:rsidRDefault="00F42A0C">
      <w:pPr>
        <w:jc w:val="both"/>
      </w:pPr>
      <w:r>
        <w:lastRenderedPageBreak/>
        <w:t>The recommendation has been continuously updated to keep pace with evolving display technologies, including 3D, flat panel, FHD/UHD, and mobile displays. Its global use by researchers and multimedia companies has also led to its refinement, as they contribute new findings and technological advancements.</w:t>
      </w:r>
    </w:p>
    <w:p w14:paraId="6385CF6E" w14:textId="77777777" w:rsidR="00457399" w:rsidRDefault="00F42A0C">
      <w:pPr>
        <w:jc w:val="both"/>
        <w:rPr>
          <w:b/>
          <w:bCs/>
        </w:rPr>
      </w:pPr>
      <w:r>
        <w:rPr>
          <w:b/>
          <w:bCs/>
        </w:rPr>
        <w:t>Mobile money quality (Q20/12)</w:t>
      </w:r>
    </w:p>
    <w:p w14:paraId="1F738E1F" w14:textId="77777777" w:rsidR="00457399" w:rsidRDefault="00F42A0C">
      <w:pPr>
        <w:jc w:val="both"/>
      </w:pPr>
      <w:r>
        <w:t xml:space="preserve">Recommendations ITU-T G.1033, P.1502, and P.1503 play a pivotal role in enhancing the quality and reliability of digital financial services (DFS) globally. </w:t>
      </w:r>
    </w:p>
    <w:p w14:paraId="2F2008F7" w14:textId="77777777" w:rsidR="00457399" w:rsidRDefault="00F42A0C">
      <w:pPr>
        <w:jc w:val="both"/>
      </w:pPr>
      <w:r>
        <w:t xml:space="preserve">G.1033 establishes a conceptual framework for assessing QoS and </w:t>
      </w:r>
      <w:proofErr w:type="spellStart"/>
      <w:r>
        <w:t>QoE</w:t>
      </w:r>
      <w:proofErr w:type="spellEnd"/>
      <w:r>
        <w:t xml:space="preserve"> in DFS ecosystems, ensuring that users receive consistent and dependable service. </w:t>
      </w:r>
    </w:p>
    <w:p w14:paraId="7B04AD11" w14:textId="77777777" w:rsidR="00457399" w:rsidRDefault="00F42A0C">
      <w:pPr>
        <w:jc w:val="both"/>
      </w:pPr>
      <w:r>
        <w:t xml:space="preserve">P.1502 introduces a standardized methodology for testing </w:t>
      </w:r>
      <w:proofErr w:type="spellStart"/>
      <w:r>
        <w:t>QoE</w:t>
      </w:r>
      <w:proofErr w:type="spellEnd"/>
      <w:r>
        <w:t xml:space="preserve"> in person-to-person (P2P) money transfers, focusing on transactions within the same network and operator. This methodology has been applied in field tests, including in Ghana, to evaluate mobile money performance under real-world conditions. </w:t>
      </w:r>
    </w:p>
    <w:p w14:paraId="7D704DFF" w14:textId="77777777" w:rsidR="00457399" w:rsidRDefault="00F42A0C">
      <w:pPr>
        <w:jc w:val="both"/>
      </w:pPr>
      <w:r>
        <w:t xml:space="preserve">P.1503 extends this approach to cross-country and inter-operator scenarios, enabling regulators and service providers to assess international DFS interoperability and user satisfaction. </w:t>
      </w:r>
    </w:p>
    <w:p w14:paraId="586D3455" w14:textId="77777777" w:rsidR="00457399" w:rsidRDefault="00F42A0C">
      <w:pPr>
        <w:jc w:val="both"/>
      </w:pPr>
      <w:r>
        <w:t>These standards support financial inclusion by equipping regulators and operators with tools for resilient, user-focused digital finance.</w:t>
      </w:r>
    </w:p>
    <w:p w14:paraId="707D9517" w14:textId="77777777" w:rsidR="00457399" w:rsidRDefault="00457399"/>
    <w:p w14:paraId="1CCD88FF" w14:textId="77777777" w:rsidR="00457399" w:rsidRDefault="00F42A0C">
      <w:pPr>
        <w:spacing w:before="0"/>
      </w:pPr>
      <w:r>
        <w:br w:type="page" w:clear="all"/>
      </w:r>
    </w:p>
    <w:p w14:paraId="140D5902" w14:textId="77777777" w:rsidR="00457399" w:rsidRDefault="00F42A0C">
      <w:pPr>
        <w:pStyle w:val="AnnexNotitle"/>
      </w:pPr>
      <w:r>
        <w:lastRenderedPageBreak/>
        <w:t>Annex B</w:t>
      </w:r>
    </w:p>
    <w:p w14:paraId="5F1C684F" w14:textId="77777777" w:rsidR="00457399" w:rsidRDefault="00F42A0C">
      <w:pPr>
        <w:pStyle w:val="Heading2"/>
      </w:pPr>
      <w:r>
        <w:t>Example success story under WP1/12: Terminals and multimedia subjective assessment</w:t>
      </w:r>
    </w:p>
    <w:p w14:paraId="5FDA7C95" w14:textId="77777777" w:rsidR="00457399" w:rsidRDefault="00457399"/>
    <w:tbl>
      <w:tblPr>
        <w:tblStyle w:val="TableGrid"/>
        <w:tblW w:w="9604" w:type="dxa"/>
        <w:tblLook w:val="04A0" w:firstRow="1" w:lastRow="0" w:firstColumn="1" w:lastColumn="0" w:noHBand="0" w:noVBand="1"/>
      </w:tblPr>
      <w:tblGrid>
        <w:gridCol w:w="2689"/>
        <w:gridCol w:w="3260"/>
        <w:gridCol w:w="3655"/>
      </w:tblGrid>
      <w:tr w:rsidR="00457399" w14:paraId="472B6952" w14:textId="77777777">
        <w:trPr>
          <w:trHeight w:val="416"/>
        </w:trPr>
        <w:tc>
          <w:tcPr>
            <w:tcW w:w="9604" w:type="dxa"/>
            <w:gridSpan w:val="3"/>
            <w:shd w:val="clear" w:color="auto" w:fill="D9D9D9" w:themeFill="background1" w:themeFillShade="D9"/>
            <w:vAlign w:val="center"/>
          </w:tcPr>
          <w:p w14:paraId="5BEA50D2" w14:textId="77777777" w:rsidR="00457399" w:rsidRDefault="00F42A0C">
            <w:pPr>
              <w:jc w:val="center"/>
              <w:rPr>
                <w:sz w:val="22"/>
                <w:szCs w:val="22"/>
              </w:rPr>
            </w:pPr>
            <w:r>
              <w:rPr>
                <w:b/>
                <w:bCs/>
                <w:sz w:val="22"/>
                <w:szCs w:val="22"/>
                <w:u w:val="single"/>
              </w:rPr>
              <w:t>ITU-T RECOMMENDATION OVERVIEW</w:t>
            </w:r>
          </w:p>
        </w:tc>
      </w:tr>
      <w:tr w:rsidR="00457399" w14:paraId="488101B6" w14:textId="77777777">
        <w:trPr>
          <w:trHeight w:val="416"/>
        </w:trPr>
        <w:tc>
          <w:tcPr>
            <w:tcW w:w="2689" w:type="dxa"/>
            <w:vAlign w:val="center"/>
          </w:tcPr>
          <w:p w14:paraId="6774513E" w14:textId="77777777" w:rsidR="00457399" w:rsidRDefault="00F42A0C">
            <w:pPr>
              <w:rPr>
                <w:sz w:val="22"/>
                <w:szCs w:val="22"/>
              </w:rPr>
            </w:pPr>
            <w:r>
              <w:rPr>
                <w:sz w:val="22"/>
                <w:szCs w:val="22"/>
              </w:rPr>
              <w:t>ITU-T Recommendation:</w:t>
            </w:r>
          </w:p>
        </w:tc>
        <w:tc>
          <w:tcPr>
            <w:tcW w:w="6915" w:type="dxa"/>
            <w:gridSpan w:val="2"/>
            <w:vAlign w:val="center"/>
          </w:tcPr>
          <w:p w14:paraId="745DAB49" w14:textId="77777777" w:rsidR="00457399" w:rsidRDefault="00F42A0C">
            <w:pPr>
              <w:rPr>
                <w:sz w:val="22"/>
                <w:szCs w:val="22"/>
              </w:rPr>
            </w:pPr>
            <w:r>
              <w:rPr>
                <w:sz w:val="22"/>
                <w:szCs w:val="22"/>
              </w:rPr>
              <w:t>ITU-T P.1140</w:t>
            </w:r>
          </w:p>
        </w:tc>
      </w:tr>
      <w:tr w:rsidR="00457399" w14:paraId="4DB77C4C" w14:textId="77777777">
        <w:trPr>
          <w:trHeight w:val="416"/>
        </w:trPr>
        <w:tc>
          <w:tcPr>
            <w:tcW w:w="2689" w:type="dxa"/>
            <w:vAlign w:val="center"/>
          </w:tcPr>
          <w:p w14:paraId="182B7611" w14:textId="77777777" w:rsidR="00457399" w:rsidRDefault="00F42A0C">
            <w:pPr>
              <w:rPr>
                <w:sz w:val="22"/>
                <w:szCs w:val="22"/>
              </w:rPr>
            </w:pPr>
            <w:r>
              <w:rPr>
                <w:sz w:val="22"/>
                <w:szCs w:val="22"/>
              </w:rPr>
              <w:t>Title:</w:t>
            </w:r>
          </w:p>
        </w:tc>
        <w:tc>
          <w:tcPr>
            <w:tcW w:w="6915" w:type="dxa"/>
            <w:gridSpan w:val="2"/>
            <w:vAlign w:val="center"/>
          </w:tcPr>
          <w:p w14:paraId="565D2093" w14:textId="77777777" w:rsidR="00457399" w:rsidRDefault="00F42A0C">
            <w:pPr>
              <w:rPr>
                <w:b/>
                <w:bCs/>
                <w:sz w:val="22"/>
                <w:szCs w:val="22"/>
              </w:rPr>
            </w:pPr>
            <w:r>
              <w:rPr>
                <w:b/>
                <w:bCs/>
                <w:sz w:val="22"/>
                <w:szCs w:val="22"/>
              </w:rPr>
              <w:t>Speech communication requirements for emergency calls originating from vehicles</w:t>
            </w:r>
          </w:p>
        </w:tc>
      </w:tr>
      <w:tr w:rsidR="00457399" w14:paraId="4C28846E" w14:textId="77777777">
        <w:trPr>
          <w:trHeight w:val="416"/>
        </w:trPr>
        <w:tc>
          <w:tcPr>
            <w:tcW w:w="2689" w:type="dxa"/>
            <w:vAlign w:val="center"/>
          </w:tcPr>
          <w:p w14:paraId="132841BC" w14:textId="77777777" w:rsidR="00457399" w:rsidRDefault="00F42A0C">
            <w:pPr>
              <w:rPr>
                <w:sz w:val="22"/>
                <w:szCs w:val="22"/>
              </w:rPr>
            </w:pPr>
            <w:r>
              <w:rPr>
                <w:sz w:val="22"/>
                <w:szCs w:val="22"/>
              </w:rPr>
              <w:t>Effective period:</w:t>
            </w:r>
          </w:p>
        </w:tc>
        <w:tc>
          <w:tcPr>
            <w:tcW w:w="6915" w:type="dxa"/>
            <w:gridSpan w:val="2"/>
            <w:vAlign w:val="center"/>
          </w:tcPr>
          <w:p w14:paraId="0A6E7FC6" w14:textId="77777777" w:rsidR="00457399" w:rsidRDefault="00F42A0C">
            <w:pPr>
              <w:rPr>
                <w:sz w:val="22"/>
                <w:szCs w:val="22"/>
              </w:rPr>
            </w:pPr>
            <w:r>
              <w:rPr>
                <w:sz w:val="22"/>
                <w:szCs w:val="22"/>
              </w:rPr>
              <w:t>2015 - Present</w:t>
            </w:r>
          </w:p>
        </w:tc>
      </w:tr>
      <w:tr w:rsidR="00457399" w14:paraId="0DD554A5" w14:textId="77777777">
        <w:trPr>
          <w:trHeight w:val="708"/>
        </w:trPr>
        <w:tc>
          <w:tcPr>
            <w:tcW w:w="2689" w:type="dxa"/>
            <w:vAlign w:val="center"/>
          </w:tcPr>
          <w:p w14:paraId="496D3DF6" w14:textId="77777777" w:rsidR="00457399" w:rsidRDefault="00F42A0C">
            <w:pPr>
              <w:rPr>
                <w:sz w:val="22"/>
                <w:szCs w:val="22"/>
              </w:rPr>
            </w:pPr>
            <w:r>
              <w:rPr>
                <w:sz w:val="22"/>
                <w:szCs w:val="22"/>
              </w:rPr>
              <w:t xml:space="preserve">Summary: </w:t>
            </w:r>
          </w:p>
        </w:tc>
        <w:tc>
          <w:tcPr>
            <w:tcW w:w="6915" w:type="dxa"/>
            <w:gridSpan w:val="2"/>
            <w:vAlign w:val="center"/>
          </w:tcPr>
          <w:p w14:paraId="7EEEE393" w14:textId="77777777" w:rsidR="00457399" w:rsidRDefault="00F42A0C">
            <w:pPr>
              <w:rPr>
                <w:sz w:val="22"/>
                <w:szCs w:val="22"/>
              </w:rPr>
            </w:pPr>
            <w:r>
              <w:rPr>
                <w:sz w:val="22"/>
                <w:szCs w:val="22"/>
              </w:rPr>
              <w:t xml:space="preserve">ITU-T P.1140 defines use cases, requirements and associated test methods for speech communication for emergency call communications originating from vehicles using a dedicated emergency call system covering built-in emergency call systems (manufacturer installed) as well as after-market emergency call kits. </w:t>
            </w:r>
          </w:p>
          <w:p w14:paraId="2D9D7D1C" w14:textId="77777777" w:rsidR="00457399" w:rsidRDefault="00F42A0C">
            <w:pPr>
              <w:rPr>
                <w:sz w:val="22"/>
                <w:szCs w:val="22"/>
              </w:rPr>
            </w:pPr>
            <w:r>
              <w:rPr>
                <w:sz w:val="22"/>
                <w:szCs w:val="22"/>
              </w:rPr>
              <w:t>P.1140 is updated periodically to satisfy market needs.</w:t>
            </w:r>
          </w:p>
        </w:tc>
      </w:tr>
      <w:tr w:rsidR="00457399" w14:paraId="0F3AF277" w14:textId="77777777">
        <w:trPr>
          <w:trHeight w:val="413"/>
        </w:trPr>
        <w:tc>
          <w:tcPr>
            <w:tcW w:w="9604" w:type="dxa"/>
            <w:gridSpan w:val="3"/>
            <w:shd w:val="clear" w:color="auto" w:fill="D9D9D9" w:themeFill="background1" w:themeFillShade="D9"/>
            <w:vAlign w:val="center"/>
          </w:tcPr>
          <w:p w14:paraId="4C1CFDA1" w14:textId="77777777" w:rsidR="00457399" w:rsidRDefault="00F42A0C">
            <w:pPr>
              <w:jc w:val="center"/>
              <w:rPr>
                <w:sz w:val="22"/>
                <w:szCs w:val="22"/>
              </w:rPr>
            </w:pPr>
            <w:r>
              <w:rPr>
                <w:b/>
                <w:bCs/>
                <w:sz w:val="22"/>
                <w:szCs w:val="22"/>
                <w:u w:val="single"/>
              </w:rPr>
              <w:t>SUCCESS STORY</w:t>
            </w:r>
          </w:p>
        </w:tc>
      </w:tr>
      <w:tr w:rsidR="00457399" w14:paraId="2D9AE4DF" w14:textId="77777777">
        <w:trPr>
          <w:trHeight w:val="1246"/>
        </w:trPr>
        <w:tc>
          <w:tcPr>
            <w:tcW w:w="2689" w:type="dxa"/>
            <w:vAlign w:val="center"/>
          </w:tcPr>
          <w:p w14:paraId="63748510" w14:textId="77777777" w:rsidR="00457399" w:rsidRDefault="00F42A0C">
            <w:pPr>
              <w:rPr>
                <w:sz w:val="22"/>
                <w:szCs w:val="22"/>
              </w:rPr>
            </w:pPr>
            <w:r>
              <w:rPr>
                <w:sz w:val="22"/>
                <w:szCs w:val="22"/>
              </w:rPr>
              <w:t>Implementation type:</w:t>
            </w:r>
          </w:p>
          <w:p w14:paraId="08219BBF" w14:textId="77777777" w:rsidR="00457399" w:rsidRDefault="00F42A0C">
            <w:pPr>
              <w:rPr>
                <w:sz w:val="22"/>
                <w:szCs w:val="22"/>
              </w:rPr>
            </w:pPr>
            <w:r>
              <w:rPr>
                <w:i/>
                <w:iCs/>
                <w:sz w:val="22"/>
                <w:szCs w:val="22"/>
              </w:rPr>
              <w:t>(Select all that apply and provide information below)</w:t>
            </w:r>
          </w:p>
        </w:tc>
        <w:tc>
          <w:tcPr>
            <w:tcW w:w="6915" w:type="dxa"/>
            <w:gridSpan w:val="2"/>
          </w:tcPr>
          <w:p w14:paraId="0C609534" w14:textId="77777777" w:rsidR="00457399" w:rsidRDefault="00F42A0C">
            <w:pPr>
              <w:spacing w:before="0"/>
              <w:rPr>
                <w:sz w:val="22"/>
                <w:szCs w:val="22"/>
              </w:rPr>
            </w:pPr>
            <w:r>
              <w:rPr>
                <w:rFonts w:ascii="Segoe UI Symbol" w:hAnsi="Segoe UI Symbol" w:cs="Segoe UI Symbol"/>
                <w:sz w:val="22"/>
                <w:szCs w:val="22"/>
              </w:rPr>
              <w:t>x</w:t>
            </w:r>
            <w:r>
              <w:rPr>
                <w:sz w:val="22"/>
                <w:szCs w:val="22"/>
              </w:rPr>
              <w:t xml:space="preserve"> Telecom/ICT products/services</w:t>
            </w:r>
            <w:r>
              <w:rPr>
                <w:sz w:val="22"/>
                <w:szCs w:val="22"/>
              </w:rPr>
              <w:br/>
            </w:r>
            <w:r>
              <w:rPr>
                <w:rFonts w:ascii="Segoe UI Symbol" w:hAnsi="Segoe UI Symbol" w:cs="Segoe UI Symbol"/>
                <w:sz w:val="22"/>
                <w:szCs w:val="22"/>
              </w:rPr>
              <w:t>x</w:t>
            </w:r>
            <w:r>
              <w:rPr>
                <w:sz w:val="22"/>
                <w:szCs w:val="22"/>
              </w:rPr>
              <w:t xml:space="preserve"> Telecom/ICT regulations/policies/national standards</w:t>
            </w:r>
            <w:r>
              <w:rPr>
                <w:sz w:val="22"/>
                <w:szCs w:val="22"/>
              </w:rPr>
              <w:br/>
            </w:r>
            <w:r>
              <w:rPr>
                <w:rFonts w:ascii="Segoe UI Symbol" w:hAnsi="Segoe UI Symbol" w:cs="Segoe UI Symbol"/>
                <w:sz w:val="22"/>
                <w:szCs w:val="22"/>
              </w:rPr>
              <w:t>x</w:t>
            </w:r>
            <w:r>
              <w:rPr>
                <w:sz w:val="22"/>
                <w:szCs w:val="22"/>
              </w:rPr>
              <w:t xml:space="preserve"> </w:t>
            </w:r>
            <w:proofErr w:type="gramStart"/>
            <w:r>
              <w:rPr>
                <w:sz w:val="22"/>
                <w:szCs w:val="22"/>
              </w:rPr>
              <w:t>International</w:t>
            </w:r>
            <w:proofErr w:type="gramEnd"/>
            <w:r>
              <w:rPr>
                <w:sz w:val="22"/>
                <w:szCs w:val="22"/>
              </w:rPr>
              <w:t xml:space="preserve"> standards/ Recommendations</w:t>
            </w:r>
          </w:p>
          <w:p w14:paraId="7048A2CF" w14:textId="77777777" w:rsidR="00457399" w:rsidRDefault="00F42A0C">
            <w:pPr>
              <w:spacing w:before="0"/>
              <w:rPr>
                <w:sz w:val="22"/>
                <w:szCs w:val="22"/>
              </w:rPr>
            </w:pPr>
            <w:r>
              <w:rPr>
                <w:rFonts w:ascii="Segoe UI Symbol" w:hAnsi="Segoe UI Symbol" w:cs="Segoe UI Symbol"/>
                <w:sz w:val="22"/>
                <w:szCs w:val="22"/>
              </w:rPr>
              <w:t>☐</w:t>
            </w:r>
            <w:r>
              <w:rPr>
                <w:sz w:val="22"/>
                <w:szCs w:val="22"/>
              </w:rPr>
              <w:t xml:space="preserve"> Other</w:t>
            </w:r>
          </w:p>
        </w:tc>
      </w:tr>
      <w:tr w:rsidR="00457399" w14:paraId="0DA272AE" w14:textId="77777777">
        <w:trPr>
          <w:trHeight w:val="848"/>
        </w:trPr>
        <w:tc>
          <w:tcPr>
            <w:tcW w:w="2689" w:type="dxa"/>
            <w:vMerge w:val="restart"/>
            <w:vAlign w:val="center"/>
          </w:tcPr>
          <w:p w14:paraId="2A4B1AA7" w14:textId="77777777" w:rsidR="00457399" w:rsidRDefault="00F42A0C">
            <w:pPr>
              <w:rPr>
                <w:rFonts w:ascii="Segoe UI Symbol" w:hAnsi="Segoe UI Symbol" w:cs="Segoe UI Symbol"/>
                <w:b/>
                <w:bCs/>
                <w:u w:val="single"/>
              </w:rPr>
            </w:pPr>
            <w:r>
              <w:rPr>
                <w:b/>
                <w:bCs/>
                <w:u w:val="single"/>
              </w:rPr>
              <w:t>Telecom/ICT products/services</w:t>
            </w:r>
          </w:p>
        </w:tc>
        <w:tc>
          <w:tcPr>
            <w:tcW w:w="3260" w:type="dxa"/>
          </w:tcPr>
          <w:p w14:paraId="1E4A31C4" w14:textId="77777777" w:rsidR="00457399" w:rsidRDefault="00F42A0C">
            <w:pPr>
              <w:rPr>
                <w:b/>
                <w:bCs/>
                <w:sz w:val="22"/>
                <w:szCs w:val="22"/>
              </w:rPr>
            </w:pPr>
            <w:r>
              <w:rPr>
                <w:b/>
                <w:bCs/>
                <w:sz w:val="22"/>
                <w:szCs w:val="22"/>
              </w:rPr>
              <w:t xml:space="preserve">Implementing body: </w:t>
            </w:r>
          </w:p>
          <w:p w14:paraId="1F63EF6B" w14:textId="77777777" w:rsidR="00457399" w:rsidRDefault="00F42A0C">
            <w:pPr>
              <w:rPr>
                <w:sz w:val="22"/>
                <w:szCs w:val="22"/>
              </w:rPr>
            </w:pPr>
            <w:r>
              <w:rPr>
                <w:sz w:val="22"/>
                <w:szCs w:val="22"/>
              </w:rPr>
              <w:t>Automotive OEMs and suppliers worldwide</w:t>
            </w:r>
            <w:r>
              <w:rPr>
                <w:sz w:val="22"/>
                <w:szCs w:val="22"/>
              </w:rPr>
              <w:br/>
            </w:r>
          </w:p>
          <w:p w14:paraId="57E48CB9" w14:textId="77777777" w:rsidR="00457399" w:rsidRDefault="00F42A0C">
            <w:pPr>
              <w:rPr>
                <w:sz w:val="22"/>
                <w:szCs w:val="22"/>
              </w:rPr>
            </w:pPr>
            <w:r>
              <w:rPr>
                <w:sz w:val="22"/>
                <w:szCs w:val="22"/>
              </w:rPr>
              <w:t>Manufacturers of test equipment</w:t>
            </w:r>
            <w:r>
              <w:rPr>
                <w:sz w:val="22"/>
                <w:szCs w:val="22"/>
              </w:rPr>
              <w:br/>
            </w:r>
          </w:p>
          <w:p w14:paraId="75F77F87" w14:textId="77777777" w:rsidR="00457399" w:rsidRDefault="00F42A0C">
            <w:pPr>
              <w:rPr>
                <w:sz w:val="22"/>
                <w:szCs w:val="22"/>
              </w:rPr>
            </w:pPr>
            <w:r>
              <w:rPr>
                <w:sz w:val="22"/>
                <w:szCs w:val="22"/>
              </w:rPr>
              <w:t>Testing houses</w:t>
            </w:r>
          </w:p>
        </w:tc>
        <w:tc>
          <w:tcPr>
            <w:tcW w:w="3655" w:type="dxa"/>
          </w:tcPr>
          <w:p w14:paraId="32E45495" w14:textId="77777777" w:rsidR="00457399" w:rsidRDefault="00F42A0C">
            <w:pPr>
              <w:rPr>
                <w:b/>
                <w:bCs/>
                <w:sz w:val="22"/>
                <w:szCs w:val="22"/>
              </w:rPr>
            </w:pPr>
            <w:r>
              <w:rPr>
                <w:b/>
                <w:bCs/>
                <w:sz w:val="22"/>
                <w:szCs w:val="22"/>
              </w:rPr>
              <w:t>Implementation:</w:t>
            </w:r>
          </w:p>
          <w:p w14:paraId="7C8D9963" w14:textId="77777777" w:rsidR="00457399" w:rsidRDefault="00F42A0C">
            <w:pPr>
              <w:rPr>
                <w:sz w:val="22"/>
                <w:szCs w:val="22"/>
              </w:rPr>
            </w:pPr>
            <w:r>
              <w:rPr>
                <w:sz w:val="22"/>
                <w:szCs w:val="22"/>
              </w:rPr>
              <w:t>Emergency call systems (manufacturer installed and after-market) meeting P.1140 requirements</w:t>
            </w:r>
          </w:p>
          <w:p w14:paraId="5F42732F" w14:textId="77777777" w:rsidR="00457399" w:rsidRDefault="00F42A0C">
            <w:pPr>
              <w:rPr>
                <w:sz w:val="22"/>
                <w:szCs w:val="22"/>
              </w:rPr>
            </w:pPr>
            <w:r>
              <w:rPr>
                <w:sz w:val="22"/>
                <w:szCs w:val="22"/>
              </w:rPr>
              <w:t>Test equipment in accordance with P.1140</w:t>
            </w:r>
          </w:p>
          <w:p w14:paraId="1349B49C" w14:textId="77777777" w:rsidR="00457399" w:rsidRDefault="00F42A0C">
            <w:pPr>
              <w:rPr>
                <w:sz w:val="22"/>
                <w:szCs w:val="22"/>
              </w:rPr>
            </w:pPr>
            <w:r>
              <w:rPr>
                <w:sz w:val="22"/>
                <w:szCs w:val="22"/>
              </w:rPr>
              <w:t>Tests in accordance with P.1140</w:t>
            </w:r>
          </w:p>
        </w:tc>
      </w:tr>
      <w:tr w:rsidR="00457399" w14:paraId="602BC36A" w14:textId="77777777">
        <w:trPr>
          <w:trHeight w:val="1232"/>
        </w:trPr>
        <w:tc>
          <w:tcPr>
            <w:tcW w:w="2689" w:type="dxa"/>
            <w:vMerge/>
            <w:vAlign w:val="center"/>
          </w:tcPr>
          <w:p w14:paraId="2C1644EB" w14:textId="77777777" w:rsidR="00457399" w:rsidRDefault="00457399">
            <w:pPr>
              <w:rPr>
                <w:b/>
                <w:bCs/>
                <w:u w:val="single"/>
              </w:rPr>
            </w:pPr>
          </w:p>
        </w:tc>
        <w:tc>
          <w:tcPr>
            <w:tcW w:w="6915" w:type="dxa"/>
            <w:gridSpan w:val="2"/>
          </w:tcPr>
          <w:p w14:paraId="6D5EBEB0" w14:textId="77777777" w:rsidR="00457399" w:rsidRDefault="00F42A0C">
            <w:pPr>
              <w:rPr>
                <w:b/>
                <w:bCs/>
                <w:sz w:val="22"/>
                <w:szCs w:val="22"/>
              </w:rPr>
            </w:pPr>
            <w:r>
              <w:rPr>
                <w:b/>
                <w:bCs/>
                <w:sz w:val="22"/>
                <w:szCs w:val="22"/>
              </w:rPr>
              <w:t>Implementation summary:</w:t>
            </w:r>
          </w:p>
          <w:p w14:paraId="66C6658A" w14:textId="77777777" w:rsidR="00457399" w:rsidRDefault="00F42A0C">
            <w:pPr>
              <w:rPr>
                <w:sz w:val="22"/>
                <w:szCs w:val="22"/>
              </w:rPr>
            </w:pPr>
            <w:r>
              <w:rPr>
                <w:sz w:val="22"/>
                <w:szCs w:val="22"/>
              </w:rPr>
              <w:t xml:space="preserve">New vehicle models fitted with an automatic emergency call system are required to meet the speech communication requirements in P.1140 in many countries. </w:t>
            </w:r>
          </w:p>
          <w:p w14:paraId="643245DC" w14:textId="77777777" w:rsidR="00457399" w:rsidRDefault="00F42A0C">
            <w:pPr>
              <w:rPr>
                <w:sz w:val="22"/>
                <w:szCs w:val="22"/>
              </w:rPr>
            </w:pPr>
            <w:r>
              <w:rPr>
                <w:sz w:val="22"/>
                <w:szCs w:val="22"/>
              </w:rPr>
              <w:t>The requirements are tested by testing houses using specialized test equipment.</w:t>
            </w:r>
          </w:p>
          <w:p w14:paraId="77AEE3E2" w14:textId="77777777" w:rsidR="00457399" w:rsidRDefault="00F42A0C">
            <w:pPr>
              <w:rPr>
                <w:sz w:val="22"/>
                <w:szCs w:val="22"/>
              </w:rPr>
            </w:pPr>
            <w:r>
              <w:rPr>
                <w:sz w:val="22"/>
                <w:szCs w:val="22"/>
              </w:rPr>
              <w:t xml:space="preserve">Some 60 million new passenger vehicles are sold each year, according to the International Organization of Motor Vehicle Manufacturers (OICA). </w:t>
            </w:r>
          </w:p>
          <w:p w14:paraId="0B694293" w14:textId="77777777" w:rsidR="00457399" w:rsidRDefault="00F42A0C">
            <w:pPr>
              <w:rPr>
                <w:sz w:val="22"/>
                <w:szCs w:val="22"/>
              </w:rPr>
            </w:pPr>
            <w:r>
              <w:rPr>
                <w:i/>
                <w:iCs/>
                <w:sz w:val="22"/>
                <w:szCs w:val="22"/>
              </w:rPr>
              <w:t>For the average citizen</w:t>
            </w:r>
            <w:r>
              <w:rPr>
                <w:sz w:val="22"/>
                <w:szCs w:val="22"/>
              </w:rPr>
              <w:t>, P.1140 helps ensure that voice communication—especially emergency calls—is clear and intelligible even in noisy environments, improving safety and accessibility for all users.</w:t>
            </w:r>
          </w:p>
        </w:tc>
      </w:tr>
      <w:tr w:rsidR="00457399" w14:paraId="1DB0000E" w14:textId="77777777">
        <w:trPr>
          <w:trHeight w:val="1169"/>
        </w:trPr>
        <w:tc>
          <w:tcPr>
            <w:tcW w:w="2689" w:type="dxa"/>
            <w:vMerge w:val="restart"/>
            <w:vAlign w:val="center"/>
          </w:tcPr>
          <w:p w14:paraId="09F49453" w14:textId="77777777" w:rsidR="00457399" w:rsidRDefault="00F42A0C">
            <w:pPr>
              <w:rPr>
                <w:rFonts w:ascii="Segoe UI Symbol" w:hAnsi="Segoe UI Symbol" w:cs="Segoe UI Symbol"/>
                <w:b/>
                <w:bCs/>
                <w:u w:val="single"/>
              </w:rPr>
            </w:pPr>
            <w:r>
              <w:rPr>
                <w:b/>
                <w:bCs/>
                <w:u w:val="single"/>
              </w:rPr>
              <w:t>Telecom/ICT regulations/policies/ national Standards</w:t>
            </w:r>
          </w:p>
        </w:tc>
        <w:tc>
          <w:tcPr>
            <w:tcW w:w="3260" w:type="dxa"/>
          </w:tcPr>
          <w:p w14:paraId="06EAED54" w14:textId="77777777" w:rsidR="00457399" w:rsidRDefault="00F42A0C">
            <w:pPr>
              <w:rPr>
                <w:b/>
                <w:bCs/>
                <w:sz w:val="22"/>
                <w:szCs w:val="22"/>
              </w:rPr>
            </w:pPr>
            <w:r>
              <w:rPr>
                <w:b/>
                <w:bCs/>
                <w:sz w:val="22"/>
                <w:szCs w:val="22"/>
              </w:rPr>
              <w:t xml:space="preserve">Implementing body: </w:t>
            </w:r>
          </w:p>
          <w:p w14:paraId="7D9F5354" w14:textId="77777777" w:rsidR="00457399" w:rsidRDefault="00F42A0C">
            <w:pPr>
              <w:rPr>
                <w:rFonts w:ascii="Segoe UI Symbol" w:hAnsi="Segoe UI Symbol" w:cs="Segoe UI Symbol"/>
                <w:sz w:val="22"/>
                <w:szCs w:val="22"/>
              </w:rPr>
            </w:pPr>
            <w:r>
              <w:rPr>
                <w:sz w:val="22"/>
                <w:szCs w:val="22"/>
              </w:rPr>
              <w:t>China</w:t>
            </w:r>
          </w:p>
        </w:tc>
        <w:tc>
          <w:tcPr>
            <w:tcW w:w="3655" w:type="dxa"/>
          </w:tcPr>
          <w:p w14:paraId="644CB6F9" w14:textId="77777777" w:rsidR="00457399" w:rsidRDefault="00F42A0C">
            <w:pPr>
              <w:rPr>
                <w:b/>
                <w:bCs/>
                <w:sz w:val="22"/>
                <w:szCs w:val="22"/>
              </w:rPr>
            </w:pPr>
            <w:r>
              <w:rPr>
                <w:b/>
                <w:bCs/>
                <w:sz w:val="22"/>
                <w:szCs w:val="22"/>
              </w:rPr>
              <w:t>Implementation:</w:t>
            </w:r>
          </w:p>
          <w:p w14:paraId="6E14593A" w14:textId="77777777" w:rsidR="00457399" w:rsidRDefault="00F42A0C">
            <w:pPr>
              <w:rPr>
                <w:rFonts w:ascii="Segoe UI Symbol" w:hAnsi="Segoe UI Symbol" w:cs="Segoe UI Symbol"/>
                <w:sz w:val="22"/>
                <w:szCs w:val="22"/>
              </w:rPr>
            </w:pPr>
            <w:r>
              <w:rPr>
                <w:sz w:val="22"/>
                <w:szCs w:val="22"/>
              </w:rPr>
              <w:t>GB/T 45314:2025</w:t>
            </w:r>
          </w:p>
        </w:tc>
      </w:tr>
      <w:tr w:rsidR="00457399" w14:paraId="0529C439" w14:textId="77777777">
        <w:trPr>
          <w:trHeight w:val="1142"/>
        </w:trPr>
        <w:tc>
          <w:tcPr>
            <w:tcW w:w="2689" w:type="dxa"/>
            <w:vMerge/>
            <w:vAlign w:val="center"/>
          </w:tcPr>
          <w:p w14:paraId="03FEE7D7" w14:textId="77777777" w:rsidR="00457399" w:rsidRDefault="00457399">
            <w:pPr>
              <w:rPr>
                <w:rFonts w:ascii="Segoe UI Symbol" w:hAnsi="Segoe UI Symbol" w:cs="Segoe UI Symbol"/>
                <w:b/>
                <w:bCs/>
                <w:u w:val="single"/>
              </w:rPr>
            </w:pPr>
          </w:p>
        </w:tc>
        <w:tc>
          <w:tcPr>
            <w:tcW w:w="6915" w:type="dxa"/>
            <w:gridSpan w:val="2"/>
          </w:tcPr>
          <w:p w14:paraId="6510D2E8" w14:textId="77777777" w:rsidR="00457399" w:rsidRDefault="00F42A0C">
            <w:pPr>
              <w:rPr>
                <w:b/>
                <w:bCs/>
                <w:sz w:val="22"/>
                <w:szCs w:val="22"/>
              </w:rPr>
            </w:pPr>
            <w:r>
              <w:rPr>
                <w:b/>
                <w:bCs/>
                <w:sz w:val="22"/>
                <w:szCs w:val="22"/>
              </w:rPr>
              <w:t>Implementation summary:</w:t>
            </w:r>
          </w:p>
          <w:p w14:paraId="51780A23" w14:textId="77777777" w:rsidR="00457399" w:rsidRDefault="00F42A0C">
            <w:pPr>
              <w:rPr>
                <w:rFonts w:ascii="Segoe UI Symbol" w:hAnsi="Segoe UI Symbol" w:cs="Segoe UI Symbol"/>
                <w:sz w:val="22"/>
                <w:szCs w:val="22"/>
              </w:rPr>
            </w:pPr>
            <w:r>
              <w:rPr>
                <w:sz w:val="22"/>
                <w:szCs w:val="22"/>
              </w:rPr>
              <w:t>P.1140 is referenced in GB/T 45314:2025, indicating its integration into China’s framework for automated emergency call systems.</w:t>
            </w:r>
          </w:p>
        </w:tc>
      </w:tr>
      <w:tr w:rsidR="00457399" w14:paraId="36DEB3A6" w14:textId="77777777">
        <w:trPr>
          <w:trHeight w:val="1234"/>
        </w:trPr>
        <w:tc>
          <w:tcPr>
            <w:tcW w:w="2689" w:type="dxa"/>
            <w:vMerge w:val="restart"/>
            <w:vAlign w:val="center"/>
          </w:tcPr>
          <w:p w14:paraId="2E597A93" w14:textId="77777777" w:rsidR="00457399" w:rsidRDefault="00F42A0C">
            <w:pPr>
              <w:rPr>
                <w:rFonts w:ascii="Segoe UI Symbol" w:hAnsi="Segoe UI Symbol" w:cs="Segoe UI Symbol"/>
                <w:b/>
                <w:bCs/>
                <w:u w:val="single"/>
              </w:rPr>
            </w:pPr>
            <w:r>
              <w:rPr>
                <w:b/>
                <w:bCs/>
                <w:u w:val="single"/>
              </w:rPr>
              <w:t>International standards/ Recommendations</w:t>
            </w:r>
          </w:p>
        </w:tc>
        <w:tc>
          <w:tcPr>
            <w:tcW w:w="3260" w:type="dxa"/>
          </w:tcPr>
          <w:p w14:paraId="39C03843" w14:textId="77777777" w:rsidR="00457399" w:rsidRDefault="00F42A0C">
            <w:pPr>
              <w:rPr>
                <w:b/>
                <w:bCs/>
                <w:sz w:val="22"/>
                <w:szCs w:val="22"/>
              </w:rPr>
            </w:pPr>
            <w:r>
              <w:rPr>
                <w:b/>
                <w:bCs/>
                <w:sz w:val="22"/>
                <w:szCs w:val="22"/>
              </w:rPr>
              <w:t xml:space="preserve">Implementing body: </w:t>
            </w:r>
          </w:p>
          <w:p w14:paraId="1E3B3A88" w14:textId="77777777" w:rsidR="00457399" w:rsidRDefault="00F42A0C">
            <w:pPr>
              <w:rPr>
                <w:sz w:val="22"/>
                <w:szCs w:val="22"/>
              </w:rPr>
            </w:pPr>
            <w:r>
              <w:rPr>
                <w:sz w:val="22"/>
                <w:szCs w:val="22"/>
              </w:rPr>
              <w:t>UNECE</w:t>
            </w:r>
          </w:p>
          <w:p w14:paraId="6141453A" w14:textId="77777777" w:rsidR="00457399" w:rsidRDefault="00F42A0C">
            <w:pPr>
              <w:rPr>
                <w:sz w:val="22"/>
                <w:szCs w:val="22"/>
              </w:rPr>
            </w:pPr>
            <w:r>
              <w:rPr>
                <w:sz w:val="22"/>
                <w:szCs w:val="22"/>
              </w:rPr>
              <w:t>CEN</w:t>
            </w:r>
          </w:p>
        </w:tc>
        <w:tc>
          <w:tcPr>
            <w:tcW w:w="3655" w:type="dxa"/>
          </w:tcPr>
          <w:p w14:paraId="2009A966" w14:textId="77777777" w:rsidR="00457399" w:rsidRDefault="00F42A0C">
            <w:pPr>
              <w:rPr>
                <w:b/>
                <w:bCs/>
                <w:sz w:val="22"/>
                <w:szCs w:val="22"/>
                <w:lang w:val="fr-FR"/>
              </w:rPr>
            </w:pPr>
            <w:proofErr w:type="spellStart"/>
            <w:proofErr w:type="gramStart"/>
            <w:r>
              <w:rPr>
                <w:b/>
                <w:bCs/>
                <w:sz w:val="22"/>
                <w:szCs w:val="22"/>
                <w:lang w:val="fr-FR"/>
              </w:rPr>
              <w:t>Implementation</w:t>
            </w:r>
            <w:proofErr w:type="spellEnd"/>
            <w:r>
              <w:rPr>
                <w:b/>
                <w:bCs/>
                <w:sz w:val="22"/>
                <w:szCs w:val="22"/>
                <w:lang w:val="fr-FR"/>
              </w:rPr>
              <w:t>:</w:t>
            </w:r>
            <w:proofErr w:type="gramEnd"/>
          </w:p>
          <w:p w14:paraId="2DB4740A" w14:textId="77777777" w:rsidR="00457399" w:rsidRDefault="00F42A0C">
            <w:pPr>
              <w:rPr>
                <w:sz w:val="22"/>
                <w:szCs w:val="22"/>
                <w:lang w:val="fr-FR"/>
              </w:rPr>
            </w:pPr>
            <w:r>
              <w:rPr>
                <w:sz w:val="22"/>
                <w:szCs w:val="22"/>
                <w:lang w:val="fr-FR"/>
              </w:rPr>
              <w:t>R144</w:t>
            </w:r>
          </w:p>
          <w:p w14:paraId="7ED47022" w14:textId="77777777" w:rsidR="00457399" w:rsidRDefault="00F42A0C">
            <w:pPr>
              <w:rPr>
                <w:sz w:val="22"/>
                <w:szCs w:val="22"/>
                <w:lang w:val="fr-FR"/>
              </w:rPr>
            </w:pPr>
            <w:r>
              <w:rPr>
                <w:sz w:val="22"/>
                <w:szCs w:val="22"/>
                <w:lang w:val="fr-FR"/>
              </w:rPr>
              <w:t xml:space="preserve">CEN EN </w:t>
            </w:r>
            <w:proofErr w:type="gramStart"/>
            <w:r>
              <w:rPr>
                <w:sz w:val="22"/>
                <w:szCs w:val="22"/>
                <w:lang w:val="fr-FR"/>
              </w:rPr>
              <w:t>17240:</w:t>
            </w:r>
            <w:proofErr w:type="gramEnd"/>
            <w:r>
              <w:rPr>
                <w:sz w:val="22"/>
                <w:szCs w:val="22"/>
                <w:lang w:val="fr-FR"/>
              </w:rPr>
              <w:t>2024</w:t>
            </w:r>
          </w:p>
        </w:tc>
      </w:tr>
      <w:tr w:rsidR="00457399" w14:paraId="7E5C74AD" w14:textId="77777777">
        <w:trPr>
          <w:trHeight w:val="1353"/>
        </w:trPr>
        <w:tc>
          <w:tcPr>
            <w:tcW w:w="2689" w:type="dxa"/>
            <w:vMerge/>
            <w:vAlign w:val="center"/>
          </w:tcPr>
          <w:p w14:paraId="189EC558" w14:textId="77777777" w:rsidR="00457399" w:rsidRDefault="00457399">
            <w:pPr>
              <w:rPr>
                <w:rFonts w:ascii="Segoe UI Symbol" w:hAnsi="Segoe UI Symbol" w:cs="Segoe UI Symbol"/>
                <w:sz w:val="22"/>
                <w:szCs w:val="22"/>
                <w:lang w:val="fr-FR"/>
              </w:rPr>
            </w:pPr>
          </w:p>
        </w:tc>
        <w:tc>
          <w:tcPr>
            <w:tcW w:w="6915" w:type="dxa"/>
            <w:gridSpan w:val="2"/>
          </w:tcPr>
          <w:p w14:paraId="1E0572E0" w14:textId="77777777" w:rsidR="00457399" w:rsidRDefault="00F42A0C">
            <w:pPr>
              <w:rPr>
                <w:b/>
                <w:bCs/>
                <w:sz w:val="22"/>
                <w:szCs w:val="22"/>
              </w:rPr>
            </w:pPr>
            <w:r>
              <w:rPr>
                <w:b/>
                <w:bCs/>
                <w:sz w:val="22"/>
                <w:szCs w:val="22"/>
              </w:rPr>
              <w:t>Implementation summary:</w:t>
            </w:r>
          </w:p>
          <w:p w14:paraId="5214ADCD" w14:textId="77777777" w:rsidR="00457399" w:rsidRDefault="00F42A0C">
            <w:pPr>
              <w:rPr>
                <w:rFonts w:ascii="Segoe UI Symbol" w:hAnsi="Segoe UI Symbol" w:cs="Segoe UI Symbol"/>
                <w:sz w:val="22"/>
                <w:szCs w:val="22"/>
              </w:rPr>
            </w:pPr>
            <w:r>
              <w:rPr>
                <w:sz w:val="22"/>
                <w:szCs w:val="22"/>
              </w:rPr>
              <w:t xml:space="preserve">P.1140 is referenced in UNECE R144 and CEN EN 17240:2024, indicating its integration into national and regional frameworks for </w:t>
            </w:r>
            <w:proofErr w:type="spellStart"/>
            <w:r>
              <w:rPr>
                <w:sz w:val="22"/>
                <w:szCs w:val="22"/>
              </w:rPr>
              <w:t>eCall</w:t>
            </w:r>
            <w:proofErr w:type="spellEnd"/>
            <w:r>
              <w:rPr>
                <w:sz w:val="22"/>
                <w:szCs w:val="22"/>
              </w:rPr>
              <w:t xml:space="preserve"> systems.</w:t>
            </w:r>
          </w:p>
        </w:tc>
      </w:tr>
      <w:tr w:rsidR="00457399" w14:paraId="35C4AE07" w14:textId="77777777">
        <w:trPr>
          <w:trHeight w:val="1034"/>
        </w:trPr>
        <w:tc>
          <w:tcPr>
            <w:tcW w:w="2689" w:type="dxa"/>
            <w:vAlign w:val="center"/>
          </w:tcPr>
          <w:p w14:paraId="3BF4FD92" w14:textId="77777777" w:rsidR="00457399" w:rsidRDefault="00F42A0C">
            <w:pPr>
              <w:rPr>
                <w:b/>
                <w:bCs/>
                <w:sz w:val="22"/>
                <w:szCs w:val="22"/>
              </w:rPr>
            </w:pPr>
            <w:r>
              <w:rPr>
                <w:b/>
                <w:bCs/>
                <w:u w:val="single"/>
              </w:rPr>
              <w:t>Other</w:t>
            </w:r>
          </w:p>
        </w:tc>
        <w:tc>
          <w:tcPr>
            <w:tcW w:w="6915" w:type="dxa"/>
            <w:gridSpan w:val="2"/>
            <w:vAlign w:val="center"/>
          </w:tcPr>
          <w:p w14:paraId="40B09318" w14:textId="77777777" w:rsidR="00457399" w:rsidRDefault="00F42A0C">
            <w:pPr>
              <w:rPr>
                <w:b/>
                <w:bCs/>
                <w:sz w:val="22"/>
                <w:szCs w:val="22"/>
              </w:rPr>
            </w:pPr>
            <w:r>
              <w:rPr>
                <w:b/>
                <w:bCs/>
                <w:sz w:val="22"/>
                <w:szCs w:val="22"/>
              </w:rPr>
              <w:t>Implementation summary:</w:t>
            </w:r>
          </w:p>
          <w:p w14:paraId="5107DD61" w14:textId="77777777" w:rsidR="00457399" w:rsidRDefault="00F42A0C">
            <w:pPr>
              <w:rPr>
                <w:b/>
                <w:bCs/>
                <w:sz w:val="22"/>
                <w:szCs w:val="22"/>
              </w:rPr>
            </w:pPr>
            <w:r>
              <w:rPr>
                <w:sz w:val="22"/>
                <w:szCs w:val="22"/>
              </w:rPr>
              <w:t>n/a</w:t>
            </w:r>
          </w:p>
        </w:tc>
      </w:tr>
    </w:tbl>
    <w:p w14:paraId="55550993" w14:textId="77777777" w:rsidR="00457399" w:rsidRDefault="00457399"/>
    <w:p w14:paraId="3A5D2DBC" w14:textId="77777777" w:rsidR="00457399" w:rsidRDefault="00457399"/>
    <w:p w14:paraId="23B05D44" w14:textId="77777777" w:rsidR="00457399" w:rsidRDefault="00F42A0C">
      <w:pPr>
        <w:spacing w:before="0" w:after="160" w:line="259" w:lineRule="auto"/>
      </w:pPr>
      <w:r>
        <w:br w:type="page" w:clear="all"/>
      </w:r>
    </w:p>
    <w:p w14:paraId="3FF6B69F" w14:textId="77777777" w:rsidR="00457399" w:rsidRDefault="00F42A0C">
      <w:pPr>
        <w:pStyle w:val="Heading2"/>
      </w:pPr>
      <w:r>
        <w:lastRenderedPageBreak/>
        <w:t>Example success story under WP2/12: Objective models and tools for multimedia quality</w:t>
      </w:r>
    </w:p>
    <w:p w14:paraId="76C8BF16" w14:textId="77777777" w:rsidR="00457399" w:rsidRDefault="00457399">
      <w:pPr>
        <w:rPr>
          <w:lang w:eastAsia="en-US"/>
        </w:rPr>
      </w:pPr>
    </w:p>
    <w:tbl>
      <w:tblPr>
        <w:tblStyle w:val="TableGrid"/>
        <w:tblW w:w="9604" w:type="dxa"/>
        <w:tblLook w:val="04A0" w:firstRow="1" w:lastRow="0" w:firstColumn="1" w:lastColumn="0" w:noHBand="0" w:noVBand="1"/>
      </w:tblPr>
      <w:tblGrid>
        <w:gridCol w:w="2689"/>
        <w:gridCol w:w="3260"/>
        <w:gridCol w:w="3655"/>
      </w:tblGrid>
      <w:tr w:rsidR="00457399" w14:paraId="51C4071F" w14:textId="77777777">
        <w:trPr>
          <w:trHeight w:val="416"/>
        </w:trPr>
        <w:tc>
          <w:tcPr>
            <w:tcW w:w="9604" w:type="dxa"/>
            <w:gridSpan w:val="3"/>
            <w:shd w:val="clear" w:color="auto" w:fill="D9D9D9" w:themeFill="background1" w:themeFillShade="D9"/>
            <w:vAlign w:val="center"/>
          </w:tcPr>
          <w:p w14:paraId="0E579A38" w14:textId="77777777" w:rsidR="00457399" w:rsidRDefault="00F42A0C">
            <w:pPr>
              <w:jc w:val="center"/>
              <w:rPr>
                <w:sz w:val="22"/>
                <w:szCs w:val="22"/>
              </w:rPr>
            </w:pPr>
            <w:r>
              <w:rPr>
                <w:b/>
                <w:bCs/>
                <w:sz w:val="22"/>
                <w:szCs w:val="22"/>
                <w:u w:val="single"/>
              </w:rPr>
              <w:t>ITU-T RECOMMENDATION OVERVIEW</w:t>
            </w:r>
          </w:p>
        </w:tc>
      </w:tr>
      <w:tr w:rsidR="00457399" w14:paraId="10083568" w14:textId="77777777">
        <w:trPr>
          <w:trHeight w:val="416"/>
        </w:trPr>
        <w:tc>
          <w:tcPr>
            <w:tcW w:w="2689" w:type="dxa"/>
            <w:vAlign w:val="center"/>
          </w:tcPr>
          <w:p w14:paraId="6852139D" w14:textId="77777777" w:rsidR="00457399" w:rsidRDefault="00F42A0C">
            <w:pPr>
              <w:rPr>
                <w:sz w:val="22"/>
                <w:szCs w:val="22"/>
              </w:rPr>
            </w:pPr>
            <w:r>
              <w:rPr>
                <w:sz w:val="22"/>
                <w:szCs w:val="22"/>
              </w:rPr>
              <w:t>ITU-T Recommendation:</w:t>
            </w:r>
          </w:p>
        </w:tc>
        <w:tc>
          <w:tcPr>
            <w:tcW w:w="6915" w:type="dxa"/>
            <w:gridSpan w:val="2"/>
            <w:vAlign w:val="center"/>
          </w:tcPr>
          <w:p w14:paraId="2FC768B2" w14:textId="77777777" w:rsidR="00457399" w:rsidRDefault="00F42A0C">
            <w:pPr>
              <w:rPr>
                <w:sz w:val="22"/>
                <w:szCs w:val="22"/>
              </w:rPr>
            </w:pPr>
            <w:r>
              <w:rPr>
                <w:sz w:val="22"/>
                <w:szCs w:val="22"/>
              </w:rPr>
              <w:t>ITU-T P.863</w:t>
            </w:r>
          </w:p>
        </w:tc>
      </w:tr>
      <w:tr w:rsidR="00457399" w14:paraId="13219832" w14:textId="77777777">
        <w:trPr>
          <w:trHeight w:val="416"/>
        </w:trPr>
        <w:tc>
          <w:tcPr>
            <w:tcW w:w="2689" w:type="dxa"/>
            <w:vAlign w:val="center"/>
          </w:tcPr>
          <w:p w14:paraId="25F587DC" w14:textId="77777777" w:rsidR="00457399" w:rsidRDefault="00F42A0C">
            <w:pPr>
              <w:rPr>
                <w:sz w:val="22"/>
                <w:szCs w:val="22"/>
              </w:rPr>
            </w:pPr>
            <w:r>
              <w:rPr>
                <w:sz w:val="22"/>
                <w:szCs w:val="22"/>
              </w:rPr>
              <w:t>Title:</w:t>
            </w:r>
          </w:p>
        </w:tc>
        <w:tc>
          <w:tcPr>
            <w:tcW w:w="6915" w:type="dxa"/>
            <w:gridSpan w:val="2"/>
            <w:vAlign w:val="center"/>
          </w:tcPr>
          <w:p w14:paraId="5769DBC9" w14:textId="77777777" w:rsidR="00457399" w:rsidRDefault="00F42A0C">
            <w:pPr>
              <w:rPr>
                <w:b/>
                <w:bCs/>
                <w:sz w:val="22"/>
                <w:szCs w:val="22"/>
              </w:rPr>
            </w:pPr>
            <w:r>
              <w:rPr>
                <w:b/>
                <w:bCs/>
                <w:sz w:val="22"/>
                <w:szCs w:val="22"/>
              </w:rPr>
              <w:t>Perceptual objective listening quality prediction</w:t>
            </w:r>
          </w:p>
        </w:tc>
      </w:tr>
      <w:tr w:rsidR="00457399" w14:paraId="01490F1B" w14:textId="77777777">
        <w:trPr>
          <w:trHeight w:val="416"/>
        </w:trPr>
        <w:tc>
          <w:tcPr>
            <w:tcW w:w="2689" w:type="dxa"/>
            <w:vAlign w:val="center"/>
          </w:tcPr>
          <w:p w14:paraId="0AD87867" w14:textId="77777777" w:rsidR="00457399" w:rsidRDefault="00F42A0C">
            <w:pPr>
              <w:rPr>
                <w:sz w:val="22"/>
                <w:szCs w:val="22"/>
              </w:rPr>
            </w:pPr>
            <w:r>
              <w:rPr>
                <w:sz w:val="22"/>
                <w:szCs w:val="22"/>
              </w:rPr>
              <w:t>Effective period:</w:t>
            </w:r>
          </w:p>
        </w:tc>
        <w:tc>
          <w:tcPr>
            <w:tcW w:w="6915" w:type="dxa"/>
            <w:gridSpan w:val="2"/>
            <w:vAlign w:val="center"/>
          </w:tcPr>
          <w:p w14:paraId="2D8FD0C6" w14:textId="77777777" w:rsidR="00457399" w:rsidRDefault="00F42A0C">
            <w:pPr>
              <w:rPr>
                <w:sz w:val="22"/>
                <w:szCs w:val="22"/>
              </w:rPr>
            </w:pPr>
            <w:r>
              <w:rPr>
                <w:sz w:val="22"/>
                <w:szCs w:val="22"/>
              </w:rPr>
              <w:t>2011 - Present</w:t>
            </w:r>
          </w:p>
        </w:tc>
      </w:tr>
      <w:tr w:rsidR="00457399" w14:paraId="5BB123C6" w14:textId="77777777">
        <w:trPr>
          <w:trHeight w:val="708"/>
        </w:trPr>
        <w:tc>
          <w:tcPr>
            <w:tcW w:w="2689" w:type="dxa"/>
            <w:vAlign w:val="center"/>
          </w:tcPr>
          <w:p w14:paraId="6AD523BF" w14:textId="77777777" w:rsidR="00457399" w:rsidRDefault="00F42A0C">
            <w:pPr>
              <w:rPr>
                <w:sz w:val="22"/>
                <w:szCs w:val="22"/>
              </w:rPr>
            </w:pPr>
            <w:r>
              <w:rPr>
                <w:sz w:val="22"/>
                <w:szCs w:val="22"/>
              </w:rPr>
              <w:t xml:space="preserve">Summary: </w:t>
            </w:r>
          </w:p>
        </w:tc>
        <w:tc>
          <w:tcPr>
            <w:tcW w:w="6915" w:type="dxa"/>
            <w:gridSpan w:val="2"/>
            <w:vAlign w:val="center"/>
          </w:tcPr>
          <w:p w14:paraId="0DC94549" w14:textId="77777777" w:rsidR="00457399" w:rsidRDefault="00F42A0C">
            <w:pPr>
              <w:rPr>
                <w:sz w:val="22"/>
                <w:szCs w:val="22"/>
              </w:rPr>
            </w:pPr>
            <w:r>
              <w:rPr>
                <w:sz w:val="22"/>
                <w:szCs w:val="22"/>
              </w:rPr>
              <w:t>ITU-T P.863 enables perceptual objective listening quality prediction in telephony. It evaluates speech quality by comparing a degraded signal to a clean reference, using models that predict four perceptual dimensions: colouration, discontinuity, noisiness, and sub-optimum loudness. P.863 is designed for diagnostic use across various telecommunication technologies. The Recommendation includes conformity testing procedures to validate implementations.</w:t>
            </w:r>
          </w:p>
          <w:p w14:paraId="7D73B9F0" w14:textId="77777777" w:rsidR="00457399" w:rsidRDefault="00F42A0C">
            <w:pPr>
              <w:rPr>
                <w:sz w:val="22"/>
                <w:szCs w:val="22"/>
              </w:rPr>
            </w:pPr>
            <w:r>
              <w:rPr>
                <w:sz w:val="22"/>
                <w:szCs w:val="22"/>
              </w:rPr>
              <w:t>P.863 is updated periodically to satisfy market needs.</w:t>
            </w:r>
          </w:p>
        </w:tc>
      </w:tr>
      <w:tr w:rsidR="00457399" w14:paraId="2AB0A9F7" w14:textId="77777777">
        <w:trPr>
          <w:trHeight w:val="413"/>
        </w:trPr>
        <w:tc>
          <w:tcPr>
            <w:tcW w:w="9604" w:type="dxa"/>
            <w:gridSpan w:val="3"/>
            <w:shd w:val="clear" w:color="auto" w:fill="D9D9D9" w:themeFill="background1" w:themeFillShade="D9"/>
            <w:vAlign w:val="center"/>
          </w:tcPr>
          <w:p w14:paraId="35B638E0" w14:textId="77777777" w:rsidR="00457399" w:rsidRDefault="00F42A0C">
            <w:pPr>
              <w:jc w:val="center"/>
              <w:rPr>
                <w:sz w:val="22"/>
                <w:szCs w:val="22"/>
              </w:rPr>
            </w:pPr>
            <w:r>
              <w:rPr>
                <w:b/>
                <w:bCs/>
                <w:sz w:val="22"/>
                <w:szCs w:val="22"/>
                <w:u w:val="single"/>
              </w:rPr>
              <w:t>SUCCESS STORY</w:t>
            </w:r>
          </w:p>
        </w:tc>
      </w:tr>
      <w:tr w:rsidR="00457399" w14:paraId="0A20FF75" w14:textId="77777777">
        <w:trPr>
          <w:trHeight w:val="1246"/>
        </w:trPr>
        <w:tc>
          <w:tcPr>
            <w:tcW w:w="2689" w:type="dxa"/>
            <w:vAlign w:val="center"/>
          </w:tcPr>
          <w:p w14:paraId="5675323C" w14:textId="77777777" w:rsidR="00457399" w:rsidRDefault="00F42A0C">
            <w:pPr>
              <w:rPr>
                <w:sz w:val="22"/>
                <w:szCs w:val="22"/>
              </w:rPr>
            </w:pPr>
            <w:r>
              <w:rPr>
                <w:sz w:val="22"/>
                <w:szCs w:val="22"/>
              </w:rPr>
              <w:t>Implementation type:</w:t>
            </w:r>
          </w:p>
          <w:p w14:paraId="691508E7" w14:textId="77777777" w:rsidR="00457399" w:rsidRDefault="00F42A0C">
            <w:pPr>
              <w:rPr>
                <w:sz w:val="22"/>
                <w:szCs w:val="22"/>
              </w:rPr>
            </w:pPr>
            <w:r>
              <w:rPr>
                <w:i/>
                <w:iCs/>
                <w:sz w:val="22"/>
                <w:szCs w:val="22"/>
              </w:rPr>
              <w:t>(Select all that apply and provide information below)</w:t>
            </w:r>
          </w:p>
        </w:tc>
        <w:tc>
          <w:tcPr>
            <w:tcW w:w="6915" w:type="dxa"/>
            <w:gridSpan w:val="2"/>
          </w:tcPr>
          <w:p w14:paraId="67036F57" w14:textId="77777777" w:rsidR="00457399" w:rsidRDefault="00F42A0C">
            <w:pPr>
              <w:spacing w:before="0"/>
              <w:rPr>
                <w:sz w:val="22"/>
                <w:szCs w:val="22"/>
              </w:rPr>
            </w:pPr>
            <w:r>
              <w:rPr>
                <w:rFonts w:ascii="Segoe UI Symbol" w:hAnsi="Segoe UI Symbol" w:cs="Segoe UI Symbol"/>
                <w:sz w:val="22"/>
                <w:szCs w:val="22"/>
              </w:rPr>
              <w:t>x</w:t>
            </w:r>
            <w:r>
              <w:rPr>
                <w:sz w:val="22"/>
                <w:szCs w:val="22"/>
              </w:rPr>
              <w:t xml:space="preserve"> Telecom/ICT products/services</w:t>
            </w:r>
            <w:r>
              <w:rPr>
                <w:sz w:val="22"/>
                <w:szCs w:val="22"/>
              </w:rPr>
              <w:br/>
            </w:r>
            <w:r>
              <w:rPr>
                <w:rFonts w:ascii="Segoe UI Symbol" w:hAnsi="Segoe UI Symbol" w:cs="Segoe UI Symbol"/>
                <w:sz w:val="22"/>
                <w:szCs w:val="22"/>
              </w:rPr>
              <w:t>x</w:t>
            </w:r>
            <w:r>
              <w:rPr>
                <w:sz w:val="22"/>
                <w:szCs w:val="22"/>
              </w:rPr>
              <w:t xml:space="preserve"> Telecom/ICT regulations/policies/national standards</w:t>
            </w:r>
            <w:r>
              <w:rPr>
                <w:sz w:val="22"/>
                <w:szCs w:val="22"/>
              </w:rPr>
              <w:br/>
            </w:r>
            <w:r>
              <w:rPr>
                <w:rFonts w:ascii="Segoe UI Symbol" w:hAnsi="Segoe UI Symbol" w:cs="Segoe UI Symbol"/>
                <w:sz w:val="22"/>
                <w:szCs w:val="22"/>
              </w:rPr>
              <w:t>x</w:t>
            </w:r>
            <w:r>
              <w:rPr>
                <w:sz w:val="22"/>
                <w:szCs w:val="22"/>
              </w:rPr>
              <w:t xml:space="preserve"> </w:t>
            </w:r>
            <w:proofErr w:type="gramStart"/>
            <w:r>
              <w:rPr>
                <w:sz w:val="22"/>
                <w:szCs w:val="22"/>
              </w:rPr>
              <w:t>International</w:t>
            </w:r>
            <w:proofErr w:type="gramEnd"/>
            <w:r>
              <w:rPr>
                <w:sz w:val="22"/>
                <w:szCs w:val="22"/>
              </w:rPr>
              <w:t xml:space="preserve"> standards/ Recommendations</w:t>
            </w:r>
          </w:p>
          <w:p w14:paraId="09D34C41" w14:textId="77777777" w:rsidR="00457399" w:rsidRDefault="00F42A0C">
            <w:pPr>
              <w:spacing w:before="0"/>
              <w:rPr>
                <w:sz w:val="22"/>
                <w:szCs w:val="22"/>
              </w:rPr>
            </w:pPr>
            <w:r>
              <w:rPr>
                <w:rFonts w:ascii="Segoe UI Symbol" w:hAnsi="Segoe UI Symbol" w:cs="Segoe UI Symbol"/>
                <w:sz w:val="22"/>
                <w:szCs w:val="22"/>
              </w:rPr>
              <w:t>☐</w:t>
            </w:r>
            <w:r>
              <w:rPr>
                <w:sz w:val="22"/>
                <w:szCs w:val="22"/>
              </w:rPr>
              <w:t xml:space="preserve"> Other</w:t>
            </w:r>
          </w:p>
        </w:tc>
      </w:tr>
      <w:tr w:rsidR="00457399" w14:paraId="27488491" w14:textId="77777777">
        <w:trPr>
          <w:trHeight w:val="848"/>
        </w:trPr>
        <w:tc>
          <w:tcPr>
            <w:tcW w:w="2689" w:type="dxa"/>
            <w:vMerge w:val="restart"/>
            <w:vAlign w:val="center"/>
          </w:tcPr>
          <w:p w14:paraId="2EF4D491" w14:textId="77777777" w:rsidR="00457399" w:rsidRDefault="00F42A0C">
            <w:pPr>
              <w:rPr>
                <w:rFonts w:ascii="Segoe UI Symbol" w:hAnsi="Segoe UI Symbol" w:cs="Segoe UI Symbol"/>
                <w:b/>
                <w:bCs/>
                <w:u w:val="single"/>
              </w:rPr>
            </w:pPr>
            <w:r>
              <w:rPr>
                <w:b/>
                <w:bCs/>
                <w:u w:val="single"/>
              </w:rPr>
              <w:t>Telecom/ICT products/services</w:t>
            </w:r>
          </w:p>
        </w:tc>
        <w:tc>
          <w:tcPr>
            <w:tcW w:w="3260" w:type="dxa"/>
          </w:tcPr>
          <w:p w14:paraId="018B86D6" w14:textId="77777777" w:rsidR="00457399" w:rsidRDefault="00F42A0C">
            <w:pPr>
              <w:rPr>
                <w:b/>
                <w:bCs/>
                <w:sz w:val="22"/>
                <w:szCs w:val="22"/>
              </w:rPr>
            </w:pPr>
            <w:r>
              <w:rPr>
                <w:b/>
                <w:bCs/>
                <w:sz w:val="22"/>
                <w:szCs w:val="22"/>
              </w:rPr>
              <w:t xml:space="preserve">Implementing body: </w:t>
            </w:r>
          </w:p>
          <w:p w14:paraId="60C07025" w14:textId="77777777" w:rsidR="00457399" w:rsidRDefault="00F42A0C">
            <w:pPr>
              <w:rPr>
                <w:sz w:val="22"/>
                <w:szCs w:val="22"/>
              </w:rPr>
            </w:pPr>
            <w:r>
              <w:rPr>
                <w:sz w:val="22"/>
                <w:szCs w:val="22"/>
              </w:rPr>
              <w:t>More than 140 companies license P.863 (</w:t>
            </w:r>
            <w:hyperlink r:id="rId15" w:tooltip="http://www.polqa.info/licensees.html" w:history="1">
              <w:r>
                <w:rPr>
                  <w:rStyle w:val="Hyperlink"/>
                  <w:sz w:val="22"/>
                  <w:szCs w:val="22"/>
                </w:rPr>
                <w:t>Source</w:t>
              </w:r>
            </w:hyperlink>
            <w:r>
              <w:rPr>
                <w:sz w:val="22"/>
                <w:szCs w:val="22"/>
              </w:rPr>
              <w:t xml:space="preserve">). </w:t>
            </w:r>
          </w:p>
          <w:p w14:paraId="519B2252" w14:textId="77777777" w:rsidR="00457399" w:rsidRDefault="00F42A0C">
            <w:pPr>
              <w:rPr>
                <w:sz w:val="22"/>
                <w:szCs w:val="22"/>
              </w:rPr>
            </w:pPr>
            <w:r>
              <w:rPr>
                <w:sz w:val="22"/>
                <w:szCs w:val="22"/>
              </w:rPr>
              <w:t>These include network operators, vendors, manufacturers, service providers, test and measurement solution providers, etc.</w:t>
            </w:r>
          </w:p>
        </w:tc>
        <w:tc>
          <w:tcPr>
            <w:tcW w:w="3655" w:type="dxa"/>
          </w:tcPr>
          <w:p w14:paraId="478071CA" w14:textId="77777777" w:rsidR="00457399" w:rsidRDefault="00F42A0C">
            <w:pPr>
              <w:rPr>
                <w:b/>
                <w:bCs/>
                <w:sz w:val="22"/>
                <w:szCs w:val="22"/>
              </w:rPr>
            </w:pPr>
            <w:r>
              <w:rPr>
                <w:b/>
                <w:bCs/>
                <w:sz w:val="22"/>
                <w:szCs w:val="22"/>
              </w:rPr>
              <w:t>Implementation:</w:t>
            </w:r>
          </w:p>
          <w:p w14:paraId="259A2F98" w14:textId="77777777" w:rsidR="00457399" w:rsidRDefault="00F42A0C">
            <w:pPr>
              <w:rPr>
                <w:sz w:val="22"/>
                <w:szCs w:val="22"/>
              </w:rPr>
            </w:pPr>
            <w:r>
              <w:rPr>
                <w:sz w:val="22"/>
                <w:szCs w:val="22"/>
              </w:rPr>
              <w:t>P.863 is implemented in a wide range of products and services, and used during development, design and optimization of mobile phones, smartphones, network components, or services. Example use cases include:</w:t>
            </w:r>
          </w:p>
          <w:p w14:paraId="2720B290" w14:textId="77777777" w:rsidR="00457399" w:rsidRDefault="00F42A0C">
            <w:pPr>
              <w:rPr>
                <w:sz w:val="22"/>
                <w:szCs w:val="22"/>
              </w:rPr>
            </w:pPr>
            <w:r>
              <w:rPr>
                <w:sz w:val="22"/>
                <w:szCs w:val="22"/>
              </w:rPr>
              <w:t>OEM: Voice quality is assessed pre-launch and throughout software and OS upgrades.</w:t>
            </w:r>
          </w:p>
          <w:p w14:paraId="2C6EF7B6" w14:textId="77777777" w:rsidR="00457399" w:rsidRDefault="00F42A0C">
            <w:pPr>
              <w:rPr>
                <w:sz w:val="22"/>
                <w:szCs w:val="22"/>
              </w:rPr>
            </w:pPr>
            <w:r>
              <w:rPr>
                <w:sz w:val="22"/>
                <w:szCs w:val="22"/>
              </w:rPr>
              <w:t>MNO: Voice quality is assessed to ensure any device in the network offers the best speech quality.</w:t>
            </w:r>
          </w:p>
          <w:p w14:paraId="3821B9D7" w14:textId="77777777" w:rsidR="00457399" w:rsidRDefault="00F42A0C">
            <w:pPr>
              <w:rPr>
                <w:sz w:val="22"/>
                <w:szCs w:val="22"/>
              </w:rPr>
            </w:pPr>
            <w:r>
              <w:rPr>
                <w:sz w:val="22"/>
                <w:szCs w:val="22"/>
              </w:rPr>
              <w:t xml:space="preserve">MNO: Voice quality is assessed for different technologies, vendors and geographical regions. </w:t>
            </w:r>
          </w:p>
          <w:p w14:paraId="00E333D8" w14:textId="77777777" w:rsidR="00457399" w:rsidRDefault="00F42A0C">
            <w:pPr>
              <w:rPr>
                <w:sz w:val="22"/>
                <w:szCs w:val="22"/>
              </w:rPr>
            </w:pPr>
            <w:r>
              <w:rPr>
                <w:sz w:val="22"/>
                <w:szCs w:val="22"/>
              </w:rPr>
              <w:t>Labs: Voice quality is assessed for testing campaigns using the latest technologies including benchmarking on different devices or different operators.</w:t>
            </w:r>
          </w:p>
        </w:tc>
      </w:tr>
      <w:tr w:rsidR="00457399" w14:paraId="6DD6C2AD" w14:textId="77777777">
        <w:trPr>
          <w:trHeight w:val="1232"/>
        </w:trPr>
        <w:tc>
          <w:tcPr>
            <w:tcW w:w="2689" w:type="dxa"/>
            <w:vMerge/>
            <w:vAlign w:val="center"/>
          </w:tcPr>
          <w:p w14:paraId="241270C4" w14:textId="77777777" w:rsidR="00457399" w:rsidRDefault="00457399">
            <w:pPr>
              <w:rPr>
                <w:b/>
                <w:bCs/>
                <w:u w:val="single"/>
              </w:rPr>
            </w:pPr>
          </w:p>
        </w:tc>
        <w:tc>
          <w:tcPr>
            <w:tcW w:w="6915" w:type="dxa"/>
            <w:gridSpan w:val="2"/>
          </w:tcPr>
          <w:p w14:paraId="727CD61F" w14:textId="77777777" w:rsidR="00457399" w:rsidRDefault="00F42A0C">
            <w:pPr>
              <w:rPr>
                <w:b/>
                <w:bCs/>
                <w:sz w:val="22"/>
                <w:szCs w:val="22"/>
              </w:rPr>
            </w:pPr>
            <w:r>
              <w:rPr>
                <w:b/>
                <w:bCs/>
                <w:sz w:val="22"/>
                <w:szCs w:val="22"/>
              </w:rPr>
              <w:t>Implementation summary:</w:t>
            </w:r>
          </w:p>
          <w:p w14:paraId="3A2F4D53" w14:textId="77777777" w:rsidR="00457399" w:rsidRDefault="00F42A0C">
            <w:pPr>
              <w:rPr>
                <w:sz w:val="22"/>
                <w:szCs w:val="22"/>
              </w:rPr>
            </w:pPr>
            <w:r>
              <w:rPr>
                <w:sz w:val="22"/>
                <w:szCs w:val="22"/>
              </w:rPr>
              <w:t>P.863 is implemented in a wide range of products and services, and used during development, design and optimization of mobile phones, smartphones, network components, or services.</w:t>
            </w:r>
          </w:p>
          <w:p w14:paraId="43B63428" w14:textId="77777777" w:rsidR="00457399" w:rsidRDefault="00F42A0C">
            <w:pPr>
              <w:rPr>
                <w:sz w:val="22"/>
                <w:szCs w:val="22"/>
              </w:rPr>
            </w:pPr>
            <w:r>
              <w:rPr>
                <w:sz w:val="22"/>
                <w:szCs w:val="22"/>
              </w:rPr>
              <w:t>Network operators use it for internal quality assurance, network testing and optimization.</w:t>
            </w:r>
          </w:p>
          <w:p w14:paraId="3FFBB58D" w14:textId="77777777" w:rsidR="00457399" w:rsidRDefault="00F42A0C">
            <w:pPr>
              <w:rPr>
                <w:sz w:val="22"/>
                <w:szCs w:val="22"/>
              </w:rPr>
            </w:pPr>
            <w:r>
              <w:rPr>
                <w:sz w:val="22"/>
                <w:szCs w:val="22"/>
              </w:rPr>
              <w:lastRenderedPageBreak/>
              <w:t>Test equipment manufacturers and labs for device certification and network testing.</w:t>
            </w:r>
          </w:p>
          <w:p w14:paraId="3670C5F4" w14:textId="77777777" w:rsidR="00457399" w:rsidRDefault="00F42A0C">
            <w:pPr>
              <w:rPr>
                <w:sz w:val="22"/>
                <w:szCs w:val="22"/>
              </w:rPr>
            </w:pPr>
            <w:r>
              <w:rPr>
                <w:sz w:val="22"/>
                <w:szCs w:val="22"/>
              </w:rPr>
              <w:t xml:space="preserve">P.863 is used to assess the voice quality for HD Voice, VoLTE, </w:t>
            </w:r>
            <w:proofErr w:type="spellStart"/>
            <w:r>
              <w:rPr>
                <w:sz w:val="22"/>
                <w:szCs w:val="22"/>
              </w:rPr>
              <w:t>VoNR</w:t>
            </w:r>
            <w:proofErr w:type="spellEnd"/>
            <w:r>
              <w:rPr>
                <w:sz w:val="22"/>
                <w:szCs w:val="22"/>
              </w:rPr>
              <w:t>, VoWiFi, and OTT voice services.</w:t>
            </w:r>
          </w:p>
          <w:p w14:paraId="1F66F26A" w14:textId="77777777" w:rsidR="00457399" w:rsidRDefault="00F42A0C">
            <w:pPr>
              <w:rPr>
                <w:sz w:val="22"/>
                <w:szCs w:val="22"/>
              </w:rPr>
            </w:pPr>
            <w:r>
              <w:rPr>
                <w:sz w:val="22"/>
                <w:szCs w:val="22"/>
              </w:rPr>
              <w:t>The P.863 algorithm is portable across Windows, Linux, and Android platforms, with tens of thousands of instances actively deployed in the field.</w:t>
            </w:r>
          </w:p>
          <w:p w14:paraId="4B6E9F01" w14:textId="77777777" w:rsidR="00457399" w:rsidRDefault="00F42A0C">
            <w:pPr>
              <w:rPr>
                <w:sz w:val="22"/>
                <w:szCs w:val="22"/>
              </w:rPr>
            </w:pPr>
            <w:r>
              <w:rPr>
                <w:i/>
                <w:iCs/>
                <w:sz w:val="22"/>
                <w:szCs w:val="22"/>
              </w:rPr>
              <w:t>For the average citizen</w:t>
            </w:r>
            <w:r>
              <w:rPr>
                <w:sz w:val="22"/>
                <w:szCs w:val="22"/>
              </w:rPr>
              <w:t>, P.863 ensures clearer, more natural-sounding voice calls.</w:t>
            </w:r>
          </w:p>
        </w:tc>
      </w:tr>
      <w:tr w:rsidR="00457399" w14:paraId="6779FA13" w14:textId="77777777">
        <w:trPr>
          <w:trHeight w:val="1169"/>
        </w:trPr>
        <w:tc>
          <w:tcPr>
            <w:tcW w:w="2689" w:type="dxa"/>
            <w:vMerge w:val="restart"/>
            <w:vAlign w:val="center"/>
          </w:tcPr>
          <w:p w14:paraId="62F75477" w14:textId="77777777" w:rsidR="00457399" w:rsidRDefault="00F42A0C">
            <w:pPr>
              <w:rPr>
                <w:rFonts w:ascii="Segoe UI Symbol" w:hAnsi="Segoe UI Symbol" w:cs="Segoe UI Symbol"/>
                <w:b/>
                <w:bCs/>
                <w:u w:val="single"/>
              </w:rPr>
            </w:pPr>
            <w:r>
              <w:rPr>
                <w:b/>
                <w:bCs/>
                <w:u w:val="single"/>
              </w:rPr>
              <w:lastRenderedPageBreak/>
              <w:t>Telecom/ICT regulations/policies/ national Standards</w:t>
            </w:r>
          </w:p>
        </w:tc>
        <w:tc>
          <w:tcPr>
            <w:tcW w:w="3260" w:type="dxa"/>
          </w:tcPr>
          <w:p w14:paraId="45704F8B" w14:textId="77777777" w:rsidR="00457399" w:rsidRDefault="00F42A0C">
            <w:pPr>
              <w:rPr>
                <w:b/>
                <w:bCs/>
                <w:sz w:val="22"/>
                <w:szCs w:val="22"/>
              </w:rPr>
            </w:pPr>
            <w:r>
              <w:rPr>
                <w:b/>
                <w:bCs/>
                <w:sz w:val="22"/>
                <w:szCs w:val="22"/>
              </w:rPr>
              <w:t xml:space="preserve">Implementing body: </w:t>
            </w:r>
          </w:p>
          <w:p w14:paraId="00A85A12" w14:textId="77777777" w:rsidR="00457399" w:rsidRDefault="00F42A0C">
            <w:pPr>
              <w:rPr>
                <w:sz w:val="22"/>
                <w:szCs w:val="22"/>
              </w:rPr>
            </w:pPr>
            <w:r>
              <w:rPr>
                <w:sz w:val="22"/>
                <w:szCs w:val="22"/>
              </w:rPr>
              <w:t>National Regulatory Authorities</w:t>
            </w:r>
          </w:p>
        </w:tc>
        <w:tc>
          <w:tcPr>
            <w:tcW w:w="3655" w:type="dxa"/>
          </w:tcPr>
          <w:p w14:paraId="55941E75" w14:textId="77777777" w:rsidR="00457399" w:rsidRDefault="00F42A0C">
            <w:pPr>
              <w:rPr>
                <w:b/>
                <w:bCs/>
                <w:sz w:val="22"/>
                <w:szCs w:val="22"/>
              </w:rPr>
            </w:pPr>
            <w:r>
              <w:rPr>
                <w:b/>
                <w:bCs/>
                <w:sz w:val="22"/>
                <w:szCs w:val="22"/>
              </w:rPr>
              <w:t>Implementation:</w:t>
            </w:r>
          </w:p>
          <w:p w14:paraId="2E615801" w14:textId="77777777" w:rsidR="00457399" w:rsidRDefault="00F42A0C">
            <w:pPr>
              <w:rPr>
                <w:rFonts w:ascii="Segoe UI Symbol" w:hAnsi="Segoe UI Symbol" w:cs="Segoe UI Symbol"/>
                <w:sz w:val="22"/>
                <w:szCs w:val="22"/>
              </w:rPr>
            </w:pPr>
            <w:r>
              <w:rPr>
                <w:sz w:val="22"/>
                <w:szCs w:val="22"/>
              </w:rPr>
              <w:t>Regulators use P.863 to assess and benchmark voice quality on different networks, devices and technology. P.863 and associated thresholds (MOS) are referenced in the respective national quality assessment frameworks.</w:t>
            </w:r>
          </w:p>
        </w:tc>
      </w:tr>
      <w:tr w:rsidR="00457399" w14:paraId="53F9E560" w14:textId="77777777">
        <w:trPr>
          <w:trHeight w:val="1142"/>
        </w:trPr>
        <w:tc>
          <w:tcPr>
            <w:tcW w:w="2689" w:type="dxa"/>
            <w:vMerge/>
            <w:vAlign w:val="center"/>
          </w:tcPr>
          <w:p w14:paraId="4D7B9154" w14:textId="77777777" w:rsidR="00457399" w:rsidRDefault="00457399">
            <w:pPr>
              <w:rPr>
                <w:rFonts w:ascii="Segoe UI Symbol" w:hAnsi="Segoe UI Symbol" w:cs="Segoe UI Symbol"/>
                <w:b/>
                <w:bCs/>
                <w:u w:val="single"/>
              </w:rPr>
            </w:pPr>
          </w:p>
        </w:tc>
        <w:tc>
          <w:tcPr>
            <w:tcW w:w="6915" w:type="dxa"/>
            <w:gridSpan w:val="2"/>
          </w:tcPr>
          <w:p w14:paraId="188328F9" w14:textId="77777777" w:rsidR="00457399" w:rsidRDefault="00F42A0C">
            <w:pPr>
              <w:rPr>
                <w:b/>
                <w:bCs/>
                <w:sz w:val="22"/>
                <w:szCs w:val="22"/>
              </w:rPr>
            </w:pPr>
            <w:r>
              <w:rPr>
                <w:b/>
                <w:bCs/>
                <w:sz w:val="22"/>
                <w:szCs w:val="22"/>
              </w:rPr>
              <w:t>Implementation summary:</w:t>
            </w:r>
          </w:p>
          <w:p w14:paraId="7AC789AF" w14:textId="77777777" w:rsidR="00457399" w:rsidRDefault="00F42A0C">
            <w:pPr>
              <w:rPr>
                <w:sz w:val="22"/>
                <w:szCs w:val="22"/>
              </w:rPr>
            </w:pPr>
            <w:r>
              <w:rPr>
                <w:sz w:val="22"/>
                <w:szCs w:val="22"/>
              </w:rPr>
              <w:t xml:space="preserve">Regulators implement ITU-T P.863 by incorporating it into their voice quality assessment frameworks for telephony services. They use P.863 as the standard method for objective speech quality measurement in compliance testing, benchmarking, and certification of services like VoLTE, </w:t>
            </w:r>
            <w:proofErr w:type="spellStart"/>
            <w:r>
              <w:rPr>
                <w:sz w:val="22"/>
                <w:szCs w:val="22"/>
              </w:rPr>
              <w:t>VoNR</w:t>
            </w:r>
            <w:proofErr w:type="spellEnd"/>
            <w:r>
              <w:rPr>
                <w:sz w:val="22"/>
                <w:szCs w:val="22"/>
              </w:rPr>
              <w:t xml:space="preserve">, and OTT voice. This ensures operators meet minimum quality requirements, supports fair competition, and guarantees that subscribers experience clear, </w:t>
            </w:r>
            <w:proofErr w:type="gramStart"/>
            <w:r>
              <w:rPr>
                <w:sz w:val="22"/>
                <w:szCs w:val="22"/>
              </w:rPr>
              <w:t>natural-sounding</w:t>
            </w:r>
            <w:proofErr w:type="gramEnd"/>
            <w:r>
              <w:rPr>
                <w:sz w:val="22"/>
                <w:szCs w:val="22"/>
              </w:rPr>
              <w:t xml:space="preserve"> calls across modern networks and codecs. </w:t>
            </w:r>
          </w:p>
        </w:tc>
      </w:tr>
      <w:tr w:rsidR="00457399" w14:paraId="16669A31" w14:textId="77777777">
        <w:trPr>
          <w:trHeight w:val="1234"/>
        </w:trPr>
        <w:tc>
          <w:tcPr>
            <w:tcW w:w="2689" w:type="dxa"/>
            <w:vMerge w:val="restart"/>
            <w:vAlign w:val="center"/>
          </w:tcPr>
          <w:p w14:paraId="34E175CF" w14:textId="77777777" w:rsidR="00457399" w:rsidRDefault="00F42A0C">
            <w:pPr>
              <w:rPr>
                <w:rFonts w:ascii="Segoe UI Symbol" w:hAnsi="Segoe UI Symbol" w:cs="Segoe UI Symbol"/>
                <w:b/>
                <w:bCs/>
                <w:u w:val="single"/>
              </w:rPr>
            </w:pPr>
            <w:r>
              <w:rPr>
                <w:b/>
                <w:bCs/>
                <w:u w:val="single"/>
              </w:rPr>
              <w:t>International standards/ Recommendations</w:t>
            </w:r>
          </w:p>
        </w:tc>
        <w:tc>
          <w:tcPr>
            <w:tcW w:w="3260" w:type="dxa"/>
          </w:tcPr>
          <w:p w14:paraId="4871492F" w14:textId="77777777" w:rsidR="00457399" w:rsidRDefault="00F42A0C">
            <w:pPr>
              <w:rPr>
                <w:b/>
                <w:bCs/>
                <w:sz w:val="22"/>
                <w:szCs w:val="22"/>
              </w:rPr>
            </w:pPr>
            <w:r>
              <w:rPr>
                <w:b/>
                <w:bCs/>
                <w:sz w:val="22"/>
                <w:szCs w:val="22"/>
              </w:rPr>
              <w:t xml:space="preserve">Implementing body: </w:t>
            </w:r>
          </w:p>
          <w:p w14:paraId="3D1178C0" w14:textId="77777777" w:rsidR="00457399" w:rsidRDefault="00F42A0C">
            <w:pPr>
              <w:rPr>
                <w:sz w:val="22"/>
                <w:szCs w:val="22"/>
              </w:rPr>
            </w:pPr>
            <w:r>
              <w:rPr>
                <w:sz w:val="22"/>
                <w:szCs w:val="22"/>
              </w:rPr>
              <w:t>ITU-T</w:t>
            </w:r>
          </w:p>
          <w:p w14:paraId="62522E12" w14:textId="77777777" w:rsidR="00457399" w:rsidRDefault="00F42A0C">
            <w:pPr>
              <w:rPr>
                <w:sz w:val="22"/>
                <w:szCs w:val="22"/>
              </w:rPr>
            </w:pPr>
            <w:r>
              <w:rPr>
                <w:sz w:val="22"/>
                <w:szCs w:val="22"/>
              </w:rPr>
              <w:t>3GPP</w:t>
            </w:r>
          </w:p>
          <w:p w14:paraId="05BE5DF5" w14:textId="77777777" w:rsidR="00457399" w:rsidRDefault="00F42A0C">
            <w:pPr>
              <w:rPr>
                <w:sz w:val="22"/>
                <w:szCs w:val="22"/>
              </w:rPr>
            </w:pPr>
            <w:r>
              <w:rPr>
                <w:sz w:val="22"/>
                <w:szCs w:val="22"/>
              </w:rPr>
              <w:t>ETSI</w:t>
            </w:r>
          </w:p>
        </w:tc>
        <w:tc>
          <w:tcPr>
            <w:tcW w:w="3655" w:type="dxa"/>
          </w:tcPr>
          <w:p w14:paraId="73272551" w14:textId="77777777" w:rsidR="00457399" w:rsidRDefault="00F42A0C">
            <w:pPr>
              <w:rPr>
                <w:b/>
                <w:bCs/>
                <w:sz w:val="22"/>
                <w:szCs w:val="22"/>
                <w:lang w:val="fr-FR"/>
              </w:rPr>
            </w:pPr>
            <w:proofErr w:type="spellStart"/>
            <w:proofErr w:type="gramStart"/>
            <w:r>
              <w:rPr>
                <w:b/>
                <w:bCs/>
                <w:sz w:val="22"/>
                <w:szCs w:val="22"/>
                <w:lang w:val="fr-FR"/>
              </w:rPr>
              <w:t>Implementation</w:t>
            </w:r>
            <w:proofErr w:type="spellEnd"/>
            <w:r>
              <w:rPr>
                <w:b/>
                <w:bCs/>
                <w:sz w:val="22"/>
                <w:szCs w:val="22"/>
                <w:lang w:val="fr-FR"/>
              </w:rPr>
              <w:t>:</w:t>
            </w:r>
            <w:proofErr w:type="gramEnd"/>
          </w:p>
          <w:p w14:paraId="3FCF7FCC" w14:textId="77777777" w:rsidR="00457399" w:rsidRDefault="00F42A0C">
            <w:pPr>
              <w:rPr>
                <w:sz w:val="22"/>
                <w:szCs w:val="22"/>
                <w:lang w:val="fr-FR"/>
              </w:rPr>
            </w:pPr>
            <w:r>
              <w:rPr>
                <w:sz w:val="22"/>
                <w:szCs w:val="22"/>
                <w:lang w:val="fr-FR"/>
              </w:rPr>
              <w:t>P.863.1</w:t>
            </w:r>
          </w:p>
        </w:tc>
      </w:tr>
      <w:tr w:rsidR="00457399" w14:paraId="21A45DD4" w14:textId="77777777">
        <w:trPr>
          <w:trHeight w:val="1353"/>
        </w:trPr>
        <w:tc>
          <w:tcPr>
            <w:tcW w:w="2689" w:type="dxa"/>
            <w:vMerge/>
            <w:vAlign w:val="center"/>
          </w:tcPr>
          <w:p w14:paraId="7935FE8C" w14:textId="77777777" w:rsidR="00457399" w:rsidRDefault="00457399">
            <w:pPr>
              <w:rPr>
                <w:rFonts w:ascii="Segoe UI Symbol" w:hAnsi="Segoe UI Symbol" w:cs="Segoe UI Symbol"/>
                <w:sz w:val="22"/>
                <w:szCs w:val="22"/>
                <w:lang w:val="fr-FR"/>
              </w:rPr>
            </w:pPr>
          </w:p>
        </w:tc>
        <w:tc>
          <w:tcPr>
            <w:tcW w:w="6915" w:type="dxa"/>
            <w:gridSpan w:val="2"/>
          </w:tcPr>
          <w:p w14:paraId="27733C45" w14:textId="77777777" w:rsidR="00457399" w:rsidRDefault="00F42A0C">
            <w:pPr>
              <w:rPr>
                <w:b/>
                <w:bCs/>
                <w:sz w:val="22"/>
                <w:szCs w:val="22"/>
              </w:rPr>
            </w:pPr>
            <w:r>
              <w:rPr>
                <w:b/>
                <w:bCs/>
                <w:sz w:val="22"/>
                <w:szCs w:val="22"/>
              </w:rPr>
              <w:t>Implementation summary:</w:t>
            </w:r>
          </w:p>
          <w:p w14:paraId="0ADBDCD7" w14:textId="77777777" w:rsidR="00457399" w:rsidRDefault="00F42A0C">
            <w:pPr>
              <w:rPr>
                <w:sz w:val="22"/>
                <w:szCs w:val="22"/>
              </w:rPr>
            </w:pPr>
            <w:r>
              <w:rPr>
                <w:sz w:val="22"/>
                <w:szCs w:val="22"/>
              </w:rPr>
              <w:t xml:space="preserve">P.863 is referenced across many ITU-T Recommendations dealing with performance, QoS and </w:t>
            </w:r>
            <w:proofErr w:type="spellStart"/>
            <w:r>
              <w:rPr>
                <w:sz w:val="22"/>
                <w:szCs w:val="22"/>
              </w:rPr>
              <w:t>QoE</w:t>
            </w:r>
            <w:proofErr w:type="spellEnd"/>
            <w:r>
              <w:rPr>
                <w:sz w:val="22"/>
                <w:szCs w:val="22"/>
              </w:rPr>
              <w:t>. ITU-T P.863.1 is a provides practical guidance to users of ITU-T P.863.</w:t>
            </w:r>
          </w:p>
          <w:p w14:paraId="2FB3D94E" w14:textId="77777777" w:rsidR="00457399" w:rsidRDefault="00F42A0C">
            <w:pPr>
              <w:rPr>
                <w:rFonts w:ascii="Segoe UI Symbol" w:hAnsi="Segoe UI Symbol" w:cs="Segoe UI Symbol"/>
                <w:sz w:val="22"/>
                <w:szCs w:val="22"/>
              </w:rPr>
            </w:pPr>
            <w:r>
              <w:rPr>
                <w:sz w:val="22"/>
                <w:szCs w:val="22"/>
              </w:rPr>
              <w:t>P.863 has been used by 3GPP, ETSI and others to evaluate new speech codecs (e.g., EVS, AMR-WB, AMR-NB).</w:t>
            </w:r>
          </w:p>
        </w:tc>
      </w:tr>
      <w:tr w:rsidR="00457399" w14:paraId="76A1F8CB" w14:textId="77777777">
        <w:trPr>
          <w:trHeight w:val="1034"/>
        </w:trPr>
        <w:tc>
          <w:tcPr>
            <w:tcW w:w="2689" w:type="dxa"/>
            <w:vAlign w:val="center"/>
          </w:tcPr>
          <w:p w14:paraId="39B05559" w14:textId="77777777" w:rsidR="00457399" w:rsidRDefault="00F42A0C">
            <w:pPr>
              <w:rPr>
                <w:b/>
                <w:bCs/>
                <w:sz w:val="22"/>
                <w:szCs w:val="22"/>
              </w:rPr>
            </w:pPr>
            <w:r>
              <w:rPr>
                <w:b/>
                <w:bCs/>
                <w:u w:val="single"/>
              </w:rPr>
              <w:t>Other</w:t>
            </w:r>
          </w:p>
        </w:tc>
        <w:tc>
          <w:tcPr>
            <w:tcW w:w="6915" w:type="dxa"/>
            <w:gridSpan w:val="2"/>
            <w:vAlign w:val="center"/>
          </w:tcPr>
          <w:p w14:paraId="3CC70E2D" w14:textId="77777777" w:rsidR="00457399" w:rsidRDefault="00F42A0C">
            <w:pPr>
              <w:rPr>
                <w:b/>
                <w:bCs/>
                <w:sz w:val="22"/>
                <w:szCs w:val="22"/>
              </w:rPr>
            </w:pPr>
            <w:r>
              <w:rPr>
                <w:b/>
                <w:bCs/>
                <w:sz w:val="22"/>
                <w:szCs w:val="22"/>
              </w:rPr>
              <w:t>Implementation summary:</w:t>
            </w:r>
          </w:p>
          <w:p w14:paraId="3B779BD4" w14:textId="77777777" w:rsidR="00457399" w:rsidRDefault="00F42A0C">
            <w:pPr>
              <w:rPr>
                <w:b/>
                <w:bCs/>
                <w:sz w:val="22"/>
                <w:szCs w:val="22"/>
              </w:rPr>
            </w:pPr>
            <w:r>
              <w:rPr>
                <w:sz w:val="22"/>
                <w:szCs w:val="22"/>
              </w:rPr>
              <w:t>n/a</w:t>
            </w:r>
          </w:p>
        </w:tc>
      </w:tr>
    </w:tbl>
    <w:p w14:paraId="3ED26959" w14:textId="77777777" w:rsidR="00457399" w:rsidRDefault="00457399"/>
    <w:p w14:paraId="292060DD" w14:textId="77777777" w:rsidR="00457399" w:rsidRDefault="00F42A0C">
      <w:pPr>
        <w:spacing w:before="0"/>
        <w:rPr>
          <w:rFonts w:eastAsia="Times New Roman"/>
          <w:b/>
          <w:szCs w:val="20"/>
          <w:lang w:eastAsia="en-US"/>
        </w:rPr>
      </w:pPr>
      <w:r>
        <w:br w:type="page" w:clear="all"/>
      </w:r>
    </w:p>
    <w:p w14:paraId="5A30B67B" w14:textId="77777777" w:rsidR="00457399" w:rsidRDefault="00F42A0C">
      <w:pPr>
        <w:pStyle w:val="Heading2"/>
      </w:pPr>
      <w:r>
        <w:lastRenderedPageBreak/>
        <w:t xml:space="preserve">Example success stories under WP3/12: Multimedia QoS and </w:t>
      </w:r>
      <w:proofErr w:type="spellStart"/>
      <w:r>
        <w:t>QoE</w:t>
      </w:r>
      <w:proofErr w:type="spellEnd"/>
      <w:r>
        <w:t xml:space="preserve"> </w:t>
      </w:r>
    </w:p>
    <w:p w14:paraId="19D56F5E" w14:textId="77777777" w:rsidR="00457399" w:rsidRDefault="00457399">
      <w:pPr>
        <w:rPr>
          <w:lang w:eastAsia="en-US"/>
        </w:rPr>
      </w:pPr>
    </w:p>
    <w:tbl>
      <w:tblPr>
        <w:tblStyle w:val="TableGrid"/>
        <w:tblW w:w="9604" w:type="dxa"/>
        <w:tblLook w:val="04A0" w:firstRow="1" w:lastRow="0" w:firstColumn="1" w:lastColumn="0" w:noHBand="0" w:noVBand="1"/>
      </w:tblPr>
      <w:tblGrid>
        <w:gridCol w:w="2689"/>
        <w:gridCol w:w="3260"/>
        <w:gridCol w:w="3655"/>
      </w:tblGrid>
      <w:tr w:rsidR="00457399" w14:paraId="1B81C930" w14:textId="77777777">
        <w:trPr>
          <w:trHeight w:val="416"/>
        </w:trPr>
        <w:tc>
          <w:tcPr>
            <w:tcW w:w="9604" w:type="dxa"/>
            <w:gridSpan w:val="3"/>
            <w:shd w:val="clear" w:color="auto" w:fill="D9D9D9" w:themeFill="background1" w:themeFillShade="D9"/>
            <w:vAlign w:val="center"/>
          </w:tcPr>
          <w:p w14:paraId="2C1E2518" w14:textId="77777777" w:rsidR="00457399" w:rsidRDefault="00F42A0C">
            <w:pPr>
              <w:jc w:val="center"/>
              <w:rPr>
                <w:sz w:val="22"/>
                <w:szCs w:val="22"/>
              </w:rPr>
            </w:pPr>
            <w:r>
              <w:rPr>
                <w:b/>
                <w:bCs/>
                <w:sz w:val="22"/>
                <w:szCs w:val="22"/>
                <w:u w:val="single"/>
              </w:rPr>
              <w:t>ITU-T RECOMMENDATION OVERVIEW</w:t>
            </w:r>
          </w:p>
        </w:tc>
      </w:tr>
      <w:tr w:rsidR="00457399" w14:paraId="136D1E06" w14:textId="77777777">
        <w:trPr>
          <w:trHeight w:val="416"/>
        </w:trPr>
        <w:tc>
          <w:tcPr>
            <w:tcW w:w="2689" w:type="dxa"/>
            <w:vAlign w:val="center"/>
          </w:tcPr>
          <w:p w14:paraId="5D0FE424" w14:textId="77777777" w:rsidR="00457399" w:rsidRDefault="00F42A0C">
            <w:pPr>
              <w:rPr>
                <w:sz w:val="22"/>
                <w:szCs w:val="22"/>
              </w:rPr>
            </w:pPr>
            <w:r>
              <w:rPr>
                <w:sz w:val="22"/>
                <w:szCs w:val="22"/>
              </w:rPr>
              <w:t>ITU-T Recommendation:</w:t>
            </w:r>
          </w:p>
        </w:tc>
        <w:tc>
          <w:tcPr>
            <w:tcW w:w="6915" w:type="dxa"/>
            <w:gridSpan w:val="2"/>
            <w:vAlign w:val="center"/>
          </w:tcPr>
          <w:p w14:paraId="45B031A3" w14:textId="77777777" w:rsidR="00457399" w:rsidRDefault="00F42A0C">
            <w:pPr>
              <w:rPr>
                <w:sz w:val="22"/>
                <w:szCs w:val="22"/>
              </w:rPr>
            </w:pPr>
            <w:r>
              <w:rPr>
                <w:sz w:val="22"/>
                <w:szCs w:val="22"/>
              </w:rPr>
              <w:t>ITU-T Y.1540</w:t>
            </w:r>
          </w:p>
        </w:tc>
      </w:tr>
      <w:tr w:rsidR="00457399" w14:paraId="55293AD7" w14:textId="77777777">
        <w:trPr>
          <w:trHeight w:val="416"/>
        </w:trPr>
        <w:tc>
          <w:tcPr>
            <w:tcW w:w="2689" w:type="dxa"/>
            <w:vAlign w:val="center"/>
          </w:tcPr>
          <w:p w14:paraId="5C257D8E" w14:textId="77777777" w:rsidR="00457399" w:rsidRDefault="00F42A0C">
            <w:pPr>
              <w:rPr>
                <w:sz w:val="22"/>
                <w:szCs w:val="22"/>
              </w:rPr>
            </w:pPr>
            <w:r>
              <w:rPr>
                <w:sz w:val="22"/>
                <w:szCs w:val="22"/>
              </w:rPr>
              <w:t>Title:</w:t>
            </w:r>
          </w:p>
        </w:tc>
        <w:tc>
          <w:tcPr>
            <w:tcW w:w="6915" w:type="dxa"/>
            <w:gridSpan w:val="2"/>
            <w:vAlign w:val="center"/>
          </w:tcPr>
          <w:p w14:paraId="254EA553" w14:textId="77777777" w:rsidR="00457399" w:rsidRDefault="00F42A0C">
            <w:pPr>
              <w:rPr>
                <w:b/>
                <w:bCs/>
                <w:sz w:val="22"/>
                <w:szCs w:val="22"/>
              </w:rPr>
            </w:pPr>
            <w:r>
              <w:rPr>
                <w:b/>
                <w:bCs/>
                <w:sz w:val="22"/>
                <w:szCs w:val="22"/>
              </w:rPr>
              <w:t>Internet protocol data communication service - IP packet transfer and availability performance parameters</w:t>
            </w:r>
          </w:p>
        </w:tc>
      </w:tr>
      <w:tr w:rsidR="00457399" w14:paraId="36D33228" w14:textId="77777777">
        <w:trPr>
          <w:trHeight w:val="416"/>
        </w:trPr>
        <w:tc>
          <w:tcPr>
            <w:tcW w:w="2689" w:type="dxa"/>
            <w:vAlign w:val="center"/>
          </w:tcPr>
          <w:p w14:paraId="29C33435" w14:textId="77777777" w:rsidR="00457399" w:rsidRDefault="00F42A0C">
            <w:pPr>
              <w:rPr>
                <w:sz w:val="22"/>
                <w:szCs w:val="22"/>
              </w:rPr>
            </w:pPr>
            <w:r>
              <w:rPr>
                <w:sz w:val="22"/>
                <w:szCs w:val="22"/>
              </w:rPr>
              <w:t>Effective period:</w:t>
            </w:r>
          </w:p>
        </w:tc>
        <w:tc>
          <w:tcPr>
            <w:tcW w:w="6915" w:type="dxa"/>
            <w:gridSpan w:val="2"/>
            <w:vAlign w:val="center"/>
          </w:tcPr>
          <w:p w14:paraId="40B69086" w14:textId="77777777" w:rsidR="00457399" w:rsidRDefault="00F42A0C">
            <w:pPr>
              <w:rPr>
                <w:sz w:val="22"/>
                <w:szCs w:val="22"/>
              </w:rPr>
            </w:pPr>
            <w:r>
              <w:rPr>
                <w:sz w:val="22"/>
                <w:szCs w:val="22"/>
              </w:rPr>
              <w:t>1999 - Present</w:t>
            </w:r>
          </w:p>
        </w:tc>
      </w:tr>
      <w:tr w:rsidR="00457399" w14:paraId="5A537993" w14:textId="77777777">
        <w:trPr>
          <w:trHeight w:val="708"/>
        </w:trPr>
        <w:tc>
          <w:tcPr>
            <w:tcW w:w="2689" w:type="dxa"/>
            <w:vAlign w:val="center"/>
          </w:tcPr>
          <w:p w14:paraId="5F37FB53" w14:textId="77777777" w:rsidR="00457399" w:rsidRDefault="00F42A0C">
            <w:pPr>
              <w:rPr>
                <w:sz w:val="22"/>
                <w:szCs w:val="22"/>
              </w:rPr>
            </w:pPr>
            <w:r>
              <w:rPr>
                <w:sz w:val="22"/>
                <w:szCs w:val="22"/>
              </w:rPr>
              <w:t xml:space="preserve">Summary: </w:t>
            </w:r>
          </w:p>
        </w:tc>
        <w:tc>
          <w:tcPr>
            <w:tcW w:w="6915" w:type="dxa"/>
            <w:gridSpan w:val="2"/>
            <w:vAlign w:val="center"/>
          </w:tcPr>
          <w:p w14:paraId="01B19458" w14:textId="77777777" w:rsidR="00457399" w:rsidRDefault="00F42A0C">
            <w:pPr>
              <w:rPr>
                <w:sz w:val="22"/>
                <w:szCs w:val="22"/>
              </w:rPr>
            </w:pPr>
            <w:r>
              <w:rPr>
                <w:sz w:val="22"/>
                <w:szCs w:val="22"/>
              </w:rPr>
              <w:t xml:space="preserve">ITU-T Y.1540 specifies parameters for evaluating IP service performance, including speed, accuracy, dependability, and availability. It applies to IPv4 and IPv6, covering end-to-end packet transfer between hosts. </w:t>
            </w:r>
          </w:p>
          <w:p w14:paraId="1494AABF" w14:textId="77777777" w:rsidR="00457399" w:rsidRDefault="00F42A0C">
            <w:pPr>
              <w:rPr>
                <w:sz w:val="22"/>
                <w:szCs w:val="22"/>
              </w:rPr>
            </w:pPr>
            <w:r>
              <w:rPr>
                <w:sz w:val="22"/>
                <w:szCs w:val="22"/>
              </w:rPr>
              <w:t>Intended for providers, manufacturers, and users, it supports planning, monitoring, and assessment of regional and international IP services using standardized measurement methods.</w:t>
            </w:r>
          </w:p>
          <w:p w14:paraId="26670C66" w14:textId="77777777" w:rsidR="00457399" w:rsidRDefault="00F42A0C">
            <w:pPr>
              <w:rPr>
                <w:sz w:val="22"/>
                <w:szCs w:val="22"/>
              </w:rPr>
            </w:pPr>
            <w:r>
              <w:rPr>
                <w:sz w:val="22"/>
                <w:szCs w:val="22"/>
              </w:rPr>
              <w:t>Y.1540 is updated periodically to satisfy market needs.</w:t>
            </w:r>
          </w:p>
        </w:tc>
      </w:tr>
      <w:tr w:rsidR="00457399" w14:paraId="7665E16F" w14:textId="77777777">
        <w:trPr>
          <w:trHeight w:val="413"/>
        </w:trPr>
        <w:tc>
          <w:tcPr>
            <w:tcW w:w="9604" w:type="dxa"/>
            <w:gridSpan w:val="3"/>
            <w:shd w:val="clear" w:color="auto" w:fill="D9D9D9" w:themeFill="background1" w:themeFillShade="D9"/>
            <w:vAlign w:val="center"/>
          </w:tcPr>
          <w:p w14:paraId="4F6BD20B" w14:textId="77777777" w:rsidR="00457399" w:rsidRDefault="00F42A0C">
            <w:pPr>
              <w:jc w:val="center"/>
              <w:rPr>
                <w:sz w:val="22"/>
                <w:szCs w:val="22"/>
              </w:rPr>
            </w:pPr>
            <w:r>
              <w:rPr>
                <w:b/>
                <w:bCs/>
                <w:sz w:val="22"/>
                <w:szCs w:val="22"/>
                <w:u w:val="single"/>
              </w:rPr>
              <w:t>SUCCESS STORY</w:t>
            </w:r>
          </w:p>
        </w:tc>
      </w:tr>
      <w:tr w:rsidR="00457399" w14:paraId="58659BDA" w14:textId="77777777">
        <w:trPr>
          <w:trHeight w:val="1246"/>
        </w:trPr>
        <w:tc>
          <w:tcPr>
            <w:tcW w:w="2689" w:type="dxa"/>
            <w:vAlign w:val="center"/>
          </w:tcPr>
          <w:p w14:paraId="3D865FAD" w14:textId="77777777" w:rsidR="00457399" w:rsidRDefault="00F42A0C">
            <w:pPr>
              <w:rPr>
                <w:sz w:val="22"/>
                <w:szCs w:val="22"/>
              </w:rPr>
            </w:pPr>
            <w:r>
              <w:rPr>
                <w:sz w:val="22"/>
                <w:szCs w:val="22"/>
              </w:rPr>
              <w:t>Implementation type:</w:t>
            </w:r>
          </w:p>
          <w:p w14:paraId="67114F87" w14:textId="77777777" w:rsidR="00457399" w:rsidRDefault="00F42A0C">
            <w:pPr>
              <w:rPr>
                <w:sz w:val="22"/>
                <w:szCs w:val="22"/>
              </w:rPr>
            </w:pPr>
            <w:r>
              <w:rPr>
                <w:i/>
                <w:iCs/>
                <w:sz w:val="22"/>
                <w:szCs w:val="22"/>
              </w:rPr>
              <w:t>(Select all that apply and provide information below)</w:t>
            </w:r>
          </w:p>
        </w:tc>
        <w:tc>
          <w:tcPr>
            <w:tcW w:w="6915" w:type="dxa"/>
            <w:gridSpan w:val="2"/>
          </w:tcPr>
          <w:p w14:paraId="1E24EC86" w14:textId="77777777" w:rsidR="00457399" w:rsidRDefault="00F42A0C">
            <w:pPr>
              <w:spacing w:before="0"/>
              <w:rPr>
                <w:sz w:val="22"/>
                <w:szCs w:val="22"/>
              </w:rPr>
            </w:pPr>
            <w:r>
              <w:rPr>
                <w:rFonts w:ascii="Segoe UI Symbol" w:hAnsi="Segoe UI Symbol" w:cs="Segoe UI Symbol"/>
                <w:sz w:val="22"/>
                <w:szCs w:val="22"/>
              </w:rPr>
              <w:t>x</w:t>
            </w:r>
            <w:r>
              <w:rPr>
                <w:sz w:val="22"/>
                <w:szCs w:val="22"/>
              </w:rPr>
              <w:t xml:space="preserve"> Telecom/ICT products/services</w:t>
            </w:r>
            <w:r>
              <w:rPr>
                <w:sz w:val="22"/>
                <w:szCs w:val="22"/>
              </w:rPr>
              <w:br/>
            </w:r>
            <w:r>
              <w:rPr>
                <w:rFonts w:ascii="Segoe UI Symbol" w:hAnsi="Segoe UI Symbol" w:cs="Segoe UI Symbol"/>
                <w:sz w:val="22"/>
                <w:szCs w:val="22"/>
              </w:rPr>
              <w:t>x</w:t>
            </w:r>
            <w:r>
              <w:rPr>
                <w:sz w:val="22"/>
                <w:szCs w:val="22"/>
              </w:rPr>
              <w:t xml:space="preserve"> Telecom/ICT regulations/policies/national standards</w:t>
            </w:r>
            <w:r>
              <w:rPr>
                <w:sz w:val="22"/>
                <w:szCs w:val="22"/>
              </w:rPr>
              <w:br/>
            </w:r>
            <w:r>
              <w:rPr>
                <w:rFonts w:ascii="Segoe UI Symbol" w:hAnsi="Segoe UI Symbol" w:cs="Segoe UI Symbol"/>
                <w:sz w:val="22"/>
                <w:szCs w:val="22"/>
              </w:rPr>
              <w:t>x</w:t>
            </w:r>
            <w:r>
              <w:rPr>
                <w:sz w:val="22"/>
                <w:szCs w:val="22"/>
              </w:rPr>
              <w:t xml:space="preserve"> </w:t>
            </w:r>
            <w:proofErr w:type="gramStart"/>
            <w:r>
              <w:rPr>
                <w:sz w:val="22"/>
                <w:szCs w:val="22"/>
              </w:rPr>
              <w:t>International</w:t>
            </w:r>
            <w:proofErr w:type="gramEnd"/>
            <w:r>
              <w:rPr>
                <w:sz w:val="22"/>
                <w:szCs w:val="22"/>
              </w:rPr>
              <w:t xml:space="preserve"> standards/ Recommendations</w:t>
            </w:r>
          </w:p>
          <w:p w14:paraId="09929B89" w14:textId="77777777" w:rsidR="00457399" w:rsidRDefault="00F42A0C">
            <w:pPr>
              <w:spacing w:before="0"/>
              <w:rPr>
                <w:sz w:val="22"/>
                <w:szCs w:val="22"/>
              </w:rPr>
            </w:pPr>
            <w:r>
              <w:rPr>
                <w:rFonts w:ascii="Segoe UI Symbol" w:hAnsi="Segoe UI Symbol" w:cs="Segoe UI Symbol"/>
                <w:sz w:val="22"/>
                <w:szCs w:val="22"/>
              </w:rPr>
              <w:t>x</w:t>
            </w:r>
            <w:r>
              <w:rPr>
                <w:sz w:val="22"/>
                <w:szCs w:val="22"/>
              </w:rPr>
              <w:t xml:space="preserve"> Other</w:t>
            </w:r>
          </w:p>
        </w:tc>
      </w:tr>
      <w:tr w:rsidR="00457399" w14:paraId="1B0D801F" w14:textId="77777777">
        <w:trPr>
          <w:trHeight w:val="848"/>
        </w:trPr>
        <w:tc>
          <w:tcPr>
            <w:tcW w:w="2689" w:type="dxa"/>
            <w:vMerge w:val="restart"/>
            <w:vAlign w:val="center"/>
          </w:tcPr>
          <w:p w14:paraId="4D18E62B" w14:textId="77777777" w:rsidR="00457399" w:rsidRDefault="00F42A0C">
            <w:pPr>
              <w:rPr>
                <w:rFonts w:ascii="Segoe UI Symbol" w:hAnsi="Segoe UI Symbol" w:cs="Segoe UI Symbol"/>
                <w:b/>
                <w:bCs/>
                <w:u w:val="single"/>
              </w:rPr>
            </w:pPr>
            <w:r>
              <w:rPr>
                <w:b/>
                <w:bCs/>
                <w:u w:val="single"/>
              </w:rPr>
              <w:t>Telecom/ICT products/services</w:t>
            </w:r>
          </w:p>
        </w:tc>
        <w:tc>
          <w:tcPr>
            <w:tcW w:w="3260" w:type="dxa"/>
          </w:tcPr>
          <w:p w14:paraId="4F42CFA5" w14:textId="77777777" w:rsidR="00457399" w:rsidRDefault="00F42A0C">
            <w:pPr>
              <w:rPr>
                <w:b/>
                <w:bCs/>
                <w:sz w:val="22"/>
                <w:szCs w:val="22"/>
              </w:rPr>
            </w:pPr>
            <w:r>
              <w:rPr>
                <w:b/>
                <w:bCs/>
                <w:sz w:val="22"/>
                <w:szCs w:val="22"/>
              </w:rPr>
              <w:t xml:space="preserve">Implementing body: </w:t>
            </w:r>
          </w:p>
          <w:p w14:paraId="5124C67B" w14:textId="77777777" w:rsidR="00457399" w:rsidRDefault="00F42A0C">
            <w:pPr>
              <w:rPr>
                <w:sz w:val="22"/>
                <w:szCs w:val="22"/>
              </w:rPr>
            </w:pPr>
            <w:r>
              <w:rPr>
                <w:sz w:val="22"/>
                <w:szCs w:val="22"/>
              </w:rPr>
              <w:t>Telecom operators / IP service providers</w:t>
            </w:r>
            <w:r>
              <w:rPr>
                <w:sz w:val="22"/>
                <w:szCs w:val="22"/>
              </w:rPr>
              <w:br/>
            </w:r>
            <w:r>
              <w:rPr>
                <w:sz w:val="22"/>
                <w:szCs w:val="22"/>
              </w:rPr>
              <w:br/>
            </w:r>
            <w:r>
              <w:rPr>
                <w:sz w:val="22"/>
                <w:szCs w:val="22"/>
              </w:rPr>
              <w:br/>
            </w:r>
            <w:r>
              <w:rPr>
                <w:sz w:val="22"/>
                <w:szCs w:val="22"/>
              </w:rPr>
              <w:br/>
            </w:r>
          </w:p>
          <w:p w14:paraId="0ADF38D9" w14:textId="77777777" w:rsidR="00457399" w:rsidRDefault="00F42A0C">
            <w:pPr>
              <w:rPr>
                <w:sz w:val="22"/>
                <w:szCs w:val="22"/>
              </w:rPr>
            </w:pPr>
            <w:r>
              <w:rPr>
                <w:sz w:val="22"/>
                <w:szCs w:val="22"/>
              </w:rPr>
              <w:t>Equipment manufacturers</w:t>
            </w:r>
            <w:r>
              <w:rPr>
                <w:sz w:val="22"/>
                <w:szCs w:val="22"/>
              </w:rPr>
              <w:br/>
            </w:r>
            <w:r>
              <w:rPr>
                <w:sz w:val="22"/>
                <w:szCs w:val="22"/>
              </w:rPr>
              <w:br/>
            </w:r>
            <w:r>
              <w:rPr>
                <w:sz w:val="22"/>
                <w:szCs w:val="22"/>
              </w:rPr>
              <w:br/>
            </w:r>
            <w:r>
              <w:rPr>
                <w:sz w:val="22"/>
                <w:szCs w:val="22"/>
              </w:rPr>
              <w:br/>
            </w:r>
          </w:p>
          <w:p w14:paraId="3094A058" w14:textId="77777777" w:rsidR="00457399" w:rsidRDefault="00F42A0C">
            <w:pPr>
              <w:rPr>
                <w:sz w:val="22"/>
                <w:szCs w:val="22"/>
              </w:rPr>
            </w:pPr>
            <w:r>
              <w:rPr>
                <w:sz w:val="22"/>
                <w:szCs w:val="22"/>
              </w:rPr>
              <w:t>Testing and monitoring tool manufacturers</w:t>
            </w:r>
          </w:p>
        </w:tc>
        <w:tc>
          <w:tcPr>
            <w:tcW w:w="3655" w:type="dxa"/>
          </w:tcPr>
          <w:p w14:paraId="50D81CB2" w14:textId="77777777" w:rsidR="00457399" w:rsidRDefault="00F42A0C">
            <w:pPr>
              <w:rPr>
                <w:b/>
                <w:bCs/>
                <w:sz w:val="22"/>
                <w:szCs w:val="22"/>
              </w:rPr>
            </w:pPr>
            <w:r>
              <w:rPr>
                <w:b/>
                <w:bCs/>
                <w:sz w:val="22"/>
                <w:szCs w:val="22"/>
              </w:rPr>
              <w:t>Implementation:</w:t>
            </w:r>
          </w:p>
          <w:p w14:paraId="0DD1B282" w14:textId="77777777" w:rsidR="00457399" w:rsidRDefault="00F42A0C">
            <w:pPr>
              <w:rPr>
                <w:sz w:val="22"/>
                <w:szCs w:val="22"/>
              </w:rPr>
            </w:pPr>
            <w:r>
              <w:rPr>
                <w:sz w:val="22"/>
                <w:szCs w:val="22"/>
              </w:rPr>
              <w:t>Y.1540 parameters and methods of measurement are used to plan, monitor, and optimize their IP networks, ensuring reliable data delivery across the internet and private networks.</w:t>
            </w:r>
          </w:p>
          <w:p w14:paraId="40B9D089" w14:textId="77777777" w:rsidR="00457399" w:rsidRDefault="00F42A0C">
            <w:pPr>
              <w:rPr>
                <w:sz w:val="22"/>
                <w:szCs w:val="22"/>
              </w:rPr>
            </w:pPr>
            <w:r>
              <w:rPr>
                <w:sz w:val="22"/>
                <w:szCs w:val="22"/>
              </w:rPr>
              <w:t>Y.1540 parameters are implemented in routers, switches, and network monitoring tools to support performance measurement and compliance.</w:t>
            </w:r>
          </w:p>
          <w:p w14:paraId="3381F129" w14:textId="77777777" w:rsidR="00457399" w:rsidRDefault="00F42A0C">
            <w:pPr>
              <w:rPr>
                <w:sz w:val="22"/>
                <w:szCs w:val="22"/>
              </w:rPr>
            </w:pPr>
            <w:r>
              <w:rPr>
                <w:sz w:val="22"/>
                <w:szCs w:val="22"/>
              </w:rPr>
              <w:t>Y.1540 metrics are embedded to evaluate packet loss, delay, jitter, and availability in real-time and lab environments.</w:t>
            </w:r>
          </w:p>
        </w:tc>
      </w:tr>
      <w:tr w:rsidR="00457399" w14:paraId="17EEB37D" w14:textId="77777777">
        <w:trPr>
          <w:trHeight w:val="1232"/>
        </w:trPr>
        <w:tc>
          <w:tcPr>
            <w:tcW w:w="2689" w:type="dxa"/>
            <w:vMerge/>
            <w:vAlign w:val="center"/>
          </w:tcPr>
          <w:p w14:paraId="6FF8F103" w14:textId="77777777" w:rsidR="00457399" w:rsidRDefault="00457399">
            <w:pPr>
              <w:rPr>
                <w:b/>
                <w:bCs/>
                <w:u w:val="single"/>
              </w:rPr>
            </w:pPr>
          </w:p>
        </w:tc>
        <w:tc>
          <w:tcPr>
            <w:tcW w:w="6915" w:type="dxa"/>
            <w:gridSpan w:val="2"/>
          </w:tcPr>
          <w:p w14:paraId="3C42F26E" w14:textId="77777777" w:rsidR="00457399" w:rsidRDefault="00F42A0C">
            <w:pPr>
              <w:rPr>
                <w:b/>
                <w:bCs/>
                <w:sz w:val="22"/>
                <w:szCs w:val="22"/>
              </w:rPr>
            </w:pPr>
            <w:r>
              <w:rPr>
                <w:b/>
                <w:bCs/>
                <w:sz w:val="22"/>
                <w:szCs w:val="22"/>
              </w:rPr>
              <w:t>Implementation summary:</w:t>
            </w:r>
          </w:p>
          <w:p w14:paraId="6F5B46FE" w14:textId="77777777" w:rsidR="00457399" w:rsidRDefault="00F42A0C">
            <w:pPr>
              <w:rPr>
                <w:sz w:val="22"/>
                <w:szCs w:val="22"/>
              </w:rPr>
            </w:pPr>
            <w:r>
              <w:rPr>
                <w:sz w:val="22"/>
                <w:szCs w:val="22"/>
              </w:rPr>
              <w:t>ITU-T Y.1540 is used in telecom and ICT products and services to define key performance metrics—such as packet delay, jitter, loss, and availability—for IP-based networks. These parameters are implemented by telecom operators in service assurance platforms to monitor and guarantee QoS, by network equipment vendors (e.g., routers, switches) to support standards-compliant performance measurement, and by testing tool providers in benchmarking solutions for broadband, VoIP, and NGN services. This ensures consistent, reliable IP service quality across global networks and supports regulatory compliance and SLA verification.</w:t>
            </w:r>
          </w:p>
          <w:p w14:paraId="1BBF60BB" w14:textId="77777777" w:rsidR="00457399" w:rsidRDefault="00F42A0C">
            <w:pPr>
              <w:rPr>
                <w:sz w:val="22"/>
                <w:szCs w:val="22"/>
              </w:rPr>
            </w:pPr>
            <w:r>
              <w:rPr>
                <w:sz w:val="22"/>
                <w:szCs w:val="22"/>
              </w:rPr>
              <w:lastRenderedPageBreak/>
              <w:t xml:space="preserve">For the </w:t>
            </w:r>
            <w:r>
              <w:rPr>
                <w:i/>
                <w:iCs/>
                <w:sz w:val="22"/>
                <w:szCs w:val="22"/>
              </w:rPr>
              <w:t>average citizen</w:t>
            </w:r>
            <w:r>
              <w:rPr>
                <w:sz w:val="22"/>
                <w:szCs w:val="22"/>
              </w:rPr>
              <w:t>, implementation of Y.1540 ensures that internet-based services like video calls, VoIP, and online applications run smoothly and reliably, giving citizens faster, more stable connections with fewer delays or interruptions.</w:t>
            </w:r>
          </w:p>
        </w:tc>
      </w:tr>
      <w:tr w:rsidR="00457399" w14:paraId="00A93B43" w14:textId="77777777">
        <w:trPr>
          <w:trHeight w:val="1169"/>
        </w:trPr>
        <w:tc>
          <w:tcPr>
            <w:tcW w:w="2689" w:type="dxa"/>
            <w:vMerge w:val="restart"/>
            <w:vAlign w:val="center"/>
          </w:tcPr>
          <w:p w14:paraId="3B6875D0" w14:textId="77777777" w:rsidR="00457399" w:rsidRDefault="00F42A0C">
            <w:pPr>
              <w:rPr>
                <w:rFonts w:ascii="Segoe UI Symbol" w:hAnsi="Segoe UI Symbol" w:cs="Segoe UI Symbol"/>
                <w:b/>
                <w:bCs/>
                <w:u w:val="single"/>
              </w:rPr>
            </w:pPr>
            <w:r>
              <w:rPr>
                <w:b/>
                <w:bCs/>
                <w:u w:val="single"/>
              </w:rPr>
              <w:lastRenderedPageBreak/>
              <w:t>Telecom/ICT regulations/policies/ national Standards</w:t>
            </w:r>
          </w:p>
        </w:tc>
        <w:tc>
          <w:tcPr>
            <w:tcW w:w="3260" w:type="dxa"/>
          </w:tcPr>
          <w:p w14:paraId="317C7744" w14:textId="77777777" w:rsidR="00457399" w:rsidRDefault="00F42A0C">
            <w:pPr>
              <w:rPr>
                <w:b/>
                <w:bCs/>
                <w:sz w:val="22"/>
                <w:szCs w:val="22"/>
              </w:rPr>
            </w:pPr>
            <w:r>
              <w:rPr>
                <w:b/>
                <w:bCs/>
                <w:sz w:val="22"/>
                <w:szCs w:val="22"/>
              </w:rPr>
              <w:t xml:space="preserve">Implementing body: </w:t>
            </w:r>
          </w:p>
          <w:p w14:paraId="0EF84938" w14:textId="77777777" w:rsidR="00457399" w:rsidRDefault="00F42A0C">
            <w:pPr>
              <w:rPr>
                <w:rFonts w:ascii="Segoe UI Symbol" w:hAnsi="Segoe UI Symbol" w:cs="Segoe UI Symbol"/>
                <w:sz w:val="22"/>
                <w:szCs w:val="22"/>
              </w:rPr>
            </w:pPr>
            <w:r>
              <w:rPr>
                <w:sz w:val="22"/>
                <w:szCs w:val="22"/>
              </w:rPr>
              <w:t>National Regulatory Authorities</w:t>
            </w:r>
          </w:p>
        </w:tc>
        <w:tc>
          <w:tcPr>
            <w:tcW w:w="3655" w:type="dxa"/>
          </w:tcPr>
          <w:p w14:paraId="661D90D4" w14:textId="77777777" w:rsidR="00457399" w:rsidRDefault="00F42A0C">
            <w:pPr>
              <w:rPr>
                <w:b/>
                <w:bCs/>
                <w:sz w:val="22"/>
                <w:szCs w:val="22"/>
              </w:rPr>
            </w:pPr>
            <w:r>
              <w:rPr>
                <w:b/>
                <w:bCs/>
                <w:sz w:val="22"/>
                <w:szCs w:val="22"/>
              </w:rPr>
              <w:t>Implementation:</w:t>
            </w:r>
          </w:p>
          <w:p w14:paraId="174A0AA8" w14:textId="77777777" w:rsidR="00457399" w:rsidRDefault="00F42A0C">
            <w:pPr>
              <w:rPr>
                <w:sz w:val="22"/>
                <w:szCs w:val="22"/>
              </w:rPr>
            </w:pPr>
            <w:r>
              <w:rPr>
                <w:sz w:val="22"/>
                <w:szCs w:val="22"/>
              </w:rPr>
              <w:t xml:space="preserve">Y.1540 is used to define QoS benchmarks for IP-based services (e.g., delay, jitter, packet loss, availability) in national quality assessment frameworks. </w:t>
            </w:r>
          </w:p>
          <w:p w14:paraId="0E878941" w14:textId="77777777" w:rsidR="00457399" w:rsidRDefault="00F42A0C">
            <w:r>
              <w:rPr>
                <w:sz w:val="22"/>
                <w:szCs w:val="22"/>
              </w:rPr>
              <w:t>Y.1540 metrics are used in monitoring systems to audit network performance and ensure operators meet minimum quality standards.</w:t>
            </w:r>
          </w:p>
        </w:tc>
      </w:tr>
      <w:tr w:rsidR="00457399" w14:paraId="00B17106" w14:textId="77777777">
        <w:trPr>
          <w:trHeight w:val="1142"/>
        </w:trPr>
        <w:tc>
          <w:tcPr>
            <w:tcW w:w="2689" w:type="dxa"/>
            <w:vMerge/>
            <w:vAlign w:val="center"/>
          </w:tcPr>
          <w:p w14:paraId="7753391A" w14:textId="77777777" w:rsidR="00457399" w:rsidRDefault="00457399">
            <w:pPr>
              <w:rPr>
                <w:rFonts w:ascii="Segoe UI Symbol" w:hAnsi="Segoe UI Symbol" w:cs="Segoe UI Symbol"/>
                <w:b/>
                <w:bCs/>
                <w:u w:val="single"/>
              </w:rPr>
            </w:pPr>
          </w:p>
        </w:tc>
        <w:tc>
          <w:tcPr>
            <w:tcW w:w="6915" w:type="dxa"/>
            <w:gridSpan w:val="2"/>
          </w:tcPr>
          <w:p w14:paraId="4EC28A64" w14:textId="77777777" w:rsidR="00457399" w:rsidRDefault="00F42A0C">
            <w:pPr>
              <w:rPr>
                <w:b/>
                <w:bCs/>
                <w:sz w:val="22"/>
                <w:szCs w:val="22"/>
              </w:rPr>
            </w:pPr>
            <w:r>
              <w:rPr>
                <w:b/>
                <w:bCs/>
                <w:sz w:val="22"/>
                <w:szCs w:val="22"/>
              </w:rPr>
              <w:t>Implementation summary:</w:t>
            </w:r>
          </w:p>
          <w:p w14:paraId="1843EB95" w14:textId="77777777" w:rsidR="00457399" w:rsidRDefault="00F42A0C">
            <w:pPr>
              <w:rPr>
                <w:rFonts w:ascii="Segoe UI Symbol" w:hAnsi="Segoe UI Symbol" w:cs="Segoe UI Symbol"/>
                <w:sz w:val="22"/>
                <w:szCs w:val="22"/>
              </w:rPr>
            </w:pPr>
            <w:r>
              <w:rPr>
                <w:sz w:val="22"/>
                <w:szCs w:val="22"/>
              </w:rPr>
              <w:t>Regulators implement ITU-T Y.1540 by incorporating its IP performance metrics—such as packet delay, jitter, loss, and availability—into national QoS frameworks and service regulations. They use these parameters to set minimum quality standards for broadband, VoIP, and NGN services, mandate compliance in operator SLAs, and deploy monitoring systems that measure network performance against Y.1540 benchmarks. This ensures consistent, reliable IP service quality for consumers and aligns national policies with global standards for interoperability and service assurance.</w:t>
            </w:r>
          </w:p>
        </w:tc>
      </w:tr>
      <w:tr w:rsidR="00457399" w:rsidRPr="00C7362F" w14:paraId="796BCEED" w14:textId="77777777">
        <w:trPr>
          <w:trHeight w:val="1234"/>
        </w:trPr>
        <w:tc>
          <w:tcPr>
            <w:tcW w:w="2689" w:type="dxa"/>
            <w:vMerge w:val="restart"/>
            <w:vAlign w:val="center"/>
          </w:tcPr>
          <w:p w14:paraId="3249A801" w14:textId="77777777" w:rsidR="00457399" w:rsidRDefault="00F42A0C">
            <w:pPr>
              <w:rPr>
                <w:rFonts w:ascii="Segoe UI Symbol" w:hAnsi="Segoe UI Symbol" w:cs="Segoe UI Symbol"/>
                <w:b/>
                <w:bCs/>
                <w:u w:val="single"/>
              </w:rPr>
            </w:pPr>
            <w:r>
              <w:rPr>
                <w:b/>
                <w:bCs/>
                <w:u w:val="single"/>
              </w:rPr>
              <w:t>International standards/ Recommendations</w:t>
            </w:r>
          </w:p>
        </w:tc>
        <w:tc>
          <w:tcPr>
            <w:tcW w:w="3260" w:type="dxa"/>
          </w:tcPr>
          <w:p w14:paraId="4EBF0A60" w14:textId="77777777" w:rsidR="00457399" w:rsidRDefault="00F42A0C">
            <w:pPr>
              <w:rPr>
                <w:b/>
                <w:bCs/>
                <w:sz w:val="22"/>
                <w:szCs w:val="22"/>
              </w:rPr>
            </w:pPr>
            <w:r>
              <w:rPr>
                <w:b/>
                <w:bCs/>
                <w:sz w:val="22"/>
                <w:szCs w:val="22"/>
              </w:rPr>
              <w:t xml:space="preserve">Implementing body: </w:t>
            </w:r>
          </w:p>
          <w:p w14:paraId="11FDEC51" w14:textId="77777777" w:rsidR="00457399" w:rsidRDefault="00F42A0C">
            <w:r>
              <w:t>IETF</w:t>
            </w:r>
          </w:p>
          <w:p w14:paraId="555F9CB7" w14:textId="77777777" w:rsidR="00457399" w:rsidRDefault="00F42A0C">
            <w:r>
              <w:t>BBF</w:t>
            </w:r>
          </w:p>
          <w:p w14:paraId="500C08A6" w14:textId="77777777" w:rsidR="00457399" w:rsidRDefault="00F42A0C">
            <w:r>
              <w:t>ETSI</w:t>
            </w:r>
          </w:p>
        </w:tc>
        <w:tc>
          <w:tcPr>
            <w:tcW w:w="3655" w:type="dxa"/>
          </w:tcPr>
          <w:p w14:paraId="78B49EEB" w14:textId="77777777" w:rsidR="00457399" w:rsidRDefault="00F42A0C">
            <w:pPr>
              <w:rPr>
                <w:b/>
                <w:bCs/>
                <w:sz w:val="22"/>
                <w:szCs w:val="22"/>
                <w:lang w:val="fr-FR"/>
              </w:rPr>
            </w:pPr>
            <w:proofErr w:type="spellStart"/>
            <w:proofErr w:type="gramStart"/>
            <w:r>
              <w:rPr>
                <w:b/>
                <w:bCs/>
                <w:sz w:val="22"/>
                <w:szCs w:val="22"/>
                <w:lang w:val="fr-FR"/>
              </w:rPr>
              <w:t>Implementation</w:t>
            </w:r>
            <w:proofErr w:type="spellEnd"/>
            <w:r>
              <w:rPr>
                <w:b/>
                <w:bCs/>
                <w:sz w:val="22"/>
                <w:szCs w:val="22"/>
                <w:lang w:val="fr-FR"/>
              </w:rPr>
              <w:t>:</w:t>
            </w:r>
            <w:proofErr w:type="gramEnd"/>
          </w:p>
          <w:p w14:paraId="44419CAD" w14:textId="77777777" w:rsidR="00457399" w:rsidRDefault="00F42A0C">
            <w:pPr>
              <w:rPr>
                <w:sz w:val="22"/>
                <w:szCs w:val="22"/>
                <w:lang w:val="fr-FR"/>
              </w:rPr>
            </w:pPr>
            <w:r>
              <w:rPr>
                <w:sz w:val="22"/>
                <w:szCs w:val="22"/>
                <w:lang w:val="fr-FR"/>
              </w:rPr>
              <w:t>RFC9097</w:t>
            </w:r>
          </w:p>
          <w:p w14:paraId="242463B4" w14:textId="77777777" w:rsidR="00457399" w:rsidRDefault="00F42A0C">
            <w:pPr>
              <w:rPr>
                <w:sz w:val="22"/>
                <w:szCs w:val="22"/>
                <w:lang w:val="fr-FR"/>
              </w:rPr>
            </w:pPr>
            <w:r>
              <w:rPr>
                <w:sz w:val="22"/>
                <w:szCs w:val="22"/>
                <w:lang w:val="fr-FR"/>
              </w:rPr>
              <w:t>TR-471</w:t>
            </w:r>
          </w:p>
          <w:p w14:paraId="2311B57A" w14:textId="77777777" w:rsidR="00457399" w:rsidRDefault="00F42A0C">
            <w:pPr>
              <w:rPr>
                <w:lang w:val="fr-FR"/>
              </w:rPr>
            </w:pPr>
            <w:r>
              <w:rPr>
                <w:lang w:val="fr-FR"/>
              </w:rPr>
              <w:t xml:space="preserve">TS 103 210, TS 103 222-2 </w:t>
            </w:r>
          </w:p>
        </w:tc>
      </w:tr>
      <w:tr w:rsidR="00457399" w14:paraId="7412CD38" w14:textId="77777777">
        <w:trPr>
          <w:trHeight w:val="1353"/>
        </w:trPr>
        <w:tc>
          <w:tcPr>
            <w:tcW w:w="2689" w:type="dxa"/>
            <w:vMerge/>
            <w:vAlign w:val="center"/>
          </w:tcPr>
          <w:p w14:paraId="37EE507C" w14:textId="77777777" w:rsidR="00457399" w:rsidRDefault="00457399">
            <w:pPr>
              <w:rPr>
                <w:rFonts w:ascii="Segoe UI Symbol" w:hAnsi="Segoe UI Symbol" w:cs="Segoe UI Symbol"/>
                <w:sz w:val="22"/>
                <w:szCs w:val="22"/>
                <w:lang w:val="fr-FR"/>
              </w:rPr>
            </w:pPr>
          </w:p>
        </w:tc>
        <w:tc>
          <w:tcPr>
            <w:tcW w:w="6915" w:type="dxa"/>
            <w:gridSpan w:val="2"/>
          </w:tcPr>
          <w:p w14:paraId="4C927E96" w14:textId="77777777" w:rsidR="00457399" w:rsidRDefault="00F42A0C">
            <w:pPr>
              <w:rPr>
                <w:b/>
                <w:bCs/>
                <w:sz w:val="22"/>
                <w:szCs w:val="22"/>
              </w:rPr>
            </w:pPr>
            <w:r>
              <w:rPr>
                <w:b/>
                <w:bCs/>
                <w:sz w:val="22"/>
                <w:szCs w:val="22"/>
              </w:rPr>
              <w:t>Implementation summary:</w:t>
            </w:r>
          </w:p>
          <w:p w14:paraId="2B0F1CA8" w14:textId="77777777" w:rsidR="00457399" w:rsidRDefault="00F42A0C">
            <w:pPr>
              <w:rPr>
                <w:sz w:val="22"/>
                <w:szCs w:val="22"/>
              </w:rPr>
            </w:pPr>
            <w:r>
              <w:rPr>
                <w:sz w:val="22"/>
                <w:szCs w:val="22"/>
              </w:rPr>
              <w:t xml:space="preserve">Y.1540 is referenced across many ITU-T Recommendations dealing with IP performance. </w:t>
            </w:r>
          </w:p>
          <w:p w14:paraId="7DCB1C8A" w14:textId="77777777" w:rsidR="00457399" w:rsidRDefault="00F42A0C">
            <w:pPr>
              <w:rPr>
                <w:rFonts w:ascii="Segoe UI Symbol" w:hAnsi="Segoe UI Symbol" w:cs="Segoe UI Symbol"/>
                <w:sz w:val="22"/>
                <w:szCs w:val="22"/>
              </w:rPr>
            </w:pPr>
            <w:r>
              <w:rPr>
                <w:sz w:val="22"/>
                <w:szCs w:val="22"/>
              </w:rPr>
              <w:t>Y.1540 is technically aligned with work in IETF (</w:t>
            </w:r>
            <w:proofErr w:type="spellStart"/>
            <w:r>
              <w:rPr>
                <w:sz w:val="22"/>
                <w:szCs w:val="22"/>
              </w:rPr>
              <w:t>ippm</w:t>
            </w:r>
            <w:proofErr w:type="spellEnd"/>
            <w:r>
              <w:rPr>
                <w:sz w:val="22"/>
                <w:szCs w:val="22"/>
              </w:rPr>
              <w:t xml:space="preserve"> WG), BBF and ETSI (TC STQ Mobile).</w:t>
            </w:r>
          </w:p>
        </w:tc>
      </w:tr>
      <w:tr w:rsidR="00457399" w14:paraId="65A45939" w14:textId="77777777">
        <w:trPr>
          <w:trHeight w:val="1034"/>
        </w:trPr>
        <w:tc>
          <w:tcPr>
            <w:tcW w:w="2689" w:type="dxa"/>
            <w:vAlign w:val="center"/>
          </w:tcPr>
          <w:p w14:paraId="1057DD8D" w14:textId="77777777" w:rsidR="00457399" w:rsidRDefault="00F42A0C">
            <w:pPr>
              <w:rPr>
                <w:b/>
                <w:bCs/>
                <w:sz w:val="22"/>
                <w:szCs w:val="22"/>
              </w:rPr>
            </w:pPr>
            <w:r>
              <w:rPr>
                <w:b/>
                <w:bCs/>
                <w:u w:val="single"/>
              </w:rPr>
              <w:t>Other</w:t>
            </w:r>
          </w:p>
        </w:tc>
        <w:tc>
          <w:tcPr>
            <w:tcW w:w="6915" w:type="dxa"/>
            <w:gridSpan w:val="2"/>
            <w:vAlign w:val="center"/>
          </w:tcPr>
          <w:p w14:paraId="15DB159C" w14:textId="77777777" w:rsidR="00457399" w:rsidRDefault="00F42A0C">
            <w:pPr>
              <w:rPr>
                <w:b/>
                <w:bCs/>
                <w:sz w:val="22"/>
                <w:szCs w:val="22"/>
              </w:rPr>
            </w:pPr>
            <w:r>
              <w:rPr>
                <w:b/>
                <w:bCs/>
                <w:sz w:val="22"/>
                <w:szCs w:val="22"/>
              </w:rPr>
              <w:t>Implementation summary:</w:t>
            </w:r>
          </w:p>
          <w:p w14:paraId="10D8BBAB" w14:textId="77777777" w:rsidR="00457399" w:rsidRDefault="00F42A0C">
            <w:pPr>
              <w:rPr>
                <w:sz w:val="22"/>
                <w:szCs w:val="22"/>
              </w:rPr>
            </w:pPr>
            <w:r>
              <w:rPr>
                <w:sz w:val="22"/>
                <w:szCs w:val="22"/>
              </w:rPr>
              <w:t xml:space="preserve">The method of IP capacity measurements described in Y.1540 is implemented in the Open Broadband-UDP Speed Test (OB-UDPST) open source project, </w:t>
            </w:r>
            <w:hyperlink r:id="rId16" w:tooltip="https://github.com/BroadbandForum/obudpst" w:history="1">
              <w:r>
                <w:rPr>
                  <w:rStyle w:val="Hyperlink"/>
                  <w:sz w:val="22"/>
                  <w:szCs w:val="22"/>
                </w:rPr>
                <w:t>https://github.com/BroadbandForum/obudpst</w:t>
              </w:r>
            </w:hyperlink>
            <w:r>
              <w:rPr>
                <w:sz w:val="22"/>
                <w:szCs w:val="22"/>
              </w:rPr>
              <w:t>.</w:t>
            </w:r>
          </w:p>
        </w:tc>
      </w:tr>
    </w:tbl>
    <w:p w14:paraId="6CFFD232" w14:textId="77777777" w:rsidR="00457399" w:rsidRDefault="00457399"/>
    <w:p w14:paraId="2D2FB6FC" w14:textId="77777777" w:rsidR="00457399" w:rsidRDefault="00F42A0C">
      <w:pPr>
        <w:spacing w:before="0"/>
      </w:pPr>
      <w:r>
        <w:br w:type="page" w:clear="all"/>
      </w:r>
    </w:p>
    <w:tbl>
      <w:tblPr>
        <w:tblStyle w:val="TableGrid"/>
        <w:tblW w:w="9604" w:type="dxa"/>
        <w:tblLook w:val="04A0" w:firstRow="1" w:lastRow="0" w:firstColumn="1" w:lastColumn="0" w:noHBand="0" w:noVBand="1"/>
      </w:tblPr>
      <w:tblGrid>
        <w:gridCol w:w="2689"/>
        <w:gridCol w:w="3260"/>
        <w:gridCol w:w="3655"/>
      </w:tblGrid>
      <w:tr w:rsidR="00457399" w14:paraId="7B9B2DE9" w14:textId="77777777">
        <w:trPr>
          <w:trHeight w:val="416"/>
        </w:trPr>
        <w:tc>
          <w:tcPr>
            <w:tcW w:w="9604" w:type="dxa"/>
            <w:gridSpan w:val="3"/>
            <w:shd w:val="clear" w:color="auto" w:fill="D9D9D9" w:themeFill="background1" w:themeFillShade="D9"/>
            <w:vAlign w:val="center"/>
          </w:tcPr>
          <w:p w14:paraId="1A8BADE7" w14:textId="77777777" w:rsidR="00457399" w:rsidRDefault="00F42A0C">
            <w:pPr>
              <w:jc w:val="center"/>
              <w:rPr>
                <w:sz w:val="22"/>
                <w:szCs w:val="22"/>
              </w:rPr>
            </w:pPr>
            <w:r>
              <w:rPr>
                <w:b/>
                <w:bCs/>
                <w:sz w:val="22"/>
                <w:szCs w:val="22"/>
                <w:u w:val="single"/>
              </w:rPr>
              <w:lastRenderedPageBreak/>
              <w:t>ITU-T RECOMMENDATION OVERVIEW</w:t>
            </w:r>
          </w:p>
        </w:tc>
      </w:tr>
      <w:tr w:rsidR="00457399" w14:paraId="419890F9" w14:textId="77777777">
        <w:trPr>
          <w:trHeight w:val="416"/>
        </w:trPr>
        <w:tc>
          <w:tcPr>
            <w:tcW w:w="2689" w:type="dxa"/>
            <w:vAlign w:val="center"/>
          </w:tcPr>
          <w:p w14:paraId="0B3D504A" w14:textId="77777777" w:rsidR="00457399" w:rsidRDefault="00F42A0C">
            <w:pPr>
              <w:rPr>
                <w:sz w:val="22"/>
                <w:szCs w:val="22"/>
              </w:rPr>
            </w:pPr>
            <w:r>
              <w:rPr>
                <w:sz w:val="22"/>
                <w:szCs w:val="22"/>
              </w:rPr>
              <w:t>ITU-T Recommendation:</w:t>
            </w:r>
          </w:p>
        </w:tc>
        <w:tc>
          <w:tcPr>
            <w:tcW w:w="6915" w:type="dxa"/>
            <w:gridSpan w:val="2"/>
            <w:vAlign w:val="center"/>
          </w:tcPr>
          <w:p w14:paraId="4A3DD81C" w14:textId="77777777" w:rsidR="00457399" w:rsidRDefault="00F42A0C">
            <w:pPr>
              <w:rPr>
                <w:sz w:val="22"/>
                <w:szCs w:val="22"/>
              </w:rPr>
            </w:pPr>
            <w:r>
              <w:rPr>
                <w:sz w:val="22"/>
              </w:rPr>
              <w:t>ITU-T E.806</w:t>
            </w:r>
          </w:p>
        </w:tc>
      </w:tr>
      <w:tr w:rsidR="00457399" w14:paraId="72555ABC" w14:textId="77777777">
        <w:trPr>
          <w:trHeight w:val="416"/>
        </w:trPr>
        <w:tc>
          <w:tcPr>
            <w:tcW w:w="2689" w:type="dxa"/>
            <w:vAlign w:val="center"/>
          </w:tcPr>
          <w:p w14:paraId="14FE8264" w14:textId="77777777" w:rsidR="00457399" w:rsidRDefault="00F42A0C">
            <w:pPr>
              <w:rPr>
                <w:sz w:val="22"/>
                <w:szCs w:val="22"/>
              </w:rPr>
            </w:pPr>
            <w:r>
              <w:rPr>
                <w:sz w:val="22"/>
                <w:szCs w:val="22"/>
              </w:rPr>
              <w:t>Title:</w:t>
            </w:r>
          </w:p>
        </w:tc>
        <w:tc>
          <w:tcPr>
            <w:tcW w:w="6915" w:type="dxa"/>
            <w:gridSpan w:val="2"/>
            <w:vAlign w:val="center"/>
          </w:tcPr>
          <w:p w14:paraId="02DCF951" w14:textId="77777777" w:rsidR="00457399" w:rsidRDefault="00F42A0C">
            <w:pPr>
              <w:rPr>
                <w:b/>
                <w:bCs/>
                <w:sz w:val="22"/>
                <w:szCs w:val="22"/>
              </w:rPr>
            </w:pPr>
            <w:r>
              <w:rPr>
                <w:b/>
                <w:bCs/>
                <w:sz w:val="22"/>
              </w:rPr>
              <w:t xml:space="preserve">Measurement campaigns, monitoring systems and sampling methodologies to monitor the quality of service in mobile networks  </w:t>
            </w:r>
          </w:p>
        </w:tc>
      </w:tr>
      <w:tr w:rsidR="00457399" w14:paraId="29048F6E" w14:textId="77777777">
        <w:trPr>
          <w:trHeight w:val="416"/>
        </w:trPr>
        <w:tc>
          <w:tcPr>
            <w:tcW w:w="2689" w:type="dxa"/>
            <w:vAlign w:val="center"/>
          </w:tcPr>
          <w:p w14:paraId="4F86D4FC" w14:textId="77777777" w:rsidR="00457399" w:rsidRDefault="00F42A0C">
            <w:pPr>
              <w:rPr>
                <w:sz w:val="22"/>
                <w:szCs w:val="22"/>
              </w:rPr>
            </w:pPr>
            <w:r>
              <w:rPr>
                <w:sz w:val="22"/>
                <w:szCs w:val="22"/>
              </w:rPr>
              <w:t>Effective period:</w:t>
            </w:r>
          </w:p>
        </w:tc>
        <w:tc>
          <w:tcPr>
            <w:tcW w:w="6915" w:type="dxa"/>
            <w:gridSpan w:val="2"/>
            <w:vAlign w:val="center"/>
          </w:tcPr>
          <w:p w14:paraId="02A5ADAE" w14:textId="77777777" w:rsidR="00457399" w:rsidRDefault="00F42A0C">
            <w:pPr>
              <w:rPr>
                <w:sz w:val="22"/>
                <w:szCs w:val="22"/>
              </w:rPr>
            </w:pPr>
            <w:r>
              <w:rPr>
                <w:sz w:val="22"/>
                <w:szCs w:val="22"/>
              </w:rPr>
              <w:t>2019 - Present</w:t>
            </w:r>
          </w:p>
        </w:tc>
      </w:tr>
      <w:tr w:rsidR="00457399" w14:paraId="55D85655" w14:textId="77777777">
        <w:trPr>
          <w:trHeight w:val="708"/>
        </w:trPr>
        <w:tc>
          <w:tcPr>
            <w:tcW w:w="2689" w:type="dxa"/>
            <w:vAlign w:val="center"/>
          </w:tcPr>
          <w:p w14:paraId="2EFF30AD" w14:textId="77777777" w:rsidR="00457399" w:rsidRDefault="00F42A0C">
            <w:pPr>
              <w:rPr>
                <w:sz w:val="22"/>
                <w:szCs w:val="22"/>
              </w:rPr>
            </w:pPr>
            <w:r>
              <w:rPr>
                <w:sz w:val="22"/>
                <w:szCs w:val="22"/>
              </w:rPr>
              <w:t xml:space="preserve">Summary: </w:t>
            </w:r>
          </w:p>
        </w:tc>
        <w:tc>
          <w:tcPr>
            <w:tcW w:w="6915" w:type="dxa"/>
            <w:gridSpan w:val="2"/>
            <w:vAlign w:val="center"/>
          </w:tcPr>
          <w:p w14:paraId="0EFB32CB" w14:textId="77777777" w:rsidR="00457399" w:rsidRDefault="00F42A0C">
            <w:pPr>
              <w:rPr>
                <w:sz w:val="22"/>
                <w:szCs w:val="22"/>
              </w:rPr>
            </w:pPr>
            <w:r>
              <w:rPr>
                <w:sz w:val="22"/>
                <w:szCs w:val="22"/>
              </w:rPr>
              <w:t>ITU-T E.806 describes a baseline framework of best practices for measuring quality of service (QoS) in mobile networks. It provides a high-level overview of measurement campaigns, monitoring systems characteristics and requirements, post-processing general recommendations and sampling methodologies used by regulators, test equipment vendors, companies that deliver network measurements, data analysts and service providers to monitor mobile electronic services.</w:t>
            </w:r>
          </w:p>
        </w:tc>
      </w:tr>
      <w:tr w:rsidR="00457399" w14:paraId="0B5E827F" w14:textId="77777777">
        <w:trPr>
          <w:trHeight w:val="413"/>
        </w:trPr>
        <w:tc>
          <w:tcPr>
            <w:tcW w:w="9604" w:type="dxa"/>
            <w:gridSpan w:val="3"/>
            <w:shd w:val="clear" w:color="auto" w:fill="D9D9D9" w:themeFill="background1" w:themeFillShade="D9"/>
            <w:vAlign w:val="center"/>
          </w:tcPr>
          <w:p w14:paraId="6774EABF" w14:textId="77777777" w:rsidR="00457399" w:rsidRDefault="00F42A0C">
            <w:pPr>
              <w:jc w:val="center"/>
              <w:rPr>
                <w:sz w:val="22"/>
                <w:szCs w:val="22"/>
              </w:rPr>
            </w:pPr>
            <w:r>
              <w:rPr>
                <w:b/>
                <w:bCs/>
                <w:sz w:val="22"/>
                <w:szCs w:val="22"/>
                <w:u w:val="single"/>
              </w:rPr>
              <w:t>SUCCESS STORY</w:t>
            </w:r>
          </w:p>
        </w:tc>
      </w:tr>
      <w:tr w:rsidR="00457399" w14:paraId="307DFBA0" w14:textId="77777777">
        <w:trPr>
          <w:trHeight w:val="1246"/>
        </w:trPr>
        <w:tc>
          <w:tcPr>
            <w:tcW w:w="2689" w:type="dxa"/>
            <w:vAlign w:val="center"/>
          </w:tcPr>
          <w:p w14:paraId="43C10533" w14:textId="77777777" w:rsidR="00457399" w:rsidRDefault="00F42A0C">
            <w:pPr>
              <w:rPr>
                <w:sz w:val="22"/>
                <w:szCs w:val="22"/>
              </w:rPr>
            </w:pPr>
            <w:r>
              <w:rPr>
                <w:sz w:val="22"/>
                <w:szCs w:val="22"/>
              </w:rPr>
              <w:t>Implementation type:</w:t>
            </w:r>
          </w:p>
          <w:p w14:paraId="5EF13ECE" w14:textId="77777777" w:rsidR="00457399" w:rsidRDefault="00F42A0C">
            <w:pPr>
              <w:rPr>
                <w:sz w:val="22"/>
                <w:szCs w:val="22"/>
              </w:rPr>
            </w:pPr>
            <w:r>
              <w:rPr>
                <w:i/>
                <w:iCs/>
                <w:sz w:val="22"/>
                <w:szCs w:val="22"/>
              </w:rPr>
              <w:t>(Select all that apply and provide information below)</w:t>
            </w:r>
          </w:p>
        </w:tc>
        <w:tc>
          <w:tcPr>
            <w:tcW w:w="6915" w:type="dxa"/>
            <w:gridSpan w:val="2"/>
          </w:tcPr>
          <w:p w14:paraId="68035766" w14:textId="77777777" w:rsidR="00457399" w:rsidRDefault="00F42A0C">
            <w:pPr>
              <w:spacing w:before="0"/>
              <w:rPr>
                <w:sz w:val="22"/>
                <w:szCs w:val="22"/>
              </w:rPr>
            </w:pPr>
            <w:r>
              <w:rPr>
                <w:rFonts w:ascii="Segoe UI Symbol" w:hAnsi="Segoe UI Symbol" w:cs="Segoe UI Symbol"/>
                <w:sz w:val="22"/>
                <w:szCs w:val="22"/>
              </w:rPr>
              <w:t>x</w:t>
            </w:r>
            <w:r>
              <w:rPr>
                <w:sz w:val="22"/>
                <w:szCs w:val="22"/>
              </w:rPr>
              <w:t xml:space="preserve"> Telecom/ICT products/services</w:t>
            </w:r>
            <w:r>
              <w:rPr>
                <w:sz w:val="22"/>
                <w:szCs w:val="22"/>
              </w:rPr>
              <w:br/>
            </w:r>
            <w:r>
              <w:rPr>
                <w:rFonts w:ascii="Segoe UI Symbol" w:hAnsi="Segoe UI Symbol" w:cs="Segoe UI Symbol"/>
                <w:sz w:val="22"/>
                <w:szCs w:val="22"/>
              </w:rPr>
              <w:t>x</w:t>
            </w:r>
            <w:r>
              <w:rPr>
                <w:sz w:val="22"/>
                <w:szCs w:val="22"/>
              </w:rPr>
              <w:t xml:space="preserve"> Telecom/ICT regulations/policies/national standards</w:t>
            </w:r>
            <w:r>
              <w:rPr>
                <w:sz w:val="22"/>
                <w:szCs w:val="22"/>
              </w:rPr>
              <w:br/>
            </w:r>
            <w:r>
              <w:rPr>
                <w:rFonts w:ascii="Segoe UI Symbol" w:hAnsi="Segoe UI Symbol" w:cs="Segoe UI Symbol"/>
                <w:sz w:val="22"/>
                <w:szCs w:val="22"/>
              </w:rPr>
              <w:t>x</w:t>
            </w:r>
            <w:r>
              <w:rPr>
                <w:sz w:val="22"/>
                <w:szCs w:val="22"/>
              </w:rPr>
              <w:t xml:space="preserve"> </w:t>
            </w:r>
            <w:proofErr w:type="gramStart"/>
            <w:r>
              <w:rPr>
                <w:sz w:val="22"/>
                <w:szCs w:val="22"/>
              </w:rPr>
              <w:t>International</w:t>
            </w:r>
            <w:proofErr w:type="gramEnd"/>
            <w:r>
              <w:rPr>
                <w:sz w:val="22"/>
                <w:szCs w:val="22"/>
              </w:rPr>
              <w:t xml:space="preserve"> standards/ Recommendations</w:t>
            </w:r>
          </w:p>
          <w:p w14:paraId="633CD9D7" w14:textId="77777777" w:rsidR="00457399" w:rsidRDefault="00F42A0C">
            <w:pPr>
              <w:spacing w:before="0"/>
              <w:rPr>
                <w:sz w:val="22"/>
                <w:szCs w:val="22"/>
              </w:rPr>
            </w:pPr>
            <w:r>
              <w:rPr>
                <w:rFonts w:ascii="Segoe UI Symbol" w:hAnsi="Segoe UI Symbol" w:cs="Segoe UI Symbol"/>
                <w:sz w:val="22"/>
                <w:szCs w:val="22"/>
              </w:rPr>
              <w:t>☐</w:t>
            </w:r>
            <w:r>
              <w:rPr>
                <w:sz w:val="22"/>
                <w:szCs w:val="22"/>
              </w:rPr>
              <w:t xml:space="preserve"> Other</w:t>
            </w:r>
          </w:p>
        </w:tc>
      </w:tr>
      <w:tr w:rsidR="00457399" w14:paraId="6E9A5CB6" w14:textId="77777777">
        <w:trPr>
          <w:trHeight w:val="848"/>
        </w:trPr>
        <w:tc>
          <w:tcPr>
            <w:tcW w:w="2689" w:type="dxa"/>
            <w:vMerge w:val="restart"/>
            <w:vAlign w:val="center"/>
          </w:tcPr>
          <w:p w14:paraId="6C2AFFE4" w14:textId="77777777" w:rsidR="00457399" w:rsidRDefault="00F42A0C">
            <w:pPr>
              <w:rPr>
                <w:rFonts w:ascii="Segoe UI Symbol" w:hAnsi="Segoe UI Symbol" w:cs="Segoe UI Symbol"/>
                <w:b/>
                <w:bCs/>
                <w:u w:val="single"/>
              </w:rPr>
            </w:pPr>
            <w:r>
              <w:rPr>
                <w:b/>
                <w:bCs/>
                <w:u w:val="single"/>
              </w:rPr>
              <w:t>Telecom/ICT products/services</w:t>
            </w:r>
          </w:p>
        </w:tc>
        <w:tc>
          <w:tcPr>
            <w:tcW w:w="3260" w:type="dxa"/>
          </w:tcPr>
          <w:p w14:paraId="48A7B4B4" w14:textId="77777777" w:rsidR="00457399" w:rsidRDefault="00F42A0C">
            <w:pPr>
              <w:rPr>
                <w:b/>
                <w:bCs/>
                <w:sz w:val="22"/>
                <w:szCs w:val="22"/>
              </w:rPr>
            </w:pPr>
            <w:r>
              <w:rPr>
                <w:b/>
                <w:bCs/>
                <w:sz w:val="22"/>
                <w:szCs w:val="22"/>
              </w:rPr>
              <w:t xml:space="preserve">Implementing body: </w:t>
            </w:r>
          </w:p>
          <w:p w14:paraId="64CC465D" w14:textId="77777777" w:rsidR="00457399" w:rsidRDefault="00F42A0C">
            <w:pPr>
              <w:rPr>
                <w:sz w:val="22"/>
                <w:szCs w:val="22"/>
              </w:rPr>
            </w:pPr>
            <w:r>
              <w:rPr>
                <w:sz w:val="22"/>
                <w:szCs w:val="22"/>
              </w:rPr>
              <w:t>Testing and monitoring tool manufacturers</w:t>
            </w:r>
          </w:p>
          <w:p w14:paraId="0BB449FC" w14:textId="77777777" w:rsidR="00457399" w:rsidRDefault="00F42A0C">
            <w:pPr>
              <w:rPr>
                <w:sz w:val="22"/>
                <w:szCs w:val="22"/>
              </w:rPr>
            </w:pPr>
            <w:r>
              <w:rPr>
                <w:sz w:val="22"/>
                <w:szCs w:val="22"/>
              </w:rPr>
              <w:br/>
            </w:r>
          </w:p>
          <w:p w14:paraId="1E87071D" w14:textId="77777777" w:rsidR="00457399" w:rsidRDefault="00457399">
            <w:pPr>
              <w:rPr>
                <w:sz w:val="22"/>
                <w:szCs w:val="22"/>
              </w:rPr>
            </w:pPr>
          </w:p>
          <w:p w14:paraId="3D28B0B6" w14:textId="77777777" w:rsidR="00457399" w:rsidRDefault="00F42A0C">
            <w:pPr>
              <w:rPr>
                <w:sz w:val="22"/>
                <w:szCs w:val="22"/>
              </w:rPr>
            </w:pPr>
            <w:r>
              <w:rPr>
                <w:sz w:val="22"/>
                <w:szCs w:val="22"/>
              </w:rPr>
              <w:t xml:space="preserve">Telecom operators </w:t>
            </w:r>
          </w:p>
        </w:tc>
        <w:tc>
          <w:tcPr>
            <w:tcW w:w="3655" w:type="dxa"/>
          </w:tcPr>
          <w:p w14:paraId="5D101367" w14:textId="77777777" w:rsidR="00457399" w:rsidRDefault="00F42A0C">
            <w:pPr>
              <w:rPr>
                <w:b/>
                <w:bCs/>
                <w:sz w:val="22"/>
                <w:szCs w:val="22"/>
              </w:rPr>
            </w:pPr>
            <w:r>
              <w:rPr>
                <w:b/>
                <w:bCs/>
                <w:sz w:val="22"/>
                <w:szCs w:val="22"/>
              </w:rPr>
              <w:t>Implementation:</w:t>
            </w:r>
          </w:p>
          <w:p w14:paraId="4CC535BA" w14:textId="77777777" w:rsidR="00457399" w:rsidRDefault="00F42A0C">
            <w:pPr>
              <w:rPr>
                <w:sz w:val="22"/>
              </w:rPr>
            </w:pPr>
            <w:r>
              <w:rPr>
                <w:sz w:val="22"/>
              </w:rPr>
              <w:t>E.806 measurement methodologies are built into mobile network testing equipment and analytics platforms to support mobile network QoS assessments carried out by both regulators and operators.</w:t>
            </w:r>
          </w:p>
          <w:p w14:paraId="44AAFC35" w14:textId="77777777" w:rsidR="00457399" w:rsidRDefault="00F42A0C">
            <w:pPr>
              <w:rPr>
                <w:sz w:val="22"/>
              </w:rPr>
            </w:pPr>
            <w:r>
              <w:rPr>
                <w:sz w:val="22"/>
              </w:rPr>
              <w:t>E.806 is used as the best practice framework for conducting QoS assessments for mobile networks.</w:t>
            </w:r>
          </w:p>
        </w:tc>
      </w:tr>
      <w:tr w:rsidR="00457399" w14:paraId="1DC6207D" w14:textId="77777777">
        <w:trPr>
          <w:trHeight w:val="1232"/>
        </w:trPr>
        <w:tc>
          <w:tcPr>
            <w:tcW w:w="2689" w:type="dxa"/>
            <w:vMerge/>
            <w:vAlign w:val="center"/>
          </w:tcPr>
          <w:p w14:paraId="32E39BB1" w14:textId="77777777" w:rsidR="00457399" w:rsidRDefault="00457399">
            <w:pPr>
              <w:rPr>
                <w:b/>
                <w:bCs/>
                <w:u w:val="single"/>
              </w:rPr>
            </w:pPr>
          </w:p>
        </w:tc>
        <w:tc>
          <w:tcPr>
            <w:tcW w:w="6915" w:type="dxa"/>
            <w:gridSpan w:val="2"/>
          </w:tcPr>
          <w:p w14:paraId="60D8AC97" w14:textId="77777777" w:rsidR="00457399" w:rsidRDefault="00F42A0C">
            <w:pPr>
              <w:rPr>
                <w:b/>
                <w:bCs/>
                <w:sz w:val="22"/>
                <w:szCs w:val="22"/>
              </w:rPr>
            </w:pPr>
            <w:r>
              <w:rPr>
                <w:b/>
                <w:bCs/>
                <w:sz w:val="22"/>
                <w:szCs w:val="22"/>
              </w:rPr>
              <w:t>Implementation summary:</w:t>
            </w:r>
          </w:p>
          <w:p w14:paraId="73620E25" w14:textId="77777777" w:rsidR="00457399" w:rsidRDefault="00F42A0C">
            <w:pPr>
              <w:rPr>
                <w:sz w:val="22"/>
                <w:szCs w:val="22"/>
              </w:rPr>
            </w:pPr>
            <w:r>
              <w:rPr>
                <w:sz w:val="22"/>
                <w:szCs w:val="22"/>
              </w:rPr>
              <w:t>E.806 provides a unified methodology for assessing mobile network quality, ensuring that measurements are consistent, comparable, and applicable across different mobile network technologies. Its framework is applied by telecom operators to evaluate performance and strengthen service delivery, and it is built into testing and analytics platforms used by both operators and regulators to support reliable, standardized quality assessments.</w:t>
            </w:r>
          </w:p>
          <w:p w14:paraId="13C593DC" w14:textId="77777777" w:rsidR="00457399" w:rsidRDefault="00F42A0C">
            <w:pPr>
              <w:rPr>
                <w:sz w:val="22"/>
                <w:szCs w:val="22"/>
              </w:rPr>
            </w:pPr>
            <w:r>
              <w:rPr>
                <w:sz w:val="22"/>
                <w:szCs w:val="22"/>
              </w:rPr>
              <w:t xml:space="preserve">For the </w:t>
            </w:r>
            <w:r>
              <w:rPr>
                <w:i/>
                <w:iCs/>
                <w:sz w:val="22"/>
                <w:szCs w:val="22"/>
              </w:rPr>
              <w:t>average citizen</w:t>
            </w:r>
            <w:r>
              <w:rPr>
                <w:sz w:val="22"/>
                <w:szCs w:val="22"/>
              </w:rPr>
              <w:t>, the implementation of E.806 helps ensure reliable connectivity as networks are monitored and improved based on a uniform quality measurement approach.</w:t>
            </w:r>
          </w:p>
        </w:tc>
      </w:tr>
      <w:tr w:rsidR="00457399" w14:paraId="3D58D13F" w14:textId="77777777">
        <w:trPr>
          <w:trHeight w:val="1169"/>
        </w:trPr>
        <w:tc>
          <w:tcPr>
            <w:tcW w:w="2689" w:type="dxa"/>
            <w:vMerge w:val="restart"/>
            <w:vAlign w:val="center"/>
          </w:tcPr>
          <w:p w14:paraId="54D90C6A" w14:textId="77777777" w:rsidR="00457399" w:rsidRDefault="00F42A0C">
            <w:pPr>
              <w:rPr>
                <w:rFonts w:ascii="Segoe UI Symbol" w:hAnsi="Segoe UI Symbol" w:cs="Segoe UI Symbol"/>
                <w:b/>
                <w:bCs/>
                <w:u w:val="single"/>
              </w:rPr>
            </w:pPr>
            <w:r>
              <w:rPr>
                <w:b/>
                <w:bCs/>
                <w:u w:val="single"/>
              </w:rPr>
              <w:t>Telecom/ICT regulations/policies/ national Standards</w:t>
            </w:r>
          </w:p>
        </w:tc>
        <w:tc>
          <w:tcPr>
            <w:tcW w:w="3260" w:type="dxa"/>
          </w:tcPr>
          <w:p w14:paraId="25BE1068" w14:textId="77777777" w:rsidR="00457399" w:rsidRDefault="00F42A0C">
            <w:pPr>
              <w:rPr>
                <w:b/>
                <w:bCs/>
                <w:sz w:val="22"/>
                <w:szCs w:val="22"/>
              </w:rPr>
            </w:pPr>
            <w:r>
              <w:rPr>
                <w:b/>
                <w:bCs/>
                <w:sz w:val="22"/>
                <w:szCs w:val="22"/>
              </w:rPr>
              <w:t xml:space="preserve">Implementing body: </w:t>
            </w:r>
          </w:p>
          <w:p w14:paraId="07882DB7" w14:textId="77777777" w:rsidR="00457399" w:rsidRDefault="00F42A0C">
            <w:pPr>
              <w:rPr>
                <w:rFonts w:ascii="Segoe UI Symbol" w:hAnsi="Segoe UI Symbol" w:cs="Segoe UI Symbol"/>
                <w:sz w:val="22"/>
                <w:szCs w:val="22"/>
              </w:rPr>
            </w:pPr>
            <w:r>
              <w:rPr>
                <w:sz w:val="22"/>
                <w:szCs w:val="22"/>
              </w:rPr>
              <w:t>National Regulatory Authorities</w:t>
            </w:r>
          </w:p>
        </w:tc>
        <w:tc>
          <w:tcPr>
            <w:tcW w:w="3655" w:type="dxa"/>
          </w:tcPr>
          <w:p w14:paraId="0E4E8759" w14:textId="77777777" w:rsidR="00457399" w:rsidRDefault="00F42A0C">
            <w:pPr>
              <w:rPr>
                <w:b/>
                <w:bCs/>
                <w:sz w:val="22"/>
                <w:szCs w:val="22"/>
              </w:rPr>
            </w:pPr>
            <w:r>
              <w:rPr>
                <w:b/>
                <w:bCs/>
                <w:sz w:val="22"/>
                <w:szCs w:val="22"/>
              </w:rPr>
              <w:t>Implementation:</w:t>
            </w:r>
          </w:p>
          <w:p w14:paraId="75AB07D8" w14:textId="77777777" w:rsidR="00457399" w:rsidRDefault="00F42A0C">
            <w:pPr>
              <w:rPr>
                <w:rFonts w:ascii="Segoe UI Symbol" w:hAnsi="Segoe UI Symbol" w:cs="Segoe UI Symbol"/>
                <w:sz w:val="22"/>
                <w:szCs w:val="22"/>
              </w:rPr>
            </w:pPr>
            <w:r>
              <w:rPr>
                <w:sz w:val="22"/>
                <w:szCs w:val="22"/>
              </w:rPr>
              <w:t>E.806 is referenced in national telecommunication service quality frameworks, providing regulators with methods for assessing mobile network QoS and supporting consistent, transparent evaluation of operator compliance.</w:t>
            </w:r>
          </w:p>
        </w:tc>
      </w:tr>
      <w:tr w:rsidR="00457399" w14:paraId="39E9561B" w14:textId="77777777">
        <w:trPr>
          <w:trHeight w:val="1142"/>
        </w:trPr>
        <w:tc>
          <w:tcPr>
            <w:tcW w:w="2689" w:type="dxa"/>
            <w:vMerge/>
            <w:vAlign w:val="center"/>
          </w:tcPr>
          <w:p w14:paraId="13602765" w14:textId="77777777" w:rsidR="00457399" w:rsidRDefault="00457399">
            <w:pPr>
              <w:rPr>
                <w:rFonts w:ascii="Segoe UI Symbol" w:hAnsi="Segoe UI Symbol" w:cs="Segoe UI Symbol"/>
                <w:b/>
                <w:bCs/>
                <w:u w:val="single"/>
              </w:rPr>
            </w:pPr>
          </w:p>
        </w:tc>
        <w:tc>
          <w:tcPr>
            <w:tcW w:w="6915" w:type="dxa"/>
            <w:gridSpan w:val="2"/>
          </w:tcPr>
          <w:p w14:paraId="6AD4086F" w14:textId="77777777" w:rsidR="00457399" w:rsidRDefault="00F42A0C">
            <w:pPr>
              <w:rPr>
                <w:b/>
                <w:bCs/>
                <w:sz w:val="22"/>
                <w:szCs w:val="22"/>
              </w:rPr>
            </w:pPr>
            <w:r>
              <w:rPr>
                <w:b/>
                <w:bCs/>
                <w:sz w:val="22"/>
                <w:szCs w:val="22"/>
              </w:rPr>
              <w:t>Implementation summary:</w:t>
            </w:r>
          </w:p>
          <w:p w14:paraId="635473BF" w14:textId="77777777" w:rsidR="00457399" w:rsidRDefault="00F42A0C">
            <w:pPr>
              <w:rPr>
                <w:sz w:val="22"/>
                <w:szCs w:val="22"/>
              </w:rPr>
            </w:pPr>
            <w:r>
              <w:rPr>
                <w:sz w:val="22"/>
                <w:szCs w:val="22"/>
              </w:rPr>
              <w:t xml:space="preserve">Regulators implement the E.806 measurement methodology into national mobile service quality frameworks. It informs them how quality assessments are structured, how sampling and evaluation criteria are defined, and how measurement results are verified. E.806 is also applied in regulatory monitoring systems to benchmark operator performance and ensure that mobile services meet quality expectations. </w:t>
            </w:r>
          </w:p>
        </w:tc>
      </w:tr>
      <w:tr w:rsidR="00457399" w14:paraId="51969B03" w14:textId="77777777">
        <w:trPr>
          <w:trHeight w:val="1234"/>
        </w:trPr>
        <w:tc>
          <w:tcPr>
            <w:tcW w:w="2689" w:type="dxa"/>
            <w:vMerge w:val="restart"/>
            <w:vAlign w:val="center"/>
          </w:tcPr>
          <w:p w14:paraId="47991CFB" w14:textId="77777777" w:rsidR="00457399" w:rsidRDefault="00F42A0C">
            <w:pPr>
              <w:rPr>
                <w:rFonts w:ascii="Segoe UI Symbol" w:hAnsi="Segoe UI Symbol" w:cs="Segoe UI Symbol"/>
                <w:b/>
                <w:bCs/>
                <w:u w:val="single"/>
              </w:rPr>
            </w:pPr>
            <w:r>
              <w:rPr>
                <w:b/>
                <w:bCs/>
                <w:u w:val="single"/>
              </w:rPr>
              <w:t>International standards/ Recommendations</w:t>
            </w:r>
          </w:p>
        </w:tc>
        <w:tc>
          <w:tcPr>
            <w:tcW w:w="3260" w:type="dxa"/>
          </w:tcPr>
          <w:p w14:paraId="57F9947C" w14:textId="77777777" w:rsidR="00457399" w:rsidRDefault="00F42A0C">
            <w:pPr>
              <w:rPr>
                <w:b/>
                <w:bCs/>
                <w:sz w:val="22"/>
                <w:szCs w:val="22"/>
              </w:rPr>
            </w:pPr>
            <w:r>
              <w:rPr>
                <w:b/>
                <w:bCs/>
                <w:sz w:val="22"/>
                <w:szCs w:val="22"/>
              </w:rPr>
              <w:t xml:space="preserve">Implementing body: </w:t>
            </w:r>
          </w:p>
          <w:p w14:paraId="1CC247F1" w14:textId="77777777" w:rsidR="00457399" w:rsidRDefault="00F42A0C">
            <w:pPr>
              <w:rPr>
                <w:rFonts w:ascii="Segoe UI Symbol" w:hAnsi="Segoe UI Symbol" w:cs="Segoe UI Symbol"/>
                <w:sz w:val="22"/>
                <w:szCs w:val="22"/>
              </w:rPr>
            </w:pPr>
            <w:r>
              <w:rPr>
                <w:sz w:val="22"/>
                <w:szCs w:val="22"/>
              </w:rPr>
              <w:t>n/a</w:t>
            </w:r>
          </w:p>
        </w:tc>
        <w:tc>
          <w:tcPr>
            <w:tcW w:w="3655" w:type="dxa"/>
          </w:tcPr>
          <w:p w14:paraId="644EBBCB" w14:textId="77777777" w:rsidR="00457399" w:rsidRDefault="00F42A0C">
            <w:pPr>
              <w:rPr>
                <w:b/>
                <w:bCs/>
                <w:sz w:val="22"/>
                <w:szCs w:val="22"/>
              </w:rPr>
            </w:pPr>
            <w:r>
              <w:rPr>
                <w:b/>
                <w:bCs/>
                <w:sz w:val="22"/>
                <w:szCs w:val="22"/>
              </w:rPr>
              <w:t>Implementation</w:t>
            </w:r>
          </w:p>
          <w:p w14:paraId="3B875362" w14:textId="77777777" w:rsidR="00457399" w:rsidRDefault="00F42A0C">
            <w:pPr>
              <w:rPr>
                <w:sz w:val="22"/>
                <w:szCs w:val="22"/>
              </w:rPr>
            </w:pPr>
            <w:r>
              <w:rPr>
                <w:sz w:val="22"/>
                <w:szCs w:val="22"/>
              </w:rPr>
              <w:t>n/a</w:t>
            </w:r>
          </w:p>
        </w:tc>
      </w:tr>
      <w:tr w:rsidR="00457399" w14:paraId="5447366B" w14:textId="77777777">
        <w:trPr>
          <w:trHeight w:val="1353"/>
        </w:trPr>
        <w:tc>
          <w:tcPr>
            <w:tcW w:w="2689" w:type="dxa"/>
            <w:vMerge/>
            <w:vAlign w:val="center"/>
          </w:tcPr>
          <w:p w14:paraId="19C595B6" w14:textId="77777777" w:rsidR="00457399" w:rsidRDefault="00457399">
            <w:pPr>
              <w:rPr>
                <w:rFonts w:ascii="Segoe UI Symbol" w:hAnsi="Segoe UI Symbol" w:cs="Segoe UI Symbol"/>
                <w:sz w:val="22"/>
                <w:szCs w:val="22"/>
              </w:rPr>
            </w:pPr>
          </w:p>
        </w:tc>
        <w:tc>
          <w:tcPr>
            <w:tcW w:w="6915" w:type="dxa"/>
            <w:gridSpan w:val="2"/>
          </w:tcPr>
          <w:p w14:paraId="4C0D35DE" w14:textId="77777777" w:rsidR="00457399" w:rsidRDefault="00F42A0C">
            <w:pPr>
              <w:rPr>
                <w:b/>
                <w:bCs/>
                <w:sz w:val="22"/>
                <w:szCs w:val="22"/>
              </w:rPr>
            </w:pPr>
            <w:r>
              <w:rPr>
                <w:b/>
                <w:bCs/>
                <w:sz w:val="22"/>
                <w:szCs w:val="22"/>
              </w:rPr>
              <w:t>Implementation summary:</w:t>
            </w:r>
          </w:p>
          <w:p w14:paraId="31D85BD1" w14:textId="77777777" w:rsidR="00457399" w:rsidRDefault="00F42A0C">
            <w:pPr>
              <w:rPr>
                <w:sz w:val="22"/>
                <w:szCs w:val="22"/>
              </w:rPr>
            </w:pPr>
            <w:r>
              <w:rPr>
                <w:sz w:val="22"/>
                <w:szCs w:val="22"/>
              </w:rPr>
              <w:t xml:space="preserve">E.806 is referenced across ITU-T Recommendations dealing with telecommunication service quality. </w:t>
            </w:r>
          </w:p>
        </w:tc>
      </w:tr>
      <w:tr w:rsidR="00457399" w14:paraId="312F5950" w14:textId="77777777">
        <w:trPr>
          <w:trHeight w:val="1034"/>
        </w:trPr>
        <w:tc>
          <w:tcPr>
            <w:tcW w:w="2689" w:type="dxa"/>
            <w:vAlign w:val="center"/>
          </w:tcPr>
          <w:p w14:paraId="4AFF8A60" w14:textId="77777777" w:rsidR="00457399" w:rsidRDefault="00F42A0C">
            <w:pPr>
              <w:rPr>
                <w:b/>
                <w:bCs/>
                <w:sz w:val="22"/>
                <w:szCs w:val="22"/>
              </w:rPr>
            </w:pPr>
            <w:r>
              <w:rPr>
                <w:b/>
                <w:bCs/>
                <w:u w:val="single"/>
              </w:rPr>
              <w:t>Other</w:t>
            </w:r>
          </w:p>
        </w:tc>
        <w:tc>
          <w:tcPr>
            <w:tcW w:w="6915" w:type="dxa"/>
            <w:gridSpan w:val="2"/>
            <w:vAlign w:val="center"/>
          </w:tcPr>
          <w:p w14:paraId="486C671B" w14:textId="77777777" w:rsidR="00457399" w:rsidRDefault="00F42A0C">
            <w:pPr>
              <w:rPr>
                <w:b/>
                <w:bCs/>
                <w:sz w:val="22"/>
                <w:szCs w:val="22"/>
              </w:rPr>
            </w:pPr>
            <w:r>
              <w:rPr>
                <w:b/>
                <w:bCs/>
                <w:sz w:val="22"/>
                <w:szCs w:val="22"/>
              </w:rPr>
              <w:t>Implementation summary:</w:t>
            </w:r>
          </w:p>
          <w:p w14:paraId="01BC55AC" w14:textId="77777777" w:rsidR="00457399" w:rsidRDefault="00F42A0C">
            <w:pPr>
              <w:rPr>
                <w:sz w:val="22"/>
                <w:szCs w:val="22"/>
              </w:rPr>
            </w:pPr>
            <w:r>
              <w:rPr>
                <w:sz w:val="22"/>
                <w:szCs w:val="22"/>
              </w:rPr>
              <w:t>n/a</w:t>
            </w:r>
          </w:p>
        </w:tc>
      </w:tr>
    </w:tbl>
    <w:p w14:paraId="4C75138D" w14:textId="033CD372" w:rsidR="00457399" w:rsidRPr="002252AE" w:rsidRDefault="00457399" w:rsidP="002252AE">
      <w:pPr>
        <w:spacing w:before="0" w:after="160" w:line="259" w:lineRule="auto"/>
        <w:rPr>
          <w:rFonts w:asciiTheme="majorHAnsi" w:eastAsiaTheme="majorEastAsia" w:hAnsiTheme="majorHAnsi" w:cstheme="majorBidi"/>
          <w:color w:val="2E74B5" w:themeColor="accent1" w:themeShade="BF"/>
          <w:sz w:val="40"/>
          <w:szCs w:val="40"/>
        </w:rPr>
      </w:pPr>
    </w:p>
    <w:p w14:paraId="427BE090" w14:textId="77777777" w:rsidR="00457399" w:rsidRDefault="00F42A0C">
      <w:pPr>
        <w:spacing w:after="120"/>
        <w:jc w:val="center"/>
      </w:pPr>
      <w:r>
        <w:t>_______________________</w:t>
      </w:r>
    </w:p>
    <w:sectPr w:rsidR="00457399" w:rsidSect="00C7362F">
      <w:headerReference w:type="default" r:id="rId17"/>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D7854" w14:textId="77777777" w:rsidR="00457399" w:rsidRDefault="00F42A0C">
      <w:pPr>
        <w:spacing w:before="0"/>
      </w:pPr>
      <w:r>
        <w:separator/>
      </w:r>
    </w:p>
  </w:endnote>
  <w:endnote w:type="continuationSeparator" w:id="0">
    <w:p w14:paraId="6CCE4B07" w14:textId="77777777" w:rsidR="00457399" w:rsidRDefault="00F42A0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altName w:val="Sylfaen"/>
    <w:panose1 w:val="020B0502040204020203"/>
    <w:charset w:val="CC"/>
    <w:family w:val="swiss"/>
    <w:pitch w:val="variable"/>
    <w:sig w:usb0="E4002EFF" w:usb1="C000E47F"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12EF5" w14:textId="77777777" w:rsidR="00457399" w:rsidRDefault="00F42A0C">
      <w:pPr>
        <w:spacing w:before="0"/>
      </w:pPr>
      <w:r>
        <w:separator/>
      </w:r>
    </w:p>
  </w:footnote>
  <w:footnote w:type="continuationSeparator" w:id="0">
    <w:p w14:paraId="107D0D13" w14:textId="77777777" w:rsidR="00457399" w:rsidRDefault="00F42A0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5BAC" w14:textId="5C9F9822" w:rsidR="003070FA" w:rsidRPr="00C7362F" w:rsidRDefault="00C7362F" w:rsidP="00C7362F">
    <w:pPr>
      <w:pStyle w:val="Header"/>
      <w:rPr>
        <w:sz w:val="18"/>
      </w:rPr>
    </w:pPr>
    <w:r w:rsidRPr="00C7362F">
      <w:rPr>
        <w:sz w:val="18"/>
      </w:rPr>
      <w:t xml:space="preserve">- </w:t>
    </w:r>
    <w:r w:rsidRPr="00C7362F">
      <w:rPr>
        <w:sz w:val="18"/>
      </w:rPr>
      <w:fldChar w:fldCharType="begin"/>
    </w:r>
    <w:r w:rsidRPr="00C7362F">
      <w:rPr>
        <w:sz w:val="18"/>
      </w:rPr>
      <w:instrText xml:space="preserve"> PAGE  \* MERGEFORMAT </w:instrText>
    </w:r>
    <w:r w:rsidRPr="00C7362F">
      <w:rPr>
        <w:sz w:val="18"/>
      </w:rPr>
      <w:fldChar w:fldCharType="separate"/>
    </w:r>
    <w:r w:rsidRPr="00C7362F">
      <w:rPr>
        <w:noProof/>
        <w:sz w:val="18"/>
      </w:rPr>
      <w:t>1</w:t>
    </w:r>
    <w:r w:rsidRPr="00C7362F">
      <w:rPr>
        <w:sz w:val="18"/>
      </w:rPr>
      <w:fldChar w:fldCharType="end"/>
    </w:r>
    <w:r w:rsidRPr="00C7362F">
      <w:rPr>
        <w:sz w:val="18"/>
      </w:rPr>
      <w:t xml:space="preserve"> -</w:t>
    </w:r>
  </w:p>
  <w:p w14:paraId="115E70B5" w14:textId="2679DACF" w:rsidR="00C7362F" w:rsidRPr="00C7362F" w:rsidRDefault="00C7362F" w:rsidP="00C7362F">
    <w:pPr>
      <w:pStyle w:val="Header"/>
      <w:spacing w:after="240"/>
      <w:rPr>
        <w:sz w:val="18"/>
      </w:rPr>
    </w:pPr>
    <w:r w:rsidRPr="00C7362F">
      <w:rPr>
        <w:sz w:val="18"/>
      </w:rPr>
      <w:fldChar w:fldCharType="begin"/>
    </w:r>
    <w:r w:rsidRPr="00C7362F">
      <w:rPr>
        <w:sz w:val="18"/>
      </w:rPr>
      <w:instrText xml:space="preserve"> STYLEREF  Docnumber  </w:instrText>
    </w:r>
    <w:r>
      <w:rPr>
        <w:sz w:val="18"/>
      </w:rPr>
      <w:fldChar w:fldCharType="separate"/>
    </w:r>
    <w:r>
      <w:rPr>
        <w:noProof/>
        <w:sz w:val="18"/>
      </w:rPr>
      <w:t>TSAG-TD266</w:t>
    </w:r>
    <w:r w:rsidRPr="00C7362F">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3D0"/>
    <w:multiLevelType w:val="multilevel"/>
    <w:tmpl w:val="5472345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EDF2617"/>
    <w:multiLevelType w:val="multilevel"/>
    <w:tmpl w:val="D4AECEA4"/>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FC64A81"/>
    <w:multiLevelType w:val="multilevel"/>
    <w:tmpl w:val="E7FA142C"/>
    <w:lvl w:ilvl="0">
      <w:start w:val="1"/>
      <w:numFmt w:val="decimal"/>
      <w:lvlText w:val="%1."/>
      <w:lvlJc w:val="left"/>
      <w:pPr>
        <w:ind w:left="360" w:hanging="360"/>
      </w:pPr>
      <w:rPr>
        <w:rFonts w:ascii="Times New Roman" w:eastAsiaTheme="minorEastAsia" w:hAnsi="Times New Roman" w:cs="Times New Roman"/>
        <w:lang w:val="en-U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F806D1"/>
    <w:multiLevelType w:val="multilevel"/>
    <w:tmpl w:val="68DEA2A8"/>
    <w:lvl w:ilvl="0">
      <w:start w:val="1"/>
      <w:numFmt w:val="decimal"/>
      <w:lvlText w:val="%1."/>
      <w:lvlJc w:val="left"/>
      <w:pPr>
        <w:ind w:left="360" w:hanging="360"/>
      </w:pPr>
      <w:rPr>
        <w:rFonts w:ascii="Times New Roman" w:eastAsiaTheme="minorEastAsia" w:hAnsi="Times New Roman" w:cs="Times New Roman"/>
        <w:lang w:val="en-US"/>
      </w:rPr>
    </w:lvl>
    <w:lvl w:ilvl="1">
      <w:start w:val="1"/>
      <w:numFmt w:val="decimal"/>
      <w:lvlText w:val="%1.%2."/>
      <w:lvlJc w:val="left"/>
      <w:pPr>
        <w:ind w:left="792" w:hanging="432"/>
      </w:pPr>
      <w:rPr>
        <w:b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FF6437"/>
    <w:multiLevelType w:val="multilevel"/>
    <w:tmpl w:val="DAC08CCA"/>
    <w:lvl w:ilvl="0">
      <w:numFmt w:val="bullet"/>
      <w:lvlRestart w:val="0"/>
      <w:lvlText w:val="-"/>
      <w:lvlJc w:val="left"/>
      <w:pPr>
        <w:tabs>
          <w:tab w:val="num" w:pos="0"/>
        </w:tabs>
        <w:ind w:left="720" w:hanging="360"/>
      </w:pPr>
      <w:rPr>
        <w:rFonts w:ascii="Times New Roman" w:eastAsia="SimSu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2F7A31"/>
    <w:multiLevelType w:val="multilevel"/>
    <w:tmpl w:val="FC8AF7B0"/>
    <w:lvl w:ilvl="0">
      <w:start w:val="3"/>
      <w:numFmt w:val="decimal"/>
      <w:lvlText w:val="%1"/>
      <w:lvlJc w:val="left"/>
      <w:pPr>
        <w:ind w:left="480" w:hanging="480"/>
      </w:pPr>
      <w:rPr>
        <w:b/>
      </w:rPr>
    </w:lvl>
    <w:lvl w:ilvl="1">
      <w:start w:val="2"/>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29543BC0"/>
    <w:multiLevelType w:val="multilevel"/>
    <w:tmpl w:val="E4448CCA"/>
    <w:lvl w:ilvl="0">
      <w:start w:val="1"/>
      <w:numFmt w:val="decimal"/>
      <w:lvlText w:val="%1."/>
      <w:lvlJc w:val="left"/>
      <w:pPr>
        <w:ind w:left="720" w:hanging="360"/>
      </w:pPr>
      <w:rPr>
        <w:rFonts w:hint="default"/>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0E1FE7"/>
    <w:multiLevelType w:val="multilevel"/>
    <w:tmpl w:val="3E141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D7420"/>
    <w:multiLevelType w:val="multilevel"/>
    <w:tmpl w:val="9252C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594EE2"/>
    <w:multiLevelType w:val="multilevel"/>
    <w:tmpl w:val="53EC0F28"/>
    <w:lvl w:ilvl="0">
      <w:start w:val="1"/>
      <w:numFmt w:val="bullet"/>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35844FE4"/>
    <w:multiLevelType w:val="multilevel"/>
    <w:tmpl w:val="26E2FDD8"/>
    <w:lvl w:ilvl="0">
      <w:start w:val="3"/>
      <w:numFmt w:val="decimal"/>
      <w:lvlText w:val="%1"/>
      <w:lvlJc w:val="left"/>
      <w:pPr>
        <w:ind w:left="480" w:hanging="480"/>
      </w:pPr>
      <w:rPr>
        <w:rFonts w:eastAsia="Times New Roman"/>
        <w:b/>
      </w:rPr>
    </w:lvl>
    <w:lvl w:ilvl="1">
      <w:start w:val="2"/>
      <w:numFmt w:val="decimal"/>
      <w:lvlText w:val="%1.%2"/>
      <w:lvlJc w:val="left"/>
      <w:pPr>
        <w:ind w:left="660" w:hanging="480"/>
      </w:pPr>
      <w:rPr>
        <w:rFonts w:eastAsia="Times New Roman"/>
        <w:b/>
      </w:rPr>
    </w:lvl>
    <w:lvl w:ilvl="2">
      <w:start w:val="1"/>
      <w:numFmt w:val="decimal"/>
      <w:lvlText w:val="%1.%2.%3"/>
      <w:lvlJc w:val="left"/>
      <w:pPr>
        <w:ind w:left="1080" w:hanging="720"/>
      </w:pPr>
      <w:rPr>
        <w:rFonts w:asciiTheme="majorBidi" w:eastAsia="Times New Roman" w:hAnsiTheme="majorBidi" w:cstheme="majorBidi" w:hint="default"/>
        <w:b/>
        <w:sz w:val="24"/>
        <w:szCs w:val="24"/>
      </w:rPr>
    </w:lvl>
    <w:lvl w:ilvl="3">
      <w:start w:val="1"/>
      <w:numFmt w:val="decimal"/>
      <w:lvlText w:val="%1.%2.%3.%4"/>
      <w:lvlJc w:val="left"/>
      <w:pPr>
        <w:ind w:left="1260" w:hanging="720"/>
      </w:pPr>
      <w:rPr>
        <w:rFonts w:eastAsia="Times New Roman"/>
        <w:b/>
      </w:rPr>
    </w:lvl>
    <w:lvl w:ilvl="4">
      <w:start w:val="1"/>
      <w:numFmt w:val="decimal"/>
      <w:lvlText w:val="%1.%2.%3.%4.%5"/>
      <w:lvlJc w:val="left"/>
      <w:pPr>
        <w:ind w:left="1800" w:hanging="1080"/>
      </w:pPr>
      <w:rPr>
        <w:rFonts w:eastAsia="Times New Roman"/>
        <w:b/>
      </w:rPr>
    </w:lvl>
    <w:lvl w:ilvl="5">
      <w:start w:val="1"/>
      <w:numFmt w:val="decimal"/>
      <w:lvlText w:val="%1.%2.%3.%4.%5.%6"/>
      <w:lvlJc w:val="left"/>
      <w:pPr>
        <w:ind w:left="1980" w:hanging="1080"/>
      </w:pPr>
      <w:rPr>
        <w:rFonts w:eastAsia="Times New Roman"/>
        <w:b/>
      </w:rPr>
    </w:lvl>
    <w:lvl w:ilvl="6">
      <w:start w:val="1"/>
      <w:numFmt w:val="decimal"/>
      <w:lvlText w:val="%1.%2.%3.%4.%5.%6.%7"/>
      <w:lvlJc w:val="left"/>
      <w:pPr>
        <w:ind w:left="2520" w:hanging="1440"/>
      </w:pPr>
      <w:rPr>
        <w:rFonts w:eastAsia="Times New Roman"/>
        <w:b/>
      </w:rPr>
    </w:lvl>
    <w:lvl w:ilvl="7">
      <w:start w:val="1"/>
      <w:numFmt w:val="decimal"/>
      <w:lvlText w:val="%1.%2.%3.%4.%5.%6.%7.%8"/>
      <w:lvlJc w:val="left"/>
      <w:pPr>
        <w:ind w:left="2700" w:hanging="1440"/>
      </w:pPr>
      <w:rPr>
        <w:rFonts w:eastAsia="Times New Roman"/>
        <w:b/>
      </w:rPr>
    </w:lvl>
    <w:lvl w:ilvl="8">
      <w:start w:val="1"/>
      <w:numFmt w:val="decimal"/>
      <w:lvlText w:val="%1.%2.%3.%4.%5.%6.%7.%8.%9"/>
      <w:lvlJc w:val="left"/>
      <w:pPr>
        <w:ind w:left="3240" w:hanging="1800"/>
      </w:pPr>
      <w:rPr>
        <w:rFonts w:eastAsia="Times New Roman"/>
        <w:b/>
      </w:rPr>
    </w:lvl>
  </w:abstractNum>
  <w:abstractNum w:abstractNumId="11" w15:restartNumberingAfterBreak="0">
    <w:nsid w:val="45131DB5"/>
    <w:multiLevelType w:val="multilevel"/>
    <w:tmpl w:val="BA3E964C"/>
    <w:lvl w:ilvl="0">
      <w:start w:val="1"/>
      <w:numFmt w:val="bullet"/>
      <w:lvlRestart w:val="0"/>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12" w15:restartNumberingAfterBreak="0">
    <w:nsid w:val="616246F6"/>
    <w:multiLevelType w:val="multilevel"/>
    <w:tmpl w:val="3D3450A8"/>
    <w:lvl w:ilvl="0">
      <w:start w:val="1"/>
      <w:numFmt w:val="decimal"/>
      <w:lvlText w:val="%1."/>
      <w:lvlJc w:val="left"/>
      <w:pPr>
        <w:ind w:left="360" w:hanging="360"/>
      </w:pPr>
      <w:rPr>
        <w:rFonts w:ascii="Times New Roman" w:eastAsiaTheme="minorEastAsia" w:hAnsi="Times New Roman" w:cs="Times New Roman"/>
        <w:lang w:val="en-U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6C3F75"/>
    <w:multiLevelType w:val="multilevel"/>
    <w:tmpl w:val="79C4C25E"/>
    <w:lvl w:ilvl="0">
      <w:start w:val="1"/>
      <w:numFmt w:val="lowerLetter"/>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4" w15:restartNumberingAfterBreak="0">
    <w:nsid w:val="639F13B0"/>
    <w:multiLevelType w:val="multilevel"/>
    <w:tmpl w:val="F440F2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6933162D"/>
    <w:multiLevelType w:val="multilevel"/>
    <w:tmpl w:val="029A3E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2A375F"/>
    <w:multiLevelType w:val="multilevel"/>
    <w:tmpl w:val="FEE0A524"/>
    <w:lvl w:ilvl="0">
      <w:start w:val="1"/>
      <w:numFmt w:val="decimal"/>
      <w:lvlRestart w:val="0"/>
      <w:lvlText w:val="%1."/>
      <w:lvlJc w:val="left"/>
      <w:pPr>
        <w:tabs>
          <w:tab w:val="num" w:pos="0"/>
        </w:tabs>
        <w:ind w:left="420" w:hanging="420"/>
      </w:pPr>
    </w:lvl>
    <w:lvl w:ilvl="1">
      <w:start w:val="1"/>
      <w:numFmt w:val="decimal"/>
      <w:isLgl/>
      <w:lvlText w:val="%1.%2"/>
      <w:lvlJc w:val="left"/>
      <w:pPr>
        <w:tabs>
          <w:tab w:val="num" w:pos="0"/>
        </w:tabs>
        <w:ind w:left="360" w:hanging="360"/>
      </w:pPr>
      <w:rPr>
        <w:rFonts w:hint="eastAsia"/>
      </w:rPr>
    </w:lvl>
    <w:lvl w:ilvl="2">
      <w:start w:val="1"/>
      <w:numFmt w:val="decimal"/>
      <w:isLgl/>
      <w:lvlText w:val="%1.%2.%3"/>
      <w:lvlJc w:val="left"/>
      <w:pPr>
        <w:tabs>
          <w:tab w:val="num" w:pos="0"/>
        </w:tabs>
        <w:ind w:left="720" w:hanging="720"/>
      </w:pPr>
      <w:rPr>
        <w:rFonts w:hint="eastAsia"/>
        <w:b/>
        <w:bCs w:val="0"/>
      </w:rPr>
    </w:lvl>
    <w:lvl w:ilvl="3">
      <w:start w:val="1"/>
      <w:numFmt w:val="decimal"/>
      <w:isLgl/>
      <w:lvlText w:val="%1.%2.%3.%4"/>
      <w:lvlJc w:val="left"/>
      <w:pPr>
        <w:tabs>
          <w:tab w:val="num" w:pos="0"/>
        </w:tabs>
        <w:ind w:left="720" w:hanging="720"/>
      </w:pPr>
      <w:rPr>
        <w:rFonts w:hint="eastAsia"/>
      </w:rPr>
    </w:lvl>
    <w:lvl w:ilvl="4">
      <w:start w:val="1"/>
      <w:numFmt w:val="decimal"/>
      <w:isLgl/>
      <w:lvlText w:val="%1.%2.%3.%4.%5"/>
      <w:lvlJc w:val="left"/>
      <w:pPr>
        <w:tabs>
          <w:tab w:val="num" w:pos="0"/>
        </w:tabs>
        <w:ind w:left="1080" w:hanging="1080"/>
      </w:pPr>
      <w:rPr>
        <w:rFonts w:hint="eastAsia"/>
      </w:rPr>
    </w:lvl>
    <w:lvl w:ilvl="5">
      <w:start w:val="1"/>
      <w:numFmt w:val="decimal"/>
      <w:isLgl/>
      <w:lvlText w:val="%1.%2.%3.%4.%5.%6"/>
      <w:lvlJc w:val="left"/>
      <w:pPr>
        <w:tabs>
          <w:tab w:val="num" w:pos="0"/>
        </w:tabs>
        <w:ind w:left="1080" w:hanging="1080"/>
      </w:pPr>
      <w:rPr>
        <w:rFonts w:hint="eastAsia"/>
      </w:rPr>
    </w:lvl>
    <w:lvl w:ilvl="6">
      <w:start w:val="1"/>
      <w:numFmt w:val="decimal"/>
      <w:isLgl/>
      <w:lvlText w:val="%1.%2.%3.%4.%5.%6.%7"/>
      <w:lvlJc w:val="left"/>
      <w:pPr>
        <w:tabs>
          <w:tab w:val="num" w:pos="0"/>
        </w:tabs>
        <w:ind w:left="1440" w:hanging="1440"/>
      </w:pPr>
      <w:rPr>
        <w:rFonts w:hint="eastAsia"/>
      </w:rPr>
    </w:lvl>
    <w:lvl w:ilvl="7">
      <w:start w:val="1"/>
      <w:numFmt w:val="decimal"/>
      <w:isLgl/>
      <w:lvlText w:val="%1.%2.%3.%4.%5.%6.%7.%8"/>
      <w:lvlJc w:val="left"/>
      <w:pPr>
        <w:tabs>
          <w:tab w:val="num" w:pos="0"/>
        </w:tabs>
        <w:ind w:left="1440" w:hanging="1440"/>
      </w:pPr>
      <w:rPr>
        <w:rFonts w:hint="eastAsia"/>
      </w:rPr>
    </w:lvl>
    <w:lvl w:ilvl="8">
      <w:start w:val="1"/>
      <w:numFmt w:val="decimal"/>
      <w:isLgl/>
      <w:lvlText w:val="%1.%2.%3.%4.%5.%6.%7.%8.%9"/>
      <w:lvlJc w:val="left"/>
      <w:pPr>
        <w:tabs>
          <w:tab w:val="num" w:pos="0"/>
        </w:tabs>
        <w:ind w:left="1800" w:hanging="1800"/>
      </w:pPr>
      <w:rPr>
        <w:rFonts w:hint="eastAsia"/>
      </w:rPr>
    </w:lvl>
  </w:abstractNum>
  <w:abstractNum w:abstractNumId="17" w15:restartNumberingAfterBreak="0">
    <w:nsid w:val="71BC0835"/>
    <w:multiLevelType w:val="multilevel"/>
    <w:tmpl w:val="03E02646"/>
    <w:lvl w:ilvl="0">
      <w:start w:val="1"/>
      <w:numFmt w:val="decimal"/>
      <w:lvlText w:val="%1."/>
      <w:lvlJc w:val="left"/>
      <w:pPr>
        <w:ind w:left="360" w:hanging="360"/>
      </w:pPr>
      <w:rPr>
        <w:rFonts w:ascii="Times New Roman" w:eastAsiaTheme="minorEastAsia" w:hAnsi="Times New Roman" w:cs="Times New Roman"/>
        <w:lang w:val="en-U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89363A"/>
    <w:multiLevelType w:val="multilevel"/>
    <w:tmpl w:val="413AE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1414293">
    <w:abstractNumId w:val="3"/>
  </w:num>
  <w:num w:numId="2" w16cid:durableId="1714575838">
    <w:abstractNumId w:val="0"/>
  </w:num>
  <w:num w:numId="3" w16cid:durableId="1193569377">
    <w:abstractNumId w:val="14"/>
  </w:num>
  <w:num w:numId="4" w16cid:durableId="1166478910">
    <w:abstractNumId w:val="4"/>
  </w:num>
  <w:num w:numId="5" w16cid:durableId="338124824">
    <w:abstractNumId w:val="16"/>
  </w:num>
  <w:num w:numId="6" w16cid:durableId="1086457517">
    <w:abstractNumId w:val="9"/>
  </w:num>
  <w:num w:numId="7" w16cid:durableId="336227884">
    <w:abstractNumId w:val="8"/>
  </w:num>
  <w:num w:numId="8" w16cid:durableId="249123586">
    <w:abstractNumId w:val="13"/>
  </w:num>
  <w:num w:numId="9" w16cid:durableId="1708752712">
    <w:abstractNumId w:val="18"/>
  </w:num>
  <w:num w:numId="10" w16cid:durableId="1794519007">
    <w:abstractNumId w:val="11"/>
  </w:num>
  <w:num w:numId="11" w16cid:durableId="1669557080">
    <w:abstractNumId w:val="15"/>
  </w:num>
  <w:num w:numId="12" w16cid:durableId="1230580627">
    <w:abstractNumId w:val="6"/>
  </w:num>
  <w:num w:numId="13" w16cid:durableId="549001863">
    <w:abstractNumId w:val="5"/>
  </w:num>
  <w:num w:numId="14" w16cid:durableId="1470367095">
    <w:abstractNumId w:val="1"/>
  </w:num>
  <w:num w:numId="15" w16cid:durableId="1682780362">
    <w:abstractNumId w:val="17"/>
  </w:num>
  <w:num w:numId="16" w16cid:durableId="981039430">
    <w:abstractNumId w:val="2"/>
  </w:num>
  <w:num w:numId="17" w16cid:durableId="246695151">
    <w:abstractNumId w:val="12"/>
  </w:num>
  <w:num w:numId="18" w16cid:durableId="1349452429">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2705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99"/>
    <w:rsid w:val="00091B56"/>
    <w:rsid w:val="002252AE"/>
    <w:rsid w:val="002402FB"/>
    <w:rsid w:val="003070FA"/>
    <w:rsid w:val="00457399"/>
    <w:rsid w:val="00474D06"/>
    <w:rsid w:val="004912EB"/>
    <w:rsid w:val="007A37E1"/>
    <w:rsid w:val="00BD048C"/>
    <w:rsid w:val="00C7362F"/>
    <w:rsid w:val="00C92196"/>
    <w:rsid w:val="00F42A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7810"/>
  <w15:docId w15:val="{974B13ED-89CA-4258-BB0A-54860C80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rFonts w:ascii="Times New Roman" w:hAnsi="Times New Roman" w:cs="Times New Roman"/>
      <w:sz w:val="24"/>
      <w:szCs w:val="24"/>
      <w:lang w:eastAsia="ja-JP"/>
    </w:rPr>
  </w:style>
  <w:style w:type="paragraph" w:styleId="Heading1">
    <w:name w:val="heading 1"/>
    <w:basedOn w:val="Normal"/>
    <w:next w:val="Normal"/>
    <w:link w:val="Heading1Char"/>
    <w:qFormat/>
    <w:pPr>
      <w:keepNext/>
      <w:keepLines/>
      <w:tabs>
        <w:tab w:val="left" w:pos="794"/>
        <w:tab w:val="left" w:pos="1191"/>
        <w:tab w:val="left" w:pos="1588"/>
        <w:tab w:val="left" w:pos="1985"/>
      </w:tabs>
      <w:spacing w:before="360"/>
      <w:ind w:left="794" w:hanging="794"/>
      <w:outlineLvl w:val="0"/>
    </w:pPr>
    <w:rPr>
      <w:rFonts w:eastAsia="Times New Roman"/>
      <w:b/>
      <w:szCs w:val="20"/>
      <w:lang w:eastAsia="en-US"/>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character" w:styleId="PlaceholderText">
    <w:name w:val="Placeholder Text"/>
    <w:basedOn w:val="DefaultParagraphFont"/>
    <w:uiPriority w:val="99"/>
    <w:semiHidden/>
    <w:qFormat/>
    <w:rPr>
      <w:rFonts w:ascii="Times New Roman" w:hAnsi="Times New Roman"/>
      <w:color w:val="808080"/>
    </w:rPr>
  </w:style>
  <w:style w:type="character" w:customStyle="1" w:styleId="DocnumberChar">
    <w:name w:val="Docnumber Char"/>
    <w:link w:val="Docnumber"/>
    <w:qFormat/>
    <w:rPr>
      <w:rFonts w:ascii="Times New Roman" w:eastAsia="SimSun" w:hAnsi="Times New Roman" w:cs="Times New Roman"/>
      <w:b/>
      <w:sz w:val="40"/>
      <w:szCs w:val="20"/>
      <w:lang w:val="en-GB" w:eastAsia="en-US"/>
    </w:rPr>
  </w:style>
  <w:style w:type="character" w:customStyle="1" w:styleId="-">
    <w:name w:val="Интернет-ссылка"/>
    <w:basedOn w:val="DefaultParagraphFont"/>
    <w:uiPriority w:val="99"/>
    <w:qFormat/>
    <w:rPr>
      <w:rFonts w:asciiTheme="majorBidi" w:hAnsiTheme="majorBidi"/>
      <w:color w:val="0000FF"/>
      <w:u w:val="single"/>
    </w:rPr>
  </w:style>
  <w:style w:type="character" w:customStyle="1" w:styleId="Heading1Char">
    <w:name w:val="Heading 1 Char"/>
    <w:basedOn w:val="DefaultParagraphFont"/>
    <w:link w:val="Heading1"/>
    <w:qFormat/>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qFormat/>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qFormat/>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qFormat/>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qFormat/>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qFormat/>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qFormat/>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qFormat/>
    <w:rPr>
      <w:rFonts w:ascii="Times New Roman" w:eastAsia="Times New Roman" w:hAnsi="Times New Roman" w:cs="Times New Roman"/>
      <w:b/>
      <w:sz w:val="24"/>
      <w:szCs w:val="20"/>
      <w:lang w:val="en-GB" w:eastAsia="en-US"/>
    </w:rPr>
  </w:style>
  <w:style w:type="character" w:customStyle="1" w:styleId="a">
    <w:name w:val="Верхний колонтитул Знак"/>
    <w:basedOn w:val="DefaultParagraphFont"/>
    <w:qFormat/>
    <w:rPr>
      <w:rFonts w:ascii="Times New Roman" w:hAnsi="Times New Roman" w:cs="Times New Roman"/>
      <w:sz w:val="20"/>
      <w:szCs w:val="20"/>
      <w:lang w:val="en-GB" w:eastAsia="ja-JP"/>
    </w:rPr>
  </w:style>
  <w:style w:type="character" w:customStyle="1" w:styleId="a0">
    <w:name w:val="Нижний колонтитул Знак"/>
    <w:basedOn w:val="DefaultParagraphFont"/>
    <w:uiPriority w:val="99"/>
    <w:qFormat/>
    <w:rPr>
      <w:rFonts w:ascii="Times New Roman" w:hAnsi="Times New Roman" w:cs="Times New Roman"/>
      <w:sz w:val="24"/>
      <w:szCs w:val="24"/>
      <w:lang w:val="en-GB" w:eastAsia="ja-JP"/>
    </w:rPr>
  </w:style>
  <w:style w:type="character" w:customStyle="1" w:styleId="1">
    <w:name w:val="Выделение1"/>
    <w:basedOn w:val="DefaultParagraphFont"/>
    <w:uiPriority w:val="20"/>
    <w:qFormat/>
    <w:rPr>
      <w:i/>
      <w:iCs/>
    </w:rPr>
  </w:style>
  <w:style w:type="character" w:customStyle="1" w:styleId="a1">
    <w:name w:val="Подзаголовок Знак"/>
    <w:basedOn w:val="DefaultParagraphFont"/>
    <w:uiPriority w:val="11"/>
    <w:qFormat/>
    <w:rPr>
      <w:color w:val="5A5A5A" w:themeColor="text1" w:themeTint="A5"/>
      <w:spacing w:val="15"/>
      <w:lang w:val="en-GB" w:eastAsia="ja-JP"/>
    </w:rPr>
  </w:style>
  <w:style w:type="character" w:styleId="Strong">
    <w:name w:val="Strong"/>
    <w:basedOn w:val="DefaultParagraphFont"/>
    <w:uiPriority w:val="22"/>
    <w:qFormat/>
    <w:rPr>
      <w:b/>
      <w:bCs/>
    </w:rPr>
  </w:style>
  <w:style w:type="character" w:customStyle="1" w:styleId="2">
    <w:name w:val="Цитата 2 Знак"/>
    <w:basedOn w:val="DefaultParagraphFont"/>
    <w:uiPriority w:val="29"/>
    <w:qFormat/>
    <w:rPr>
      <w:rFonts w:ascii="Times New Roman" w:hAnsi="Times New Roman" w:cs="Times New Roman"/>
      <w:i/>
      <w:iCs/>
      <w:color w:val="404040" w:themeColor="text1" w:themeTint="BF"/>
      <w:sz w:val="24"/>
      <w:szCs w:val="24"/>
      <w:lang w:val="en-GB" w:eastAsia="ja-JP"/>
    </w:rPr>
  </w:style>
  <w:style w:type="character" w:customStyle="1" w:styleId="a2">
    <w:name w:val="Текст выноски Знак"/>
    <w:basedOn w:val="DefaultParagraphFont"/>
    <w:uiPriority w:val="99"/>
    <w:semiHidden/>
    <w:qFormat/>
    <w:rPr>
      <w:rFonts w:ascii="Segoe UI" w:hAnsi="Segoe UI" w:cs="Segoe UI"/>
      <w:sz w:val="18"/>
      <w:szCs w:val="18"/>
      <w:lang w:val="en-GB" w:eastAsia="ja-JP"/>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customStyle="1" w:styleId="a3">
    <w:name w:val="Абзац списка Знак"/>
    <w:uiPriority w:val="34"/>
    <w:qFormat/>
    <w:rPr>
      <w:rFonts w:ascii="Times New Roman" w:hAnsi="Times New Roman" w:cs="Times New Roman"/>
      <w:sz w:val="24"/>
      <w:szCs w:val="24"/>
      <w:lang w:val="en-GB" w:eastAsia="ja-JP"/>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ascii="Times New Roman" w:hAnsi="Times New Roman"/>
      <w:lang w:val="pt-BR"/>
    </w:rPr>
  </w:style>
  <w:style w:type="character" w:customStyle="1" w:styleId="ListLabel7">
    <w:name w:val="ListLabel 7"/>
    <w:qFormat/>
    <w:rPr>
      <w:rFonts w:ascii="Times New Roman" w:hAnsi="Times New Roman"/>
    </w:rPr>
  </w:style>
  <w:style w:type="character" w:customStyle="1" w:styleId="ListLabel48">
    <w:name w:val="ListLabel 48"/>
    <w:qFormat/>
  </w:style>
  <w:style w:type="character" w:customStyle="1" w:styleId="ListLabel49">
    <w:name w:val="ListLabel 49"/>
    <w:qFormat/>
    <w:rPr>
      <w:rFonts w:cs="Symbol"/>
    </w:rPr>
  </w:style>
  <w:style w:type="character" w:customStyle="1" w:styleId="ListLabel50">
    <w:name w:val="ListLabel 50"/>
    <w:qFormat/>
    <w:rPr>
      <w:lang w:val="pt-BR"/>
    </w:rPr>
  </w:style>
  <w:style w:type="character" w:customStyle="1" w:styleId="ListLabel51">
    <w:name w:val="ListLabel 51"/>
    <w:qFormat/>
  </w:style>
  <w:style w:type="character" w:customStyle="1" w:styleId="ListLabel52">
    <w:name w:val="ListLabel 52"/>
    <w:qFormat/>
  </w:style>
  <w:style w:type="character" w:customStyle="1" w:styleId="a4">
    <w:name w:val="Маркеры списка"/>
    <w:qFormat/>
    <w:rPr>
      <w:rFonts w:ascii="OpenSymbol" w:eastAsia="OpenSymbol" w:hAnsi="OpenSymbol" w:cs="OpenSymbol"/>
    </w:rPr>
  </w:style>
  <w:style w:type="character" w:customStyle="1" w:styleId="a5">
    <w:name w:val="Символ нумерации"/>
    <w:qFormat/>
  </w:style>
  <w:style w:type="paragraph" w:customStyle="1" w:styleId="10">
    <w:name w:val="Заголовок1"/>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before="0" w:after="140" w:line="276" w:lineRule="auto"/>
    </w:pPr>
  </w:style>
  <w:style w:type="paragraph" w:styleId="List">
    <w:name w:val="List"/>
    <w:basedOn w:val="BodyText"/>
    <w:rPr>
      <w:rFonts w:cs="Mangal"/>
    </w:rPr>
  </w:style>
  <w:style w:type="paragraph" w:styleId="Caption">
    <w:name w:val="caption"/>
    <w:basedOn w:val="Normal"/>
    <w:next w:val="Normal"/>
    <w:uiPriority w:val="35"/>
    <w:semiHidden/>
    <w:unhideWhenUsed/>
    <w:qFormat/>
    <w:pPr>
      <w:spacing w:before="0" w:after="200"/>
    </w:pPr>
    <w:rPr>
      <w:i/>
      <w:iCs/>
      <w:color w:val="44546A" w:themeColor="text2"/>
      <w:sz w:val="18"/>
      <w:szCs w:val="18"/>
    </w:rPr>
  </w:style>
  <w:style w:type="paragraph" w:customStyle="1" w:styleId="11">
    <w:name w:val="Указатель1"/>
    <w:basedOn w:val="Normal"/>
    <w:qFormat/>
    <w:pPr>
      <w:suppressLineNumbers/>
    </w:pPr>
    <w:rPr>
      <w:rFonts w:cs="Mangal"/>
    </w:rPr>
  </w:style>
  <w:style w:type="paragraph" w:customStyle="1" w:styleId="Docnumber">
    <w:name w:val="Docnumber"/>
    <w:basedOn w:val="Normal"/>
    <w:link w:val="DocnumberChar"/>
    <w:qFormat/>
    <w:pPr>
      <w:tabs>
        <w:tab w:val="left" w:pos="794"/>
        <w:tab w:val="left" w:pos="1191"/>
        <w:tab w:val="left" w:pos="1588"/>
        <w:tab w:val="left" w:pos="1985"/>
      </w:tabs>
      <w:jc w:val="right"/>
    </w:pPr>
    <w:rPr>
      <w:rFonts w:eastAsia="SimSun"/>
      <w:b/>
      <w:sz w:val="40"/>
      <w:szCs w:val="20"/>
      <w:lang w:eastAsia="en-US"/>
    </w:rPr>
  </w:style>
  <w:style w:type="paragraph" w:customStyle="1" w:styleId="AnnexNotitle">
    <w:name w:val="Annex_No &amp; title"/>
    <w:basedOn w:val="Normal"/>
    <w:next w:val="Normal"/>
    <w:qFormat/>
    <w:pPr>
      <w:keepNext/>
      <w:keepLines/>
      <w:tabs>
        <w:tab w:val="left" w:pos="794"/>
        <w:tab w:val="left" w:pos="1191"/>
        <w:tab w:val="left" w:pos="1588"/>
        <w:tab w:val="left" w:pos="1985"/>
      </w:tabs>
      <w:spacing w:before="480"/>
      <w:jc w:val="center"/>
      <w:outlineLvl w:val="0"/>
    </w:pPr>
    <w:rPr>
      <w:rFonts w:eastAsia="Times New Roman"/>
      <w:b/>
      <w:sz w:val="28"/>
      <w:szCs w:val="20"/>
      <w:lang w:eastAsia="en-US"/>
    </w:rPr>
  </w:style>
  <w:style w:type="paragraph" w:customStyle="1" w:styleId="AppendixNotitle">
    <w:name w:val="Appendix_No &amp; title"/>
    <w:basedOn w:val="AnnexNotitle"/>
    <w:next w:val="Normal"/>
    <w:qFormat/>
  </w:style>
  <w:style w:type="paragraph" w:customStyle="1" w:styleId="CorrectionSeparatorBegin">
    <w:name w:val="Correction Separator Begin"/>
    <w:basedOn w:val="Normal"/>
    <w:qFormat/>
    <w:pPr>
      <w:keepNext/>
      <w:pBdr>
        <w:bottom w:val="single" w:sz="12" w:space="1" w:color="000000"/>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qFormat/>
    <w:pPr>
      <w:pBdr>
        <w:top w:val="single" w:sz="12" w:space="1" w:color="000000"/>
      </w:pBdr>
      <w:spacing w:before="240" w:after="240"/>
      <w:ind w:left="1440" w:right="1440"/>
      <w:jc w:val="center"/>
    </w:pPr>
    <w:rPr>
      <w:rFonts w:eastAsia="Times New Roman"/>
      <w:b/>
      <w:i/>
      <w:sz w:val="20"/>
      <w:szCs w:val="20"/>
      <w:lang w:val="en-US" w:eastAsia="en-US"/>
    </w:rPr>
  </w:style>
  <w:style w:type="paragraph" w:customStyle="1" w:styleId="a6">
    <w:name w:val="Фигура"/>
    <w:basedOn w:val="Normal"/>
    <w:next w:val="Normal"/>
    <w:qFormat/>
    <w:pPr>
      <w:keepNext/>
      <w:keepLines/>
      <w:tabs>
        <w:tab w:val="left" w:pos="794"/>
        <w:tab w:val="left" w:pos="1191"/>
        <w:tab w:val="left" w:pos="1588"/>
        <w:tab w:val="left" w:pos="1985"/>
      </w:tabs>
      <w:spacing w:before="240" w:after="120"/>
      <w:jc w:val="center"/>
    </w:pPr>
    <w:rPr>
      <w:rFonts w:eastAsia="Times New Roman"/>
      <w:szCs w:val="20"/>
      <w:lang w:eastAsia="en-US"/>
    </w:rPr>
  </w:style>
  <w:style w:type="paragraph" w:customStyle="1" w:styleId="FigureNotitle">
    <w:name w:val="Figure_No &amp; title"/>
    <w:basedOn w:val="Normal"/>
    <w:next w:val="Normal"/>
    <w:qFormat/>
    <w:pPr>
      <w:keepLines/>
      <w:tabs>
        <w:tab w:val="left" w:pos="794"/>
        <w:tab w:val="left" w:pos="1191"/>
        <w:tab w:val="left" w:pos="1588"/>
        <w:tab w:val="left" w:pos="1985"/>
      </w:tabs>
      <w:spacing w:before="240" w:after="120"/>
      <w:jc w:val="center"/>
    </w:pPr>
    <w:rPr>
      <w:b/>
      <w:szCs w:val="20"/>
    </w:rPr>
  </w:style>
  <w:style w:type="paragraph" w:customStyle="1" w:styleId="Formal">
    <w:name w:val="Formal"/>
    <w:basedOn w:val="Normal"/>
    <w:qFormat/>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sz w:val="20"/>
      <w:szCs w:val="20"/>
      <w:lang w:val="en-US" w:eastAsia="en-US"/>
    </w:rPr>
  </w:style>
  <w:style w:type="paragraph" w:customStyle="1" w:styleId="Headingb">
    <w:name w:val="Heading_b"/>
    <w:basedOn w:val="Normal"/>
    <w:next w:val="Normal"/>
    <w:qFormat/>
    <w:pPr>
      <w:keepNext/>
      <w:tabs>
        <w:tab w:val="left" w:pos="794"/>
        <w:tab w:val="left" w:pos="1191"/>
        <w:tab w:val="left" w:pos="1588"/>
        <w:tab w:val="left" w:pos="1985"/>
      </w:tabs>
      <w:spacing w:before="160"/>
    </w:pPr>
    <w:rPr>
      <w:rFonts w:eastAsia="Times New Roman"/>
      <w:b/>
      <w:szCs w:val="20"/>
      <w:lang w:eastAsia="en-US"/>
    </w:rPr>
  </w:style>
  <w:style w:type="paragraph" w:customStyle="1" w:styleId="Headingi">
    <w:name w:val="Heading_i"/>
    <w:basedOn w:val="Normal"/>
    <w:next w:val="Normal"/>
    <w:qFormat/>
    <w:pPr>
      <w:keepNext/>
      <w:tabs>
        <w:tab w:val="left" w:pos="794"/>
        <w:tab w:val="left" w:pos="1191"/>
        <w:tab w:val="left" w:pos="1588"/>
        <w:tab w:val="left" w:pos="1985"/>
      </w:tabs>
      <w:spacing w:before="160"/>
    </w:pPr>
    <w:rPr>
      <w:rFonts w:eastAsia="Times New Roman"/>
      <w:i/>
      <w:szCs w:val="20"/>
      <w:lang w:eastAsia="en-US"/>
    </w:rPr>
  </w:style>
  <w:style w:type="paragraph" w:customStyle="1" w:styleId="Headingib">
    <w:name w:val="Heading_ib"/>
    <w:basedOn w:val="Headingi"/>
    <w:next w:val="Normal"/>
    <w:qFormat/>
    <w:rPr>
      <w:rFonts w:eastAsiaTheme="minorEastAsia"/>
      <w:b/>
      <w:bCs/>
      <w:lang w:eastAsia="ja-JP"/>
    </w:rPr>
  </w:style>
  <w:style w:type="paragraph" w:customStyle="1" w:styleId="Normalbeforetable">
    <w:name w:val="Normal before table"/>
    <w:basedOn w:val="Normal"/>
    <w:qFormat/>
    <w:pPr>
      <w:keepNext/>
      <w:spacing w:after="120"/>
    </w:pPr>
    <w:rPr>
      <w:rFonts w:eastAsia="????"/>
      <w:lang w:eastAsia="en-US"/>
    </w:rPr>
  </w:style>
  <w:style w:type="paragraph" w:customStyle="1" w:styleId="RecNo">
    <w:name w:val="Rec_No"/>
    <w:basedOn w:val="Normal"/>
    <w:next w:val="Normal"/>
    <w:uiPriority w:val="99"/>
    <w:qFormat/>
    <w:pPr>
      <w:keepNext/>
      <w:keepLines/>
      <w:tabs>
        <w:tab w:val="left" w:pos="794"/>
        <w:tab w:val="left" w:pos="1191"/>
        <w:tab w:val="left" w:pos="1588"/>
        <w:tab w:val="left" w:pos="1985"/>
      </w:tabs>
      <w:spacing w:before="0"/>
    </w:pPr>
    <w:rPr>
      <w:b/>
      <w:sz w:val="28"/>
      <w:szCs w:val="20"/>
    </w:rPr>
  </w:style>
  <w:style w:type="paragraph" w:customStyle="1" w:styleId="Rectitle">
    <w:name w:val="Rec_title"/>
    <w:basedOn w:val="Normal"/>
    <w:next w:val="Normal"/>
    <w:qFormat/>
    <w:pPr>
      <w:keepNext/>
      <w:keepLines/>
      <w:tabs>
        <w:tab w:val="left" w:pos="794"/>
        <w:tab w:val="left" w:pos="1191"/>
        <w:tab w:val="left" w:pos="1588"/>
        <w:tab w:val="left" w:pos="1985"/>
      </w:tabs>
      <w:spacing w:before="360"/>
      <w:jc w:val="center"/>
    </w:pPr>
    <w:rPr>
      <w:b/>
      <w:sz w:val="28"/>
      <w:szCs w:val="20"/>
    </w:rPr>
  </w:style>
  <w:style w:type="paragraph" w:customStyle="1" w:styleId="Reftext">
    <w:name w:val="Ref_text"/>
    <w:basedOn w:val="Normal"/>
    <w:qFormat/>
    <w:pPr>
      <w:ind w:left="2268" w:hanging="2268"/>
    </w:pPr>
    <w:rPr>
      <w:rFonts w:eastAsia="Times New Roman"/>
      <w:szCs w:val="20"/>
      <w:lang w:eastAsia="en-US"/>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Times New Roman"/>
      <w:b/>
      <w:sz w:val="22"/>
      <w:szCs w:val="20"/>
      <w:lang w:eastAsia="en-US"/>
    </w:rPr>
  </w:style>
  <w:style w:type="paragraph" w:customStyle="1" w:styleId="Tablelegend">
    <w:name w:val="Table_legend"/>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pPr>
    <w:rPr>
      <w:rFonts w:eastAsia="Times New Roman"/>
      <w:sz w:val="22"/>
      <w:szCs w:val="20"/>
      <w:lang w:eastAsia="en-US"/>
    </w:rPr>
  </w:style>
  <w:style w:type="paragraph" w:customStyle="1" w:styleId="TableNotitle">
    <w:name w:val="Table_No &amp; title"/>
    <w:basedOn w:val="Normal"/>
    <w:next w:val="Normal"/>
    <w:link w:val="TableNotitleChar"/>
    <w:qFormat/>
    <w:pPr>
      <w:keepNext/>
      <w:keepLines/>
      <w:tabs>
        <w:tab w:val="left" w:pos="794"/>
        <w:tab w:val="left" w:pos="1191"/>
        <w:tab w:val="left" w:pos="1588"/>
        <w:tab w:val="left" w:pos="1985"/>
      </w:tabs>
      <w:spacing w:before="360" w:after="120"/>
      <w:jc w:val="center"/>
    </w:pPr>
    <w:rPr>
      <w:b/>
      <w:szCs w:val="20"/>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Times New Roman"/>
      <w:sz w:val="22"/>
      <w:szCs w:val="20"/>
      <w:lang w:eastAsia="en-US"/>
    </w:rPr>
  </w:style>
  <w:style w:type="paragraph" w:styleId="TableofFigures">
    <w:name w:val="table of figures"/>
    <w:basedOn w:val="Normal"/>
    <w:next w:val="Normal"/>
    <w:uiPriority w:val="99"/>
    <w:qFormat/>
    <w:pPr>
      <w:tabs>
        <w:tab w:val="right" w:leader="dot" w:pos="9639"/>
      </w:tabs>
    </w:pPr>
    <w:rPr>
      <w:rFonts w:eastAsia="MS Mincho"/>
    </w:rPr>
  </w:style>
  <w:style w:type="paragraph" w:styleId="TOC1">
    <w:name w:val="toc 1"/>
    <w:basedOn w:val="Normal"/>
    <w:pPr>
      <w:keepLines/>
      <w:tabs>
        <w:tab w:val="left" w:pos="964"/>
        <w:tab w:val="left" w:leader="dot" w:pos="9356"/>
        <w:tab w:val="right" w:pos="9639"/>
      </w:tabs>
      <w:spacing w:before="240"/>
      <w:ind w:left="680" w:right="851" w:hanging="680"/>
    </w:pPr>
    <w:rPr>
      <w:rFonts w:eastAsia="Batang"/>
      <w:szCs w:val="20"/>
      <w:lang w:eastAsia="en-US"/>
    </w:rPr>
  </w:style>
  <w:style w:type="paragraph" w:styleId="TOC2">
    <w:name w:val="toc 2"/>
    <w:aliases w:val="Quote Char1,TOC 2 Char Char,Quote Char1 Char Char,TOC 2 Char Char Char Char,Quote Char1 Char Char Char Char,TOC 2 Char Char Char Char Char Char,Quote Char1 Char Char Char Char Char Char,TOC 2 Char Char Char Char Char Char Char Char"/>
    <w:basedOn w:val="TOC1"/>
    <w:link w:val="Quote"/>
    <w:pPr>
      <w:tabs>
        <w:tab w:val="clear" w:pos="964"/>
      </w:tabs>
      <w:spacing w:before="80"/>
      <w:ind w:left="1531" w:hanging="851"/>
    </w:pPr>
  </w:style>
  <w:style w:type="paragraph" w:styleId="TOC3">
    <w:name w:val="toc 3"/>
    <w:basedOn w:val="TOC2"/>
    <w:pPr>
      <w:ind w:left="2269"/>
    </w:pPr>
  </w:style>
  <w:style w:type="paragraph" w:styleId="Header">
    <w:name w:val="header"/>
    <w:basedOn w:val="Normal"/>
    <w:link w:val="HeaderChar"/>
    <w:unhideWhenUsed/>
    <w:pPr>
      <w:tabs>
        <w:tab w:val="center" w:pos="4680"/>
        <w:tab w:val="right" w:pos="9360"/>
      </w:tabs>
      <w:spacing w:before="0"/>
      <w:jc w:val="center"/>
    </w:pPr>
    <w:rPr>
      <w:sz w:val="20"/>
      <w:szCs w:val="20"/>
    </w:rPr>
  </w:style>
  <w:style w:type="paragraph" w:styleId="Footer">
    <w:name w:val="footer"/>
    <w:basedOn w:val="Normal"/>
    <w:link w:val="FooterChar"/>
    <w:uiPriority w:val="99"/>
    <w:unhideWhenUsed/>
    <w:pPr>
      <w:tabs>
        <w:tab w:val="center" w:pos="4680"/>
        <w:tab w:val="right" w:pos="9360"/>
      </w:tabs>
      <w:spacing w:before="0"/>
    </w:pPr>
  </w:style>
  <w:style w:type="paragraph" w:styleId="Subtitle">
    <w:name w:val="Subtitle"/>
    <w:basedOn w:val="Normal"/>
    <w:next w:val="Normal"/>
    <w:link w:val="SubtitleChar"/>
    <w:uiPriority w:val="11"/>
    <w:qFormat/>
    <w:pPr>
      <w:spacing w:after="160"/>
    </w:pPr>
    <w:rPr>
      <w:rFonts w:asciiTheme="minorHAnsi" w:hAnsiTheme="minorHAnsi" w:cstheme="minorBidi"/>
      <w:color w:val="5A5A5A" w:themeColor="text1" w:themeTint="A5"/>
      <w:spacing w:val="15"/>
      <w:sz w:val="22"/>
      <w:szCs w:val="22"/>
    </w:rPr>
  </w:style>
  <w:style w:type="paragraph" w:styleId="Quote">
    <w:name w:val="Quote"/>
    <w:aliases w:val="TOC 2 Char,Quote Char1 Char,TOC 2 Char Char Char,Quote Char1 Char Char Char,TOC 2 Char Char Char Char Char,Quote Char1 Char Char Char Char Char,TOC 2 Char Char Char Char Char Char Char,Quote Char1 Char Char Char Char Char Char Char"/>
    <w:basedOn w:val="Normal"/>
    <w:next w:val="Normal"/>
    <w:link w:val="TOC2"/>
    <w:uiPriority w:val="29"/>
    <w:qFormat/>
    <w:pPr>
      <w:spacing w:before="200" w:after="160"/>
      <w:ind w:left="864" w:right="864"/>
      <w:jc w:val="center"/>
    </w:pPr>
    <w:rPr>
      <w:i/>
      <w:iCs/>
      <w:color w:val="404040" w:themeColor="text1" w:themeTint="BF"/>
    </w:rPr>
  </w:style>
  <w:style w:type="paragraph" w:styleId="BalloonText">
    <w:name w:val="Balloon Text"/>
    <w:basedOn w:val="Normal"/>
    <w:uiPriority w:val="99"/>
    <w:semiHidden/>
    <w:unhideWhenUsed/>
    <w:qFormat/>
    <w:pPr>
      <w:spacing w:before="0"/>
    </w:pPr>
    <w:rPr>
      <w:rFonts w:ascii="Segoe UI" w:hAnsi="Segoe UI" w:cs="Segoe UI"/>
      <w:sz w:val="18"/>
      <w:szCs w:val="18"/>
    </w:rPr>
  </w:style>
  <w:style w:type="paragraph" w:customStyle="1" w:styleId="LSDeadline">
    <w:name w:val="LSDeadline"/>
    <w:basedOn w:val="LSForAction"/>
    <w:next w:val="Normal"/>
    <w:qFormat/>
    <w:rPr>
      <w:bCs w:val="0"/>
    </w:rPr>
  </w:style>
  <w:style w:type="paragraph" w:customStyle="1" w:styleId="LSForAction">
    <w:name w:val="LSForAction"/>
    <w:basedOn w:val="Normal"/>
    <w:qFormat/>
    <w:pPr>
      <w:tabs>
        <w:tab w:val="left" w:pos="794"/>
        <w:tab w:val="left" w:pos="1191"/>
        <w:tab w:val="left" w:pos="1588"/>
        <w:tab w:val="left" w:pos="1985"/>
      </w:tabs>
    </w:pPr>
    <w:rPr>
      <w:rFonts w:eastAsia="Times New Roman"/>
      <w:bCs/>
      <w:szCs w:val="20"/>
      <w:lang w:eastAsia="en-US"/>
    </w:rPr>
  </w:style>
  <w:style w:type="paragraph" w:customStyle="1" w:styleId="LSForInfo">
    <w:name w:val="LSForInfo"/>
    <w:basedOn w:val="LSForAction"/>
    <w:next w:val="Normal"/>
    <w:qFormat/>
  </w:style>
  <w:style w:type="paragraph" w:customStyle="1" w:styleId="LSForComment">
    <w:name w:val="LSForComment"/>
    <w:basedOn w:val="LSForAction"/>
    <w:next w:val="Normal"/>
    <w:qFormat/>
  </w:style>
  <w:style w:type="paragraph" w:customStyle="1" w:styleId="enumlev1">
    <w:name w:val="enumlev1"/>
    <w:basedOn w:val="Normal"/>
    <w:qFormat/>
    <w:pPr>
      <w:tabs>
        <w:tab w:val="left" w:pos="794"/>
        <w:tab w:val="left" w:pos="1191"/>
        <w:tab w:val="left" w:pos="1588"/>
        <w:tab w:val="left" w:pos="1985"/>
      </w:tabs>
      <w:spacing w:before="80"/>
      <w:ind w:left="794" w:hanging="794"/>
    </w:pPr>
    <w:rPr>
      <w:rFonts w:eastAsia="Times New Roman"/>
      <w:szCs w:val="20"/>
      <w:lang w:eastAsia="en-US"/>
    </w:rPr>
  </w:style>
  <w:style w:type="paragraph" w:customStyle="1" w:styleId="enumlev2">
    <w:name w:val="enumlev2"/>
    <w:basedOn w:val="enumlev1"/>
    <w:qFormat/>
    <w:pPr>
      <w:ind w:left="1191" w:hanging="397"/>
    </w:pPr>
  </w:style>
  <w:style w:type="paragraph" w:customStyle="1" w:styleId="enumlev3">
    <w:name w:val="enumlev3"/>
    <w:basedOn w:val="enumlev2"/>
    <w:qFormat/>
    <w:pPr>
      <w:ind w:left="1588"/>
    </w:pPr>
  </w:style>
  <w:style w:type="paragraph" w:customStyle="1" w:styleId="LSSource">
    <w:name w:val="LSSource"/>
    <w:basedOn w:val="LSForAction"/>
    <w:next w:val="Normal"/>
    <w:qFormat/>
    <w:rPr>
      <w:rFonts w:eastAsiaTheme="minorHAnsi"/>
      <w:bCs w:val="0"/>
    </w:rPr>
  </w:style>
  <w:style w:type="paragraph" w:customStyle="1" w:styleId="LSTitle">
    <w:name w:val="LSTitle"/>
    <w:basedOn w:val="LSForAction"/>
    <w:next w:val="Normal"/>
    <w:qFormat/>
    <w:rPr>
      <w:rFonts w:eastAsiaTheme="minorHAnsi"/>
      <w:bCs w:val="0"/>
    </w:rPr>
  </w:style>
  <w:style w:type="paragraph" w:styleId="NormalWeb">
    <w:name w:val="Normal (Web)"/>
    <w:basedOn w:val="Normal"/>
    <w:uiPriority w:val="99"/>
    <w:unhideWhenUsed/>
    <w:qFormat/>
    <w:pPr>
      <w:spacing w:beforeAutospacing="1" w:afterAutospacing="1"/>
    </w:pPr>
    <w:rPr>
      <w:rFonts w:eastAsia="Times New Roman"/>
      <w:lang w:val="en-US" w:eastAsia="zh-CN"/>
    </w:rPr>
  </w:style>
  <w:style w:type="paragraph" w:styleId="ListParagraph">
    <w:name w:val="List Paragraph"/>
    <w:basedOn w:val="Normal"/>
    <w:link w:val="ListParagraphChar"/>
    <w:uiPriority w:val="34"/>
    <w:qFormat/>
    <w:pPr>
      <w:ind w:firstLine="420"/>
    </w:pPr>
  </w:style>
  <w:style w:type="paragraph" w:customStyle="1" w:styleId="DocumentMap">
    <w:name w:val="DocumentMap"/>
    <w:qFormat/>
    <w:rPr>
      <w:rFonts w:eastAsia="Times New Roman" w:cs="Calibri"/>
      <w:sz w:val="22"/>
      <w:szCs w:val="28"/>
      <w:lang w:val="ru-RU" w:eastAsia="ru-RU" w:bidi="th-TH"/>
    </w:rPr>
  </w:style>
  <w:style w:type="paragraph" w:customStyle="1" w:styleId="a7">
    <w:name w:val="Содержимое таблицы"/>
    <w:basedOn w:val="Normal"/>
    <w:qFormat/>
    <w:pPr>
      <w:suppressLineNumbers/>
    </w:pPr>
  </w:style>
  <w:style w:type="paragraph" w:customStyle="1" w:styleId="a8">
    <w:name w:val="Заголовок таблицы"/>
    <w:basedOn w:val="a7"/>
    <w:qFormat/>
    <w:pPr>
      <w:jc w:val="center"/>
    </w:pPr>
    <w:rPr>
      <w:b/>
      <w:bCs/>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NotitleChar">
    <w:name w:val="Table_No &amp; title Char"/>
    <w:basedOn w:val="DefaultParagraphFont"/>
    <w:link w:val="TableNotitle"/>
    <w:rPr>
      <w:rFonts w:ascii="Times New Roman" w:hAnsi="Times New Roman" w:cs="Times New Roman"/>
      <w:b/>
      <w:sz w:val="24"/>
      <w:szCs w:val="20"/>
      <w:lang w:val="en-GB" w:eastAsia="ja-JP"/>
    </w:rPr>
  </w:style>
  <w:style w:type="character" w:customStyle="1" w:styleId="tlid-translation">
    <w:name w:val="tlid-translation"/>
    <w:basedOn w:val="DefaultParagraphFont"/>
  </w:style>
  <w:style w:type="paragraph" w:customStyle="1" w:styleId="15">
    <w:name w:val="15"/>
    <w:basedOn w:val="Normal"/>
    <w:pPr>
      <w:spacing w:before="100" w:beforeAutospacing="1" w:after="100" w:afterAutospacing="1"/>
    </w:pPr>
    <w:rPr>
      <w:rFonts w:ascii="SimSun" w:eastAsia="SimSun" w:hAnsi="SimSun" w:cs="SimSun"/>
      <w:lang w:val="ru-RU" w:eastAsia="zh-CN" w:bidi="th-TH"/>
    </w:rPr>
  </w:style>
  <w:style w:type="paragraph" w:customStyle="1" w:styleId="16">
    <w:name w:val="16"/>
    <w:basedOn w:val="Normal"/>
    <w:pPr>
      <w:spacing w:before="100" w:beforeAutospacing="1" w:after="100" w:afterAutospacing="1"/>
    </w:pPr>
    <w:rPr>
      <w:rFonts w:ascii="SimSun" w:eastAsia="SimSun" w:hAnsi="SimSun" w:cs="SimSun"/>
      <w:lang w:val="ru-RU" w:eastAsia="zh-CN" w:bidi="th-TH"/>
    </w:rPr>
  </w:style>
  <w:style w:type="character" w:customStyle="1" w:styleId="jlqj4b">
    <w:name w:val="jlqj4b"/>
    <w:basedOn w:val="DefaultParagraphFont"/>
  </w:style>
  <w:style w:type="character" w:styleId="Hyperlink">
    <w:name w:val="Hyperlink"/>
    <w:basedOn w:val="DefaultParagraphFont"/>
    <w:qFormat/>
    <w:rPr>
      <w:rFonts w:asciiTheme="majorBidi" w:hAnsiTheme="majorBidi"/>
      <w:color w:val="0000FF"/>
      <w:u w:val="single"/>
    </w:rPr>
  </w:style>
  <w:style w:type="paragraph" w:styleId="Revision">
    <w:name w:val="Revision"/>
    <w:hidden/>
    <w:uiPriority w:val="99"/>
    <w:semiHidden/>
    <w:rPr>
      <w:rFonts w:ascii="Times New Roman" w:hAnsi="Times New Roman" w:cs="Times New Roman"/>
      <w:sz w:val="24"/>
      <w:szCs w:val="24"/>
      <w:lang w:eastAsia="ja-JP"/>
    </w:rPr>
  </w:style>
  <w:style w:type="character" w:customStyle="1" w:styleId="rynqvb">
    <w:name w:val="rynqvb"/>
    <w:basedOn w:val="DefaultParagraphFont"/>
  </w:style>
  <w:style w:type="paragraph" w:customStyle="1" w:styleId="Note">
    <w:name w:val="Note"/>
    <w:basedOn w:val="Normal"/>
    <w:qFormat/>
    <w:pPr>
      <w:tabs>
        <w:tab w:val="left" w:pos="794"/>
        <w:tab w:val="left" w:pos="1191"/>
        <w:tab w:val="left" w:pos="1588"/>
        <w:tab w:val="left" w:pos="1985"/>
      </w:tabs>
      <w:spacing w:before="80"/>
      <w:jc w:val="both"/>
    </w:pPr>
    <w:rPr>
      <w:rFonts w:eastAsia="Times New Roman"/>
      <w:sz w:val="22"/>
      <w:szCs w:val="20"/>
      <w:lang w:eastAsia="en-US"/>
    </w:rPr>
  </w:style>
  <w:style w:type="character" w:customStyle="1" w:styleId="Bold">
    <w:name w:val="Bold"/>
    <w:basedOn w:val="DefaultParagraphFont"/>
    <w:qFormat/>
    <w:rPr>
      <w:b/>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lang w:val="en-GB" w:eastAsia="ja-JP"/>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Cs w:val="20"/>
      <w:lang w:val="en-GB" w:eastAsia="ja-JP"/>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rPr>
      <w:rFonts w:ascii="Times New Roman" w:hAnsi="Times New Roman" w:cs="Times New Roman"/>
      <w:sz w:val="24"/>
      <w:szCs w:val="24"/>
      <w:lang w:val="en-GB" w:eastAsia="ja-JP"/>
    </w:rPr>
  </w:style>
  <w:style w:type="paragraph" w:customStyle="1" w:styleId="TSBHeaderQuestion">
    <w:name w:val="TSBHeaderQuestion"/>
    <w:basedOn w:val="Normal"/>
    <w:qFormat/>
    <w:rPr>
      <w:rFonts w:eastAsia="DengXian"/>
      <w:lang w:eastAsia="en-GB"/>
    </w:rPr>
  </w:style>
  <w:style w:type="paragraph" w:customStyle="1" w:styleId="TSBHeaderRight14">
    <w:name w:val="TSBHeaderRight14"/>
    <w:basedOn w:val="Normal"/>
    <w:qFormat/>
    <w:pPr>
      <w:jc w:val="right"/>
    </w:pPr>
    <w:rPr>
      <w:rFonts w:eastAsia="DengXian"/>
      <w:b/>
      <w:bCs/>
      <w:sz w:val="28"/>
      <w:szCs w:val="28"/>
      <w:lang w:eastAsia="en-GB"/>
    </w:rPr>
  </w:style>
  <w:style w:type="paragraph" w:customStyle="1" w:styleId="TSBHeaderSource">
    <w:name w:val="TSBHeaderSource"/>
    <w:basedOn w:val="Normal"/>
    <w:qFormat/>
    <w:rPr>
      <w:rFonts w:eastAsia="DengXian"/>
      <w:lang w:eastAsia="en-GB"/>
    </w:rPr>
  </w:style>
  <w:style w:type="paragraph" w:customStyle="1" w:styleId="TSBHeaderSummary">
    <w:name w:val="TSBHeaderSummary"/>
    <w:basedOn w:val="Normal"/>
    <w:rPr>
      <w:rFonts w:eastAsia="DengXian"/>
      <w:lang w:eastAsia="en-GB"/>
    </w:rPr>
  </w:style>
  <w:style w:type="paragraph" w:customStyle="1" w:styleId="TSBHeaderTitle">
    <w:name w:val="TSBHeaderTitle"/>
    <w:basedOn w:val="Normal"/>
    <w:qFormat/>
    <w:rPr>
      <w:rFonts w:eastAsia="DengXian"/>
      <w:lang w:eastAsia="en-GB"/>
    </w:rPr>
  </w:style>
  <w:style w:type="paragraph" w:customStyle="1" w:styleId="VenueDate">
    <w:name w:val="VenueDate"/>
    <w:basedOn w:val="Normal"/>
    <w:qFormat/>
    <w:pPr>
      <w:jc w:val="right"/>
    </w:pPr>
    <w:rPr>
      <w:rFonts w:eastAsia="DengXi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ifa/t/2025/ls/tsag/sp18-tsag-oLS-00005.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ifa/t/2025/ls/sg12/sp18-sg12-00020.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ithub.com/BroadbandForum/obudp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olqa.info/licensees.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andle.itu.int/11.1002/ls/sp18-tsag-000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8" ma:contentTypeDescription="Create a new document." ma:contentTypeScope="" ma:versionID="7ec505feafce62603534d8a8ed8a2dc7">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2707307bcb5abf0c4f6c5580f6a0b2b2"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b0b6a4b-c6cc-465e-bfc3-b9bfd64cd6e2}" ma:internalName="TaxCatchAll" ma:showField="CatchAllData" ma:web="fb0eb7e9-6560-4c49-b26e-dd8179726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38c2fb-f919-419c-a17c-617fee3c8b80">
      <Terms xmlns="http://schemas.microsoft.com/office/infopath/2007/PartnerControls"/>
    </lcf76f155ced4ddcb4097134ff3c332f>
    <TaxCatchAll xmlns="fb0eb7e9-6560-4c49-b26e-dd8179726d23" xsi:nil="true"/>
  </documentManagement>
</p:properties>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217819A7-D0FA-4F84-829F-8CE4B53ACE9C}">
  <ds:schemaRefs>
    <ds:schemaRef ds:uri="http://schemas.openxmlformats.org/officeDocument/2006/bibliography"/>
  </ds:schemaRefs>
</ds:datastoreItem>
</file>

<file path=customXml/itemProps3.xml><?xml version="1.0" encoding="utf-8"?>
<ds:datastoreItem xmlns:ds="http://schemas.openxmlformats.org/officeDocument/2006/customXml" ds:itemID="{DC285508-68DE-414E-815A-F30EDDA22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523CC-DEB2-463D-9A27-DF0B8D2CAEC3}">
  <ds:schemaRefs>
    <ds:schemaRef ds:uri="http://schemas.microsoft.com/office/2006/documentManagement/types"/>
    <ds:schemaRef ds:uri="30b1755c-ccfb-4c80-b5fd-4327625531e1"/>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80378531-b214-442b-b1f8-46888b9116c9"/>
    <ds:schemaRef ds:uri="http://www.w3.org/XML/1998/namespace"/>
    <ds:schemaRef ds:uri="1238c2fb-f919-419c-a17c-617fee3c8b80"/>
    <ds:schemaRef ds:uri="fb0eb7e9-6560-4c49-b26e-dd8179726d2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3021</Words>
  <Characters>19728</Characters>
  <Application>Microsoft Office Word</Application>
  <DocSecurity>0</DocSecurity>
  <Lines>597</Lines>
  <Paragraphs>320</Paragraphs>
  <ScaleCrop>false</ScaleCrop>
  <Manager>ITU-T</Manager>
  <Company>International Telecommunication Union (ITU)</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ITU-T Standards Success Stories (reply to TSAG-LS5 and TSAG-LS14) [to TSAG]</dc:title>
  <dc:creator>ITU-T Study Group 12</dc:creator>
  <cp:keywords/>
  <dc:description>TSAG-TD266  For: Geneva, 26-30 January 2026_x000d_Document date: _x000d_Saved by ITU51017913 at 2:47:03 PM on 12/17/2025</dc:description>
  <cp:lastModifiedBy>TSB</cp:lastModifiedBy>
  <cp:revision>2</cp:revision>
  <dcterms:created xsi:type="dcterms:W3CDTF">2025-12-17T13:50:00Z</dcterms:created>
  <dcterms:modified xsi:type="dcterms:W3CDTF">2025-12-17T13:50:00Z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ITU</vt:lpwstr>
  </property>
  <property fmtid="{D5CDD505-2E9C-101B-9397-08002B2CF9AE}" pid="4" name="DocSecurity">
    <vt:i4>0</vt:i4>
  </property>
  <property fmtid="{D5CDD505-2E9C-101B-9397-08002B2CF9AE}" pid="5" name="Docauthor">
    <vt:lpwstr>ITU-T Study Group 12</vt:lpwstr>
  </property>
  <property fmtid="{D5CDD505-2E9C-101B-9397-08002B2CF9AE}" pid="6" name="Docbluepink">
    <vt:lpwstr>All/12</vt:lpwstr>
  </property>
  <property fmtid="{D5CDD505-2E9C-101B-9397-08002B2CF9AE}" pid="7" name="Docdate">
    <vt:lpwstr/>
  </property>
  <property fmtid="{D5CDD505-2E9C-101B-9397-08002B2CF9AE}" pid="8" name="Docdest">
    <vt:lpwstr>Geneva, 26-30 January 2026</vt:lpwstr>
  </property>
  <property fmtid="{D5CDD505-2E9C-101B-9397-08002B2CF9AE}" pid="9" name="Docnum">
    <vt:lpwstr>TSAG-TD266</vt:lpwstr>
  </property>
  <property fmtid="{D5CDD505-2E9C-101B-9397-08002B2CF9AE}" pid="10" name="Docorlang">
    <vt:lpwstr/>
  </property>
  <property fmtid="{D5CDD505-2E9C-101B-9397-08002B2CF9AE}" pid="11" name="HyperlinksChanged">
    <vt:bool>false</vt:bool>
  </property>
  <property fmtid="{D5CDD505-2E9C-101B-9397-08002B2CF9AE}" pid="12" name="LinksUpToDate">
    <vt:bool>false</vt:bool>
  </property>
  <property fmtid="{D5CDD505-2E9C-101B-9397-08002B2CF9AE}" pid="13" name="ScaleCrop">
    <vt:bool>false</vt:bool>
  </property>
  <property fmtid="{D5CDD505-2E9C-101B-9397-08002B2CF9AE}" pid="14" name="ShareDoc">
    <vt:bool>false</vt:bool>
  </property>
  <property fmtid="{D5CDD505-2E9C-101B-9397-08002B2CF9AE}" pid="15" name="ContentTypeId">
    <vt:lpwstr>0x010100DD41769929400247A482A6B8D8C3D7A8</vt:lpwstr>
  </property>
  <property fmtid="{D5CDD505-2E9C-101B-9397-08002B2CF9AE}" pid="16" name="MediaServiceImageTags">
    <vt:lpwstr/>
  </property>
</Properties>
</file>