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0" w:type="dxa"/>
        <w:tblLayout w:type="fixed"/>
        <w:tblCellMar>
          <w:left w:w="57" w:type="dxa"/>
          <w:right w:w="57" w:type="dxa"/>
        </w:tblCellMar>
        <w:tblLook w:val="0000" w:firstRow="0" w:lastRow="0" w:firstColumn="0" w:lastColumn="0" w:noHBand="0" w:noVBand="0"/>
      </w:tblPr>
      <w:tblGrid>
        <w:gridCol w:w="1132"/>
        <w:gridCol w:w="128"/>
        <w:gridCol w:w="4353"/>
        <w:gridCol w:w="199"/>
        <w:gridCol w:w="3818"/>
      </w:tblGrid>
      <w:tr w:rsidR="00BF50AA" w:rsidRPr="00BF50AA" w14:paraId="2EFC3D42" w14:textId="77777777" w:rsidTr="00BF50AA">
        <w:trPr>
          <w:cantSplit/>
        </w:trPr>
        <w:tc>
          <w:tcPr>
            <w:tcW w:w="1132" w:type="dxa"/>
            <w:vMerge w:val="restart"/>
            <w:vAlign w:val="center"/>
          </w:tcPr>
          <w:p w14:paraId="4B93366E" w14:textId="77777777" w:rsidR="00BF50AA" w:rsidRPr="00BF50AA" w:rsidRDefault="00BF50AA" w:rsidP="00BF50AA">
            <w:pPr>
              <w:jc w:val="center"/>
              <w:rPr>
                <w:rFonts w:ascii="Times New Roman" w:hAnsi="Times New Roman"/>
                <w:sz w:val="20"/>
                <w:szCs w:val="20"/>
              </w:rPr>
            </w:pPr>
            <w:bookmarkStart w:id="0" w:name="dnum" w:colFirst="2" w:colLast="2"/>
            <w:bookmarkStart w:id="1" w:name="dtableau"/>
            <w:r w:rsidRPr="00BF50AA">
              <w:rPr>
                <w:rFonts w:ascii="Times New Roman" w:hAnsi="Times New Roman"/>
                <w:noProof/>
              </w:rPr>
              <w:drawing>
                <wp:inline distT="0" distB="0" distL="0" distR="0" wp14:anchorId="234D7857" wp14:editId="6E0E71B4">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2"/>
            <w:vMerge w:val="restart"/>
          </w:tcPr>
          <w:p w14:paraId="699BEB1B" w14:textId="77777777" w:rsidR="00BF50AA" w:rsidRPr="00BF50AA" w:rsidRDefault="00BF50AA" w:rsidP="00BF50AA">
            <w:pPr>
              <w:spacing w:before="120"/>
              <w:rPr>
                <w:rFonts w:ascii="Times New Roman" w:hAnsi="Times New Roman"/>
                <w:sz w:val="16"/>
                <w:szCs w:val="16"/>
                <w:lang w:val="en-GB"/>
              </w:rPr>
            </w:pPr>
            <w:r w:rsidRPr="00BF50AA">
              <w:rPr>
                <w:rFonts w:ascii="Times New Roman" w:hAnsi="Times New Roman"/>
                <w:sz w:val="16"/>
                <w:szCs w:val="16"/>
                <w:lang w:val="en-GB"/>
              </w:rPr>
              <w:t>INTERNATIONAL TELECOMMUNICATION UNION</w:t>
            </w:r>
          </w:p>
          <w:p w14:paraId="1D976026" w14:textId="77777777" w:rsidR="00BF50AA" w:rsidRPr="00BF50AA" w:rsidRDefault="00BF50AA" w:rsidP="00BF50AA">
            <w:pPr>
              <w:spacing w:before="120"/>
              <w:rPr>
                <w:rFonts w:ascii="Times New Roman" w:hAnsi="Times New Roman"/>
                <w:b/>
                <w:bCs/>
                <w:sz w:val="26"/>
                <w:szCs w:val="26"/>
                <w:lang w:val="en-GB"/>
              </w:rPr>
            </w:pPr>
            <w:r w:rsidRPr="00BF50AA">
              <w:rPr>
                <w:rFonts w:ascii="Times New Roman" w:hAnsi="Times New Roman"/>
                <w:b/>
                <w:bCs/>
                <w:sz w:val="26"/>
                <w:szCs w:val="26"/>
                <w:lang w:val="en-GB"/>
              </w:rPr>
              <w:t>TELECOMMUNICATION</w:t>
            </w:r>
            <w:r w:rsidRPr="00BF50AA">
              <w:rPr>
                <w:rFonts w:ascii="Times New Roman" w:hAnsi="Times New Roman"/>
                <w:b/>
                <w:bCs/>
                <w:sz w:val="26"/>
                <w:szCs w:val="26"/>
                <w:lang w:val="en-GB"/>
              </w:rPr>
              <w:br/>
              <w:t>STANDARDIZATION SECTOR</w:t>
            </w:r>
          </w:p>
          <w:p w14:paraId="53505683" w14:textId="6FB05BA8" w:rsidR="00BF50AA" w:rsidRPr="00BF50AA" w:rsidRDefault="00BF50AA" w:rsidP="00BF50AA">
            <w:pPr>
              <w:spacing w:before="120"/>
              <w:rPr>
                <w:rFonts w:ascii="Times New Roman" w:hAnsi="Times New Roman"/>
                <w:sz w:val="20"/>
                <w:szCs w:val="20"/>
                <w:lang w:val="en-GB"/>
              </w:rPr>
            </w:pPr>
            <w:r w:rsidRPr="00BF50AA">
              <w:rPr>
                <w:rFonts w:ascii="Times New Roman" w:hAnsi="Times New Roman"/>
                <w:sz w:val="20"/>
                <w:szCs w:val="20"/>
                <w:lang w:val="en-GB"/>
              </w:rPr>
              <w:t xml:space="preserve">STUDY PERIOD </w:t>
            </w:r>
            <w:r w:rsidRPr="00BF50AA">
              <w:rPr>
                <w:rFonts w:ascii="Times New Roman" w:hAnsi="Times New Roman"/>
                <w:sz w:val="20"/>
                <w:lang w:val="en-GB"/>
              </w:rPr>
              <w:t>2025-2028</w:t>
            </w:r>
          </w:p>
        </w:tc>
        <w:tc>
          <w:tcPr>
            <w:tcW w:w="4017" w:type="dxa"/>
            <w:gridSpan w:val="2"/>
            <w:vAlign w:val="center"/>
          </w:tcPr>
          <w:p w14:paraId="4C13CF15" w14:textId="30E74591" w:rsidR="00BF50AA" w:rsidRPr="00BF50AA" w:rsidRDefault="00BF50AA" w:rsidP="00BF50AA">
            <w:pPr>
              <w:pStyle w:val="Docnumber"/>
            </w:pPr>
            <w:r>
              <w:t>TSAG-TD2</w:t>
            </w:r>
            <w:r w:rsidR="00492175">
              <w:t>60</w:t>
            </w:r>
          </w:p>
        </w:tc>
      </w:tr>
      <w:tr w:rsidR="00BF50AA" w:rsidRPr="00BF50AA" w14:paraId="7A00EFCC" w14:textId="77777777" w:rsidTr="00BF50AA">
        <w:trPr>
          <w:cantSplit/>
        </w:trPr>
        <w:tc>
          <w:tcPr>
            <w:tcW w:w="1132" w:type="dxa"/>
            <w:vMerge/>
          </w:tcPr>
          <w:p w14:paraId="1DC6E4A5" w14:textId="77777777" w:rsidR="00BF50AA" w:rsidRPr="00BF50AA" w:rsidRDefault="00BF50AA" w:rsidP="00BF50AA">
            <w:pPr>
              <w:spacing w:before="120"/>
              <w:rPr>
                <w:rFonts w:ascii="Times New Roman" w:hAnsi="Times New Roman"/>
                <w:smallCaps/>
                <w:sz w:val="20"/>
              </w:rPr>
            </w:pPr>
            <w:bookmarkStart w:id="2" w:name="dsg" w:colFirst="2" w:colLast="2"/>
            <w:bookmarkEnd w:id="0"/>
          </w:p>
        </w:tc>
        <w:tc>
          <w:tcPr>
            <w:tcW w:w="4481" w:type="dxa"/>
            <w:gridSpan w:val="2"/>
            <w:vMerge/>
          </w:tcPr>
          <w:p w14:paraId="723E5558" w14:textId="77777777" w:rsidR="00BF50AA" w:rsidRPr="00BF50AA" w:rsidRDefault="00BF50AA" w:rsidP="00BF50AA">
            <w:pPr>
              <w:spacing w:before="120"/>
              <w:rPr>
                <w:rFonts w:ascii="Times New Roman" w:hAnsi="Times New Roman"/>
                <w:smallCaps/>
                <w:sz w:val="20"/>
              </w:rPr>
            </w:pPr>
          </w:p>
        </w:tc>
        <w:tc>
          <w:tcPr>
            <w:tcW w:w="4017" w:type="dxa"/>
            <w:gridSpan w:val="2"/>
          </w:tcPr>
          <w:p w14:paraId="5C5D1524" w14:textId="219EB7AE" w:rsidR="00BF50AA" w:rsidRPr="00BF50AA" w:rsidRDefault="00BF50AA" w:rsidP="00BF50AA">
            <w:pPr>
              <w:pStyle w:val="TSBHeaderRight14"/>
              <w:rPr>
                <w:smallCaps/>
              </w:rPr>
            </w:pPr>
            <w:r>
              <w:rPr>
                <w:smallCaps/>
              </w:rPr>
              <w:t>TSAG</w:t>
            </w:r>
          </w:p>
        </w:tc>
      </w:tr>
      <w:bookmarkEnd w:id="2"/>
      <w:tr w:rsidR="00BF50AA" w:rsidRPr="00BF50AA" w14:paraId="69C1D88F" w14:textId="77777777" w:rsidTr="00BF50AA">
        <w:trPr>
          <w:cantSplit/>
        </w:trPr>
        <w:tc>
          <w:tcPr>
            <w:tcW w:w="1132" w:type="dxa"/>
            <w:vMerge/>
            <w:tcBorders>
              <w:bottom w:val="single" w:sz="12" w:space="0" w:color="auto"/>
            </w:tcBorders>
          </w:tcPr>
          <w:p w14:paraId="10FC70A1" w14:textId="77777777" w:rsidR="00BF50AA" w:rsidRPr="00BF50AA" w:rsidRDefault="00BF50AA" w:rsidP="00BF50AA">
            <w:pPr>
              <w:spacing w:before="120"/>
              <w:rPr>
                <w:rFonts w:ascii="Times New Roman" w:hAnsi="Times New Roman"/>
                <w:b/>
                <w:bCs/>
                <w:sz w:val="26"/>
              </w:rPr>
            </w:pPr>
          </w:p>
        </w:tc>
        <w:tc>
          <w:tcPr>
            <w:tcW w:w="4481" w:type="dxa"/>
            <w:gridSpan w:val="2"/>
            <w:vMerge/>
            <w:tcBorders>
              <w:bottom w:val="single" w:sz="12" w:space="0" w:color="auto"/>
            </w:tcBorders>
          </w:tcPr>
          <w:p w14:paraId="3F798C5B" w14:textId="77777777" w:rsidR="00BF50AA" w:rsidRPr="00BF50AA" w:rsidRDefault="00BF50AA" w:rsidP="00BF50AA">
            <w:pPr>
              <w:spacing w:before="120"/>
              <w:rPr>
                <w:rFonts w:ascii="Times New Roman" w:hAnsi="Times New Roman"/>
                <w:b/>
                <w:bCs/>
                <w:sz w:val="26"/>
              </w:rPr>
            </w:pPr>
          </w:p>
        </w:tc>
        <w:tc>
          <w:tcPr>
            <w:tcW w:w="4017" w:type="dxa"/>
            <w:gridSpan w:val="2"/>
            <w:tcBorders>
              <w:bottom w:val="single" w:sz="12" w:space="0" w:color="auto"/>
            </w:tcBorders>
            <w:vAlign w:val="center"/>
          </w:tcPr>
          <w:p w14:paraId="350A5DEB" w14:textId="77777777" w:rsidR="00BF50AA" w:rsidRPr="00BF50AA" w:rsidRDefault="00BF50AA" w:rsidP="00BF50AA">
            <w:pPr>
              <w:pStyle w:val="TSBHeaderRight14"/>
            </w:pPr>
            <w:r w:rsidRPr="00BF50AA">
              <w:t>Original: English</w:t>
            </w:r>
          </w:p>
        </w:tc>
      </w:tr>
      <w:tr w:rsidR="00BF50AA" w:rsidRPr="00BF50AA" w14:paraId="5650ACAA" w14:textId="77777777" w:rsidTr="00261FE3">
        <w:trPr>
          <w:cantSplit/>
        </w:trPr>
        <w:tc>
          <w:tcPr>
            <w:tcW w:w="1260" w:type="dxa"/>
            <w:gridSpan w:val="2"/>
          </w:tcPr>
          <w:p w14:paraId="4C9DDE22" w14:textId="1C17D11C" w:rsidR="00BF50AA" w:rsidRPr="00BF50AA" w:rsidRDefault="00BF50AA" w:rsidP="00BF50AA">
            <w:pPr>
              <w:spacing w:before="120"/>
              <w:rPr>
                <w:rFonts w:ascii="Times New Roman" w:hAnsi="Times New Roman"/>
                <w:b/>
                <w:bCs/>
              </w:rPr>
            </w:pPr>
            <w:bookmarkStart w:id="3" w:name="dbluepink" w:colFirst="1" w:colLast="1"/>
            <w:bookmarkStart w:id="4" w:name="dmeeting" w:colFirst="2" w:colLast="2"/>
          </w:p>
        </w:tc>
        <w:tc>
          <w:tcPr>
            <w:tcW w:w="4353" w:type="dxa"/>
          </w:tcPr>
          <w:p w14:paraId="5F5FA5AD" w14:textId="77777777" w:rsidR="00BF50AA" w:rsidRPr="00BF50AA" w:rsidRDefault="00BF50AA" w:rsidP="00BF50AA">
            <w:pPr>
              <w:pStyle w:val="TSBHeaderQuestion"/>
            </w:pPr>
          </w:p>
        </w:tc>
        <w:tc>
          <w:tcPr>
            <w:tcW w:w="4017" w:type="dxa"/>
            <w:gridSpan w:val="2"/>
          </w:tcPr>
          <w:p w14:paraId="7363CA31" w14:textId="5AAF312E" w:rsidR="00BF50AA" w:rsidRPr="00BF50AA" w:rsidRDefault="00BF50AA" w:rsidP="00BF50AA">
            <w:pPr>
              <w:pStyle w:val="VenueDate"/>
            </w:pPr>
            <w:r w:rsidRPr="00BF50AA">
              <w:t>Geneva, 26-30 January 2026</w:t>
            </w:r>
          </w:p>
        </w:tc>
      </w:tr>
      <w:tr w:rsidR="00BF50AA" w:rsidRPr="00BF50AA" w14:paraId="535593FE" w14:textId="77777777" w:rsidTr="00BF50AA">
        <w:trPr>
          <w:cantSplit/>
        </w:trPr>
        <w:tc>
          <w:tcPr>
            <w:tcW w:w="9630" w:type="dxa"/>
            <w:gridSpan w:val="5"/>
          </w:tcPr>
          <w:p w14:paraId="6FFCE121" w14:textId="0DFE8A21" w:rsidR="00BF50AA" w:rsidRPr="00BF50AA" w:rsidRDefault="00BF50AA" w:rsidP="00BF50AA">
            <w:pPr>
              <w:spacing w:before="120"/>
              <w:jc w:val="center"/>
              <w:rPr>
                <w:rFonts w:ascii="Times New Roman" w:hAnsi="Times New Roman"/>
                <w:b/>
                <w:bCs/>
              </w:rPr>
            </w:pPr>
            <w:bookmarkStart w:id="5" w:name="ddoctype"/>
            <w:bookmarkEnd w:id="3"/>
            <w:bookmarkEnd w:id="4"/>
            <w:r w:rsidRPr="00BF50AA">
              <w:rPr>
                <w:rFonts w:ascii="Times New Roman" w:hAnsi="Times New Roman"/>
                <w:b/>
                <w:bCs/>
              </w:rPr>
              <w:t>TD</w:t>
            </w:r>
          </w:p>
        </w:tc>
      </w:tr>
      <w:tr w:rsidR="00BF50AA" w:rsidRPr="00BF50AA" w14:paraId="6BE535F3" w14:textId="77777777" w:rsidTr="00261FE3">
        <w:trPr>
          <w:cantSplit/>
        </w:trPr>
        <w:tc>
          <w:tcPr>
            <w:tcW w:w="1260" w:type="dxa"/>
            <w:gridSpan w:val="2"/>
          </w:tcPr>
          <w:p w14:paraId="151B4B6C" w14:textId="77777777" w:rsidR="00BF50AA" w:rsidRPr="00BF50AA" w:rsidRDefault="00BF50AA" w:rsidP="00BF50AA">
            <w:pPr>
              <w:spacing w:before="120"/>
              <w:rPr>
                <w:rFonts w:ascii="Times New Roman" w:hAnsi="Times New Roman"/>
                <w:b/>
                <w:bCs/>
              </w:rPr>
            </w:pPr>
            <w:bookmarkStart w:id="6" w:name="dsource" w:colFirst="1" w:colLast="1"/>
            <w:bookmarkEnd w:id="5"/>
            <w:proofErr w:type="gramStart"/>
            <w:r w:rsidRPr="00BF50AA">
              <w:rPr>
                <w:rFonts w:ascii="Times New Roman" w:hAnsi="Times New Roman"/>
                <w:b/>
                <w:bCs/>
              </w:rPr>
              <w:t>Source:</w:t>
            </w:r>
            <w:proofErr w:type="gramEnd"/>
          </w:p>
        </w:tc>
        <w:tc>
          <w:tcPr>
            <w:tcW w:w="8370" w:type="dxa"/>
            <w:gridSpan w:val="3"/>
          </w:tcPr>
          <w:p w14:paraId="53292109" w14:textId="03F0B8F2" w:rsidR="00BF50AA" w:rsidRPr="00BF50AA" w:rsidRDefault="00A92DB4" w:rsidP="00BF50AA">
            <w:pPr>
              <w:pStyle w:val="TSBHeaderSource"/>
            </w:pPr>
            <w:r>
              <w:t>TSB</w:t>
            </w:r>
          </w:p>
        </w:tc>
      </w:tr>
      <w:tr w:rsidR="00BF50AA" w:rsidRPr="00492175" w14:paraId="77917BF6" w14:textId="77777777" w:rsidTr="00261FE3">
        <w:trPr>
          <w:cantSplit/>
        </w:trPr>
        <w:tc>
          <w:tcPr>
            <w:tcW w:w="1260" w:type="dxa"/>
            <w:gridSpan w:val="2"/>
            <w:tcBorders>
              <w:bottom w:val="single" w:sz="8" w:space="0" w:color="auto"/>
            </w:tcBorders>
          </w:tcPr>
          <w:p w14:paraId="5353A9C1" w14:textId="77777777" w:rsidR="00BF50AA" w:rsidRPr="00BF50AA" w:rsidRDefault="00BF50AA" w:rsidP="00BF50AA">
            <w:pPr>
              <w:spacing w:before="120"/>
              <w:rPr>
                <w:rFonts w:ascii="Times New Roman" w:hAnsi="Times New Roman"/>
                <w:b/>
                <w:bCs/>
              </w:rPr>
            </w:pPr>
            <w:bookmarkStart w:id="7" w:name="dtitle1" w:colFirst="1" w:colLast="1"/>
            <w:bookmarkEnd w:id="6"/>
            <w:proofErr w:type="gramStart"/>
            <w:r w:rsidRPr="00BF50AA">
              <w:rPr>
                <w:rFonts w:ascii="Times New Roman" w:hAnsi="Times New Roman"/>
                <w:b/>
                <w:bCs/>
              </w:rPr>
              <w:t>Title:</w:t>
            </w:r>
            <w:proofErr w:type="gramEnd"/>
          </w:p>
        </w:tc>
        <w:tc>
          <w:tcPr>
            <w:tcW w:w="8370" w:type="dxa"/>
            <w:gridSpan w:val="3"/>
            <w:tcBorders>
              <w:bottom w:val="single" w:sz="8" w:space="0" w:color="auto"/>
            </w:tcBorders>
          </w:tcPr>
          <w:p w14:paraId="4BA44254" w14:textId="1E96FE12" w:rsidR="00BF50AA" w:rsidRPr="00FD2D3D" w:rsidRDefault="00FD2D3D" w:rsidP="00FD2D3D">
            <w:pPr>
              <w:pStyle w:val="TSBHeaderTitle"/>
            </w:pPr>
            <w:r>
              <w:t>Comparative study: Human rights in standards development organizations and other relevant organizations</w:t>
            </w:r>
          </w:p>
        </w:tc>
      </w:tr>
      <w:bookmarkEnd w:id="1"/>
      <w:bookmarkEnd w:id="7"/>
      <w:tr w:rsidR="00BF50AA" w:rsidRPr="007C1FFB" w14:paraId="692C26C7" w14:textId="77777777" w:rsidTr="00261FE3">
        <w:tblPrEx>
          <w:jc w:val="center"/>
        </w:tblPrEx>
        <w:trPr>
          <w:cantSplit/>
          <w:trHeight w:val="682"/>
          <w:jc w:val="center"/>
        </w:trPr>
        <w:tc>
          <w:tcPr>
            <w:tcW w:w="1260" w:type="dxa"/>
            <w:gridSpan w:val="2"/>
            <w:tcBorders>
              <w:top w:val="single" w:sz="8" w:space="0" w:color="auto"/>
              <w:bottom w:val="single" w:sz="8" w:space="0" w:color="auto"/>
            </w:tcBorders>
          </w:tcPr>
          <w:p w14:paraId="6D3D1F59" w14:textId="77777777" w:rsidR="00BF50AA" w:rsidRPr="00AD6663" w:rsidRDefault="00BF50AA" w:rsidP="00247E12">
            <w:pPr>
              <w:spacing w:before="120"/>
              <w:rPr>
                <w:rFonts w:asciiTheme="majorBidi" w:hAnsiTheme="majorBidi" w:cstheme="majorBidi"/>
                <w:b/>
                <w:bCs/>
                <w:lang w:eastAsia="ja-JP"/>
              </w:rPr>
            </w:pPr>
            <w:proofErr w:type="gramStart"/>
            <w:r w:rsidRPr="00AD6663">
              <w:rPr>
                <w:rFonts w:asciiTheme="majorBidi" w:hAnsiTheme="majorBidi" w:cstheme="majorBidi"/>
                <w:b/>
                <w:bCs/>
                <w:lang w:eastAsia="ja-JP"/>
              </w:rPr>
              <w:t>Contact:</w:t>
            </w:r>
            <w:proofErr w:type="gramEnd"/>
          </w:p>
        </w:tc>
        <w:tc>
          <w:tcPr>
            <w:tcW w:w="4552" w:type="dxa"/>
            <w:gridSpan w:val="2"/>
            <w:tcBorders>
              <w:top w:val="single" w:sz="8" w:space="0" w:color="auto"/>
              <w:bottom w:val="single" w:sz="8" w:space="0" w:color="auto"/>
            </w:tcBorders>
          </w:tcPr>
          <w:p w14:paraId="242C326F" w14:textId="77777777" w:rsidR="00BF50AA" w:rsidRDefault="00447DD7" w:rsidP="00447DD7">
            <w:pPr>
              <w:spacing w:before="120"/>
              <w:rPr>
                <w:rFonts w:asciiTheme="majorBidi" w:hAnsiTheme="majorBidi" w:cstheme="majorBidi"/>
                <w:lang w:val="en-US" w:eastAsia="ko-KR"/>
              </w:rPr>
            </w:pPr>
            <w:r>
              <w:rPr>
                <w:rFonts w:asciiTheme="majorBidi" w:hAnsiTheme="majorBidi" w:cstheme="majorBidi"/>
                <w:lang w:val="en-US" w:eastAsia="ko-KR"/>
              </w:rPr>
              <w:t>Olivier Alais</w:t>
            </w:r>
          </w:p>
          <w:p w14:paraId="617C7858" w14:textId="6F4B1522" w:rsidR="00447DD7" w:rsidRPr="00914FB1" w:rsidRDefault="00447DD7" w:rsidP="00247E12">
            <w:pPr>
              <w:rPr>
                <w:rFonts w:asciiTheme="majorBidi" w:hAnsiTheme="majorBidi" w:cstheme="majorBidi"/>
                <w:lang w:val="en-US"/>
              </w:rPr>
            </w:pPr>
            <w:r>
              <w:rPr>
                <w:rFonts w:asciiTheme="majorBidi" w:hAnsiTheme="majorBidi" w:cstheme="majorBidi"/>
                <w:lang w:val="en-US" w:eastAsia="ko-KR"/>
              </w:rPr>
              <w:t>TSB</w:t>
            </w:r>
          </w:p>
        </w:tc>
        <w:tc>
          <w:tcPr>
            <w:tcW w:w="3818" w:type="dxa"/>
            <w:tcBorders>
              <w:top w:val="single" w:sz="8" w:space="0" w:color="auto"/>
              <w:bottom w:val="single" w:sz="8" w:space="0" w:color="auto"/>
            </w:tcBorders>
          </w:tcPr>
          <w:p w14:paraId="4A34DDC2" w14:textId="38CA517A" w:rsidR="00BF50AA" w:rsidRPr="00910CAE" w:rsidRDefault="00BF50AA" w:rsidP="00910CAE">
            <w:pPr>
              <w:spacing w:before="120"/>
              <w:rPr>
                <w:rFonts w:asciiTheme="majorBidi" w:hAnsiTheme="majorBidi" w:cstheme="majorBidi"/>
              </w:rPr>
            </w:pPr>
            <w:r w:rsidRPr="00910CAE">
              <w:rPr>
                <w:rFonts w:asciiTheme="majorBidi" w:hAnsiTheme="majorBidi" w:cstheme="majorBidi"/>
                <w:lang w:val="de-DE"/>
              </w:rPr>
              <w:t xml:space="preserve">E-mail: </w:t>
            </w:r>
            <w:r w:rsidR="00910CAE">
              <w:fldChar w:fldCharType="begin"/>
            </w:r>
            <w:r w:rsidR="00910CAE">
              <w:instrText>HYPERLINK "mailto:olivier.alais@itu.int"</w:instrText>
            </w:r>
            <w:r w:rsidR="00910CAE">
              <w:fldChar w:fldCharType="separate"/>
            </w:r>
            <w:r w:rsidR="00910CAE" w:rsidRPr="00910CAE">
              <w:rPr>
                <w:rStyle w:val="Hyperlink"/>
                <w:rFonts w:asciiTheme="majorBidi" w:hAnsiTheme="majorBidi" w:cstheme="majorBidi"/>
              </w:rPr>
              <w:t>olivier.alais@itu.int</w:t>
            </w:r>
            <w:r w:rsidR="00910CAE">
              <w:fldChar w:fldCharType="end"/>
            </w:r>
          </w:p>
        </w:tc>
      </w:tr>
    </w:tbl>
    <w:p w14:paraId="40A0C20C" w14:textId="77777777" w:rsidR="00BF50AA" w:rsidRPr="00BF50AA" w:rsidRDefault="00BF50AA" w:rsidP="00BF50AA">
      <w:pPr>
        <w:spacing w:before="240"/>
        <w:rPr>
          <w:rFonts w:asciiTheme="majorBidi" w:hAnsiTheme="majorBidi" w:cstheme="majorBidi"/>
          <w:lang w:val="de-DE"/>
        </w:rPr>
      </w:pPr>
    </w:p>
    <w:p w14:paraId="5235B9F5" w14:textId="4F927509" w:rsidR="00BF50AA" w:rsidRPr="00BF50AA" w:rsidRDefault="00BF50AA" w:rsidP="00BF50AA">
      <w:pPr>
        <w:spacing w:before="240"/>
        <w:rPr>
          <w:rFonts w:asciiTheme="majorBidi" w:hAnsiTheme="majorBidi" w:cstheme="majorBidi"/>
          <w:lang w:val="en-GB"/>
        </w:rPr>
      </w:pPr>
      <w:r w:rsidRPr="00BF50AA">
        <w:rPr>
          <w:rFonts w:asciiTheme="majorBidi" w:hAnsiTheme="majorBidi" w:cstheme="majorBidi"/>
          <w:lang w:val="en-GB"/>
        </w:rPr>
        <w:t>Please see below.</w:t>
      </w:r>
    </w:p>
    <w:p w14:paraId="05A8DF8A" w14:textId="77777777" w:rsidR="00BF50AA" w:rsidRPr="00BF50AA" w:rsidRDefault="00BF50AA" w:rsidP="00BF50AA">
      <w:pPr>
        <w:rPr>
          <w:rFonts w:asciiTheme="majorBidi" w:hAnsiTheme="majorBidi" w:cstheme="majorBidi"/>
          <w:lang w:val="en-GB"/>
        </w:rPr>
      </w:pPr>
    </w:p>
    <w:p w14:paraId="131AB068" w14:textId="77777777" w:rsidR="00BF50AA" w:rsidRDefault="00BF50AA">
      <w:pPr>
        <w:rPr>
          <w:lang w:val="en-GB"/>
        </w:rPr>
      </w:pPr>
      <w:r>
        <w:rPr>
          <w:lang w:val="en-GB"/>
        </w:rPr>
        <w:br w:type="page"/>
      </w:r>
    </w:p>
    <w:p w14:paraId="56AB5270" w14:textId="59F7E1B0" w:rsidR="00BF50AA" w:rsidRPr="00B66F05" w:rsidRDefault="00BF50AA" w:rsidP="00A8017A">
      <w:pPr>
        <w:rPr>
          <w:lang w:val="en-GB"/>
        </w:rPr>
      </w:pPr>
      <w:r>
        <w:rPr>
          <w:noProof/>
          <w14:ligatures w14:val="standardContextual"/>
        </w:rPr>
        <w:lastRenderedPageBreak/>
        <w:drawing>
          <wp:inline distT="0" distB="0" distL="0" distR="0" wp14:anchorId="1599F342" wp14:editId="66FBC92A">
            <wp:extent cx="1208949" cy="1227338"/>
            <wp:effectExtent l="0" t="0" r="0" b="5080"/>
            <wp:docPr id="537388700" name="Image 1"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88700" name="Image 1" descr="A blue logo with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4648" cy="1304189"/>
                    </a:xfrm>
                    <a:prstGeom prst="rect">
                      <a:avLst/>
                    </a:prstGeom>
                  </pic:spPr>
                </pic:pic>
              </a:graphicData>
            </a:graphic>
          </wp:inline>
        </w:drawing>
      </w:r>
    </w:p>
    <w:p w14:paraId="3AA254CE" w14:textId="77777777" w:rsidR="007F2271" w:rsidRPr="00687D1B" w:rsidRDefault="007F2271" w:rsidP="007F2271">
      <w:pPr>
        <w:spacing w:before="100" w:beforeAutospacing="1" w:after="100" w:afterAutospacing="1"/>
        <w:jc w:val="center"/>
        <w:rPr>
          <w:rFonts w:cstheme="minorHAnsi"/>
          <w:b/>
          <w:bCs/>
          <w:sz w:val="72"/>
          <w:szCs w:val="72"/>
          <w:lang w:val="en-US"/>
        </w:rPr>
      </w:pPr>
      <w:r w:rsidRPr="00687D1B">
        <w:rPr>
          <w:rFonts w:cstheme="minorHAnsi"/>
          <w:b/>
          <w:bCs/>
          <w:sz w:val="72"/>
          <w:szCs w:val="72"/>
          <w:lang w:val="en-US"/>
        </w:rPr>
        <w:t xml:space="preserve">Comparative </w:t>
      </w:r>
      <w:r>
        <w:rPr>
          <w:rFonts w:cstheme="minorHAnsi"/>
          <w:b/>
          <w:bCs/>
          <w:sz w:val="72"/>
          <w:szCs w:val="72"/>
          <w:lang w:val="en-US"/>
        </w:rPr>
        <w:t>s</w:t>
      </w:r>
      <w:r w:rsidRPr="00687D1B">
        <w:rPr>
          <w:rFonts w:cstheme="minorHAnsi"/>
          <w:b/>
          <w:bCs/>
          <w:sz w:val="72"/>
          <w:szCs w:val="72"/>
          <w:lang w:val="en-US"/>
        </w:rPr>
        <w:t xml:space="preserve">tudy: </w:t>
      </w:r>
    </w:p>
    <w:p w14:paraId="009C3962" w14:textId="77777777" w:rsidR="007F2271" w:rsidRPr="00687D1B" w:rsidRDefault="007F2271" w:rsidP="007F2271">
      <w:pPr>
        <w:spacing w:before="100" w:beforeAutospacing="1" w:after="100" w:afterAutospacing="1"/>
        <w:jc w:val="center"/>
        <w:rPr>
          <w:rFonts w:cstheme="minorHAnsi"/>
          <w:b/>
          <w:bCs/>
          <w:sz w:val="72"/>
          <w:szCs w:val="72"/>
          <w:lang w:val="en-US"/>
        </w:rPr>
      </w:pPr>
      <w:r w:rsidRPr="00687D1B">
        <w:rPr>
          <w:rFonts w:cstheme="minorHAnsi"/>
          <w:b/>
          <w:bCs/>
          <w:sz w:val="72"/>
          <w:szCs w:val="72"/>
          <w:lang w:val="en-US"/>
        </w:rPr>
        <w:t xml:space="preserve">Human </w:t>
      </w:r>
      <w:r>
        <w:rPr>
          <w:rFonts w:cstheme="minorHAnsi"/>
          <w:b/>
          <w:bCs/>
          <w:sz w:val="72"/>
          <w:szCs w:val="72"/>
          <w:lang w:val="en-US"/>
        </w:rPr>
        <w:t>r</w:t>
      </w:r>
      <w:r w:rsidRPr="00687D1B">
        <w:rPr>
          <w:rFonts w:cstheme="minorHAnsi"/>
          <w:b/>
          <w:bCs/>
          <w:sz w:val="72"/>
          <w:szCs w:val="72"/>
          <w:lang w:val="en-US"/>
        </w:rPr>
        <w:t xml:space="preserve">ights in </w:t>
      </w:r>
      <w:r>
        <w:rPr>
          <w:rFonts w:cstheme="minorHAnsi"/>
          <w:b/>
          <w:bCs/>
          <w:sz w:val="72"/>
          <w:szCs w:val="72"/>
          <w:lang w:val="en-US"/>
        </w:rPr>
        <w:t>s</w:t>
      </w:r>
      <w:r w:rsidRPr="00687D1B">
        <w:rPr>
          <w:rFonts w:cstheme="minorHAnsi"/>
          <w:b/>
          <w:bCs/>
          <w:sz w:val="72"/>
          <w:szCs w:val="72"/>
          <w:lang w:val="en-US"/>
        </w:rPr>
        <w:t xml:space="preserve">tandards </w:t>
      </w:r>
      <w:r>
        <w:rPr>
          <w:rFonts w:cstheme="minorHAnsi"/>
          <w:b/>
          <w:bCs/>
          <w:sz w:val="72"/>
          <w:szCs w:val="72"/>
          <w:lang w:val="en-US"/>
        </w:rPr>
        <w:t>d</w:t>
      </w:r>
      <w:r w:rsidRPr="00687D1B">
        <w:rPr>
          <w:rFonts w:cstheme="minorHAnsi"/>
          <w:b/>
          <w:bCs/>
          <w:sz w:val="72"/>
          <w:szCs w:val="72"/>
          <w:lang w:val="en-US"/>
        </w:rPr>
        <w:t xml:space="preserve">evelopment </w:t>
      </w:r>
      <w:r>
        <w:rPr>
          <w:rFonts w:cstheme="minorHAnsi"/>
          <w:b/>
          <w:bCs/>
          <w:sz w:val="72"/>
          <w:szCs w:val="72"/>
          <w:lang w:val="en-US"/>
        </w:rPr>
        <w:t>o</w:t>
      </w:r>
      <w:r w:rsidRPr="00687D1B">
        <w:rPr>
          <w:rFonts w:cstheme="minorHAnsi"/>
          <w:b/>
          <w:bCs/>
          <w:sz w:val="72"/>
          <w:szCs w:val="72"/>
          <w:lang w:val="en-US"/>
        </w:rPr>
        <w:t xml:space="preserve">rganizations and </w:t>
      </w:r>
      <w:r>
        <w:rPr>
          <w:rFonts w:cstheme="minorHAnsi"/>
          <w:b/>
          <w:bCs/>
          <w:sz w:val="72"/>
          <w:szCs w:val="72"/>
          <w:lang w:val="en-US"/>
        </w:rPr>
        <w:t>other r</w:t>
      </w:r>
      <w:r w:rsidRPr="00687D1B">
        <w:rPr>
          <w:rFonts w:cstheme="minorHAnsi"/>
          <w:b/>
          <w:bCs/>
          <w:sz w:val="72"/>
          <w:szCs w:val="72"/>
          <w:lang w:val="en-US"/>
        </w:rPr>
        <w:t xml:space="preserve">elevant </w:t>
      </w:r>
      <w:r>
        <w:rPr>
          <w:rFonts w:cstheme="minorHAnsi"/>
          <w:b/>
          <w:bCs/>
          <w:sz w:val="72"/>
          <w:szCs w:val="72"/>
          <w:lang w:val="en-US"/>
        </w:rPr>
        <w:t>o</w:t>
      </w:r>
      <w:r w:rsidRPr="00687D1B">
        <w:rPr>
          <w:rFonts w:cstheme="minorHAnsi"/>
          <w:b/>
          <w:bCs/>
          <w:sz w:val="72"/>
          <w:szCs w:val="72"/>
          <w:lang w:val="en-US"/>
        </w:rPr>
        <w:t>rganizations</w:t>
      </w:r>
    </w:p>
    <w:p w14:paraId="04521037" w14:textId="77777777" w:rsidR="007F2271" w:rsidRPr="006153CE" w:rsidRDefault="007F2271" w:rsidP="007F2271">
      <w:pPr>
        <w:spacing w:before="100" w:beforeAutospacing="1" w:after="100" w:afterAutospacing="1"/>
        <w:jc w:val="center"/>
        <w:rPr>
          <w:rFonts w:cstheme="minorHAnsi"/>
          <w:b/>
          <w:bCs/>
          <w:sz w:val="36"/>
          <w:szCs w:val="36"/>
          <w:lang w:val="en-GB"/>
        </w:rPr>
      </w:pPr>
      <w:r w:rsidRPr="006153CE">
        <w:rPr>
          <w:rFonts w:cstheme="minorHAnsi"/>
          <w:b/>
          <w:bCs/>
          <w:sz w:val="36"/>
          <w:szCs w:val="36"/>
          <w:lang w:val="en-GB"/>
        </w:rPr>
        <w:t>(Version 1.0)</w:t>
      </w:r>
      <w:r w:rsidRPr="006153CE">
        <w:rPr>
          <w:rFonts w:cstheme="minorHAnsi"/>
          <w:b/>
          <w:bCs/>
          <w:sz w:val="36"/>
          <w:szCs w:val="36"/>
          <w:lang w:val="en-GB"/>
        </w:rPr>
        <w:br/>
      </w:r>
    </w:p>
    <w:p w14:paraId="5B44B684" w14:textId="77777777" w:rsidR="007F2271" w:rsidRPr="00687D1B" w:rsidRDefault="007F2271" w:rsidP="007F2271">
      <w:pPr>
        <w:spacing w:before="100" w:beforeAutospacing="1" w:after="100" w:afterAutospacing="1"/>
        <w:jc w:val="center"/>
        <w:rPr>
          <w:rFonts w:cstheme="minorHAnsi"/>
          <w:sz w:val="36"/>
          <w:szCs w:val="36"/>
          <w:lang w:val="en-US"/>
        </w:rPr>
      </w:pPr>
      <w:r w:rsidRPr="00687D1B">
        <w:rPr>
          <w:rFonts w:cstheme="minorHAnsi"/>
          <w:sz w:val="36"/>
          <w:szCs w:val="36"/>
          <w:lang w:val="en-US"/>
        </w:rPr>
        <w:t>November 2025</w:t>
      </w:r>
    </w:p>
    <w:p w14:paraId="761AD58D" w14:textId="77777777" w:rsidR="007F2271" w:rsidRPr="00687D1B" w:rsidRDefault="007F2271" w:rsidP="007F2271">
      <w:pPr>
        <w:rPr>
          <w:rFonts w:cstheme="minorHAnsi"/>
          <w:lang w:val="en-US"/>
        </w:rPr>
      </w:pPr>
    </w:p>
    <w:p w14:paraId="7E7F7CE0" w14:textId="77777777" w:rsidR="007F2271" w:rsidRPr="00687D1B" w:rsidRDefault="007F2271" w:rsidP="007F2271">
      <w:pPr>
        <w:jc w:val="center"/>
        <w:rPr>
          <w:rFonts w:cstheme="minorHAnsi"/>
          <w:b/>
          <w:bCs/>
          <w:lang w:val="en-US"/>
        </w:rPr>
      </w:pPr>
      <w:r w:rsidRPr="00687D1B">
        <w:rPr>
          <w:rFonts w:cstheme="minorHAnsi"/>
          <w:b/>
          <w:bCs/>
          <w:lang w:val="en-US"/>
        </w:rPr>
        <w:br w:type="page"/>
      </w:r>
    </w:p>
    <w:p w14:paraId="7BE6AAE9" w14:textId="77777777" w:rsidR="007F2271" w:rsidRPr="00687D1B" w:rsidRDefault="007F2271" w:rsidP="007F2271">
      <w:pPr>
        <w:jc w:val="center"/>
        <w:rPr>
          <w:rFonts w:cstheme="minorHAnsi"/>
          <w:b/>
          <w:bCs/>
          <w:sz w:val="28"/>
          <w:szCs w:val="28"/>
          <w:lang w:val="en-US"/>
        </w:rPr>
      </w:pPr>
      <w:bookmarkStart w:id="8" w:name="OLE_LINK2"/>
      <w:r w:rsidRPr="00687D1B">
        <w:rPr>
          <w:rFonts w:cstheme="minorHAnsi"/>
          <w:b/>
          <w:bCs/>
          <w:sz w:val="28"/>
          <w:szCs w:val="28"/>
          <w:lang w:val="en-US"/>
        </w:rPr>
        <w:lastRenderedPageBreak/>
        <w:t>Table of contents</w:t>
      </w:r>
    </w:p>
    <w:bookmarkEnd w:id="8"/>
    <w:p w14:paraId="5B37B17E" w14:textId="77777777" w:rsidR="007F2271" w:rsidRPr="00687D1B" w:rsidRDefault="007F2271" w:rsidP="007F2271">
      <w:pPr>
        <w:rPr>
          <w:rFonts w:cstheme="minorHAnsi"/>
          <w:lang w:val="en-US"/>
        </w:rPr>
      </w:pPr>
    </w:p>
    <w:p w14:paraId="02A10A91" w14:textId="77777777" w:rsidR="007F2271" w:rsidRPr="00C6563A" w:rsidRDefault="007F2271" w:rsidP="007F2271">
      <w:pPr>
        <w:pStyle w:val="TOC1"/>
        <w:tabs>
          <w:tab w:val="right" w:leader="dot" w:pos="9062"/>
        </w:tabs>
        <w:rPr>
          <w:rFonts w:eastAsiaTheme="minorEastAsia" w:cstheme="minorHAnsi"/>
          <w:noProof/>
          <w:kern w:val="2"/>
          <w:lang w:val="en-GB" w:eastAsia="en-GB"/>
          <w14:ligatures w14:val="standardContextual"/>
        </w:rPr>
      </w:pPr>
      <w:r w:rsidRPr="00C6563A">
        <w:rPr>
          <w:rFonts w:cstheme="minorHAnsi"/>
          <w:lang w:val="en-US"/>
        </w:rPr>
        <w:fldChar w:fldCharType="begin"/>
      </w:r>
      <w:r w:rsidRPr="00C6563A">
        <w:rPr>
          <w:rFonts w:cstheme="minorHAnsi"/>
          <w:lang w:val="en-US"/>
        </w:rPr>
        <w:instrText xml:space="preserve"> TOC \o "1-3" \h \z \u </w:instrText>
      </w:r>
      <w:r w:rsidRPr="00C6563A">
        <w:rPr>
          <w:rFonts w:cstheme="minorHAnsi"/>
          <w:lang w:val="en-US"/>
        </w:rPr>
        <w:fldChar w:fldCharType="separate"/>
      </w:r>
      <w:hyperlink w:anchor="_Toc214644446" w:history="1">
        <w:r w:rsidRPr="00C6563A">
          <w:rPr>
            <w:rStyle w:val="Hyperlink"/>
            <w:rFonts w:cstheme="minorHAnsi"/>
            <w:noProof/>
            <w:lang w:val="en-GB"/>
          </w:rPr>
          <w:t>Executive summary</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_Toc214644446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3</w:t>
        </w:r>
        <w:r w:rsidRPr="00C6563A">
          <w:rPr>
            <w:rFonts w:cstheme="minorHAnsi"/>
            <w:noProof/>
            <w:webHidden/>
          </w:rPr>
          <w:fldChar w:fldCharType="end"/>
        </w:r>
      </w:hyperlink>
    </w:p>
    <w:p w14:paraId="771EFD57" w14:textId="77777777" w:rsidR="007F2271" w:rsidRPr="00C6563A" w:rsidRDefault="007F2271" w:rsidP="007F2271">
      <w:pPr>
        <w:pStyle w:val="TOC1"/>
        <w:tabs>
          <w:tab w:val="left" w:pos="480"/>
          <w:tab w:val="right" w:leader="dot" w:pos="9062"/>
        </w:tabs>
        <w:rPr>
          <w:rFonts w:eastAsiaTheme="minorEastAsia" w:cstheme="minorHAnsi"/>
          <w:noProof/>
          <w:kern w:val="2"/>
          <w:lang w:val="en-GB" w:eastAsia="en-GB"/>
          <w14:ligatures w14:val="standardContextual"/>
        </w:rPr>
      </w:pPr>
      <w:hyperlink w:anchor="_Toc214644447" w:history="1">
        <w:r w:rsidRPr="00C6563A">
          <w:rPr>
            <w:rStyle w:val="Hyperlink"/>
            <w:rFonts w:cstheme="minorHAnsi"/>
            <w:noProof/>
            <w:lang w:val="en-GB"/>
          </w:rPr>
          <w:t>1.</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Introduction</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_Toc214644447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5</w:t>
        </w:r>
        <w:r w:rsidRPr="00C6563A">
          <w:rPr>
            <w:rFonts w:cstheme="minorHAnsi"/>
            <w:noProof/>
            <w:webHidden/>
          </w:rPr>
          <w:fldChar w:fldCharType="end"/>
        </w:r>
      </w:hyperlink>
    </w:p>
    <w:p w14:paraId="7AE9FA4D" w14:textId="77777777" w:rsidR="007F2271" w:rsidRPr="00C6563A" w:rsidRDefault="007F2271" w:rsidP="007F2271">
      <w:pPr>
        <w:pStyle w:val="TOC1"/>
        <w:tabs>
          <w:tab w:val="left" w:pos="480"/>
          <w:tab w:val="right" w:leader="dot" w:pos="9062"/>
        </w:tabs>
        <w:rPr>
          <w:rFonts w:eastAsiaTheme="minorEastAsia" w:cstheme="minorHAnsi"/>
          <w:noProof/>
          <w:kern w:val="2"/>
          <w:lang w:val="en-GB" w:eastAsia="en-GB"/>
          <w14:ligatures w14:val="standardContextual"/>
        </w:rPr>
      </w:pPr>
      <w:hyperlink w:anchor="_Toc214644448" w:history="1">
        <w:r w:rsidRPr="00C6563A">
          <w:rPr>
            <w:rStyle w:val="Hyperlink"/>
            <w:rFonts w:cstheme="minorHAnsi"/>
            <w:noProof/>
            <w:lang w:val="en-GB"/>
          </w:rPr>
          <w:t>2.</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Methodology</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_Toc214644448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5</w:t>
        </w:r>
        <w:r w:rsidRPr="00C6563A">
          <w:rPr>
            <w:rFonts w:cstheme="minorHAnsi"/>
            <w:noProof/>
            <w:webHidden/>
          </w:rPr>
          <w:fldChar w:fldCharType="end"/>
        </w:r>
      </w:hyperlink>
    </w:p>
    <w:p w14:paraId="7D344AF0" w14:textId="77777777" w:rsidR="007F2271" w:rsidRPr="00C6563A" w:rsidRDefault="007F2271" w:rsidP="007F2271">
      <w:pPr>
        <w:pStyle w:val="TOC1"/>
        <w:tabs>
          <w:tab w:val="left" w:pos="480"/>
          <w:tab w:val="right" w:leader="dot" w:pos="9062"/>
        </w:tabs>
        <w:rPr>
          <w:rFonts w:eastAsiaTheme="minorEastAsia" w:cstheme="minorHAnsi"/>
          <w:noProof/>
          <w:kern w:val="2"/>
          <w:lang w:val="en-GB" w:eastAsia="en-GB"/>
          <w14:ligatures w14:val="standardContextual"/>
        </w:rPr>
      </w:pPr>
      <w:hyperlink w:anchor="_Toc214644449" w:history="1">
        <w:r w:rsidRPr="00C6563A">
          <w:rPr>
            <w:rStyle w:val="Hyperlink"/>
            <w:rFonts w:cstheme="minorHAnsi"/>
            <w:noProof/>
            <w:lang w:val="en-GB"/>
          </w:rPr>
          <w:t>3.</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Overview of approaches</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_Toc214644449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5</w:t>
        </w:r>
        <w:r w:rsidRPr="00C6563A">
          <w:rPr>
            <w:rFonts w:cstheme="minorHAnsi"/>
            <w:noProof/>
            <w:webHidden/>
          </w:rPr>
          <w:fldChar w:fldCharType="end"/>
        </w:r>
      </w:hyperlink>
    </w:p>
    <w:p w14:paraId="5A2BD9D7"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0" w:history="1">
        <w:r w:rsidRPr="00C6563A">
          <w:rPr>
            <w:rStyle w:val="Hyperlink"/>
            <w:rFonts w:cstheme="minorHAnsi"/>
            <w:noProof/>
            <w:lang w:val="en-GB"/>
          </w:rPr>
          <w:t>3.1</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International Organization for Standardization (ISO)</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_Toc214644450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5</w:t>
        </w:r>
        <w:r w:rsidRPr="00C6563A">
          <w:rPr>
            <w:rFonts w:cstheme="minorHAnsi"/>
            <w:noProof/>
            <w:webHidden/>
          </w:rPr>
          <w:fldChar w:fldCharType="end"/>
        </w:r>
      </w:hyperlink>
    </w:p>
    <w:p w14:paraId="5F50E24C"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1" w:history="1">
        <w:r w:rsidRPr="00C6563A">
          <w:rPr>
            <w:rStyle w:val="Hyperlink"/>
            <w:rFonts w:cstheme="minorHAnsi"/>
            <w:noProof/>
            <w:lang w:val="en-GB"/>
          </w:rPr>
          <w:t>3.2</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International Electrotechnical Commission (IEC)</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_Toc214644451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6</w:t>
        </w:r>
        <w:r w:rsidRPr="00C6563A">
          <w:rPr>
            <w:rFonts w:cstheme="minorHAnsi"/>
            <w:noProof/>
            <w:webHidden/>
          </w:rPr>
          <w:fldChar w:fldCharType="end"/>
        </w:r>
      </w:hyperlink>
    </w:p>
    <w:p w14:paraId="3D066B9B"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2" w:history="1">
        <w:r w:rsidRPr="00C6563A">
          <w:rPr>
            <w:rStyle w:val="Hyperlink"/>
            <w:rFonts w:cstheme="minorHAnsi"/>
            <w:noProof/>
            <w:lang w:val="en-GB"/>
          </w:rPr>
          <w:t>3.3</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Institute of Electrical and Electronics Engineers (IEEE)</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_Toc214644452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7</w:t>
        </w:r>
        <w:r w:rsidRPr="00C6563A">
          <w:rPr>
            <w:rFonts w:cstheme="minorHAnsi"/>
            <w:noProof/>
            <w:webHidden/>
          </w:rPr>
          <w:fldChar w:fldCharType="end"/>
        </w:r>
      </w:hyperlink>
    </w:p>
    <w:p w14:paraId="3A5AE5A9"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3" w:history="1">
        <w:r w:rsidRPr="00C6563A">
          <w:rPr>
            <w:rStyle w:val="Hyperlink"/>
            <w:rFonts w:cstheme="minorHAnsi"/>
            <w:noProof/>
            <w:lang w:val="en-GB"/>
          </w:rPr>
          <w:t>3.4</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Internet Engineering Task Force (IETF)</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_Toc214644453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8</w:t>
        </w:r>
        <w:r w:rsidRPr="00C6563A">
          <w:rPr>
            <w:rFonts w:cstheme="minorHAnsi"/>
            <w:noProof/>
            <w:webHidden/>
          </w:rPr>
          <w:fldChar w:fldCharType="end"/>
        </w:r>
      </w:hyperlink>
    </w:p>
    <w:p w14:paraId="4C2961C1"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4" w:history="1">
        <w:r w:rsidRPr="00C6563A">
          <w:rPr>
            <w:rStyle w:val="Hyperlink"/>
            <w:rFonts w:cstheme="minorHAnsi"/>
            <w:noProof/>
            <w:lang w:val="en-GB"/>
          </w:rPr>
          <w:t>3.5</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European Telecommunications Standards Institute (ETSI)</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_Toc214644454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9</w:t>
        </w:r>
        <w:r w:rsidRPr="00C6563A">
          <w:rPr>
            <w:rFonts w:cstheme="minorHAnsi"/>
            <w:noProof/>
            <w:webHidden/>
          </w:rPr>
          <w:fldChar w:fldCharType="end"/>
        </w:r>
      </w:hyperlink>
    </w:p>
    <w:p w14:paraId="6A980F63"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5" w:history="1">
        <w:r w:rsidRPr="00C6563A">
          <w:rPr>
            <w:rStyle w:val="Hyperlink"/>
            <w:rFonts w:cstheme="minorHAnsi"/>
            <w:noProof/>
            <w:lang w:val="en-GB"/>
          </w:rPr>
          <w:t>3.6</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European Committee for Standardization and European Committee for Electrotechnical Standardization (CEN/CENELEC)</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_Toc214644455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9</w:t>
        </w:r>
        <w:r w:rsidRPr="00C6563A">
          <w:rPr>
            <w:rFonts w:cstheme="minorHAnsi"/>
            <w:noProof/>
            <w:webHidden/>
          </w:rPr>
          <w:fldChar w:fldCharType="end"/>
        </w:r>
      </w:hyperlink>
    </w:p>
    <w:p w14:paraId="669346D8"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6" w:history="1">
        <w:r w:rsidRPr="00C6563A">
          <w:rPr>
            <w:rStyle w:val="Hyperlink"/>
            <w:rFonts w:cstheme="minorHAnsi"/>
            <w:noProof/>
            <w:lang w:val="en-GB"/>
          </w:rPr>
          <w:t>3.7</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Council of Europe (CoE)</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_Toc214644456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10</w:t>
        </w:r>
        <w:r w:rsidRPr="00C6563A">
          <w:rPr>
            <w:rFonts w:cstheme="minorHAnsi"/>
            <w:noProof/>
            <w:webHidden/>
          </w:rPr>
          <w:fldChar w:fldCharType="end"/>
        </w:r>
      </w:hyperlink>
    </w:p>
    <w:p w14:paraId="3B11AC4D"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7" w:history="1">
        <w:r w:rsidRPr="00C6563A">
          <w:rPr>
            <w:rStyle w:val="Hyperlink"/>
            <w:rFonts w:cstheme="minorHAnsi"/>
            <w:noProof/>
            <w:lang w:val="en-GB"/>
          </w:rPr>
          <w:t>3.8</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United Nations Economic Commission for Europe (UNECE)</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_Toc214644457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11</w:t>
        </w:r>
        <w:r w:rsidRPr="00C6563A">
          <w:rPr>
            <w:rFonts w:cstheme="minorHAnsi"/>
            <w:noProof/>
            <w:webHidden/>
          </w:rPr>
          <w:fldChar w:fldCharType="end"/>
        </w:r>
      </w:hyperlink>
    </w:p>
    <w:p w14:paraId="300BEC07" w14:textId="77777777" w:rsidR="007F2271" w:rsidRPr="00C6563A" w:rsidRDefault="007F2271" w:rsidP="007F2271">
      <w:pPr>
        <w:pStyle w:val="TOC1"/>
        <w:tabs>
          <w:tab w:val="left" w:pos="480"/>
          <w:tab w:val="right" w:leader="dot" w:pos="9062"/>
        </w:tabs>
        <w:rPr>
          <w:rFonts w:eastAsiaTheme="minorEastAsia" w:cstheme="minorHAnsi"/>
          <w:noProof/>
          <w:kern w:val="2"/>
          <w:lang w:val="en-GB" w:eastAsia="en-GB"/>
          <w14:ligatures w14:val="standardContextual"/>
        </w:rPr>
      </w:pPr>
      <w:hyperlink w:anchor="_Toc214644458" w:history="1">
        <w:r w:rsidRPr="00C6563A">
          <w:rPr>
            <w:rStyle w:val="Hyperlink"/>
            <w:rFonts w:cstheme="minorHAnsi"/>
            <w:noProof/>
            <w:lang w:val="en-GB"/>
          </w:rPr>
          <w:t>4.</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Comparative analysis</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_Toc214644458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12</w:t>
        </w:r>
        <w:r w:rsidRPr="00C6563A">
          <w:rPr>
            <w:rFonts w:cstheme="minorHAnsi"/>
            <w:noProof/>
            <w:webHidden/>
          </w:rPr>
          <w:fldChar w:fldCharType="end"/>
        </w:r>
      </w:hyperlink>
    </w:p>
    <w:p w14:paraId="546A8B27"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59" w:history="1">
        <w:r w:rsidRPr="00C6563A">
          <w:rPr>
            <w:rStyle w:val="Hyperlink"/>
            <w:rFonts w:cstheme="minorHAnsi"/>
            <w:noProof/>
            <w:lang w:val="en-GB"/>
          </w:rPr>
          <w:t>4.1</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Common challenges</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_Toc214644459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12</w:t>
        </w:r>
        <w:r w:rsidRPr="00C6563A">
          <w:rPr>
            <w:rFonts w:cstheme="minorHAnsi"/>
            <w:noProof/>
            <w:webHidden/>
          </w:rPr>
          <w:fldChar w:fldCharType="end"/>
        </w:r>
      </w:hyperlink>
    </w:p>
    <w:p w14:paraId="1669435E"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60" w:history="1">
        <w:r w:rsidRPr="00C6563A">
          <w:rPr>
            <w:rStyle w:val="Hyperlink"/>
            <w:rFonts w:cstheme="minorHAnsi"/>
            <w:noProof/>
            <w:lang w:val="en-GB"/>
          </w:rPr>
          <w:t>4.2</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Good practices</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_Toc214644460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13</w:t>
        </w:r>
        <w:r w:rsidRPr="00C6563A">
          <w:rPr>
            <w:rFonts w:cstheme="minorHAnsi"/>
            <w:noProof/>
            <w:webHidden/>
          </w:rPr>
          <w:fldChar w:fldCharType="end"/>
        </w:r>
      </w:hyperlink>
    </w:p>
    <w:p w14:paraId="5F4A2BB6" w14:textId="77777777" w:rsidR="007F2271" w:rsidRPr="00C6563A" w:rsidRDefault="007F2271" w:rsidP="007F2271">
      <w:pPr>
        <w:pStyle w:val="TOC2"/>
        <w:tabs>
          <w:tab w:val="left" w:pos="960"/>
          <w:tab w:val="right" w:leader="dot" w:pos="9062"/>
        </w:tabs>
        <w:rPr>
          <w:rFonts w:eastAsiaTheme="minorEastAsia" w:cstheme="minorHAnsi"/>
          <w:noProof/>
          <w:kern w:val="2"/>
          <w:lang w:val="en-GB" w:eastAsia="en-GB"/>
          <w14:ligatures w14:val="standardContextual"/>
        </w:rPr>
      </w:pPr>
      <w:hyperlink w:anchor="_Toc214644461" w:history="1">
        <w:r w:rsidRPr="00C6563A">
          <w:rPr>
            <w:rStyle w:val="Hyperlink"/>
            <w:rFonts w:cstheme="minorHAnsi"/>
            <w:noProof/>
            <w:lang w:val="en-GB"/>
          </w:rPr>
          <w:t>4.3</w:t>
        </w:r>
        <w:r w:rsidRPr="00C6563A">
          <w:rPr>
            <w:rFonts w:eastAsiaTheme="minorEastAsia" w:cstheme="minorHAnsi"/>
            <w:noProof/>
            <w:kern w:val="2"/>
            <w:lang w:val="en-GB" w:eastAsia="en-GB"/>
            <w14:ligatures w14:val="standardContextual"/>
          </w:rPr>
          <w:tab/>
        </w:r>
        <w:r w:rsidRPr="00C6563A">
          <w:rPr>
            <w:rStyle w:val="Hyperlink"/>
            <w:rFonts w:cstheme="minorHAnsi"/>
            <w:noProof/>
            <w:lang w:val="en-GB"/>
          </w:rPr>
          <w:t>Opportunities for convergence</w:t>
        </w:r>
        <w:r w:rsidRPr="00C6563A">
          <w:rPr>
            <w:rFonts w:cstheme="minorHAnsi"/>
            <w:noProof/>
            <w:webHidden/>
          </w:rPr>
          <w:tab/>
        </w:r>
        <w:r w:rsidRPr="00C6563A">
          <w:rPr>
            <w:rFonts w:cstheme="minorHAnsi"/>
            <w:noProof/>
            <w:webHidden/>
          </w:rPr>
          <w:fldChar w:fldCharType="begin"/>
        </w:r>
        <w:r w:rsidRPr="00C6563A">
          <w:rPr>
            <w:rFonts w:cstheme="minorHAnsi"/>
            <w:noProof/>
            <w:webHidden/>
          </w:rPr>
          <w:instrText xml:space="preserve"> PAGEREF _Toc214644461 \h </w:instrText>
        </w:r>
        <w:r w:rsidRPr="00C6563A">
          <w:rPr>
            <w:rFonts w:cstheme="minorHAnsi"/>
            <w:noProof/>
            <w:webHidden/>
          </w:rPr>
        </w:r>
        <w:r w:rsidRPr="00C6563A">
          <w:rPr>
            <w:rFonts w:cstheme="minorHAnsi"/>
            <w:noProof/>
            <w:webHidden/>
          </w:rPr>
          <w:fldChar w:fldCharType="separate"/>
        </w:r>
        <w:r w:rsidRPr="00C6563A">
          <w:rPr>
            <w:rFonts w:cstheme="minorHAnsi"/>
            <w:noProof/>
            <w:webHidden/>
          </w:rPr>
          <w:t>13</w:t>
        </w:r>
        <w:r w:rsidRPr="00C6563A">
          <w:rPr>
            <w:rFonts w:cstheme="minorHAnsi"/>
            <w:noProof/>
            <w:webHidden/>
          </w:rPr>
          <w:fldChar w:fldCharType="end"/>
        </w:r>
      </w:hyperlink>
    </w:p>
    <w:p w14:paraId="3B7BD8A8" w14:textId="77777777" w:rsidR="007F2271" w:rsidRPr="00687D1B" w:rsidRDefault="007F2271" w:rsidP="007F2271">
      <w:pPr>
        <w:rPr>
          <w:rFonts w:cstheme="minorHAnsi"/>
          <w:lang w:val="en-US"/>
        </w:rPr>
      </w:pPr>
      <w:r w:rsidRPr="00C6563A">
        <w:rPr>
          <w:rFonts w:cstheme="minorHAnsi"/>
          <w:lang w:val="en-US"/>
        </w:rPr>
        <w:fldChar w:fldCharType="end"/>
      </w:r>
      <w:r w:rsidRPr="00687D1B">
        <w:rPr>
          <w:rFonts w:cstheme="minorHAnsi"/>
          <w:lang w:val="en-US"/>
        </w:rPr>
        <w:br w:type="page"/>
      </w:r>
    </w:p>
    <w:p w14:paraId="19338252" w14:textId="77777777" w:rsidR="007F2271" w:rsidRPr="002443EC" w:rsidRDefault="007F2271" w:rsidP="007F2271">
      <w:pPr>
        <w:pStyle w:val="Heading1"/>
      </w:pPr>
      <w:bookmarkStart w:id="9" w:name="_Toc214644446"/>
      <w:r w:rsidRPr="002443EC">
        <w:lastRenderedPageBreak/>
        <w:t>Executive summary</w:t>
      </w:r>
      <w:bookmarkEnd w:id="9"/>
    </w:p>
    <w:p w14:paraId="681B3CBC" w14:textId="77777777" w:rsidR="007F2271" w:rsidRPr="00AC599A" w:rsidRDefault="007F2271" w:rsidP="007F2271">
      <w:pPr>
        <w:jc w:val="both"/>
        <w:rPr>
          <w:rFonts w:cstheme="minorBidi"/>
          <w:lang w:val="en-US"/>
        </w:rPr>
      </w:pPr>
      <w:r w:rsidRPr="7EEBFDF6">
        <w:rPr>
          <w:rFonts w:cstheme="minorBidi"/>
          <w:lang w:val="en-US"/>
        </w:rPr>
        <w:t>This report responds to a request from TSAG (May 2025) to the TSB Director to continue working on the issue of human rights and standardization. It aims to map how selected Standards Development Organizations (SDOs) and international bodies integrate human-rights considerations into their work, and to identify practical options for ITU-T. It reviews approaches taken by ISO, IEC, IEEE, IETF, ETSI, CEN/CENELEC, as well as the Council of Europe (</w:t>
      </w:r>
      <w:proofErr w:type="spellStart"/>
      <w:r w:rsidRPr="7EEBFDF6">
        <w:rPr>
          <w:rFonts w:cstheme="minorBidi"/>
          <w:lang w:val="en-US"/>
        </w:rPr>
        <w:t>CoE</w:t>
      </w:r>
      <w:proofErr w:type="spellEnd"/>
      <w:r w:rsidRPr="7EEBFDF6">
        <w:rPr>
          <w:rFonts w:cstheme="minorBidi"/>
          <w:lang w:val="en-US"/>
        </w:rPr>
        <w:t xml:space="preserve">) and UNECE, based on desk research and targeted discussions </w:t>
      </w:r>
      <w:r w:rsidRPr="7EEBFDF6">
        <w:rPr>
          <w:rFonts w:ascii="Calibri" w:eastAsia="Calibri" w:hAnsi="Calibri" w:cs="Calibri"/>
          <w:lang w:val="en-US"/>
        </w:rPr>
        <w:t>with secretariat staff and technical representatives from the selected organizations.</w:t>
      </w:r>
    </w:p>
    <w:p w14:paraId="77F5D3EE" w14:textId="77777777" w:rsidR="007F2271" w:rsidRPr="00AC599A" w:rsidRDefault="007F2271" w:rsidP="007F2271">
      <w:pPr>
        <w:jc w:val="both"/>
        <w:rPr>
          <w:rFonts w:cstheme="minorHAnsi"/>
          <w:lang w:val="en-US"/>
        </w:rPr>
      </w:pPr>
    </w:p>
    <w:p w14:paraId="2CD05749" w14:textId="77777777" w:rsidR="007F2271" w:rsidRPr="00AC599A" w:rsidRDefault="007F2271" w:rsidP="007F2271">
      <w:pPr>
        <w:jc w:val="both"/>
        <w:rPr>
          <w:rFonts w:ascii="Calibri" w:eastAsia="Calibri" w:hAnsi="Calibri" w:cs="Calibri"/>
          <w:lang w:val="en-US"/>
        </w:rPr>
      </w:pPr>
      <w:r w:rsidRPr="7EEBFDF6">
        <w:rPr>
          <w:rFonts w:cstheme="minorBidi"/>
          <w:lang w:val="en-US"/>
        </w:rPr>
        <w:t xml:space="preserve">The research suggests that across these bodies, awareness of human rights in technical standardization is growing, but practice remains uneven and fragmented. A common difficulty is translating broad norms (e.g., privacy, equality, non-discrimination, accountability, access to information) into concrete engineering requirements. Rapidly evolving technologies and new deployment contexts create unforeseen impacts that are hard to anticipate at design time. Governance and participation models also differ significantly, with many processes effectively “pay-to-play”, limited access to working documents, and an over-representation of well-resourced industry actors compared to civil society, academia and smaller organizations. Human rights language is sometimes perceived as “too political”, which can discourage early discussion and, if handled poorly, risks slowing or blocking standardization work. </w:t>
      </w:r>
      <w:r w:rsidRPr="7EEBFDF6">
        <w:rPr>
          <w:rFonts w:ascii="Calibri" w:eastAsia="Calibri" w:hAnsi="Calibri" w:cs="Calibri"/>
          <w:lang w:val="en-US"/>
        </w:rPr>
        <w:t>Monitoring and follow-up mechanisms remain limited and largely voluntary, and evidence of practical uptake of existing guidance is limited.</w:t>
      </w:r>
    </w:p>
    <w:p w14:paraId="4FB14EE1" w14:textId="77777777" w:rsidR="007F2271" w:rsidRPr="00AC599A" w:rsidRDefault="007F2271" w:rsidP="007F2271">
      <w:pPr>
        <w:jc w:val="both"/>
        <w:rPr>
          <w:rFonts w:cstheme="minorHAnsi"/>
          <w:lang w:val="en-US"/>
        </w:rPr>
      </w:pPr>
    </w:p>
    <w:p w14:paraId="602BF2E4" w14:textId="77777777" w:rsidR="007F2271" w:rsidRPr="00AC599A" w:rsidRDefault="007F2271" w:rsidP="007F2271">
      <w:pPr>
        <w:jc w:val="both"/>
        <w:rPr>
          <w:rFonts w:cstheme="minorBidi"/>
          <w:lang w:val="en-US"/>
        </w:rPr>
      </w:pPr>
      <w:r w:rsidRPr="7EEBFDF6">
        <w:rPr>
          <w:rFonts w:cstheme="minorBidi"/>
          <w:lang w:val="en-US"/>
        </w:rPr>
        <w:t xml:space="preserve">At the same time, several promising practices are emerging. CEN/CENELEC’s Annex III framework and governance commitments provide a structured model for civil-society participation and inclusiveness in AI-related standardization. The </w:t>
      </w:r>
      <w:proofErr w:type="spellStart"/>
      <w:r w:rsidRPr="7EEBFDF6">
        <w:rPr>
          <w:rFonts w:cstheme="minorBidi"/>
          <w:lang w:val="en-US"/>
        </w:rPr>
        <w:t>CoE’s</w:t>
      </w:r>
      <w:proofErr w:type="spellEnd"/>
      <w:r w:rsidRPr="7EEBFDF6">
        <w:rPr>
          <w:rFonts w:cstheme="minorBidi"/>
          <w:lang w:val="en-US"/>
        </w:rPr>
        <w:t xml:space="preserve"> HUDERIA methodology offers a replicable, context-based risk and impact-assessment process linking legal principles with technical choices. ETSI is considering </w:t>
      </w:r>
      <w:proofErr w:type="gramStart"/>
      <w:r w:rsidRPr="7EEBFDF6">
        <w:rPr>
          <w:rFonts w:cstheme="minorBidi"/>
          <w:lang w:val="en-US"/>
        </w:rPr>
        <w:t>to pilot</w:t>
      </w:r>
      <w:proofErr w:type="gramEnd"/>
      <w:r w:rsidRPr="7EEBFDF6">
        <w:rPr>
          <w:rFonts w:cstheme="minorBidi"/>
          <w:lang w:val="en-US"/>
        </w:rPr>
        <w:t xml:space="preserve"> lightweight human-rights checkpoints at key stages of the standards lifecycle. IEEE has developed a substantial portfolio of ethics and rights-related standards (7000-series) and certification schemes. The IETF/IRTF has produced methodological RFCs (including RFC 9620) and practices, such as “considerations” sections and threat-modeling, that embed rights-relevant issues into protocol design. UNECE’s Gender-Responsive Standards work and planned human rights action plan provide templates for turning policy objectives into internal action plans for standards organizations.</w:t>
      </w:r>
    </w:p>
    <w:p w14:paraId="1111F6EA" w14:textId="77777777" w:rsidR="007F2271" w:rsidRPr="00AC599A" w:rsidRDefault="007F2271" w:rsidP="007F2271">
      <w:pPr>
        <w:jc w:val="both"/>
        <w:rPr>
          <w:rFonts w:cstheme="minorHAnsi"/>
          <w:lang w:val="en-US"/>
        </w:rPr>
      </w:pPr>
    </w:p>
    <w:p w14:paraId="793A1990" w14:textId="77777777" w:rsidR="007F2271" w:rsidRPr="00AC599A" w:rsidRDefault="007F2271" w:rsidP="007F2271">
      <w:pPr>
        <w:jc w:val="both"/>
        <w:rPr>
          <w:rFonts w:cstheme="minorBidi"/>
          <w:lang w:val="en-US"/>
        </w:rPr>
      </w:pPr>
      <w:r w:rsidRPr="7EEBFDF6">
        <w:rPr>
          <w:rFonts w:cstheme="minorBidi"/>
          <w:lang w:val="en-US"/>
        </w:rPr>
        <w:t>There is a clear potential for convergence. Legal and policy frameworks (</w:t>
      </w:r>
      <w:proofErr w:type="spellStart"/>
      <w:r w:rsidRPr="7EEBFDF6">
        <w:rPr>
          <w:rFonts w:cstheme="minorBidi"/>
          <w:lang w:val="en-US"/>
        </w:rPr>
        <w:t>CoE</w:t>
      </w:r>
      <w:proofErr w:type="spellEnd"/>
      <w:r w:rsidRPr="7EEBFDF6">
        <w:rPr>
          <w:rFonts w:cstheme="minorBidi"/>
          <w:lang w:val="en-US"/>
        </w:rPr>
        <w:t>, UNECE, OHCHR) can supply shared reference points, while SDOs provide technical translation. ISO, IEC and ITU are well placed to act as coordination hubs, aligning terminology and promoting interoperability between methods such as HUDERIA, UNECE blueprints, ETSI checkpoints, IEEE schemes and IETF methodologies. Aligning standardization practices with the UN Guiding Principles on Business and Human Rights (UNGPs) could also support policy coherence, as many companies active in SDOs already conduct human rights impact assessments under the UNGPs. The emerging Global Digital Compact (GDC) further reinforces expectations that technical standardization processes incorporate human rights due diligence, transparency and inclusive participation, creating an additional policy driver for convergence across SDOs.</w:t>
      </w:r>
    </w:p>
    <w:p w14:paraId="44F3B01C" w14:textId="77777777" w:rsidR="007F2271" w:rsidRPr="00AC599A" w:rsidRDefault="007F2271" w:rsidP="007F2271">
      <w:pPr>
        <w:jc w:val="both"/>
        <w:rPr>
          <w:rFonts w:cstheme="minorHAnsi"/>
          <w:lang w:val="en-US"/>
        </w:rPr>
      </w:pPr>
    </w:p>
    <w:p w14:paraId="53B7F351" w14:textId="77777777" w:rsidR="007F2271" w:rsidRPr="00687D1B" w:rsidRDefault="007F2271" w:rsidP="007F2271">
      <w:pPr>
        <w:jc w:val="both"/>
        <w:rPr>
          <w:rFonts w:cstheme="minorBidi"/>
          <w:b/>
          <w:bCs/>
          <w:lang w:val="en-US"/>
        </w:rPr>
      </w:pPr>
      <w:r w:rsidRPr="7EEBFDF6">
        <w:rPr>
          <w:rFonts w:cstheme="minorBidi"/>
          <w:lang w:val="en-US"/>
        </w:rPr>
        <w:t xml:space="preserve">The overall conclusion is that human rights integration in standardization can be feasible when framed in technical, procedural and governance terms. ITU-T can add value by organizing existing </w:t>
      </w:r>
      <w:r w:rsidRPr="7EEBFDF6">
        <w:rPr>
          <w:rFonts w:cstheme="minorBidi"/>
          <w:lang w:val="en-US"/>
        </w:rPr>
        <w:lastRenderedPageBreak/>
        <w:t xml:space="preserve">tools, testing practical mechanisms in </w:t>
      </w:r>
      <w:proofErr w:type="gramStart"/>
      <w:r w:rsidRPr="7EEBFDF6">
        <w:rPr>
          <w:rFonts w:cstheme="minorBidi"/>
          <w:lang w:val="en-US"/>
        </w:rPr>
        <w:t>its</w:t>
      </w:r>
      <w:proofErr w:type="gramEnd"/>
      <w:r w:rsidRPr="7EEBFDF6">
        <w:rPr>
          <w:rFonts w:cstheme="minorBidi"/>
          <w:lang w:val="en-US"/>
        </w:rPr>
        <w:t xml:space="preserve"> own processes and helping to build a more coherent, interoperable ecosystem for human rights respecting technical standards.</w:t>
      </w:r>
      <w:r w:rsidRPr="7EEBFDF6">
        <w:rPr>
          <w:rFonts w:cstheme="minorBidi"/>
          <w:lang w:val="en-US"/>
        </w:rPr>
        <w:br w:type="page"/>
      </w:r>
    </w:p>
    <w:p w14:paraId="52FE5FC3" w14:textId="77777777" w:rsidR="007F2271" w:rsidRPr="002443EC" w:rsidRDefault="007F2271" w:rsidP="007F2271">
      <w:pPr>
        <w:pStyle w:val="Heading1"/>
        <w:numPr>
          <w:ilvl w:val="0"/>
          <w:numId w:val="32"/>
        </w:numPr>
        <w:tabs>
          <w:tab w:val="num" w:pos="360"/>
        </w:tabs>
      </w:pPr>
      <w:bookmarkStart w:id="10" w:name="_Toc214644447"/>
      <w:r w:rsidRPr="002443EC">
        <w:lastRenderedPageBreak/>
        <w:t>Introduction</w:t>
      </w:r>
      <w:bookmarkEnd w:id="10"/>
    </w:p>
    <w:p w14:paraId="03ACA6EB" w14:textId="77777777" w:rsidR="007F2271" w:rsidRPr="00687D1B" w:rsidRDefault="007F2271" w:rsidP="007F2271">
      <w:pPr>
        <w:pStyle w:val="NormalWeb"/>
        <w:jc w:val="both"/>
        <w:rPr>
          <w:rFonts w:cstheme="minorHAnsi"/>
          <w:lang w:val="en-US"/>
        </w:rPr>
      </w:pPr>
      <w:r w:rsidRPr="7EEBFDF6">
        <w:rPr>
          <w:rFonts w:cstheme="minorBidi"/>
          <w:lang w:val="en-US"/>
        </w:rPr>
        <w:t xml:space="preserve">This report presents an overview of how other </w:t>
      </w:r>
      <w:r w:rsidRPr="7EEBFDF6">
        <w:rPr>
          <w:rStyle w:val="Strong"/>
          <w:rFonts w:cstheme="minorBidi"/>
          <w:b w:val="0"/>
          <w:bCs w:val="0"/>
          <w:lang w:val="en-US"/>
        </w:rPr>
        <w:t>Standards Development Organizations (SDOs)</w:t>
      </w:r>
      <w:r w:rsidRPr="7EEBFDF6">
        <w:rPr>
          <w:rFonts w:cstheme="minorBidi"/>
          <w:lang w:val="en-US"/>
        </w:rPr>
        <w:t xml:space="preserve"> and related international bodies address </w:t>
      </w:r>
      <w:r w:rsidRPr="7EEBFDF6">
        <w:rPr>
          <w:rStyle w:val="Strong"/>
          <w:rFonts w:cstheme="minorBidi"/>
          <w:b w:val="0"/>
          <w:bCs w:val="0"/>
          <w:lang w:val="en-US"/>
        </w:rPr>
        <w:t>human rights considerations</w:t>
      </w:r>
      <w:r w:rsidRPr="7EEBFDF6">
        <w:rPr>
          <w:rFonts w:cstheme="minorBidi"/>
          <w:lang w:val="en-US"/>
        </w:rPr>
        <w:t xml:space="preserve"> within their standardization processes. It was prepared in response to discussions held at </w:t>
      </w:r>
      <w:r w:rsidRPr="7EEBFDF6">
        <w:rPr>
          <w:rStyle w:val="Strong"/>
          <w:rFonts w:cstheme="minorBidi"/>
          <w:b w:val="0"/>
          <w:bCs w:val="0"/>
          <w:lang w:val="en-US"/>
        </w:rPr>
        <w:t>TSAG in May 2025</w:t>
      </w:r>
      <w:r w:rsidRPr="7EEBFDF6">
        <w:rPr>
          <w:rStyle w:val="FootnoteReference"/>
          <w:rFonts w:cstheme="minorBidi"/>
          <w:lang w:val="en-US"/>
        </w:rPr>
        <w:footnoteReference w:id="1"/>
      </w:r>
      <w:r w:rsidRPr="7EEBFDF6">
        <w:rPr>
          <w:rFonts w:cstheme="minorBidi"/>
          <w:lang w:val="en-US"/>
        </w:rPr>
        <w:t>, which requested further analysis on this topic.</w:t>
      </w:r>
    </w:p>
    <w:p w14:paraId="118C2824"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report was developed by the </w:t>
      </w:r>
      <w:r w:rsidRPr="00687D1B">
        <w:rPr>
          <w:rStyle w:val="Strong"/>
          <w:rFonts w:cstheme="minorHAnsi"/>
          <w:b w:val="0"/>
          <w:bCs w:val="0"/>
          <w:lang w:val="en-US"/>
        </w:rPr>
        <w:t>Telecommunication Standardization Bureau (TSB)</w:t>
      </w:r>
      <w:r w:rsidRPr="00687D1B">
        <w:rPr>
          <w:rFonts w:cstheme="minorHAnsi"/>
          <w:lang w:val="en-US"/>
        </w:rPr>
        <w:t xml:space="preserve">. It provides a comparative analysis of existing approaches, identifies good practices and challenges, and proposes opportunities for further work within </w:t>
      </w:r>
      <w:r w:rsidRPr="00687D1B">
        <w:rPr>
          <w:rStyle w:val="Strong"/>
          <w:rFonts w:cstheme="minorHAnsi"/>
          <w:b w:val="0"/>
          <w:bCs w:val="0"/>
          <w:lang w:val="en-US"/>
        </w:rPr>
        <w:t>ITU-T</w:t>
      </w:r>
      <w:r w:rsidRPr="00687D1B">
        <w:rPr>
          <w:rFonts w:cstheme="minorHAnsi"/>
          <w:lang w:val="en-US"/>
        </w:rPr>
        <w:t>.</w:t>
      </w:r>
    </w:p>
    <w:p w14:paraId="48ECAB58" w14:textId="77777777" w:rsidR="007F2271" w:rsidRPr="00CB71F8" w:rsidRDefault="007F2271" w:rsidP="007F2271">
      <w:pPr>
        <w:pStyle w:val="Heading1"/>
        <w:numPr>
          <w:ilvl w:val="0"/>
          <w:numId w:val="32"/>
        </w:numPr>
        <w:tabs>
          <w:tab w:val="num" w:pos="360"/>
        </w:tabs>
      </w:pPr>
      <w:bookmarkStart w:id="11" w:name="_Toc210924241"/>
      <w:bookmarkStart w:id="12" w:name="_Toc214644448"/>
      <w:r w:rsidRPr="00CB71F8">
        <w:t>Methodology</w:t>
      </w:r>
      <w:bookmarkEnd w:id="11"/>
      <w:bookmarkEnd w:id="12"/>
    </w:p>
    <w:p w14:paraId="3A7626A3" w14:textId="77777777" w:rsidR="007F2271" w:rsidRPr="00687D1B" w:rsidRDefault="007F2271" w:rsidP="007F2271">
      <w:pPr>
        <w:jc w:val="both"/>
        <w:rPr>
          <w:rFonts w:cstheme="minorBidi"/>
          <w:lang w:val="en-US"/>
        </w:rPr>
      </w:pPr>
      <w:r w:rsidRPr="7EEBFDF6">
        <w:rPr>
          <w:rFonts w:cstheme="minorBidi"/>
          <w:lang w:val="en-US"/>
        </w:rPr>
        <w:t xml:space="preserve">The comparative analysis was conducted between </w:t>
      </w:r>
      <w:r w:rsidRPr="7EEBFDF6">
        <w:rPr>
          <w:rStyle w:val="Strong"/>
          <w:rFonts w:cstheme="minorBidi"/>
          <w:lang w:val="en-US"/>
        </w:rPr>
        <w:t>September and October 2025</w:t>
      </w:r>
      <w:r w:rsidRPr="7EEBFDF6">
        <w:rPr>
          <w:rFonts w:cstheme="minorBidi"/>
          <w:lang w:val="en-US"/>
        </w:rPr>
        <w:t xml:space="preserve"> through a combination of </w:t>
      </w:r>
      <w:r w:rsidRPr="7EEBFDF6">
        <w:rPr>
          <w:rStyle w:val="Strong"/>
          <w:rFonts w:cstheme="minorBidi"/>
          <w:lang w:val="en-US"/>
        </w:rPr>
        <w:t>desk research</w:t>
      </w:r>
      <w:r w:rsidRPr="7EEBFDF6">
        <w:rPr>
          <w:rFonts w:cstheme="minorBidi"/>
          <w:lang w:val="en-US"/>
        </w:rPr>
        <w:t xml:space="preserve"> and </w:t>
      </w:r>
      <w:r w:rsidRPr="7EEBFDF6">
        <w:rPr>
          <w:rStyle w:val="Strong"/>
          <w:rFonts w:cstheme="minorBidi"/>
          <w:lang w:val="en-US"/>
        </w:rPr>
        <w:t>targeted discussions</w:t>
      </w:r>
      <w:r w:rsidRPr="7EEBFDF6">
        <w:rPr>
          <w:rFonts w:cstheme="minorBidi"/>
          <w:lang w:val="en-US"/>
        </w:rPr>
        <w:t xml:space="preserve"> </w:t>
      </w:r>
      <w:r w:rsidRPr="7EEBFDF6">
        <w:rPr>
          <w:rFonts w:ascii="Calibri" w:eastAsia="Calibri" w:hAnsi="Calibri" w:cs="Calibri"/>
          <w:lang w:val="en-US"/>
        </w:rPr>
        <w:t>with secretariat staff, technical experts, and external-relations officers from the participating SDOs and intergovernmental bodies</w:t>
      </w:r>
      <w:r w:rsidRPr="7EEBFDF6">
        <w:rPr>
          <w:rFonts w:cstheme="minorBidi"/>
          <w:lang w:val="en-US"/>
        </w:rPr>
        <w:t>. The review examined institutional documents, policy frameworks, and procedural guidelines addressing the integration of human rights considerations into standardization. The discussions focused on each organization’s ongoing or planned activities related to human rights and on identifying good practices, challenges, and potential opportunities for collaboration relevant to ITU-T.</w:t>
      </w:r>
    </w:p>
    <w:p w14:paraId="61B5029F" w14:textId="77777777" w:rsidR="007F2271" w:rsidRPr="00CB71F8" w:rsidRDefault="007F2271" w:rsidP="007F2271">
      <w:pPr>
        <w:pStyle w:val="Heading1"/>
        <w:numPr>
          <w:ilvl w:val="0"/>
          <w:numId w:val="32"/>
        </w:numPr>
        <w:tabs>
          <w:tab w:val="num" w:pos="360"/>
        </w:tabs>
      </w:pPr>
      <w:bookmarkStart w:id="13" w:name="_Toc214644449"/>
      <w:r w:rsidRPr="00CB71F8">
        <w:t>Overview of approaches</w:t>
      </w:r>
      <w:bookmarkEnd w:id="13"/>
    </w:p>
    <w:p w14:paraId="78326B92" w14:textId="77777777" w:rsidR="007F2271" w:rsidRPr="000474E0" w:rsidRDefault="007F2271" w:rsidP="007F2271">
      <w:pPr>
        <w:pStyle w:val="Heading2"/>
        <w:rPr>
          <w:rFonts w:cstheme="minorHAnsi"/>
          <w:lang w:val="en-GB"/>
        </w:rPr>
      </w:pPr>
      <w:bookmarkStart w:id="14" w:name="_Toc214644450"/>
      <w:r>
        <w:rPr>
          <w:rFonts w:cstheme="minorHAnsi"/>
          <w:lang w:val="en-GB"/>
        </w:rPr>
        <w:t>3.1</w:t>
      </w:r>
      <w:r>
        <w:rPr>
          <w:rFonts w:cstheme="minorHAnsi"/>
          <w:lang w:val="en-GB"/>
        </w:rPr>
        <w:tab/>
      </w:r>
      <w:r w:rsidRPr="000474E0">
        <w:rPr>
          <w:rFonts w:cstheme="minorHAnsi"/>
          <w:lang w:val="en-GB"/>
        </w:rPr>
        <w:t>International Organization for Standardization (ISO)</w:t>
      </w:r>
      <w:bookmarkEnd w:id="14"/>
    </w:p>
    <w:p w14:paraId="4155A9C3"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International Organization for Standardization (ISO) develops standards across virtually all sectors, yet </w:t>
      </w:r>
      <w:r w:rsidRPr="00687D1B">
        <w:rPr>
          <w:rStyle w:val="Strong"/>
          <w:rFonts w:cstheme="minorHAnsi"/>
          <w:lang w:val="en-US"/>
        </w:rPr>
        <w:t>human</w:t>
      </w:r>
      <w:r>
        <w:rPr>
          <w:rStyle w:val="Strong"/>
          <w:rFonts w:cstheme="minorHAnsi"/>
          <w:lang w:val="en-US"/>
        </w:rPr>
        <w:t xml:space="preserve"> </w:t>
      </w:r>
      <w:r w:rsidRPr="00687D1B">
        <w:rPr>
          <w:rStyle w:val="Strong"/>
          <w:rFonts w:cstheme="minorHAnsi"/>
          <w:lang w:val="en-US"/>
        </w:rPr>
        <w:t>rights integration remains uneven and decentralized</w:t>
      </w:r>
      <w:r w:rsidRPr="00687D1B">
        <w:rPr>
          <w:rFonts w:cstheme="minorHAnsi"/>
          <w:lang w:val="en-US"/>
        </w:rPr>
        <w:t xml:space="preserve"> across its committees. While certain areas, such as sustainable events management and children’s rights, explicitly reference human rights, most technical work addresses the topic indirectly or under broader “socio-technical” framing.</w:t>
      </w:r>
    </w:p>
    <w:p w14:paraId="0E5E8312" w14:textId="77777777" w:rsidR="007F2271" w:rsidRPr="00A322A7" w:rsidRDefault="007F2271" w:rsidP="007F2271">
      <w:pPr>
        <w:pStyle w:val="NormalWeb"/>
        <w:jc w:val="both"/>
        <w:rPr>
          <w:rFonts w:cstheme="minorBidi"/>
          <w:lang w:val="en-US"/>
        </w:rPr>
      </w:pPr>
      <w:r w:rsidRPr="7EEBFDF6">
        <w:rPr>
          <w:rFonts w:cstheme="minorBidi"/>
          <w:lang w:val="en-US"/>
        </w:rPr>
        <w:t xml:space="preserve">ISO’s policy work on artificial intelligence has become a key entry point for raising awareness of human rights considerations. In preparing for the </w:t>
      </w:r>
      <w:r w:rsidRPr="7EEBFDF6">
        <w:rPr>
          <w:rFonts w:cstheme="minorBidi"/>
          <w:b/>
          <w:bCs/>
          <w:lang w:val="en-US"/>
        </w:rPr>
        <w:t>International AI Standards Summit (Seoul, December 2025)</w:t>
      </w:r>
      <w:r w:rsidRPr="7EEBFDF6">
        <w:rPr>
          <w:rFonts w:cstheme="minorBidi"/>
          <w:lang w:val="en-US"/>
        </w:rPr>
        <w:t xml:space="preserve">, ISO, together with IEC and ITU, is engaging in discussions on how to reflect human rights and socio-technical dimensions in future cooperation on AI standardization. </w:t>
      </w:r>
    </w:p>
    <w:p w14:paraId="5AD70C39"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main challenge lies in the </w:t>
      </w:r>
      <w:r w:rsidRPr="00687D1B">
        <w:rPr>
          <w:rStyle w:val="Strong"/>
          <w:rFonts w:cstheme="minorHAnsi"/>
          <w:lang w:val="en-US"/>
        </w:rPr>
        <w:t>translation of human rights into technical requirements</w:t>
      </w:r>
      <w:r w:rsidRPr="00687D1B">
        <w:rPr>
          <w:rFonts w:cstheme="minorHAnsi"/>
          <w:lang w:val="en-US"/>
        </w:rPr>
        <w:t xml:space="preserve"> and the perception within expert communities that such discussions are “too political.” ISO’s decentralized structure, where national standards bodies define priorities, adds complexity, as approaches vary widely across countries. While civil</w:t>
      </w:r>
      <w:r>
        <w:rPr>
          <w:rFonts w:cstheme="minorHAnsi"/>
          <w:lang w:val="en-US"/>
        </w:rPr>
        <w:t xml:space="preserve"> </w:t>
      </w:r>
      <w:r w:rsidRPr="00687D1B">
        <w:rPr>
          <w:rFonts w:cstheme="minorHAnsi"/>
          <w:lang w:val="en-US"/>
        </w:rPr>
        <w:t>society participation is formally possible through liaison mechanisms, it remains limited in practice.</w:t>
      </w:r>
    </w:p>
    <w:p w14:paraId="06FCD9E0" w14:textId="77777777" w:rsidR="007F2271" w:rsidRPr="00687D1B" w:rsidRDefault="007F2271" w:rsidP="007F2271">
      <w:pPr>
        <w:pStyle w:val="NormalWeb"/>
        <w:jc w:val="both"/>
        <w:rPr>
          <w:rFonts w:cstheme="minorHAnsi"/>
          <w:lang w:val="en-US"/>
        </w:rPr>
      </w:pPr>
      <w:r w:rsidRPr="00687D1B">
        <w:rPr>
          <w:rFonts w:cstheme="minorHAnsi"/>
          <w:lang w:val="en-US"/>
        </w:rPr>
        <w:lastRenderedPageBreak/>
        <w:t xml:space="preserve">Current efforts focus on </w:t>
      </w:r>
      <w:r w:rsidRPr="00687D1B">
        <w:rPr>
          <w:rStyle w:val="Strong"/>
          <w:rFonts w:cstheme="minorHAnsi"/>
          <w:lang w:val="en-US"/>
        </w:rPr>
        <w:t>capacity</w:t>
      </w:r>
      <w:r>
        <w:rPr>
          <w:rStyle w:val="Strong"/>
          <w:rFonts w:cstheme="minorHAnsi"/>
          <w:lang w:val="en-US"/>
        </w:rPr>
        <w:t xml:space="preserve"> </w:t>
      </w:r>
      <w:r w:rsidRPr="00687D1B">
        <w:rPr>
          <w:rStyle w:val="Strong"/>
          <w:rFonts w:cstheme="minorHAnsi"/>
          <w:lang w:val="en-US"/>
        </w:rPr>
        <w:t>building and cross-institutional collaboration</w:t>
      </w:r>
      <w:r w:rsidRPr="00687D1B">
        <w:rPr>
          <w:rFonts w:cstheme="minorHAnsi"/>
          <w:lang w:val="en-US"/>
        </w:rPr>
        <w:t xml:space="preserve">. ISO is working with the </w:t>
      </w:r>
      <w:r w:rsidRPr="00687D1B">
        <w:rPr>
          <w:rStyle w:val="Strong"/>
          <w:rFonts w:cstheme="minorHAnsi"/>
          <w:lang w:val="en-US"/>
        </w:rPr>
        <w:t>OHCHR</w:t>
      </w:r>
      <w:r w:rsidRPr="00687D1B">
        <w:rPr>
          <w:rFonts w:cstheme="minorHAnsi"/>
          <w:lang w:val="en-US"/>
        </w:rPr>
        <w:t xml:space="preserve">, </w:t>
      </w:r>
      <w:r w:rsidRPr="00687D1B">
        <w:rPr>
          <w:rStyle w:val="Strong"/>
          <w:rFonts w:cstheme="minorHAnsi"/>
          <w:lang w:val="en-US"/>
        </w:rPr>
        <w:t>Council of Europe</w:t>
      </w:r>
      <w:r w:rsidRPr="00687D1B">
        <w:rPr>
          <w:rFonts w:cstheme="minorHAnsi"/>
          <w:lang w:val="en-US"/>
        </w:rPr>
        <w:t xml:space="preserve">, </w:t>
      </w:r>
      <w:r w:rsidRPr="00687D1B">
        <w:rPr>
          <w:rStyle w:val="Strong"/>
          <w:rFonts w:cstheme="minorHAnsi"/>
          <w:lang w:val="en-US"/>
        </w:rPr>
        <w:t>IEC</w:t>
      </w:r>
      <w:r w:rsidRPr="00687D1B">
        <w:rPr>
          <w:rFonts w:cstheme="minorHAnsi"/>
          <w:lang w:val="en-US"/>
        </w:rPr>
        <w:t xml:space="preserve">, and </w:t>
      </w:r>
      <w:r w:rsidRPr="00687D1B">
        <w:rPr>
          <w:rStyle w:val="Strong"/>
          <w:rFonts w:cstheme="minorHAnsi"/>
          <w:lang w:val="en-US"/>
        </w:rPr>
        <w:t>ITU</w:t>
      </w:r>
      <w:r w:rsidRPr="00687D1B">
        <w:rPr>
          <w:rFonts w:cstheme="minorHAnsi"/>
          <w:lang w:val="en-US"/>
        </w:rPr>
        <w:t xml:space="preserve"> to harmonize methodologies and normalize rights-based dialogue within the standardization ecosystem. There is growing support for </w:t>
      </w:r>
      <w:r w:rsidRPr="00687D1B">
        <w:rPr>
          <w:rStyle w:val="Strong"/>
          <w:rFonts w:cstheme="minorHAnsi"/>
          <w:lang w:val="en-US"/>
        </w:rPr>
        <w:t>practical tools</w:t>
      </w:r>
      <w:r w:rsidRPr="00687D1B">
        <w:rPr>
          <w:rFonts w:cstheme="minorHAnsi"/>
          <w:lang w:val="en-US"/>
        </w:rPr>
        <w:t>, such as checklists and pilot projects on AI safety or multimedia authenticity, that could demonstrate systematic ways to consider rights impacts during technical drafting.</w:t>
      </w:r>
    </w:p>
    <w:p w14:paraId="2D3F20D2" w14:textId="77777777" w:rsidR="007F2271" w:rsidRPr="00687D1B" w:rsidRDefault="007F2271" w:rsidP="007F2271">
      <w:pPr>
        <w:pStyle w:val="NormalWeb"/>
        <w:jc w:val="both"/>
        <w:rPr>
          <w:rFonts w:cstheme="minorHAnsi"/>
          <w:lang w:val="en-US"/>
        </w:rPr>
      </w:pPr>
      <w:r w:rsidRPr="00687D1B">
        <w:rPr>
          <w:rFonts w:cstheme="minorHAnsi"/>
          <w:lang w:val="en-US"/>
        </w:rPr>
        <w:t xml:space="preserve">ISO also promotes the formation of a </w:t>
      </w:r>
      <w:r w:rsidRPr="00687D1B">
        <w:rPr>
          <w:rStyle w:val="Strong"/>
          <w:rFonts w:cstheme="minorHAnsi"/>
          <w:lang w:val="en-US"/>
        </w:rPr>
        <w:t>“coalition of the willing”</w:t>
      </w:r>
      <w:r w:rsidRPr="00687D1B">
        <w:rPr>
          <w:rFonts w:cstheme="minorHAnsi"/>
          <w:lang w:val="en-US"/>
        </w:rPr>
        <w:t xml:space="preserve"> among SDOs and international organizations to exchange good practices and present aligned messages to member states. This collaborative, incremental approach, anchored in training, pilots, and awareness, aims to make human rights a visible and operational part of standardization without disrupting existing processes.</w:t>
      </w:r>
    </w:p>
    <w:p w14:paraId="69DAE5D6" w14:textId="77777777" w:rsidR="007F2271" w:rsidRPr="000474E0" w:rsidRDefault="007F2271" w:rsidP="007F2271">
      <w:pPr>
        <w:pStyle w:val="Heading2"/>
        <w:rPr>
          <w:rFonts w:cstheme="minorHAnsi"/>
          <w:lang w:val="en-GB"/>
        </w:rPr>
      </w:pPr>
      <w:bookmarkStart w:id="15" w:name="_Toc214644451"/>
      <w:r>
        <w:rPr>
          <w:rFonts w:cstheme="minorHAnsi"/>
          <w:lang w:val="en-GB"/>
        </w:rPr>
        <w:t>3.2</w:t>
      </w:r>
      <w:r>
        <w:rPr>
          <w:rFonts w:cstheme="minorHAnsi"/>
          <w:lang w:val="en-GB"/>
        </w:rPr>
        <w:tab/>
      </w:r>
      <w:r w:rsidRPr="000474E0">
        <w:rPr>
          <w:rFonts w:cstheme="minorHAnsi"/>
          <w:lang w:val="en-GB"/>
        </w:rPr>
        <w:t>International Electrotechnical Commission (IEC)</w:t>
      </w:r>
      <w:bookmarkEnd w:id="15"/>
    </w:p>
    <w:p w14:paraId="0DB042DF"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International Electrotechnical Commission (IEC) is a global organization composed not of Member States but of </w:t>
      </w:r>
      <w:r w:rsidRPr="00687D1B">
        <w:rPr>
          <w:rStyle w:val="Strong"/>
          <w:rFonts w:cstheme="minorHAnsi"/>
          <w:lang w:val="en-US"/>
        </w:rPr>
        <w:t>national standardization associations</w:t>
      </w:r>
      <w:r w:rsidRPr="00687D1B">
        <w:rPr>
          <w:rFonts w:cstheme="minorHAnsi"/>
          <w:lang w:val="en-US"/>
        </w:rPr>
        <w:t>, which collectively develop international standards for electrical, electronic and related technologies. Recognizing that these standards increasingly intersect with human</w:t>
      </w:r>
      <w:r>
        <w:rPr>
          <w:rFonts w:cstheme="minorHAnsi"/>
          <w:lang w:val="en-US"/>
        </w:rPr>
        <w:t xml:space="preserve"> </w:t>
      </w:r>
      <w:r w:rsidRPr="00687D1B">
        <w:rPr>
          <w:rFonts w:cstheme="minorHAnsi"/>
          <w:lang w:val="en-US"/>
        </w:rPr>
        <w:t>rights concerns, the IEC has initiated several activities to integrate rights-based perspectives into its work.</w:t>
      </w:r>
    </w:p>
    <w:p w14:paraId="3E022FB7"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organization is </w:t>
      </w:r>
      <w:r w:rsidRPr="00687D1B">
        <w:rPr>
          <w:rStyle w:val="Strong"/>
          <w:rFonts w:cstheme="minorHAnsi"/>
          <w:lang w:val="en-US"/>
        </w:rPr>
        <w:t>raising awareness internally</w:t>
      </w:r>
      <w:r w:rsidRPr="00687D1B">
        <w:rPr>
          <w:rFonts w:cstheme="minorHAnsi"/>
          <w:lang w:val="en-US"/>
        </w:rPr>
        <w:t xml:space="preserve"> on how technical standards can affect fundamental rights particularly in areas influenced by artificial intelligence and digital transformation. It actively participates in the </w:t>
      </w:r>
      <w:r w:rsidRPr="00687D1B">
        <w:rPr>
          <w:rStyle w:val="Strong"/>
          <w:rFonts w:cstheme="minorHAnsi"/>
          <w:lang w:val="en-US"/>
        </w:rPr>
        <w:t>Council of Europe’s Committee on Artificial Intelligence (CAI)</w:t>
      </w:r>
      <w:r w:rsidRPr="00687D1B">
        <w:rPr>
          <w:rFonts w:cstheme="minorHAnsi"/>
          <w:lang w:val="en-US"/>
        </w:rPr>
        <w:t xml:space="preserve"> and follows the development of the </w:t>
      </w:r>
      <w:r w:rsidRPr="00687D1B">
        <w:rPr>
          <w:rStyle w:val="Strong"/>
          <w:rFonts w:cstheme="minorHAnsi"/>
          <w:lang w:val="en-US"/>
        </w:rPr>
        <w:t>Framework Convention on Artificial Intelligence</w:t>
      </w:r>
      <w:r>
        <w:rPr>
          <w:rStyle w:val="Strong"/>
          <w:rFonts w:cstheme="minorHAnsi"/>
          <w:lang w:val="en-US"/>
        </w:rPr>
        <w:t xml:space="preserve"> and </w:t>
      </w:r>
      <w:r w:rsidRPr="00687D1B">
        <w:rPr>
          <w:rStyle w:val="Strong"/>
          <w:rFonts w:cstheme="minorHAnsi"/>
          <w:lang w:val="en-US"/>
        </w:rPr>
        <w:t>Human Rights, Democracy and the Rule of Law</w:t>
      </w:r>
      <w:r w:rsidRPr="00687D1B">
        <w:rPr>
          <w:rFonts w:cstheme="minorHAnsi"/>
          <w:lang w:val="en-US"/>
        </w:rPr>
        <w:t xml:space="preserve"> adopted in May 2024. This engagement reflects the IEC’s effort to align with broader legal frameworks addressing the ethical and societal dimensions of technology.</w:t>
      </w:r>
    </w:p>
    <w:p w14:paraId="74ED5CFD"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IEC is also contributing to the </w:t>
      </w:r>
      <w:r w:rsidRPr="00687D1B">
        <w:rPr>
          <w:rStyle w:val="Strong"/>
          <w:rFonts w:cstheme="minorHAnsi"/>
          <w:lang w:val="en-US"/>
        </w:rPr>
        <w:t>HUDERIA</w:t>
      </w:r>
      <w:r w:rsidRPr="00687D1B">
        <w:rPr>
          <w:rFonts w:cstheme="minorHAnsi"/>
          <w:lang w:val="en-US"/>
        </w:rPr>
        <w:t xml:space="preserve"> initiative (</w:t>
      </w:r>
      <w:r w:rsidRPr="00687D1B">
        <w:rPr>
          <w:rStyle w:val="Emphasis"/>
          <w:rFonts w:cstheme="minorHAnsi"/>
          <w:lang w:val="en-US"/>
        </w:rPr>
        <w:t>Human Rights, Democracy and Rule of Law Impact Assessment for AI Systems</w:t>
      </w:r>
      <w:r w:rsidRPr="00687D1B">
        <w:rPr>
          <w:rFonts w:cstheme="minorHAnsi"/>
          <w:lang w:val="en-US"/>
        </w:rPr>
        <w:t>), which provides structured guidance for assessing AI-related risks. Through this collaboration, the IEC seeks to better understand how impact-assessment methodologies can inform the design and implementation of technical standards.</w:t>
      </w:r>
    </w:p>
    <w:p w14:paraId="51154A20" w14:textId="77777777" w:rsidR="007F2271" w:rsidRPr="00A322A7" w:rsidRDefault="007F2271" w:rsidP="007F2271">
      <w:pPr>
        <w:pStyle w:val="NormalWeb"/>
        <w:jc w:val="both"/>
        <w:rPr>
          <w:rFonts w:cstheme="minorBidi"/>
          <w:lang w:val="en-US"/>
        </w:rPr>
      </w:pPr>
      <w:r w:rsidRPr="7EEBFDF6">
        <w:rPr>
          <w:rFonts w:cstheme="minorBidi"/>
          <w:lang w:val="en-US"/>
        </w:rPr>
        <w:t xml:space="preserve">Internally, the IEC is </w:t>
      </w:r>
      <w:r w:rsidRPr="7EEBFDF6">
        <w:rPr>
          <w:rFonts w:cstheme="minorBidi"/>
          <w:b/>
          <w:bCs/>
          <w:lang w:val="en-US"/>
        </w:rPr>
        <w:t>evaluating pilot projects</w:t>
      </w:r>
      <w:r w:rsidRPr="7EEBFDF6">
        <w:rPr>
          <w:rFonts w:cstheme="minorBidi"/>
          <w:lang w:val="en-US"/>
        </w:rPr>
        <w:t xml:space="preserve"> to explore how human rights considerations could be embedded in specific standardization processes. In the context of preparations for the </w:t>
      </w:r>
      <w:r w:rsidRPr="7EEBFDF6">
        <w:rPr>
          <w:rFonts w:cstheme="minorBidi"/>
          <w:b/>
          <w:bCs/>
          <w:lang w:val="en-US"/>
        </w:rPr>
        <w:t>International AI Standards Summit</w:t>
      </w:r>
      <w:r w:rsidRPr="7EEBFDF6">
        <w:rPr>
          <w:rFonts w:cstheme="minorBidi"/>
          <w:lang w:val="en-US"/>
        </w:rPr>
        <w:t xml:space="preserve"> </w:t>
      </w:r>
      <w:r w:rsidRPr="7EEBFDF6">
        <w:rPr>
          <w:rFonts w:cstheme="minorBidi"/>
          <w:b/>
          <w:bCs/>
          <w:lang w:val="en-US"/>
        </w:rPr>
        <w:t>(Seoul, December 2025)</w:t>
      </w:r>
      <w:r w:rsidRPr="7EEBFDF6">
        <w:rPr>
          <w:rFonts w:cstheme="minorBidi"/>
          <w:lang w:val="en-US"/>
        </w:rPr>
        <w:t xml:space="preserve">, the IEC is contributing to ongoing discussions on the </w:t>
      </w:r>
      <w:r w:rsidRPr="7EEBFDF6">
        <w:rPr>
          <w:rFonts w:cstheme="minorBidi"/>
          <w:b/>
          <w:bCs/>
          <w:lang w:val="en-US"/>
        </w:rPr>
        <w:t>socio-technical dimensions</w:t>
      </w:r>
      <w:r w:rsidRPr="7EEBFDF6">
        <w:rPr>
          <w:rFonts w:cstheme="minorBidi"/>
          <w:lang w:val="en-US"/>
        </w:rPr>
        <w:t xml:space="preserve"> of standardization, the </w:t>
      </w:r>
      <w:r w:rsidRPr="7EEBFDF6">
        <w:rPr>
          <w:rFonts w:cstheme="minorBidi"/>
          <w:b/>
          <w:bCs/>
          <w:lang w:val="en-US"/>
        </w:rPr>
        <w:t>relevance of the Global Digital Compact</w:t>
      </w:r>
      <w:r w:rsidRPr="7EEBFDF6">
        <w:rPr>
          <w:rFonts w:cstheme="minorBidi"/>
          <w:lang w:val="en-US"/>
        </w:rPr>
        <w:t xml:space="preserve">, and the </w:t>
      </w:r>
      <w:r w:rsidRPr="7EEBFDF6">
        <w:rPr>
          <w:rFonts w:cstheme="minorBidi"/>
          <w:b/>
          <w:bCs/>
          <w:lang w:val="en-US"/>
        </w:rPr>
        <w:t>need for inclusive and multistakeholder participation</w:t>
      </w:r>
      <w:r w:rsidRPr="7EEBFDF6">
        <w:rPr>
          <w:rFonts w:cstheme="minorBidi"/>
          <w:lang w:val="en-US"/>
        </w:rPr>
        <w:t xml:space="preserve">. </w:t>
      </w:r>
    </w:p>
    <w:p w14:paraId="38C97CFA" w14:textId="77777777" w:rsidR="007F2271" w:rsidRPr="00687D1B" w:rsidRDefault="007F2271" w:rsidP="007F2271">
      <w:pPr>
        <w:pStyle w:val="NormalWeb"/>
        <w:jc w:val="both"/>
        <w:rPr>
          <w:rFonts w:cstheme="minorHAnsi"/>
          <w:lang w:val="en-US"/>
        </w:rPr>
      </w:pPr>
      <w:r w:rsidRPr="00687D1B">
        <w:rPr>
          <w:rFonts w:cstheme="minorHAnsi"/>
          <w:lang w:val="en-US"/>
        </w:rPr>
        <w:t xml:space="preserve">Ongoing dialogue with the </w:t>
      </w:r>
      <w:r w:rsidRPr="00687D1B">
        <w:rPr>
          <w:rStyle w:val="Strong"/>
          <w:rFonts w:cstheme="minorHAnsi"/>
          <w:lang w:val="en-US"/>
        </w:rPr>
        <w:t>Office of the High Commissioner for Human Rights (OHCHR)</w:t>
      </w:r>
      <w:r w:rsidRPr="00687D1B">
        <w:rPr>
          <w:rFonts w:cstheme="minorHAnsi"/>
          <w:lang w:val="en-US"/>
        </w:rPr>
        <w:t xml:space="preserve"> and reference to other SDOs complement these efforts. By connecting its technical expertise with legal and ethical frameworks, the IEC is laying the groundwork for a systematic integration of human</w:t>
      </w:r>
      <w:r>
        <w:rPr>
          <w:rFonts w:cstheme="minorHAnsi"/>
          <w:lang w:val="en-US"/>
        </w:rPr>
        <w:t xml:space="preserve"> </w:t>
      </w:r>
      <w:r w:rsidRPr="00687D1B">
        <w:rPr>
          <w:rFonts w:cstheme="minorHAnsi"/>
          <w:lang w:val="en-US"/>
        </w:rPr>
        <w:t>rights considerations across the electrotechnical standards ecosystem.</w:t>
      </w:r>
    </w:p>
    <w:p w14:paraId="24CC4403" w14:textId="77777777" w:rsidR="007F2271" w:rsidRPr="000474E0" w:rsidRDefault="007F2271" w:rsidP="007F2271">
      <w:pPr>
        <w:pStyle w:val="Heading2"/>
        <w:rPr>
          <w:rFonts w:cstheme="minorHAnsi"/>
          <w:lang w:val="en-GB"/>
        </w:rPr>
      </w:pPr>
      <w:bookmarkStart w:id="16" w:name="_Toc214644452"/>
      <w:r>
        <w:rPr>
          <w:rFonts w:cstheme="minorHAnsi"/>
          <w:lang w:val="en-GB"/>
        </w:rPr>
        <w:t>3.3</w:t>
      </w:r>
      <w:r>
        <w:rPr>
          <w:rFonts w:cstheme="minorHAnsi"/>
          <w:lang w:val="en-GB"/>
        </w:rPr>
        <w:tab/>
      </w:r>
      <w:r w:rsidRPr="000474E0">
        <w:rPr>
          <w:rFonts w:cstheme="minorHAnsi"/>
          <w:lang w:val="en-GB"/>
        </w:rPr>
        <w:t>Institute of Electrical and Electronics Engineers (IEEE)</w:t>
      </w:r>
      <w:bookmarkEnd w:id="16"/>
    </w:p>
    <w:p w14:paraId="4B59DB9D"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Institute of Electrical and Electronics Engineers (IEEE) </w:t>
      </w:r>
      <w:proofErr w:type="gramStart"/>
      <w:r w:rsidRPr="00687D1B">
        <w:rPr>
          <w:rFonts w:cstheme="minorHAnsi"/>
          <w:lang w:val="en-US"/>
        </w:rPr>
        <w:t>integrates</w:t>
      </w:r>
      <w:proofErr w:type="gramEnd"/>
      <w:r w:rsidRPr="00687D1B">
        <w:rPr>
          <w:rFonts w:cstheme="minorHAnsi"/>
          <w:lang w:val="en-US"/>
        </w:rPr>
        <w:t xml:space="preserve"> human</w:t>
      </w:r>
      <w:r>
        <w:rPr>
          <w:rFonts w:cstheme="minorHAnsi"/>
          <w:lang w:val="en-US"/>
        </w:rPr>
        <w:t xml:space="preserve"> </w:t>
      </w:r>
      <w:r w:rsidRPr="00687D1B">
        <w:rPr>
          <w:rFonts w:cstheme="minorHAnsi"/>
          <w:lang w:val="en-US"/>
        </w:rPr>
        <w:t xml:space="preserve">rights considerations into technical standardization through a broad, cross-sectoral approach linking ethics, governance and engineering practice. Its mission to </w:t>
      </w:r>
      <w:r w:rsidRPr="00687D1B">
        <w:rPr>
          <w:rStyle w:val="Emphasis"/>
          <w:rFonts w:cstheme="minorHAnsi"/>
          <w:lang w:val="en-US"/>
        </w:rPr>
        <w:t>advance technology for the benefit of humanity</w:t>
      </w:r>
      <w:r w:rsidRPr="00687D1B">
        <w:rPr>
          <w:rFonts w:cstheme="minorHAnsi"/>
          <w:lang w:val="en-US"/>
        </w:rPr>
        <w:t xml:space="preserve"> frames how it addresses </w:t>
      </w:r>
      <w:proofErr w:type="gramStart"/>
      <w:r w:rsidRPr="00687D1B">
        <w:rPr>
          <w:rFonts w:cstheme="minorHAnsi"/>
          <w:lang w:val="en-US"/>
        </w:rPr>
        <w:t>the societal and human</w:t>
      </w:r>
      <w:r>
        <w:rPr>
          <w:rFonts w:cstheme="minorHAnsi"/>
          <w:lang w:val="en-US"/>
        </w:rPr>
        <w:t xml:space="preserve"> </w:t>
      </w:r>
      <w:r w:rsidRPr="00687D1B">
        <w:rPr>
          <w:rFonts w:cstheme="minorHAnsi"/>
          <w:lang w:val="en-US"/>
        </w:rPr>
        <w:t>rights</w:t>
      </w:r>
      <w:proofErr w:type="gramEnd"/>
      <w:r w:rsidRPr="00687D1B">
        <w:rPr>
          <w:rFonts w:cstheme="minorHAnsi"/>
          <w:lang w:val="en-US"/>
        </w:rPr>
        <w:t xml:space="preserve"> implications of emerging technologies.</w:t>
      </w:r>
    </w:p>
    <w:p w14:paraId="514AFC89" w14:textId="77777777" w:rsidR="007F2271" w:rsidRPr="00687D1B" w:rsidRDefault="007F2271" w:rsidP="007F2271">
      <w:pPr>
        <w:pStyle w:val="NormalWeb"/>
        <w:jc w:val="both"/>
        <w:rPr>
          <w:rFonts w:cstheme="minorHAnsi"/>
          <w:lang w:val="en-US"/>
        </w:rPr>
      </w:pPr>
      <w:r w:rsidRPr="00687D1B">
        <w:rPr>
          <w:rFonts w:cstheme="minorHAnsi"/>
          <w:lang w:val="en-US"/>
        </w:rPr>
        <w:lastRenderedPageBreak/>
        <w:t xml:space="preserve">Since 2016, IEEE has led the </w:t>
      </w:r>
      <w:r w:rsidRPr="00687D1B">
        <w:rPr>
          <w:rStyle w:val="Strong"/>
          <w:rFonts w:cstheme="minorHAnsi"/>
          <w:lang w:val="en-US"/>
        </w:rPr>
        <w:t>Ethically Aligned Design</w:t>
      </w:r>
      <w:r>
        <w:rPr>
          <w:rStyle w:val="FootnoteReference"/>
          <w:rFonts w:cstheme="minorHAnsi"/>
          <w:b/>
          <w:bCs/>
          <w:lang w:val="en-US"/>
        </w:rPr>
        <w:footnoteReference w:id="2"/>
      </w:r>
      <w:r w:rsidRPr="00687D1B">
        <w:rPr>
          <w:rFonts w:cstheme="minorHAnsi"/>
          <w:lang w:val="en-US"/>
        </w:rPr>
        <w:t xml:space="preserve"> initiative which explores the moral and societal dimensions of AI and related systems. This work gave rise to the </w:t>
      </w:r>
      <w:r w:rsidRPr="00687D1B">
        <w:rPr>
          <w:rStyle w:val="Strong"/>
          <w:rFonts w:cstheme="minorHAnsi"/>
          <w:lang w:val="en-US"/>
        </w:rPr>
        <w:t>IEEE 7000 series</w:t>
      </w:r>
      <w:r>
        <w:rPr>
          <w:rStyle w:val="FootnoteReference"/>
          <w:rFonts w:cstheme="minorHAnsi"/>
          <w:b/>
          <w:bCs/>
          <w:lang w:val="en-US"/>
        </w:rPr>
        <w:footnoteReference w:id="3"/>
      </w:r>
      <w:r w:rsidRPr="00687D1B">
        <w:rPr>
          <w:rFonts w:cstheme="minorHAnsi"/>
          <w:lang w:val="en-US"/>
        </w:rPr>
        <w:t>, a portfolio now exceeding one hundred global standards addressing algorithmic bias, transparency, data privacy and accountability in autonomous and intelligent systems</w:t>
      </w:r>
      <w:r>
        <w:rPr>
          <w:rStyle w:val="FootnoteReference"/>
          <w:rFonts w:cstheme="minorHAnsi"/>
          <w:lang w:val="en-US"/>
        </w:rPr>
        <w:footnoteReference w:id="4"/>
      </w:r>
      <w:r w:rsidRPr="00687D1B">
        <w:rPr>
          <w:rFonts w:cstheme="minorHAnsi"/>
          <w:lang w:val="en-US"/>
        </w:rPr>
        <w:t xml:space="preserve">. Complementing this, the </w:t>
      </w:r>
      <w:r w:rsidRPr="00687D1B">
        <w:rPr>
          <w:rStyle w:val="Strong"/>
          <w:rFonts w:cstheme="minorHAnsi"/>
          <w:lang w:val="en-US"/>
        </w:rPr>
        <w:t xml:space="preserve">IEEE </w:t>
      </w:r>
      <w:proofErr w:type="spellStart"/>
      <w:r w:rsidRPr="00687D1B">
        <w:rPr>
          <w:rStyle w:val="Strong"/>
          <w:rFonts w:cstheme="minorHAnsi"/>
          <w:lang w:val="en-US"/>
        </w:rPr>
        <w:t>CertifAIEd</w:t>
      </w:r>
      <w:proofErr w:type="spellEnd"/>
      <w:r w:rsidRPr="00687D1B">
        <w:rPr>
          <w:rFonts w:cstheme="minorHAnsi"/>
          <w:lang w:val="en-US"/>
        </w:rPr>
        <w:t xml:space="preserve"> program</w:t>
      </w:r>
      <w:r>
        <w:rPr>
          <w:rStyle w:val="FootnoteReference"/>
          <w:rFonts w:cstheme="minorHAnsi"/>
          <w:lang w:val="en-US"/>
        </w:rPr>
        <w:footnoteReference w:id="5"/>
      </w:r>
      <w:r w:rsidRPr="00687D1B">
        <w:rPr>
          <w:rFonts w:cstheme="minorHAnsi"/>
          <w:lang w:val="en-US"/>
        </w:rPr>
        <w:t xml:space="preserve"> certifies AI development processes, ensuring that ethical and rights-based criteria are embedded from the outset rather than treated as afterthoughts.</w:t>
      </w:r>
    </w:p>
    <w:p w14:paraId="44C70031" w14:textId="77777777" w:rsidR="007F2271" w:rsidRDefault="007F2271" w:rsidP="007F2271">
      <w:pPr>
        <w:pStyle w:val="NormalWeb"/>
        <w:jc w:val="both"/>
        <w:rPr>
          <w:rFonts w:cstheme="minorHAnsi"/>
          <w:lang w:val="en-US"/>
        </w:rPr>
      </w:pPr>
      <w:r w:rsidRPr="00687D1B">
        <w:rPr>
          <w:rFonts w:cstheme="minorHAnsi"/>
          <w:lang w:val="en-US"/>
        </w:rPr>
        <w:t xml:space="preserve">IEEE’s standards process is </w:t>
      </w:r>
      <w:r>
        <w:rPr>
          <w:rStyle w:val="Strong"/>
          <w:rFonts w:cstheme="minorHAnsi"/>
          <w:lang w:val="en-US"/>
        </w:rPr>
        <w:t>open and participatory</w:t>
      </w:r>
      <w:r>
        <w:rPr>
          <w:rFonts w:cstheme="minorHAnsi"/>
          <w:lang w:val="en-US"/>
        </w:rPr>
        <w:t>,</w:t>
      </w:r>
      <w:r w:rsidRPr="00687D1B">
        <w:rPr>
          <w:rFonts w:cstheme="minorHAnsi"/>
          <w:lang w:val="en-US"/>
        </w:rPr>
        <w:t xml:space="preserve"> allowing experts from industry, academia, civil society, and public institutions worldwide to contribute. This </w:t>
      </w:r>
      <w:proofErr w:type="gramStart"/>
      <w:r w:rsidRPr="00687D1B">
        <w:rPr>
          <w:rFonts w:cstheme="minorHAnsi"/>
          <w:lang w:val="en-US"/>
        </w:rPr>
        <w:t>inclusivity</w:t>
      </w:r>
      <w:proofErr w:type="gramEnd"/>
      <w:r w:rsidRPr="00687D1B">
        <w:rPr>
          <w:rFonts w:cstheme="minorHAnsi"/>
          <w:lang w:val="en-US"/>
        </w:rPr>
        <w:t xml:space="preserve"> ensures that diverse perspectives, technical, ethical and societal, inform the drafting of standards. The organization also supports </w:t>
      </w:r>
      <w:r w:rsidRPr="00687D1B">
        <w:rPr>
          <w:rStyle w:val="Strong"/>
          <w:rFonts w:cstheme="minorHAnsi"/>
          <w:lang w:val="en-US"/>
        </w:rPr>
        <w:t>pre-standardization work</w:t>
      </w:r>
      <w:r w:rsidRPr="00687D1B">
        <w:rPr>
          <w:rFonts w:cstheme="minorHAnsi"/>
          <w:lang w:val="en-US"/>
        </w:rPr>
        <w:t>, enabling early exploration of issues such as human</w:t>
      </w:r>
      <w:r>
        <w:rPr>
          <w:rFonts w:cstheme="minorHAnsi"/>
          <w:lang w:val="en-US"/>
        </w:rPr>
        <w:t xml:space="preserve"> </w:t>
      </w:r>
      <w:r w:rsidRPr="00687D1B">
        <w:rPr>
          <w:rFonts w:cstheme="minorHAnsi"/>
          <w:lang w:val="en-US"/>
        </w:rPr>
        <w:t>rights implications before formal technical drafting begins.</w:t>
      </w:r>
    </w:p>
    <w:p w14:paraId="215F2B46" w14:textId="77777777" w:rsidR="007F2271" w:rsidRPr="00687D1B" w:rsidRDefault="007F2271" w:rsidP="007F2271">
      <w:pPr>
        <w:pStyle w:val="NormalWeb"/>
        <w:jc w:val="both"/>
        <w:rPr>
          <w:rFonts w:cstheme="minorHAnsi"/>
          <w:lang w:val="en-US"/>
        </w:rPr>
      </w:pPr>
      <w:r w:rsidRPr="00CF25CA">
        <w:rPr>
          <w:rFonts w:cstheme="minorHAnsi"/>
          <w:lang w:val="en-US"/>
        </w:rPr>
        <w:t>Although IEEE’s standards process is formally open and participatory under the WTO/TBT framework</w:t>
      </w:r>
      <w:r>
        <w:rPr>
          <w:rStyle w:val="FootnoteReference"/>
          <w:rFonts w:cstheme="minorHAnsi"/>
          <w:lang w:val="en-US"/>
        </w:rPr>
        <w:footnoteReference w:id="6"/>
      </w:r>
      <w:r w:rsidRPr="00CF25CA">
        <w:rPr>
          <w:rFonts w:cstheme="minorHAnsi"/>
          <w:lang w:val="en-US"/>
        </w:rPr>
        <w:t xml:space="preserve">, participation often requires resources and membership fees, which can result in an </w:t>
      </w:r>
      <w:r w:rsidRPr="00CF25CA">
        <w:rPr>
          <w:rFonts w:cstheme="minorHAnsi"/>
          <w:b/>
          <w:bCs/>
          <w:lang w:val="en-US"/>
        </w:rPr>
        <w:t>overrepresentation of industry actors</w:t>
      </w:r>
      <w:r w:rsidRPr="00CF25CA">
        <w:rPr>
          <w:rFonts w:cstheme="minorHAnsi"/>
          <w:lang w:val="en-US"/>
        </w:rPr>
        <w:t xml:space="preserve"> compared to civil society or smaller organizations.</w:t>
      </w:r>
    </w:p>
    <w:p w14:paraId="5B0BDD3E" w14:textId="77777777" w:rsidR="007F2271" w:rsidRPr="00687D1B" w:rsidRDefault="007F2271" w:rsidP="007F2271">
      <w:pPr>
        <w:pStyle w:val="NormalWeb"/>
        <w:jc w:val="both"/>
        <w:rPr>
          <w:rFonts w:cstheme="minorHAnsi"/>
          <w:lang w:val="en-US"/>
        </w:rPr>
      </w:pPr>
      <w:r w:rsidRPr="00687D1B">
        <w:rPr>
          <w:rFonts w:cstheme="minorHAnsi"/>
          <w:lang w:val="en-US"/>
        </w:rPr>
        <w:t xml:space="preserve">Recognizing that technologies such as AI, quantum computing and IoT cut across domains, IEEE leverages its multidisciplinary network to address human rights in a </w:t>
      </w:r>
      <w:r w:rsidRPr="00687D1B">
        <w:rPr>
          <w:rStyle w:val="Strong"/>
          <w:rFonts w:cstheme="minorHAnsi"/>
          <w:lang w:val="en-US"/>
        </w:rPr>
        <w:t>socio-technical</w:t>
      </w:r>
      <w:r w:rsidRPr="00687D1B">
        <w:rPr>
          <w:rFonts w:cstheme="minorHAnsi"/>
          <w:lang w:val="en-US"/>
        </w:rPr>
        <w:t xml:space="preserve"> manner. Collaboration with other standards bodies, including ITU, ISO, and IEC, through joint development agreements and liaison mechanisms strengthens coherence across the international standardization ecosystem.</w:t>
      </w:r>
    </w:p>
    <w:p w14:paraId="713371EE"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main challenges remain </w:t>
      </w:r>
      <w:r w:rsidRPr="00687D1B">
        <w:rPr>
          <w:rStyle w:val="Strong"/>
          <w:rFonts w:cstheme="minorHAnsi"/>
          <w:lang w:val="en-US"/>
        </w:rPr>
        <w:t>translational and procedural</w:t>
      </w:r>
      <w:r w:rsidRPr="00687D1B">
        <w:rPr>
          <w:rFonts w:cstheme="minorHAnsi"/>
          <w:lang w:val="en-US"/>
        </w:rPr>
        <w:t xml:space="preserve">: converting broad rights into measurable technical requirements and reconciling differing regional interpretations within consensus-based processes. To advance, IEEE promotes education, capacity-building and cross-sector dialogue. Its frameworks, already adopted in public initiatives such as Vienna’s </w:t>
      </w:r>
      <w:r w:rsidRPr="00687D1B">
        <w:rPr>
          <w:rStyle w:val="Emphasis"/>
          <w:rFonts w:cstheme="minorHAnsi"/>
          <w:lang w:val="en-US"/>
        </w:rPr>
        <w:t>Digital Humanism</w:t>
      </w:r>
      <w:r w:rsidRPr="00687D1B">
        <w:rPr>
          <w:rFonts w:cstheme="minorHAnsi"/>
          <w:lang w:val="en-US"/>
        </w:rPr>
        <w:t xml:space="preserve"> strategy, demonstrate how human</w:t>
      </w:r>
      <w:r>
        <w:rPr>
          <w:rFonts w:cstheme="minorHAnsi"/>
          <w:lang w:val="en-US"/>
        </w:rPr>
        <w:t xml:space="preserve"> </w:t>
      </w:r>
      <w:r w:rsidRPr="00687D1B">
        <w:rPr>
          <w:rFonts w:cstheme="minorHAnsi"/>
          <w:lang w:val="en-US"/>
        </w:rPr>
        <w:t>rights principles can be operationalized through concrete engineering standards.</w:t>
      </w:r>
    </w:p>
    <w:p w14:paraId="5DA6B291" w14:textId="77777777" w:rsidR="007F2271" w:rsidRPr="000474E0" w:rsidRDefault="007F2271" w:rsidP="007F2271">
      <w:pPr>
        <w:pStyle w:val="Heading2"/>
        <w:rPr>
          <w:rFonts w:cstheme="minorHAnsi"/>
          <w:lang w:val="en-GB"/>
        </w:rPr>
      </w:pPr>
      <w:bookmarkStart w:id="17" w:name="_Toc210996466"/>
      <w:bookmarkStart w:id="18" w:name="_Toc214644453"/>
      <w:r>
        <w:rPr>
          <w:rFonts w:cstheme="minorHAnsi"/>
          <w:lang w:val="en-GB"/>
        </w:rPr>
        <w:t>3.4</w:t>
      </w:r>
      <w:r>
        <w:rPr>
          <w:rFonts w:cstheme="minorHAnsi"/>
          <w:lang w:val="en-GB"/>
        </w:rPr>
        <w:tab/>
      </w:r>
      <w:r w:rsidRPr="000474E0">
        <w:rPr>
          <w:rFonts w:cstheme="minorHAnsi"/>
          <w:lang w:val="en-GB"/>
        </w:rPr>
        <w:t>Internet Engineering Task Force (IETF)</w:t>
      </w:r>
      <w:bookmarkEnd w:id="17"/>
      <w:bookmarkEnd w:id="18"/>
    </w:p>
    <w:p w14:paraId="5F1D4F4C" w14:textId="77777777" w:rsidR="007F2271" w:rsidRPr="00687D1B" w:rsidRDefault="007F2271" w:rsidP="007F2271">
      <w:pPr>
        <w:pStyle w:val="NormalWeb"/>
        <w:jc w:val="both"/>
        <w:rPr>
          <w:rFonts w:cstheme="minorHAnsi"/>
          <w:lang w:val="en-US"/>
        </w:rPr>
      </w:pPr>
      <w:r w:rsidRPr="00687D1B">
        <w:rPr>
          <w:rFonts w:cstheme="minorHAnsi"/>
          <w:lang w:val="en-US"/>
        </w:rPr>
        <w:t>The Internet Engineering Task Force (IETF) integrates human</w:t>
      </w:r>
      <w:r>
        <w:rPr>
          <w:rFonts w:cstheme="minorHAnsi"/>
          <w:lang w:val="en-US"/>
        </w:rPr>
        <w:t xml:space="preserve"> </w:t>
      </w:r>
      <w:r w:rsidRPr="00687D1B">
        <w:rPr>
          <w:rFonts w:cstheme="minorHAnsi"/>
          <w:lang w:val="en-US"/>
        </w:rPr>
        <w:t xml:space="preserve">rights considerations through an engineering-driven, bottom-up process. As a voluntary standards body, it develops technical protocols that succeed by adoption rather than mandate. Human rights are treated as design constraints to be translated into </w:t>
      </w:r>
      <w:r w:rsidRPr="00687D1B">
        <w:rPr>
          <w:rStyle w:val="Strong"/>
          <w:rFonts w:cstheme="minorHAnsi"/>
          <w:lang w:val="en-US"/>
        </w:rPr>
        <w:t>technical trade-offs</w:t>
      </w:r>
      <w:r w:rsidRPr="00687D1B">
        <w:rPr>
          <w:rFonts w:cstheme="minorHAnsi"/>
          <w:lang w:val="en-US"/>
        </w:rPr>
        <w:t xml:space="preserve"> rather than policy statements.</w:t>
      </w:r>
      <w:r>
        <w:rPr>
          <w:rFonts w:cstheme="minorHAnsi"/>
          <w:lang w:val="en-US"/>
        </w:rPr>
        <w:t xml:space="preserve"> </w:t>
      </w:r>
    </w:p>
    <w:p w14:paraId="027802A9" w14:textId="77777777" w:rsidR="007F2271" w:rsidRPr="00786289" w:rsidRDefault="007F2271" w:rsidP="007F2271">
      <w:pPr>
        <w:pStyle w:val="NormalWeb"/>
        <w:jc w:val="both"/>
        <w:rPr>
          <w:rFonts w:cstheme="minorBidi"/>
          <w:lang w:val="en-US"/>
        </w:rPr>
      </w:pPr>
      <w:r w:rsidRPr="7EEBFDF6">
        <w:rPr>
          <w:rFonts w:cstheme="minorBidi"/>
          <w:lang w:val="en-US"/>
        </w:rPr>
        <w:t xml:space="preserve">Human rights considerations at the IETF are informed in part by analytical work carried out within the Internet Research Task Force (IRTF), particularly through the Human Rights Protocol Considerations (HRPC) research group. Two key IRTF documents, </w:t>
      </w:r>
      <w:r w:rsidRPr="7EEBFDF6">
        <w:rPr>
          <w:rFonts w:cstheme="minorBidi"/>
          <w:b/>
          <w:bCs/>
          <w:lang w:val="en-US"/>
        </w:rPr>
        <w:t>RFC 8280</w:t>
      </w:r>
      <w:r w:rsidRPr="7EEBFDF6">
        <w:rPr>
          <w:rFonts w:cstheme="minorBidi"/>
          <w:lang w:val="en-US"/>
        </w:rPr>
        <w:t xml:space="preserve"> and </w:t>
      </w:r>
      <w:r w:rsidRPr="7EEBFDF6">
        <w:rPr>
          <w:rFonts w:cstheme="minorBidi"/>
          <w:b/>
          <w:bCs/>
          <w:lang w:val="en-US"/>
        </w:rPr>
        <w:t>RFC 9620</w:t>
      </w:r>
      <w:r w:rsidRPr="7EEBFDF6">
        <w:rPr>
          <w:rFonts w:cstheme="minorBidi"/>
          <w:lang w:val="en-US"/>
        </w:rPr>
        <w:t xml:space="preserve">, propose methodologies for examining how internet protocols can enable, or interfere with human rights. While these RFCs are not formal IETF standards and do not carry normative weight, they provide structured frameworks that have been applied in human-rights protocol assessments, including the </w:t>
      </w:r>
      <w:r w:rsidRPr="7EEBFDF6">
        <w:rPr>
          <w:rFonts w:cstheme="minorBidi"/>
          <w:lang w:val="en-US"/>
        </w:rPr>
        <w:lastRenderedPageBreak/>
        <w:t>QUICHR methodology</w:t>
      </w:r>
      <w:r w:rsidRPr="7EEBFDF6">
        <w:rPr>
          <w:rStyle w:val="FootnoteReference"/>
          <w:rFonts w:cstheme="minorBidi"/>
          <w:lang w:val="en-US"/>
        </w:rPr>
        <w:footnoteReference w:id="7"/>
      </w:r>
      <w:r w:rsidRPr="7EEBFDF6">
        <w:rPr>
          <w:rFonts w:cstheme="minorBidi"/>
          <w:lang w:val="en-US"/>
        </w:rPr>
        <w:t xml:space="preserve">. Their influence lies in articulating how rights translate into engineering trade-offs and in encouraging protocol designers to consider </w:t>
      </w:r>
      <w:proofErr w:type="gramStart"/>
      <w:r w:rsidRPr="7EEBFDF6">
        <w:rPr>
          <w:rFonts w:cstheme="minorBidi"/>
          <w:lang w:val="en-US"/>
        </w:rPr>
        <w:t>human-rights</w:t>
      </w:r>
      <w:proofErr w:type="gramEnd"/>
      <w:r w:rsidRPr="7EEBFDF6">
        <w:rPr>
          <w:rFonts w:cstheme="minorBidi"/>
          <w:lang w:val="en-US"/>
        </w:rPr>
        <w:t xml:space="preserve"> impacts during early stages of design.</w:t>
      </w:r>
    </w:p>
    <w:p w14:paraId="510ABE06" w14:textId="77777777" w:rsidR="007F2271" w:rsidRPr="00687D1B" w:rsidRDefault="007F2271" w:rsidP="007F2271">
      <w:pPr>
        <w:pStyle w:val="NormalWeb"/>
        <w:jc w:val="both"/>
        <w:rPr>
          <w:rFonts w:cstheme="minorBidi"/>
          <w:lang w:val="en-US"/>
        </w:rPr>
      </w:pPr>
      <w:r w:rsidRPr="7EEBFDF6">
        <w:rPr>
          <w:rFonts w:cstheme="minorBidi"/>
          <w:lang w:val="en-US"/>
        </w:rPr>
        <w:t xml:space="preserve">Human rights dimensions are often addressed through </w:t>
      </w:r>
      <w:r w:rsidRPr="7EEBFDF6">
        <w:rPr>
          <w:rStyle w:val="Strong"/>
          <w:rFonts w:cstheme="minorBidi"/>
          <w:lang w:val="en-US"/>
        </w:rPr>
        <w:t>security and threat-model frameworks</w:t>
      </w:r>
      <w:r w:rsidRPr="7EEBFDF6">
        <w:rPr>
          <w:rFonts w:cstheme="minorBidi"/>
          <w:lang w:val="en-US"/>
        </w:rPr>
        <w:t xml:space="preserve">. Every IETF specification must include a </w:t>
      </w:r>
      <w:r w:rsidRPr="7EEBFDF6">
        <w:rPr>
          <w:rStyle w:val="Emphasis"/>
          <w:rFonts w:cstheme="minorBidi"/>
          <w:lang w:val="en-US"/>
        </w:rPr>
        <w:t>security considerations</w:t>
      </w:r>
      <w:r w:rsidRPr="7EEBFDF6">
        <w:rPr>
          <w:rFonts w:cstheme="minorBidi"/>
          <w:lang w:val="en-US"/>
        </w:rPr>
        <w:t xml:space="preserve"> section, establishing a formal expectation of risk analysis. While no equivalent rule yet exists for human rights considerations, related discussions take place within the </w:t>
      </w:r>
      <w:r w:rsidRPr="7EEBFDF6">
        <w:rPr>
          <w:rStyle w:val="Strong"/>
          <w:rFonts w:cstheme="minorBidi"/>
          <w:lang w:val="en-US"/>
        </w:rPr>
        <w:t>Human Rights Protocol Considerations (HRPC)</w:t>
      </w:r>
      <w:r w:rsidRPr="7EEBFDF6">
        <w:rPr>
          <w:rFonts w:cstheme="minorBidi"/>
          <w:lang w:val="en-US"/>
        </w:rPr>
        <w:t xml:space="preserve"> research group. New working groups increasingly define </w:t>
      </w:r>
      <w:r w:rsidRPr="7EEBFDF6">
        <w:rPr>
          <w:rStyle w:val="Strong"/>
          <w:rFonts w:cstheme="minorBidi"/>
          <w:lang w:val="en-US"/>
        </w:rPr>
        <w:t>threat models</w:t>
      </w:r>
      <w:r w:rsidRPr="7EEBFDF6">
        <w:rPr>
          <w:rFonts w:cstheme="minorBidi"/>
          <w:lang w:val="en-US"/>
        </w:rPr>
        <w:t xml:space="preserve"> at the start of their work, embedding rights-related issues, such as privacy and safety, into engineering trade-offs. A recent example involves mitigating unwanted Bluetooth trackers used in intimate-partner violence, balancing functionality with personal security.</w:t>
      </w:r>
    </w:p>
    <w:p w14:paraId="2428C19A" w14:textId="77777777" w:rsidR="007F2271" w:rsidRPr="00687D1B" w:rsidRDefault="007F2271" w:rsidP="007F2271">
      <w:pPr>
        <w:pStyle w:val="NormalWeb"/>
        <w:jc w:val="both"/>
        <w:rPr>
          <w:rFonts w:cstheme="minorHAnsi"/>
          <w:lang w:val="en-US"/>
        </w:rPr>
      </w:pPr>
      <w:r w:rsidRPr="00687D1B">
        <w:rPr>
          <w:rFonts w:cstheme="minorHAnsi"/>
          <w:lang w:val="en-US"/>
        </w:rPr>
        <w:t xml:space="preserve">Key challenges include the </w:t>
      </w:r>
      <w:r w:rsidRPr="00687D1B">
        <w:rPr>
          <w:rStyle w:val="Strong"/>
          <w:rFonts w:cstheme="minorHAnsi"/>
          <w:lang w:val="en-US"/>
        </w:rPr>
        <w:t>compositional complexity</w:t>
      </w:r>
      <w:r w:rsidRPr="00687D1B">
        <w:rPr>
          <w:rFonts w:cstheme="minorHAnsi"/>
          <w:lang w:val="en-US"/>
        </w:rPr>
        <w:t xml:space="preserve"> of protocols, each </w:t>
      </w:r>
      <w:proofErr w:type="gramStart"/>
      <w:r w:rsidRPr="00687D1B">
        <w:rPr>
          <w:rFonts w:cstheme="minorHAnsi"/>
          <w:lang w:val="en-US"/>
        </w:rPr>
        <w:t>acts</w:t>
      </w:r>
      <w:proofErr w:type="gramEnd"/>
      <w:r w:rsidRPr="00687D1B">
        <w:rPr>
          <w:rFonts w:cstheme="minorHAnsi"/>
          <w:lang w:val="en-US"/>
        </w:rPr>
        <w:t xml:space="preserve"> as a building block whose human</w:t>
      </w:r>
      <w:r>
        <w:rPr>
          <w:rFonts w:cstheme="minorHAnsi"/>
          <w:lang w:val="en-US"/>
        </w:rPr>
        <w:t xml:space="preserve"> </w:t>
      </w:r>
      <w:r w:rsidRPr="00687D1B">
        <w:rPr>
          <w:rFonts w:cstheme="minorHAnsi"/>
          <w:lang w:val="en-US"/>
        </w:rPr>
        <w:t xml:space="preserve">rights impact emerges only when combined into systems, as well as </w:t>
      </w:r>
      <w:r w:rsidRPr="00687D1B">
        <w:rPr>
          <w:rStyle w:val="Strong"/>
          <w:rFonts w:cstheme="minorHAnsi"/>
          <w:lang w:val="en-US"/>
        </w:rPr>
        <w:t>dual-use risks</w:t>
      </w:r>
      <w:r w:rsidRPr="00687D1B">
        <w:rPr>
          <w:rFonts w:cstheme="minorHAnsi"/>
          <w:lang w:val="en-US"/>
        </w:rPr>
        <w:t>, where a protocol may both enable and undermine rights depending on context.</w:t>
      </w:r>
    </w:p>
    <w:p w14:paraId="4A97FE1F" w14:textId="77777777" w:rsidR="007F2271" w:rsidRDefault="007F2271" w:rsidP="007F2271">
      <w:pPr>
        <w:pStyle w:val="NormalWeb"/>
        <w:jc w:val="both"/>
        <w:rPr>
          <w:rFonts w:cstheme="minorHAnsi"/>
          <w:lang w:val="en-US"/>
        </w:rPr>
      </w:pPr>
      <w:r w:rsidRPr="00687D1B">
        <w:rPr>
          <w:rFonts w:cstheme="minorHAnsi"/>
          <w:lang w:val="en-US"/>
        </w:rPr>
        <w:t xml:space="preserve">IETF’s experience demonstrates that rights integration becomes actionable when framed in </w:t>
      </w:r>
      <w:r w:rsidRPr="00687D1B">
        <w:rPr>
          <w:rStyle w:val="Strong"/>
          <w:rFonts w:cstheme="minorHAnsi"/>
          <w:lang w:val="en-US"/>
        </w:rPr>
        <w:t>technical language</w:t>
      </w:r>
      <w:r w:rsidRPr="00687D1B">
        <w:rPr>
          <w:rFonts w:cstheme="minorHAnsi"/>
          <w:lang w:val="en-US"/>
        </w:rPr>
        <w:t>. Embedding “considerations” sections, defining threat models and translating rights into requirements provide practical mechanisms that other standards bodies can adapt. This pragmatic, decentralized method links abstract principles with engineering realities without imposing political or prescriptive frameworks.</w:t>
      </w:r>
    </w:p>
    <w:p w14:paraId="43FCC88C" w14:textId="77777777" w:rsidR="007F2271" w:rsidRDefault="007F2271" w:rsidP="007F2271">
      <w:pPr>
        <w:pStyle w:val="NormalWeb"/>
        <w:jc w:val="both"/>
        <w:rPr>
          <w:rFonts w:cstheme="minorHAnsi"/>
          <w:lang w:val="en-US"/>
        </w:rPr>
      </w:pPr>
      <w:r w:rsidRPr="00786289">
        <w:rPr>
          <w:rFonts w:cstheme="minorHAnsi"/>
          <w:lang w:val="en-US"/>
        </w:rPr>
        <w:t>A comprehensive overview of IETF and IAB perspectives on human rights in technical standardization can be found in the IAB’s response to the OHCHR call for input</w:t>
      </w:r>
      <w:r>
        <w:rPr>
          <w:rStyle w:val="FootnoteReference"/>
          <w:rFonts w:cstheme="minorHAnsi"/>
          <w:lang w:val="en-US"/>
        </w:rPr>
        <w:footnoteReference w:id="8"/>
      </w:r>
      <w:r w:rsidRPr="00786289">
        <w:rPr>
          <w:rFonts w:cstheme="minorHAnsi"/>
          <w:lang w:val="en-US"/>
        </w:rPr>
        <w:t xml:space="preserve"> (2023). This document outlines how rights considerations are translated into engineering practices, threat models, and protocol design priorities.</w:t>
      </w:r>
    </w:p>
    <w:p w14:paraId="53A6822B" w14:textId="77777777" w:rsidR="007F2271" w:rsidRPr="000474E0" w:rsidRDefault="007F2271" w:rsidP="007F2271">
      <w:pPr>
        <w:pStyle w:val="Heading2"/>
        <w:rPr>
          <w:rFonts w:cstheme="minorHAnsi"/>
          <w:lang w:val="en-GB"/>
        </w:rPr>
      </w:pPr>
      <w:bookmarkStart w:id="19" w:name="_Toc214644454"/>
      <w:r>
        <w:rPr>
          <w:rFonts w:cstheme="minorHAnsi"/>
          <w:lang w:val="en-GB"/>
        </w:rPr>
        <w:t>3.5</w:t>
      </w:r>
      <w:r>
        <w:rPr>
          <w:rFonts w:cstheme="minorHAnsi"/>
          <w:lang w:val="en-GB"/>
        </w:rPr>
        <w:tab/>
      </w:r>
      <w:r w:rsidRPr="000474E0">
        <w:rPr>
          <w:rFonts w:cstheme="minorHAnsi"/>
          <w:lang w:val="en-GB"/>
        </w:rPr>
        <w:t>European Telecommunications Standards Institute (ETSI)</w:t>
      </w:r>
      <w:bookmarkEnd w:id="19"/>
    </w:p>
    <w:p w14:paraId="35DC8742" w14:textId="77777777" w:rsidR="007F2271" w:rsidRPr="00687D1B" w:rsidRDefault="007F2271" w:rsidP="007F2271">
      <w:pPr>
        <w:pStyle w:val="NormalWeb"/>
        <w:jc w:val="both"/>
        <w:rPr>
          <w:rFonts w:cstheme="minorHAnsi"/>
          <w:lang w:val="en-US"/>
        </w:rPr>
      </w:pPr>
      <w:r w:rsidRPr="00687D1B">
        <w:rPr>
          <w:rFonts w:cstheme="minorHAnsi"/>
          <w:lang w:val="en-US"/>
        </w:rPr>
        <w:t>ETSI has begun an internal initiative to integrate human</w:t>
      </w:r>
      <w:r>
        <w:rPr>
          <w:rFonts w:cstheme="minorHAnsi"/>
          <w:lang w:val="en-US"/>
        </w:rPr>
        <w:t xml:space="preserve"> </w:t>
      </w:r>
      <w:r w:rsidRPr="00687D1B">
        <w:rPr>
          <w:rFonts w:cstheme="minorHAnsi"/>
          <w:lang w:val="en-US"/>
        </w:rPr>
        <w:t>rights considerations into its standardization process. The effort remains exploratory and aims primarily to build awareness and gradually embed explicit human</w:t>
      </w:r>
      <w:r>
        <w:rPr>
          <w:rFonts w:cstheme="minorHAnsi"/>
          <w:lang w:val="en-US"/>
        </w:rPr>
        <w:t xml:space="preserve"> </w:t>
      </w:r>
      <w:r w:rsidRPr="00687D1B">
        <w:rPr>
          <w:rFonts w:cstheme="minorHAnsi"/>
          <w:lang w:val="en-US"/>
        </w:rPr>
        <w:t>rights references within existing procedures.</w:t>
      </w:r>
    </w:p>
    <w:p w14:paraId="683DCE6F" w14:textId="77777777" w:rsidR="007F2271" w:rsidRPr="00687D1B" w:rsidRDefault="007F2271" w:rsidP="007F2271">
      <w:pPr>
        <w:pStyle w:val="NormalWeb"/>
        <w:jc w:val="both"/>
        <w:rPr>
          <w:rFonts w:cstheme="minorBidi"/>
          <w:lang w:val="en-US"/>
        </w:rPr>
      </w:pPr>
      <w:r w:rsidRPr="7EEBFDF6">
        <w:rPr>
          <w:rFonts w:cstheme="minorBidi"/>
          <w:lang w:val="en-US"/>
        </w:rPr>
        <w:t xml:space="preserve">The institute is preparing a </w:t>
      </w:r>
      <w:r w:rsidRPr="7EEBFDF6">
        <w:rPr>
          <w:rStyle w:val="Strong"/>
          <w:rFonts w:cstheme="minorBidi"/>
          <w:lang w:val="en-US"/>
        </w:rPr>
        <w:t>draft proposal to its board,</w:t>
      </w:r>
      <w:r w:rsidRPr="7EEBFDF6">
        <w:rPr>
          <w:rFonts w:cstheme="minorBidi"/>
          <w:lang w:val="en-US"/>
        </w:rPr>
        <w:t xml:space="preserve"> to be considered in late 2025, introducing a lightweight procedural add-on that inserts </w:t>
      </w:r>
      <w:r w:rsidRPr="7EEBFDF6">
        <w:rPr>
          <w:rStyle w:val="Strong"/>
          <w:rFonts w:cstheme="minorBidi"/>
          <w:lang w:val="en-US"/>
        </w:rPr>
        <w:t>human rights checkpoints</w:t>
      </w:r>
      <w:r w:rsidRPr="7EEBFDF6">
        <w:rPr>
          <w:rFonts w:cstheme="minorBidi"/>
          <w:lang w:val="en-US"/>
        </w:rPr>
        <w:t xml:space="preserve"> at three key stages of a standard’s lifecycle: (1) approval of a new work item, (2) maturity of a draft, and (3) finalization or pre-publication. At each stage, participants would ask whether the work is likely to affect human rights. If so, consultation with internal or external expertise would be recommended before proceeding.</w:t>
      </w:r>
    </w:p>
    <w:p w14:paraId="262561E6" w14:textId="77777777" w:rsidR="007F2271" w:rsidRPr="00687D1B" w:rsidRDefault="007F2271" w:rsidP="007F2271">
      <w:pPr>
        <w:pStyle w:val="NormalWeb"/>
        <w:jc w:val="both"/>
        <w:rPr>
          <w:rFonts w:cstheme="minorHAnsi"/>
          <w:lang w:val="en-US"/>
        </w:rPr>
      </w:pPr>
      <w:r w:rsidRPr="00687D1B">
        <w:rPr>
          <w:rFonts w:cstheme="minorHAnsi"/>
          <w:lang w:val="en-US"/>
        </w:rPr>
        <w:t>This pragmatic approach seeks to ensure that human</w:t>
      </w:r>
      <w:r>
        <w:rPr>
          <w:rFonts w:cstheme="minorHAnsi"/>
          <w:lang w:val="en-US"/>
        </w:rPr>
        <w:t xml:space="preserve"> </w:t>
      </w:r>
      <w:r w:rsidRPr="00687D1B">
        <w:rPr>
          <w:rFonts w:cstheme="minorHAnsi"/>
          <w:lang w:val="en-US"/>
        </w:rPr>
        <w:t xml:space="preserve">rights questions are systematically raised without slowing technical work. ETSI plans to test the model through </w:t>
      </w:r>
      <w:r w:rsidRPr="00687D1B">
        <w:rPr>
          <w:rStyle w:val="Strong"/>
          <w:rFonts w:cstheme="minorHAnsi"/>
          <w:lang w:val="en-US"/>
        </w:rPr>
        <w:t>pilot projects</w:t>
      </w:r>
      <w:r w:rsidRPr="00687D1B">
        <w:rPr>
          <w:rFonts w:cstheme="minorHAnsi"/>
          <w:lang w:val="en-US"/>
        </w:rPr>
        <w:t xml:space="preserve">, potentially in </w:t>
      </w:r>
      <w:r w:rsidRPr="00687D1B">
        <w:rPr>
          <w:rFonts w:cstheme="minorHAnsi"/>
          <w:lang w:val="en-US"/>
        </w:rPr>
        <w:lastRenderedPageBreak/>
        <w:t xml:space="preserve">emerging </w:t>
      </w:r>
      <w:r>
        <w:rPr>
          <w:rFonts w:cstheme="minorHAnsi"/>
          <w:lang w:val="en-US"/>
        </w:rPr>
        <w:t xml:space="preserve">technology </w:t>
      </w:r>
      <w:r w:rsidRPr="00687D1B">
        <w:rPr>
          <w:rFonts w:cstheme="minorHAnsi"/>
          <w:lang w:val="en-US"/>
        </w:rPr>
        <w:t xml:space="preserve">domains, where rights implications have already been recognized in related </w:t>
      </w:r>
      <w:r>
        <w:rPr>
          <w:rFonts w:cstheme="minorHAnsi"/>
          <w:lang w:val="en-US"/>
        </w:rPr>
        <w:t>discussions</w:t>
      </w:r>
      <w:r w:rsidRPr="00687D1B">
        <w:rPr>
          <w:rFonts w:cstheme="minorHAnsi"/>
          <w:lang w:val="en-US"/>
        </w:rPr>
        <w:t>.</w:t>
      </w:r>
    </w:p>
    <w:p w14:paraId="03298BC6" w14:textId="77777777" w:rsidR="007F2271" w:rsidRPr="00687D1B" w:rsidRDefault="007F2271" w:rsidP="007F2271">
      <w:pPr>
        <w:pStyle w:val="NormalWeb"/>
        <w:jc w:val="both"/>
        <w:rPr>
          <w:rFonts w:cstheme="minorHAnsi"/>
          <w:lang w:val="en-US"/>
        </w:rPr>
      </w:pPr>
      <w:r w:rsidRPr="00687D1B">
        <w:rPr>
          <w:rFonts w:cstheme="minorHAnsi"/>
          <w:lang w:val="en-US"/>
        </w:rPr>
        <w:t>Human</w:t>
      </w:r>
      <w:r>
        <w:rPr>
          <w:rFonts w:cstheme="minorHAnsi"/>
          <w:lang w:val="en-US"/>
        </w:rPr>
        <w:t xml:space="preserve"> </w:t>
      </w:r>
      <w:r w:rsidRPr="00687D1B">
        <w:rPr>
          <w:rFonts w:cstheme="minorHAnsi"/>
          <w:lang w:val="en-US"/>
        </w:rPr>
        <w:t>rights language currently appears in ETSI’s statement of values</w:t>
      </w:r>
      <w:r>
        <w:rPr>
          <w:rStyle w:val="FootnoteReference"/>
          <w:rFonts w:cstheme="minorHAnsi"/>
          <w:lang w:val="en-US"/>
        </w:rPr>
        <w:footnoteReference w:id="9"/>
      </w:r>
      <w:r w:rsidRPr="00687D1B">
        <w:rPr>
          <w:rFonts w:cstheme="minorHAnsi"/>
          <w:lang w:val="en-US"/>
        </w:rPr>
        <w:t xml:space="preserve"> but not in its formal drafting rules. The new mechanism would bring these considerations into the operational framework of standardization</w:t>
      </w:r>
      <w:r>
        <w:rPr>
          <w:rFonts w:cstheme="minorHAnsi"/>
          <w:lang w:val="en-US"/>
        </w:rPr>
        <w:t xml:space="preserve"> </w:t>
      </w:r>
      <w:r w:rsidRPr="00687D1B">
        <w:rPr>
          <w:rFonts w:cstheme="minorHAnsi"/>
          <w:lang w:val="en-US"/>
        </w:rPr>
        <w:t>aligning with evolving expectations in the European context.</w:t>
      </w:r>
    </w:p>
    <w:p w14:paraId="6BE3EEE3"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initiative is guided by two principles: proportionality and feasibility. The mechanism must remain </w:t>
      </w:r>
      <w:r w:rsidRPr="00687D1B">
        <w:rPr>
          <w:rStyle w:val="Strong"/>
          <w:rFonts w:cstheme="minorHAnsi"/>
          <w:lang w:val="en-US"/>
        </w:rPr>
        <w:t>simple and sustainable</w:t>
      </w:r>
      <w:r w:rsidRPr="00687D1B">
        <w:rPr>
          <w:rFonts w:cstheme="minorHAnsi"/>
          <w:lang w:val="en-US"/>
        </w:rPr>
        <w:t xml:space="preserve"> with three or four concise checkpoints and minimal administrative burden. Bandwidth constraints mean that the process will evolve incrementally starting with internal pilots and consultation among board members, national administrations and experts from the European Commission and Member States.</w:t>
      </w:r>
    </w:p>
    <w:p w14:paraId="22507102" w14:textId="77777777" w:rsidR="007F2271" w:rsidRPr="00687D1B" w:rsidRDefault="007F2271" w:rsidP="007F2271">
      <w:pPr>
        <w:pStyle w:val="NormalWeb"/>
        <w:jc w:val="both"/>
        <w:rPr>
          <w:rFonts w:cstheme="minorHAnsi"/>
          <w:lang w:val="en-US"/>
        </w:rPr>
      </w:pPr>
      <w:r w:rsidRPr="00687D1B">
        <w:rPr>
          <w:rFonts w:cstheme="minorHAnsi"/>
          <w:lang w:val="en-US"/>
        </w:rPr>
        <w:t xml:space="preserve">By focusing on a </w:t>
      </w:r>
      <w:r w:rsidRPr="00687D1B">
        <w:rPr>
          <w:rStyle w:val="Strong"/>
          <w:rFonts w:cstheme="minorHAnsi"/>
          <w:lang w:val="en-US"/>
        </w:rPr>
        <w:t>lean, procedural entry point</w:t>
      </w:r>
      <w:r w:rsidRPr="00687D1B">
        <w:rPr>
          <w:rFonts w:cstheme="minorHAnsi"/>
          <w:lang w:val="en-US"/>
        </w:rPr>
        <w:t>, ETSI is building a culture of reflection on human</w:t>
      </w:r>
      <w:r>
        <w:rPr>
          <w:rFonts w:cstheme="minorHAnsi"/>
          <w:lang w:val="en-US"/>
        </w:rPr>
        <w:t xml:space="preserve"> </w:t>
      </w:r>
      <w:r w:rsidRPr="00687D1B">
        <w:rPr>
          <w:rFonts w:cstheme="minorHAnsi"/>
          <w:lang w:val="en-US"/>
        </w:rPr>
        <w:t>rights impacts within its technical community, creating a foundation for future cooperation with other standards bodies pursuing similar objectives.</w:t>
      </w:r>
    </w:p>
    <w:p w14:paraId="030C0B8F" w14:textId="77777777" w:rsidR="007F2271" w:rsidRPr="000474E0" w:rsidRDefault="007F2271" w:rsidP="007F2271">
      <w:pPr>
        <w:pStyle w:val="Heading2"/>
        <w:rPr>
          <w:rFonts w:cstheme="minorHAnsi"/>
          <w:lang w:val="en-GB"/>
        </w:rPr>
      </w:pPr>
      <w:bookmarkStart w:id="20" w:name="_Toc214644455"/>
      <w:r>
        <w:rPr>
          <w:rFonts w:cstheme="minorHAnsi"/>
          <w:lang w:val="en-GB"/>
        </w:rPr>
        <w:t>3.6</w:t>
      </w:r>
      <w:r>
        <w:rPr>
          <w:rFonts w:cstheme="minorHAnsi"/>
          <w:lang w:val="en-GB"/>
        </w:rPr>
        <w:tab/>
      </w:r>
      <w:r w:rsidRPr="000474E0">
        <w:rPr>
          <w:rFonts w:cstheme="minorHAnsi"/>
          <w:lang w:val="en-GB"/>
        </w:rPr>
        <w:t>European Committee for Standardization and European Committee for Electrotechnical Standardization (CEN/CENELEC)</w:t>
      </w:r>
      <w:bookmarkEnd w:id="20"/>
    </w:p>
    <w:p w14:paraId="00241869" w14:textId="77777777" w:rsidR="007F2271" w:rsidRPr="008B64EC" w:rsidRDefault="007F2271" w:rsidP="007F2271">
      <w:pPr>
        <w:pStyle w:val="NormalWeb"/>
        <w:jc w:val="both"/>
        <w:rPr>
          <w:rFonts w:cstheme="minorHAnsi"/>
          <w:lang w:val="en-US"/>
        </w:rPr>
      </w:pPr>
      <w:r w:rsidRPr="008B64EC">
        <w:rPr>
          <w:rFonts w:cstheme="minorHAnsi"/>
          <w:lang w:val="en-US"/>
        </w:rPr>
        <w:t xml:space="preserve">CEN and CENELEC play a central role in translating the </w:t>
      </w:r>
      <w:r w:rsidRPr="008B64EC">
        <w:rPr>
          <w:rStyle w:val="Strong"/>
          <w:rFonts w:cstheme="minorHAnsi"/>
          <w:lang w:val="en-US"/>
        </w:rPr>
        <w:t>European Union’s AI Act</w:t>
      </w:r>
      <w:r w:rsidRPr="008B64EC">
        <w:rPr>
          <w:rFonts w:cstheme="minorHAnsi"/>
          <w:lang w:val="en-US"/>
        </w:rPr>
        <w:t xml:space="preserve"> into harmonized standards that provide presumption of conformity with legal requirements. Acting under a </w:t>
      </w:r>
      <w:r w:rsidRPr="008B64EC">
        <w:rPr>
          <w:rStyle w:val="Strong"/>
          <w:rFonts w:cstheme="minorHAnsi"/>
          <w:lang w:val="en-US"/>
        </w:rPr>
        <w:t>standardization request from the European Commission</w:t>
      </w:r>
      <w:r w:rsidRPr="008B64EC">
        <w:rPr>
          <w:rFonts w:cstheme="minorHAnsi"/>
          <w:lang w:val="en-US"/>
        </w:rPr>
        <w:t xml:space="preserve">, their </w:t>
      </w:r>
      <w:r w:rsidRPr="008B64EC">
        <w:rPr>
          <w:rStyle w:val="Strong"/>
          <w:rFonts w:cstheme="minorHAnsi"/>
          <w:lang w:val="en-US"/>
        </w:rPr>
        <w:t>Joint Technical Committee 21 (JTC 21)</w:t>
      </w:r>
      <w:r w:rsidRPr="008B64EC">
        <w:rPr>
          <w:rFonts w:cstheme="minorHAnsi"/>
          <w:lang w:val="en-US"/>
        </w:rPr>
        <w:t xml:space="preserve"> develops deliverables supporting the Act’s risk-based framework. </w:t>
      </w:r>
      <w:r>
        <w:rPr>
          <w:rFonts w:cstheme="minorHAnsi"/>
          <w:color w:val="000000"/>
          <w:lang w:val="en-US"/>
        </w:rPr>
        <w:t>U</w:t>
      </w:r>
      <w:r w:rsidRPr="008B64EC">
        <w:rPr>
          <w:rFonts w:cstheme="minorHAnsi"/>
          <w:color w:val="000000"/>
          <w:lang w:val="en-US"/>
        </w:rPr>
        <w:t>nder JTC 21</w:t>
      </w:r>
      <w:r>
        <w:rPr>
          <w:rFonts w:cstheme="minorHAnsi"/>
          <w:color w:val="000000"/>
          <w:lang w:val="en-US"/>
        </w:rPr>
        <w:t>,</w:t>
      </w:r>
      <w:r w:rsidRPr="008B64EC">
        <w:rPr>
          <w:rFonts w:cstheme="minorHAnsi"/>
          <w:color w:val="000000"/>
          <w:lang w:val="en-US"/>
        </w:rPr>
        <w:t xml:space="preserve"> CEN/CENELEC created a Task Group dedicated to Inclusiveness, in charge of raising awareness about </w:t>
      </w:r>
      <w:r>
        <w:rPr>
          <w:rFonts w:cstheme="minorHAnsi"/>
          <w:color w:val="000000"/>
          <w:lang w:val="en-US"/>
        </w:rPr>
        <w:t>their</w:t>
      </w:r>
      <w:r w:rsidRPr="008B64EC">
        <w:rPr>
          <w:rFonts w:cstheme="minorHAnsi"/>
          <w:color w:val="000000"/>
          <w:lang w:val="en-US"/>
        </w:rPr>
        <w:t xml:space="preserve"> activities to bring new stakeholders (including NGOs) to the discussions.</w:t>
      </w:r>
      <w:r>
        <w:rPr>
          <w:rFonts w:cstheme="minorHAnsi"/>
          <w:color w:val="000000"/>
          <w:lang w:val="en-US"/>
        </w:rPr>
        <w:t xml:space="preserve"> </w:t>
      </w:r>
      <w:r w:rsidRPr="008B64EC">
        <w:rPr>
          <w:rFonts w:cstheme="minorHAnsi"/>
          <w:lang w:val="en-US"/>
        </w:rPr>
        <w:t>This work positions CEN/CENELEC as key interfaces between EU legislation and global technical standardization.</w:t>
      </w:r>
    </w:p>
    <w:p w14:paraId="03C9351D" w14:textId="77777777" w:rsidR="007F2271" w:rsidRPr="00687D1B" w:rsidRDefault="007F2271" w:rsidP="007F2271">
      <w:pPr>
        <w:pStyle w:val="NormalWeb"/>
        <w:jc w:val="both"/>
        <w:rPr>
          <w:rFonts w:cstheme="minorHAnsi"/>
          <w:lang w:val="en-US"/>
        </w:rPr>
      </w:pPr>
      <w:r w:rsidRPr="00687D1B">
        <w:rPr>
          <w:rFonts w:cstheme="minorHAnsi"/>
          <w:lang w:val="en-US"/>
        </w:rPr>
        <w:t xml:space="preserve">A distinctive feature of the CEN/CENELEC system is its </w:t>
      </w:r>
      <w:r w:rsidRPr="00687D1B">
        <w:rPr>
          <w:rStyle w:val="Strong"/>
          <w:rFonts w:cstheme="minorHAnsi"/>
          <w:lang w:val="en-US"/>
        </w:rPr>
        <w:t>structured inclusiveness mechanism</w:t>
      </w:r>
      <w:r w:rsidRPr="00687D1B">
        <w:rPr>
          <w:rFonts w:cstheme="minorHAnsi"/>
          <w:lang w:val="en-US"/>
        </w:rPr>
        <w:t xml:space="preserve">, anchored in </w:t>
      </w:r>
      <w:r w:rsidRPr="00687D1B">
        <w:rPr>
          <w:rStyle w:val="Strong"/>
          <w:rFonts w:cstheme="minorHAnsi"/>
          <w:lang w:val="en-US"/>
        </w:rPr>
        <w:t>Annex III of Regulation (EU) 1025/2012</w:t>
      </w:r>
      <w:r w:rsidRPr="00687D1B">
        <w:rPr>
          <w:rFonts w:cstheme="minorHAnsi"/>
          <w:lang w:val="en-US"/>
        </w:rPr>
        <w:t xml:space="preserve">. Four Annex III organizations, the </w:t>
      </w:r>
      <w:r w:rsidRPr="00687D1B">
        <w:rPr>
          <w:rStyle w:val="Strong"/>
          <w:rFonts w:cstheme="minorHAnsi"/>
          <w:lang w:val="en-US"/>
        </w:rPr>
        <w:t>European Trade Union Confederation (ETUC)</w:t>
      </w:r>
      <w:r w:rsidRPr="00687D1B">
        <w:rPr>
          <w:rFonts w:cstheme="minorHAnsi"/>
          <w:lang w:val="en-US"/>
        </w:rPr>
        <w:t xml:space="preserve">, </w:t>
      </w:r>
      <w:r w:rsidRPr="00687D1B">
        <w:rPr>
          <w:rStyle w:val="Strong"/>
          <w:rFonts w:cstheme="minorHAnsi"/>
          <w:lang w:val="en-US"/>
        </w:rPr>
        <w:t>European Association for the Coordination of Consumer Representation in Standardization (ANEC)</w:t>
      </w:r>
      <w:r w:rsidRPr="00687D1B">
        <w:rPr>
          <w:rFonts w:cstheme="minorHAnsi"/>
          <w:lang w:val="en-US"/>
        </w:rPr>
        <w:t xml:space="preserve">, </w:t>
      </w:r>
      <w:r w:rsidRPr="00687D1B">
        <w:rPr>
          <w:rStyle w:val="Strong"/>
          <w:rFonts w:cstheme="minorHAnsi"/>
          <w:lang w:val="en-US"/>
        </w:rPr>
        <w:t xml:space="preserve">European Environmental Citizens’ </w:t>
      </w:r>
      <w:proofErr w:type="spellStart"/>
      <w:r w:rsidRPr="00687D1B">
        <w:rPr>
          <w:rStyle w:val="Strong"/>
          <w:rFonts w:cstheme="minorHAnsi"/>
          <w:lang w:val="en-US"/>
        </w:rPr>
        <w:t>Organisation</w:t>
      </w:r>
      <w:proofErr w:type="spellEnd"/>
      <w:r w:rsidRPr="00687D1B">
        <w:rPr>
          <w:rStyle w:val="Strong"/>
          <w:rFonts w:cstheme="minorHAnsi"/>
          <w:lang w:val="en-US"/>
        </w:rPr>
        <w:t xml:space="preserve"> for </w:t>
      </w:r>
      <w:proofErr w:type="spellStart"/>
      <w:r w:rsidRPr="00687D1B">
        <w:rPr>
          <w:rStyle w:val="Strong"/>
          <w:rFonts w:cstheme="minorHAnsi"/>
          <w:lang w:val="en-US"/>
        </w:rPr>
        <w:t>Standardisation</w:t>
      </w:r>
      <w:proofErr w:type="spellEnd"/>
      <w:r w:rsidRPr="00687D1B">
        <w:rPr>
          <w:rStyle w:val="Strong"/>
          <w:rFonts w:cstheme="minorHAnsi"/>
          <w:lang w:val="en-US"/>
        </w:rPr>
        <w:t xml:space="preserve"> (ECOS)</w:t>
      </w:r>
      <w:r w:rsidRPr="00687D1B">
        <w:rPr>
          <w:rFonts w:cstheme="minorHAnsi"/>
          <w:lang w:val="en-US"/>
        </w:rPr>
        <w:t xml:space="preserve">, and </w:t>
      </w:r>
      <w:r w:rsidRPr="00687D1B">
        <w:rPr>
          <w:rStyle w:val="Strong"/>
          <w:rFonts w:cstheme="minorHAnsi"/>
          <w:lang w:val="en-US"/>
        </w:rPr>
        <w:t>Small Business Standards (SBS)</w:t>
      </w:r>
      <w:r w:rsidRPr="00687D1B">
        <w:rPr>
          <w:rFonts w:cstheme="minorHAnsi"/>
          <w:lang w:val="en-US"/>
        </w:rPr>
        <w:t xml:space="preserve">, participate directly in technical work. They receive EU funding and exercise a </w:t>
      </w:r>
      <w:r w:rsidRPr="00687D1B">
        <w:rPr>
          <w:rStyle w:val="Strong"/>
          <w:rFonts w:cstheme="minorHAnsi"/>
          <w:lang w:val="en-US"/>
        </w:rPr>
        <w:t>formal Right of Opinion</w:t>
      </w:r>
      <w:r w:rsidRPr="00687D1B">
        <w:rPr>
          <w:rFonts w:cstheme="minorHAnsi"/>
          <w:lang w:val="en-US"/>
        </w:rPr>
        <w:t xml:space="preserve"> on draft standards, now integrated into the </w:t>
      </w:r>
      <w:proofErr w:type="spellStart"/>
      <w:r w:rsidRPr="00687D1B">
        <w:rPr>
          <w:rFonts w:cstheme="minorHAnsi"/>
          <w:lang w:val="en-US"/>
        </w:rPr>
        <w:t>eBalloting</w:t>
      </w:r>
      <w:proofErr w:type="spellEnd"/>
      <w:r w:rsidRPr="00687D1B">
        <w:rPr>
          <w:rFonts w:cstheme="minorHAnsi"/>
          <w:lang w:val="en-US"/>
        </w:rPr>
        <w:t xml:space="preserve"> process. Recent governance updates have strengthened these rights, particularly for SBS.</w:t>
      </w:r>
    </w:p>
    <w:p w14:paraId="59075027" w14:textId="77777777" w:rsidR="007F2271" w:rsidRPr="00687D1B" w:rsidRDefault="007F2271" w:rsidP="007F2271">
      <w:pPr>
        <w:pStyle w:val="NormalWeb"/>
        <w:jc w:val="both"/>
        <w:rPr>
          <w:rFonts w:cstheme="minorHAnsi"/>
          <w:lang w:val="en-US"/>
        </w:rPr>
      </w:pPr>
      <w:r w:rsidRPr="00687D1B">
        <w:rPr>
          <w:rFonts w:cstheme="minorHAnsi"/>
          <w:lang w:val="en-US"/>
        </w:rPr>
        <w:t xml:space="preserve">Beyond these mechanisms, </w:t>
      </w:r>
      <w:proofErr w:type="spellStart"/>
      <w:r w:rsidRPr="00687D1B">
        <w:rPr>
          <w:rStyle w:val="Strong"/>
          <w:rFonts w:cstheme="minorHAnsi"/>
          <w:lang w:val="en-US"/>
        </w:rPr>
        <w:t>Equinet</w:t>
      </w:r>
      <w:proofErr w:type="spellEnd"/>
      <w:r w:rsidRPr="00687D1B">
        <w:rPr>
          <w:rFonts w:cstheme="minorHAnsi"/>
          <w:lang w:val="en-US"/>
        </w:rPr>
        <w:t xml:space="preserve">, the </w:t>
      </w:r>
      <w:r w:rsidRPr="00687D1B">
        <w:rPr>
          <w:rStyle w:val="Strong"/>
          <w:rFonts w:cstheme="minorHAnsi"/>
          <w:lang w:val="en-US"/>
        </w:rPr>
        <w:t>European Network of Equality Bodies</w:t>
      </w:r>
      <w:r w:rsidRPr="00687D1B">
        <w:rPr>
          <w:rFonts w:cstheme="minorHAnsi"/>
          <w:lang w:val="en-US"/>
        </w:rPr>
        <w:t xml:space="preserve">, holds liaison status with JTC 21 and contributes to </w:t>
      </w:r>
      <w:r w:rsidRPr="00687D1B">
        <w:rPr>
          <w:rStyle w:val="Strong"/>
          <w:rFonts w:cstheme="minorHAnsi"/>
          <w:lang w:val="en-US"/>
        </w:rPr>
        <w:t>“equality-by-design”</w:t>
      </w:r>
      <w:r w:rsidRPr="00687D1B">
        <w:rPr>
          <w:rFonts w:cstheme="minorHAnsi"/>
          <w:lang w:val="en-US"/>
        </w:rPr>
        <w:t xml:space="preserve"> discussions in AI-related working groups. The </w:t>
      </w:r>
      <w:r w:rsidRPr="00687D1B">
        <w:rPr>
          <w:rStyle w:val="Strong"/>
          <w:rFonts w:cstheme="minorHAnsi"/>
          <w:lang w:val="en-US"/>
        </w:rPr>
        <w:t>EU Agency for Fundamental Rights (FRA)</w:t>
      </w:r>
      <w:r w:rsidRPr="00687D1B">
        <w:rPr>
          <w:rFonts w:cstheme="minorHAnsi"/>
          <w:lang w:val="en-US"/>
        </w:rPr>
        <w:t xml:space="preserve"> has also been identified as a potential counterpart on rights impact assessment, complementing technical and procedural expertise with legal insights.</w:t>
      </w:r>
    </w:p>
    <w:p w14:paraId="089AC1B8" w14:textId="77777777" w:rsidR="007F2271" w:rsidRPr="00687D1B" w:rsidRDefault="007F2271" w:rsidP="007F2271">
      <w:pPr>
        <w:pStyle w:val="NormalWeb"/>
        <w:jc w:val="both"/>
        <w:rPr>
          <w:rFonts w:cstheme="minorHAnsi"/>
          <w:lang w:val="en-US"/>
        </w:rPr>
      </w:pPr>
      <w:r w:rsidRPr="00687D1B">
        <w:rPr>
          <w:rFonts w:cstheme="minorHAnsi"/>
          <w:lang w:val="en-US"/>
        </w:rPr>
        <w:t xml:space="preserve">CEN/CENELEC’s governance commitments, adopted in the wake of the AI Act, explicitly promote the </w:t>
      </w:r>
      <w:r w:rsidRPr="00687D1B">
        <w:rPr>
          <w:rStyle w:val="Strong"/>
          <w:rFonts w:cstheme="minorHAnsi"/>
          <w:lang w:val="en-US"/>
        </w:rPr>
        <w:t>“appropriate representation and effective participation of relevant stakeholders”</w:t>
      </w:r>
      <w:r w:rsidRPr="00687D1B">
        <w:rPr>
          <w:rFonts w:cstheme="minorHAnsi"/>
          <w:lang w:val="en-US"/>
        </w:rPr>
        <w:t>. This provides a mandate to involve human-rights experts in technical drafting when standards intersect with equality, consumer protection or labor rights.</w:t>
      </w:r>
    </w:p>
    <w:p w14:paraId="340674EE" w14:textId="77777777" w:rsidR="007F2271" w:rsidRDefault="007F2271" w:rsidP="007F2271">
      <w:pPr>
        <w:pStyle w:val="NormalWeb"/>
        <w:spacing w:before="280" w:after="280"/>
        <w:jc w:val="both"/>
        <w:rPr>
          <w:rFonts w:cstheme="minorBidi"/>
          <w:lang w:val="en-US"/>
        </w:rPr>
      </w:pPr>
      <w:r w:rsidRPr="7EEBFDF6">
        <w:rPr>
          <w:rFonts w:cstheme="minorBidi"/>
          <w:lang w:val="en-US"/>
        </w:rPr>
        <w:lastRenderedPageBreak/>
        <w:t xml:space="preserve">By embedding participation rights and transparency directly into its procedures, CEN/CENELEC offers a model of </w:t>
      </w:r>
      <w:r w:rsidRPr="7EEBFDF6">
        <w:rPr>
          <w:rStyle w:val="Strong"/>
          <w:rFonts w:cstheme="minorBidi"/>
          <w:lang w:val="en-US"/>
        </w:rPr>
        <w:t>procedural integration of human rights</w:t>
      </w:r>
      <w:r w:rsidRPr="7EEBFDF6">
        <w:rPr>
          <w:rFonts w:cstheme="minorBidi"/>
          <w:lang w:val="en-US"/>
        </w:rPr>
        <w:t xml:space="preserve"> within standardization. Its inclusiveness framework and risk-based methodology serve as operational pathways for aligning technical standards with human rights.</w:t>
      </w:r>
    </w:p>
    <w:p w14:paraId="76C09411" w14:textId="77777777" w:rsidR="007F2271" w:rsidRPr="00CF25CA" w:rsidRDefault="007F2271" w:rsidP="007F2271">
      <w:pPr>
        <w:pStyle w:val="NormalWeb"/>
        <w:spacing w:before="280" w:after="280"/>
        <w:jc w:val="both"/>
        <w:rPr>
          <w:rFonts w:cstheme="minorHAnsi"/>
          <w:lang w:val="en-US"/>
        </w:rPr>
      </w:pPr>
      <w:r w:rsidRPr="00CF25CA">
        <w:rPr>
          <w:rFonts w:cstheme="minorHAnsi"/>
          <w:lang w:val="en-US"/>
        </w:rPr>
        <w:t xml:space="preserve">Following the 2024 CJEU </w:t>
      </w:r>
      <w:r w:rsidRPr="00CF25CA">
        <w:rPr>
          <w:rStyle w:val="Emphasis"/>
          <w:rFonts w:cstheme="minorHAnsi"/>
          <w:lang w:val="en-US"/>
        </w:rPr>
        <w:t>Malamud</w:t>
      </w:r>
      <w:r w:rsidRPr="00CF25CA">
        <w:rPr>
          <w:rFonts w:cstheme="minorHAnsi"/>
          <w:lang w:val="en-US"/>
        </w:rPr>
        <w:t xml:space="preserve"> ruling, harmonized standards incorporated into EU legislation </w:t>
      </w:r>
      <w:r w:rsidRPr="00CF25CA">
        <w:rPr>
          <w:rFonts w:cstheme="minorHAnsi"/>
          <w:b/>
          <w:bCs/>
          <w:lang w:val="en-US"/>
        </w:rPr>
        <w:t>must be made freely accessible to the public</w:t>
      </w:r>
      <w:r w:rsidRPr="00CF25CA">
        <w:rPr>
          <w:rFonts w:cstheme="minorHAnsi"/>
          <w:lang w:val="en-US"/>
        </w:rPr>
        <w:t>. This has strengthened transparency expectations within the European standardization system and may increase public access to associated outcome documents.</w:t>
      </w:r>
    </w:p>
    <w:p w14:paraId="54FD4690" w14:textId="77777777" w:rsidR="007F2271" w:rsidRPr="00AF6ED5" w:rsidRDefault="007F2271" w:rsidP="007F2271">
      <w:pPr>
        <w:pStyle w:val="Heading2"/>
        <w:rPr>
          <w:rFonts w:cstheme="minorHAnsi"/>
          <w:lang w:val="en-GB"/>
        </w:rPr>
      </w:pPr>
      <w:bookmarkStart w:id="21" w:name="_Toc214644456"/>
      <w:r>
        <w:rPr>
          <w:rFonts w:cstheme="minorHAnsi"/>
          <w:lang w:val="en-GB"/>
        </w:rPr>
        <w:t>3.7</w:t>
      </w:r>
      <w:r>
        <w:rPr>
          <w:rFonts w:cstheme="minorHAnsi"/>
          <w:lang w:val="en-GB"/>
        </w:rPr>
        <w:tab/>
      </w:r>
      <w:r w:rsidRPr="00AF6ED5">
        <w:rPr>
          <w:rFonts w:cstheme="minorHAnsi"/>
          <w:lang w:val="en-GB"/>
        </w:rPr>
        <w:t>Council of Europe (</w:t>
      </w:r>
      <w:proofErr w:type="spellStart"/>
      <w:r w:rsidRPr="00AF6ED5">
        <w:rPr>
          <w:rFonts w:cstheme="minorHAnsi"/>
          <w:lang w:val="en-GB"/>
        </w:rPr>
        <w:t>CoE</w:t>
      </w:r>
      <w:proofErr w:type="spellEnd"/>
      <w:r w:rsidRPr="00AF6ED5">
        <w:rPr>
          <w:rFonts w:cstheme="minorHAnsi"/>
          <w:lang w:val="en-GB"/>
        </w:rPr>
        <w:t>)</w:t>
      </w:r>
      <w:bookmarkEnd w:id="21"/>
    </w:p>
    <w:p w14:paraId="1388DBDB" w14:textId="77777777" w:rsidR="007F2271" w:rsidRPr="00687D1B" w:rsidRDefault="007F2271" w:rsidP="007F2271">
      <w:pPr>
        <w:pStyle w:val="NormalWeb"/>
        <w:jc w:val="both"/>
        <w:rPr>
          <w:rFonts w:cstheme="minorBidi"/>
          <w:lang w:val="en-US"/>
        </w:rPr>
      </w:pPr>
      <w:r w:rsidRPr="7EEBFDF6">
        <w:rPr>
          <w:rFonts w:cstheme="minorBidi"/>
          <w:lang w:val="en-US"/>
        </w:rPr>
        <w:t xml:space="preserve">The Council of Europe, which produces normative instruments but not technical standards, approaches the integration of human rights in standardization from a legal and normative perspective. Within its Committee on Artificial Intelligence, it has developed </w:t>
      </w:r>
      <w:proofErr w:type="gramStart"/>
      <w:r w:rsidRPr="7EEBFDF6">
        <w:rPr>
          <w:rFonts w:cstheme="minorBidi"/>
          <w:lang w:val="en-US"/>
        </w:rPr>
        <w:t>the Human</w:t>
      </w:r>
      <w:proofErr w:type="gramEnd"/>
      <w:r w:rsidRPr="7EEBFDF6">
        <w:rPr>
          <w:rFonts w:cstheme="minorBidi"/>
          <w:lang w:val="en-US"/>
        </w:rPr>
        <w:t xml:space="preserve"> Rights, Democracy and Rule of Law Impact Assessment Methodology (HUDERIA)</w:t>
      </w:r>
      <w:r w:rsidRPr="7EEBFDF6">
        <w:rPr>
          <w:rStyle w:val="FootnoteReference"/>
          <w:rFonts w:cstheme="minorBidi"/>
          <w:lang w:val="en-US"/>
        </w:rPr>
        <w:footnoteReference w:id="10"/>
      </w:r>
      <w:r w:rsidRPr="7EEBFDF6">
        <w:rPr>
          <w:rFonts w:cstheme="minorBidi"/>
          <w:lang w:val="en-US"/>
        </w:rPr>
        <w:t xml:space="preserve"> to ensure that international and regional human rights obligations are systematically reflected in the design, development and deployment of AI systems and related technologies.</w:t>
      </w:r>
    </w:p>
    <w:p w14:paraId="0467165C" w14:textId="77777777" w:rsidR="007F2271" w:rsidRPr="00687D1B" w:rsidRDefault="007F2271" w:rsidP="007F2271">
      <w:pPr>
        <w:pStyle w:val="NormalWeb"/>
        <w:jc w:val="both"/>
        <w:rPr>
          <w:rFonts w:cstheme="minorHAnsi"/>
          <w:lang w:val="en-US"/>
        </w:rPr>
      </w:pPr>
      <w:r w:rsidRPr="00687D1B">
        <w:rPr>
          <w:rFonts w:cstheme="minorHAnsi"/>
          <w:lang w:val="en-US"/>
        </w:rPr>
        <w:t xml:space="preserve">HUDERIA adopts a </w:t>
      </w:r>
      <w:r w:rsidRPr="00687D1B">
        <w:rPr>
          <w:rStyle w:val="Strong"/>
          <w:rFonts w:cstheme="minorHAnsi"/>
          <w:lang w:val="en-US"/>
        </w:rPr>
        <w:t>sociotechnical approach</w:t>
      </w:r>
      <w:r w:rsidRPr="00687D1B">
        <w:rPr>
          <w:rFonts w:cstheme="minorHAnsi"/>
          <w:lang w:val="en-US"/>
        </w:rPr>
        <w:t xml:space="preserve">, acknowledging that AI systems behave differently depending on context. </w:t>
      </w:r>
      <w:r>
        <w:rPr>
          <w:rFonts w:cstheme="minorHAnsi"/>
          <w:lang w:val="en-US"/>
        </w:rPr>
        <w:t xml:space="preserve">It encourages the </w:t>
      </w:r>
      <w:r w:rsidRPr="00687D1B">
        <w:rPr>
          <w:rFonts w:cstheme="minorHAnsi"/>
          <w:lang w:val="en-US"/>
        </w:rPr>
        <w:t>integrat</w:t>
      </w:r>
      <w:r>
        <w:rPr>
          <w:rFonts w:cstheme="minorHAnsi"/>
          <w:lang w:val="en-US"/>
        </w:rPr>
        <w:t xml:space="preserve">ion of </w:t>
      </w:r>
      <w:r w:rsidRPr="00687D1B">
        <w:rPr>
          <w:rFonts w:cstheme="minorHAnsi"/>
          <w:lang w:val="en-US"/>
        </w:rPr>
        <w:t xml:space="preserve">social, legal, and cultural considerations into system design and risk analysis. </w:t>
      </w:r>
      <w:r w:rsidRPr="0047281D">
        <w:rPr>
          <w:rFonts w:cstheme="minorHAnsi"/>
          <w:lang w:val="en-US"/>
        </w:rPr>
        <w:t xml:space="preserve">The methodology provides a Context-Based Risk Analysis (“COBRA”) that can be used to identify and assess risk factors affecting the scope, scale, probability and reversibility of adverse impacts on human rights arising in the AI system’s application, design, development and deployment contexts, as well as a </w:t>
      </w:r>
      <w:r w:rsidRPr="0047281D">
        <w:rPr>
          <w:rStyle w:val="Strong"/>
          <w:rFonts w:cstheme="minorHAnsi"/>
          <w:lang w:val="en-US"/>
        </w:rPr>
        <w:t>glossary</w:t>
      </w:r>
      <w:r w:rsidRPr="0047281D">
        <w:rPr>
          <w:rFonts w:cstheme="minorHAnsi"/>
          <w:lang w:val="en-US"/>
        </w:rPr>
        <w:t xml:space="preserve"> linking legal principles to technical implications. For example, translating the right to privacy into encryption requirements or the right to information into accessibility measures.</w:t>
      </w:r>
    </w:p>
    <w:p w14:paraId="01D18AF0" w14:textId="77777777" w:rsidR="007F2271" w:rsidRPr="00687D1B" w:rsidRDefault="007F2271" w:rsidP="007F2271">
      <w:pPr>
        <w:pStyle w:val="NormalWeb"/>
        <w:jc w:val="both"/>
        <w:rPr>
          <w:rFonts w:cstheme="minorBidi"/>
          <w:lang w:val="en-US"/>
        </w:rPr>
      </w:pPr>
      <w:r w:rsidRPr="7EEBFDF6">
        <w:rPr>
          <w:rFonts w:cstheme="minorBidi"/>
          <w:lang w:val="en-US"/>
        </w:rPr>
        <w:t xml:space="preserve">Several </w:t>
      </w:r>
      <w:r w:rsidRPr="7EEBFDF6">
        <w:rPr>
          <w:rFonts w:cstheme="minorBidi"/>
          <w:b/>
          <w:bCs/>
          <w:lang w:val="en-US"/>
        </w:rPr>
        <w:t>HUDERIA</w:t>
      </w:r>
      <w:r w:rsidRPr="7EEBFDF6">
        <w:rPr>
          <w:rFonts w:cstheme="minorBidi"/>
          <w:lang w:val="en-US"/>
        </w:rPr>
        <w:t xml:space="preserve"> components and the detailed “</w:t>
      </w:r>
      <w:r w:rsidRPr="7EEBFDF6">
        <w:rPr>
          <w:rFonts w:cstheme="minorBidi"/>
          <w:b/>
          <w:bCs/>
          <w:lang w:val="en-US"/>
        </w:rPr>
        <w:t>COBRA</w:t>
      </w:r>
      <w:r w:rsidRPr="7EEBFDF6">
        <w:rPr>
          <w:rFonts w:cstheme="minorBidi"/>
          <w:lang w:val="en-US"/>
        </w:rPr>
        <w:t xml:space="preserve">” section are already published. A future </w:t>
      </w:r>
      <w:r w:rsidRPr="7EEBFDF6">
        <w:rPr>
          <w:rStyle w:val="Strong"/>
          <w:rFonts w:cstheme="minorBidi"/>
          <w:lang w:val="en-US"/>
        </w:rPr>
        <w:t>online tool</w:t>
      </w:r>
      <w:r w:rsidRPr="7EEBFDF6">
        <w:rPr>
          <w:rFonts w:cstheme="minorBidi"/>
          <w:lang w:val="en-US"/>
        </w:rPr>
        <w:t xml:space="preserve"> will operationalize </w:t>
      </w:r>
      <w:r w:rsidRPr="7EEBFDF6">
        <w:rPr>
          <w:rFonts w:cstheme="minorBidi"/>
          <w:b/>
          <w:bCs/>
          <w:lang w:val="en-US"/>
        </w:rPr>
        <w:t>HUDERIA</w:t>
      </w:r>
      <w:r w:rsidRPr="7EEBFDF6">
        <w:rPr>
          <w:rFonts w:cstheme="minorBidi"/>
          <w:lang w:val="en-US"/>
        </w:rPr>
        <w:t>, allowing users to connect human rights questions to relevant technical standards from organizations. This interoperability aims to bridge legal guidance and technical standards.</w:t>
      </w:r>
    </w:p>
    <w:p w14:paraId="5ECBBF8D"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w:t>
      </w:r>
      <w:proofErr w:type="spellStart"/>
      <w:r w:rsidRPr="00687D1B">
        <w:rPr>
          <w:rFonts w:cstheme="minorHAnsi"/>
          <w:lang w:val="en-US"/>
        </w:rPr>
        <w:t>CoE’s</w:t>
      </w:r>
      <w:proofErr w:type="spellEnd"/>
      <w:r w:rsidRPr="00687D1B">
        <w:rPr>
          <w:rFonts w:cstheme="minorHAnsi"/>
          <w:lang w:val="en-US"/>
        </w:rPr>
        <w:t xml:space="preserve"> work highlights strong complementarity with SDOs: legal frameworks raise the questions while standards provide the technical responses.</w:t>
      </w:r>
    </w:p>
    <w:p w14:paraId="49805E10" w14:textId="77777777" w:rsidR="007F2271" w:rsidRPr="00687D1B" w:rsidRDefault="007F2271" w:rsidP="007F2271">
      <w:pPr>
        <w:pStyle w:val="NormalWeb"/>
        <w:jc w:val="both"/>
        <w:rPr>
          <w:rFonts w:cstheme="minorBidi"/>
          <w:lang w:val="en-US"/>
        </w:rPr>
      </w:pPr>
      <w:r w:rsidRPr="7EEBFDF6">
        <w:rPr>
          <w:rFonts w:cstheme="minorBidi"/>
          <w:lang w:val="en-US"/>
        </w:rPr>
        <w:t xml:space="preserve">The main challenges lie in translating abstract rights into practical guidance and overcoming perceptions of human rights integration as a political exercise. HUDERIA’s practical tools and interoperability position the </w:t>
      </w:r>
      <w:proofErr w:type="spellStart"/>
      <w:r w:rsidRPr="7EEBFDF6">
        <w:rPr>
          <w:rFonts w:cstheme="minorBidi"/>
          <w:lang w:val="en-US"/>
        </w:rPr>
        <w:t>CoE</w:t>
      </w:r>
      <w:proofErr w:type="spellEnd"/>
      <w:r w:rsidRPr="7EEBFDF6">
        <w:rPr>
          <w:rFonts w:cstheme="minorBidi"/>
          <w:lang w:val="en-US"/>
        </w:rPr>
        <w:t xml:space="preserve"> as a key reference for connecting norms with technical standards.</w:t>
      </w:r>
    </w:p>
    <w:p w14:paraId="5CA5747C" w14:textId="77777777" w:rsidR="007F2271" w:rsidRPr="00AF6ED5" w:rsidRDefault="007F2271" w:rsidP="007F2271">
      <w:pPr>
        <w:pStyle w:val="Heading2"/>
        <w:rPr>
          <w:rFonts w:cstheme="minorHAnsi"/>
          <w:lang w:val="en-GB"/>
        </w:rPr>
      </w:pPr>
      <w:bookmarkStart w:id="22" w:name="_Toc214644457"/>
      <w:r>
        <w:rPr>
          <w:rFonts w:cstheme="minorHAnsi"/>
          <w:lang w:val="en-GB"/>
        </w:rPr>
        <w:t>3.8</w:t>
      </w:r>
      <w:r>
        <w:rPr>
          <w:rFonts w:cstheme="minorHAnsi"/>
          <w:lang w:val="en-GB"/>
        </w:rPr>
        <w:tab/>
      </w:r>
      <w:r w:rsidRPr="00AF6ED5">
        <w:rPr>
          <w:rFonts w:cstheme="minorHAnsi"/>
          <w:lang w:val="en-GB"/>
        </w:rPr>
        <w:t>United Nations Economic Commission for Europe (UNECE)</w:t>
      </w:r>
      <w:bookmarkEnd w:id="22"/>
    </w:p>
    <w:p w14:paraId="5272AFBC" w14:textId="77777777" w:rsidR="007F2271" w:rsidRPr="00687D1B" w:rsidRDefault="007F2271" w:rsidP="007F2271">
      <w:pPr>
        <w:pStyle w:val="NormalWeb"/>
        <w:jc w:val="both"/>
        <w:rPr>
          <w:rFonts w:cstheme="minorBidi"/>
          <w:lang w:val="en-US"/>
        </w:rPr>
      </w:pPr>
      <w:r w:rsidRPr="7EEBFDF6">
        <w:rPr>
          <w:rFonts w:cstheme="minorBidi"/>
          <w:lang w:val="en-US"/>
        </w:rPr>
        <w:t xml:space="preserve">Within the United Nations system, the </w:t>
      </w:r>
      <w:r w:rsidRPr="7EEBFDF6">
        <w:rPr>
          <w:rStyle w:val="Strong"/>
          <w:rFonts w:cstheme="minorBidi"/>
          <w:lang w:val="en-US"/>
        </w:rPr>
        <w:t>UNECE Working Party on Regulatory Cooperation and Standardization Policies (WP.6)</w:t>
      </w:r>
      <w:r w:rsidRPr="7EEBFDF6">
        <w:rPr>
          <w:rFonts w:cstheme="minorBidi"/>
          <w:lang w:val="en-US"/>
        </w:rPr>
        <w:t xml:space="preserve"> promotes a policy approach linking standardization to human rights through the broader lens of </w:t>
      </w:r>
      <w:r w:rsidRPr="7EEBFDF6">
        <w:rPr>
          <w:rStyle w:val="Strong"/>
          <w:rFonts w:cstheme="minorBidi"/>
          <w:lang w:val="en-US"/>
        </w:rPr>
        <w:t>quality infrastructure</w:t>
      </w:r>
      <w:r w:rsidRPr="7EEBFDF6">
        <w:rPr>
          <w:rFonts w:cstheme="minorBidi"/>
          <w:lang w:val="en-US"/>
        </w:rPr>
        <w:t xml:space="preserve">. This framework, covering standardization, conformity assessment, accreditation, metrology, and market surveillance, is viewed as a </w:t>
      </w:r>
      <w:r w:rsidRPr="7EEBFDF6">
        <w:rPr>
          <w:rStyle w:val="Strong"/>
          <w:rFonts w:cstheme="minorBidi"/>
          <w:lang w:val="en-US"/>
        </w:rPr>
        <w:lastRenderedPageBreak/>
        <w:t>preventive mechanism for human rights protection</w:t>
      </w:r>
      <w:r w:rsidRPr="7EEBFDF6">
        <w:rPr>
          <w:rFonts w:cstheme="minorBidi"/>
          <w:lang w:val="en-US"/>
        </w:rPr>
        <w:t>, ensuring product safety, environmental sustainability, and non-discrimination in trade and technology.</w:t>
      </w:r>
    </w:p>
    <w:p w14:paraId="14CC8E59" w14:textId="77777777" w:rsidR="007F2271" w:rsidRPr="00687D1B" w:rsidRDefault="007F2271" w:rsidP="007F2271">
      <w:pPr>
        <w:pStyle w:val="NormalWeb"/>
        <w:jc w:val="both"/>
        <w:rPr>
          <w:rFonts w:cstheme="minorHAnsi"/>
          <w:lang w:val="en-US"/>
        </w:rPr>
      </w:pPr>
      <w:r w:rsidRPr="00687D1B">
        <w:rPr>
          <w:rFonts w:cstheme="minorHAnsi"/>
          <w:lang w:val="en-US"/>
        </w:rPr>
        <w:t xml:space="preserve">UNECE has been a global leader in </w:t>
      </w:r>
      <w:r w:rsidRPr="00687D1B">
        <w:rPr>
          <w:rStyle w:val="Strong"/>
          <w:rFonts w:cstheme="minorHAnsi"/>
          <w:lang w:val="en-US"/>
        </w:rPr>
        <w:t xml:space="preserve">Gender-Responsive Standards </w:t>
      </w:r>
      <w:r w:rsidRPr="00687D1B">
        <w:rPr>
          <w:rFonts w:cstheme="minorHAnsi"/>
          <w:lang w:val="en-US"/>
        </w:rPr>
        <w:t xml:space="preserve">since 2016. Its </w:t>
      </w:r>
      <w:r w:rsidRPr="00687D1B">
        <w:rPr>
          <w:rStyle w:val="Strong"/>
          <w:rFonts w:cstheme="minorHAnsi"/>
          <w:lang w:val="en-US"/>
        </w:rPr>
        <w:t>Recommendation and Declaration on Gender-Responsive Standards</w:t>
      </w:r>
      <w:r w:rsidRPr="00687D1B">
        <w:rPr>
          <w:rFonts w:cstheme="minorHAnsi"/>
          <w:lang w:val="en-US"/>
        </w:rPr>
        <w:t xml:space="preserve">, signed by ISO, IEC and ITU, </w:t>
      </w:r>
      <w:proofErr w:type="gramStart"/>
      <w:r w:rsidRPr="00687D1B">
        <w:rPr>
          <w:rFonts w:cstheme="minorHAnsi"/>
          <w:lang w:val="en-US"/>
        </w:rPr>
        <w:t>affirm</w:t>
      </w:r>
      <w:proofErr w:type="gramEnd"/>
      <w:r w:rsidRPr="00687D1B">
        <w:rPr>
          <w:rFonts w:cstheme="minorHAnsi"/>
          <w:lang w:val="en-US"/>
        </w:rPr>
        <w:t xml:space="preserve"> that standards are not neutral and should integrate gender and human</w:t>
      </w:r>
      <w:r>
        <w:rPr>
          <w:rFonts w:cstheme="minorHAnsi"/>
          <w:lang w:val="en-US"/>
        </w:rPr>
        <w:t xml:space="preserve"> </w:t>
      </w:r>
      <w:r w:rsidRPr="00687D1B">
        <w:rPr>
          <w:rFonts w:cstheme="minorHAnsi"/>
          <w:lang w:val="en-US"/>
        </w:rPr>
        <w:t xml:space="preserve">rights considerations systematically. The program has produced a </w:t>
      </w:r>
      <w:r w:rsidRPr="00687D1B">
        <w:rPr>
          <w:rStyle w:val="Strong"/>
          <w:rFonts w:cstheme="minorHAnsi"/>
          <w:lang w:val="en-US"/>
        </w:rPr>
        <w:t>blueprint for gender action plans</w:t>
      </w:r>
      <w:r w:rsidRPr="00687D1B">
        <w:rPr>
          <w:rFonts w:cstheme="minorHAnsi"/>
          <w:lang w:val="en-US"/>
        </w:rPr>
        <w:t xml:space="preserve"> within standards organizations and practical guidance such as </w:t>
      </w:r>
      <w:r w:rsidRPr="00687D1B">
        <w:rPr>
          <w:rStyle w:val="Emphasis"/>
          <w:rFonts w:cstheme="minorHAnsi"/>
          <w:lang w:val="en-US"/>
        </w:rPr>
        <w:t>Why Gender-Responsive Standards Are Better for Everyone</w:t>
      </w:r>
      <w:r w:rsidRPr="00687D1B">
        <w:rPr>
          <w:rFonts w:cstheme="minorHAnsi"/>
          <w:lang w:val="en-US"/>
        </w:rPr>
        <w:t>, showing how gender bias affects product safety and digital design.</w:t>
      </w:r>
    </w:p>
    <w:p w14:paraId="067DB803" w14:textId="77777777" w:rsidR="007F2271" w:rsidRPr="00687D1B" w:rsidRDefault="007F2271" w:rsidP="007F2271">
      <w:pPr>
        <w:pStyle w:val="NormalWeb"/>
        <w:jc w:val="both"/>
        <w:rPr>
          <w:rFonts w:cstheme="minorBidi"/>
          <w:lang w:val="en-US"/>
        </w:rPr>
      </w:pPr>
      <w:r w:rsidRPr="7EEBFDF6">
        <w:rPr>
          <w:rFonts w:cstheme="minorBidi"/>
          <w:lang w:val="en-US"/>
        </w:rPr>
        <w:t xml:space="preserve">Building on this experience, UNECE is planning to adapt the gender methodology toward a broader </w:t>
      </w:r>
      <w:r w:rsidRPr="7EEBFDF6">
        <w:rPr>
          <w:rFonts w:cstheme="minorBidi"/>
          <w:b/>
          <w:bCs/>
          <w:lang w:val="en-US"/>
        </w:rPr>
        <w:t>h</w:t>
      </w:r>
      <w:r w:rsidRPr="7EEBFDF6">
        <w:rPr>
          <w:rStyle w:val="Strong"/>
          <w:rFonts w:cstheme="minorBidi"/>
          <w:lang w:val="en-US"/>
        </w:rPr>
        <w:t>uman rights action plan for standardization</w:t>
      </w:r>
      <w:r w:rsidRPr="7EEBFDF6">
        <w:rPr>
          <w:rFonts w:cstheme="minorBidi"/>
          <w:lang w:val="en-US"/>
        </w:rPr>
        <w:t xml:space="preserve">. Current discussions explore how principles like privacy, equality, and the right to a healthy environment can be operationalized through technical requirements, translating rights concepts into engineering practices. UNECE also advocates internationally through regional standardization bodies such as </w:t>
      </w:r>
      <w:r w:rsidRPr="7EEBFDF6">
        <w:rPr>
          <w:rStyle w:val="Strong"/>
          <w:rFonts w:cstheme="minorBidi"/>
          <w:lang w:val="en-US"/>
        </w:rPr>
        <w:t>COPANT</w:t>
      </w:r>
      <w:r w:rsidRPr="7EEBFDF6">
        <w:rPr>
          <w:rFonts w:cstheme="minorBidi"/>
          <w:lang w:val="en-US"/>
        </w:rPr>
        <w:t xml:space="preserve"> in Latin America, </w:t>
      </w:r>
      <w:r w:rsidRPr="7EEBFDF6">
        <w:rPr>
          <w:rStyle w:val="Strong"/>
          <w:rFonts w:cstheme="minorBidi"/>
          <w:lang w:val="en-US"/>
        </w:rPr>
        <w:t>ARSO</w:t>
      </w:r>
      <w:r w:rsidRPr="7EEBFDF6">
        <w:rPr>
          <w:rFonts w:cstheme="minorBidi"/>
          <w:lang w:val="en-US"/>
        </w:rPr>
        <w:t xml:space="preserve"> in Africa, and </w:t>
      </w:r>
      <w:r w:rsidRPr="7EEBFDF6">
        <w:rPr>
          <w:rStyle w:val="Strong"/>
          <w:rFonts w:cstheme="minorBidi"/>
          <w:lang w:val="en-US"/>
        </w:rPr>
        <w:t>SMIIC</w:t>
      </w:r>
      <w:r w:rsidRPr="7EEBFDF6">
        <w:rPr>
          <w:rFonts w:cstheme="minorBidi"/>
          <w:lang w:val="en-US"/>
        </w:rPr>
        <w:t xml:space="preserve"> for Islamic countries, encouraging the creation of national action plans and inclusive participation.</w:t>
      </w:r>
    </w:p>
    <w:p w14:paraId="2009101A" w14:textId="77777777" w:rsidR="007F2271" w:rsidRPr="00687D1B" w:rsidRDefault="007F2271" w:rsidP="007F2271">
      <w:pPr>
        <w:pStyle w:val="NormalWeb"/>
        <w:jc w:val="both"/>
        <w:rPr>
          <w:rFonts w:cstheme="minorHAnsi"/>
          <w:lang w:val="en-US"/>
        </w:rPr>
      </w:pPr>
      <w:r w:rsidRPr="00687D1B">
        <w:rPr>
          <w:rFonts w:cstheme="minorHAnsi"/>
          <w:lang w:val="en-US"/>
        </w:rPr>
        <w:t xml:space="preserve">Challenges include political resistance from some States, particularly regarding explicit links between standards, human rights, and the Sustainable Development Goals, and the difficulty of tracking how voluntary recommendations are implemented in practice. Nonetheless, UNECE’s proven </w:t>
      </w:r>
      <w:r w:rsidRPr="00687D1B">
        <w:rPr>
          <w:rStyle w:val="Strong"/>
          <w:rFonts w:cstheme="minorHAnsi"/>
          <w:lang w:val="en-US"/>
        </w:rPr>
        <w:t>blueprint-based methodology</w:t>
      </w:r>
      <w:r w:rsidRPr="00687D1B">
        <w:rPr>
          <w:rFonts w:cstheme="minorHAnsi"/>
          <w:lang w:val="en-US"/>
        </w:rPr>
        <w:t xml:space="preserve"> and inter-agency cooperation with ISO, IEC, ITU, and UNESCO provide a replicable model for embedding human</w:t>
      </w:r>
      <w:r>
        <w:rPr>
          <w:rFonts w:cstheme="minorHAnsi"/>
          <w:lang w:val="en-US"/>
        </w:rPr>
        <w:t xml:space="preserve"> </w:t>
      </w:r>
      <w:r w:rsidRPr="00687D1B">
        <w:rPr>
          <w:rFonts w:cstheme="minorHAnsi"/>
          <w:lang w:val="en-US"/>
        </w:rPr>
        <w:t>rights principles into the standardization ecosystem at both policy and technical levels.</w:t>
      </w:r>
    </w:p>
    <w:p w14:paraId="16BB7417" w14:textId="77777777" w:rsidR="007F2271" w:rsidRPr="00CB71F8" w:rsidRDefault="007F2271" w:rsidP="007F2271">
      <w:pPr>
        <w:pStyle w:val="Heading1"/>
        <w:numPr>
          <w:ilvl w:val="0"/>
          <w:numId w:val="32"/>
        </w:numPr>
        <w:tabs>
          <w:tab w:val="num" w:pos="360"/>
        </w:tabs>
      </w:pPr>
      <w:bookmarkStart w:id="23" w:name="_Toc214644458"/>
      <w:r w:rsidRPr="00CB71F8">
        <w:t>Comparative analysis</w:t>
      </w:r>
      <w:bookmarkEnd w:id="23"/>
    </w:p>
    <w:p w14:paraId="30614423" w14:textId="77777777" w:rsidR="007F2271" w:rsidRPr="004556CA" w:rsidRDefault="007F2271" w:rsidP="007F2271">
      <w:pPr>
        <w:pStyle w:val="Heading2"/>
        <w:rPr>
          <w:rFonts w:cstheme="minorHAnsi"/>
          <w:lang w:val="en-GB"/>
        </w:rPr>
      </w:pPr>
      <w:bookmarkStart w:id="24" w:name="_Toc214644459"/>
      <w:r>
        <w:rPr>
          <w:rFonts w:cstheme="minorHAnsi"/>
          <w:lang w:val="en-GB"/>
        </w:rPr>
        <w:t>4.1</w:t>
      </w:r>
      <w:r>
        <w:rPr>
          <w:rFonts w:cstheme="minorHAnsi"/>
          <w:lang w:val="en-GB"/>
        </w:rPr>
        <w:tab/>
      </w:r>
      <w:r w:rsidRPr="004556CA">
        <w:rPr>
          <w:rFonts w:cstheme="minorHAnsi"/>
          <w:lang w:val="en-GB"/>
        </w:rPr>
        <w:t>Common challenges</w:t>
      </w:r>
      <w:bookmarkEnd w:id="24"/>
    </w:p>
    <w:p w14:paraId="1E7FCBE2" w14:textId="77777777" w:rsidR="007F2271" w:rsidRDefault="007F2271" w:rsidP="007F2271">
      <w:pPr>
        <w:pStyle w:val="NormalWeb"/>
        <w:spacing w:before="280" w:after="280"/>
        <w:jc w:val="both"/>
        <w:rPr>
          <w:rFonts w:cstheme="minorHAnsi"/>
          <w:lang w:val="en-US"/>
        </w:rPr>
      </w:pPr>
      <w:r>
        <w:rPr>
          <w:rFonts w:cstheme="minorHAnsi"/>
          <w:lang w:val="en-US"/>
        </w:rPr>
        <w:t xml:space="preserve">Across all organizations, a recurring difficulty lies in </w:t>
      </w:r>
      <w:r>
        <w:rPr>
          <w:rStyle w:val="Strong"/>
          <w:rFonts w:cstheme="minorHAnsi"/>
          <w:lang w:val="en-US"/>
        </w:rPr>
        <w:t>translating human rights principles into technical language</w:t>
      </w:r>
      <w:r>
        <w:rPr>
          <w:rFonts w:cstheme="minorHAnsi"/>
          <w:lang w:val="en-US"/>
        </w:rPr>
        <w:t xml:space="preserve">. While awareness of the topic has grown, most SDOs lack systematic tools to convert abstract obligations, such as equality, privacy, or accountability, into operational engineering criteria. </w:t>
      </w:r>
      <w:r w:rsidRPr="001C2172">
        <w:rPr>
          <w:rFonts w:cstheme="minorHAnsi"/>
          <w:lang w:val="en-US"/>
        </w:rPr>
        <w:t xml:space="preserve">A further complication is the dynamic nature of technology deployment. Standards develop new uses over time, and protocols may be combined in ways that were not anticipated by their designers. Such evolutions can </w:t>
      </w:r>
      <w:r w:rsidRPr="001C2172">
        <w:rPr>
          <w:rFonts w:cstheme="minorHAnsi"/>
          <w:b/>
          <w:bCs/>
          <w:lang w:val="en-US"/>
        </w:rPr>
        <w:t>generate unforeseen consequences for human rights</w:t>
      </w:r>
      <w:r w:rsidRPr="001C2172">
        <w:rPr>
          <w:rFonts w:cstheme="minorHAnsi"/>
          <w:lang w:val="en-US"/>
        </w:rPr>
        <w:t xml:space="preserve">, making it difficult to predict impacts at design time and underscoring the </w:t>
      </w:r>
      <w:r w:rsidRPr="001C2172">
        <w:rPr>
          <w:rFonts w:cstheme="minorHAnsi"/>
          <w:b/>
          <w:bCs/>
          <w:lang w:val="en-US"/>
        </w:rPr>
        <w:t>need for iterative</w:t>
      </w:r>
      <w:r>
        <w:rPr>
          <w:rFonts w:cstheme="minorHAnsi"/>
          <w:b/>
          <w:bCs/>
          <w:lang w:val="en-US"/>
        </w:rPr>
        <w:t xml:space="preserve"> and</w:t>
      </w:r>
      <w:r w:rsidRPr="001C2172">
        <w:rPr>
          <w:rFonts w:cstheme="minorHAnsi"/>
          <w:b/>
          <w:bCs/>
          <w:lang w:val="en-US"/>
        </w:rPr>
        <w:t xml:space="preserve"> long-term monitoring</w:t>
      </w:r>
      <w:r w:rsidRPr="001C2172">
        <w:rPr>
          <w:rFonts w:cstheme="minorHAnsi"/>
          <w:lang w:val="en-US"/>
        </w:rPr>
        <w:t>.</w:t>
      </w:r>
    </w:p>
    <w:p w14:paraId="27BD566C" w14:textId="77777777" w:rsidR="007F2271" w:rsidRDefault="007F2271" w:rsidP="007F2271">
      <w:pPr>
        <w:pStyle w:val="NormalWeb"/>
        <w:spacing w:before="280" w:after="280"/>
        <w:jc w:val="both"/>
        <w:rPr>
          <w:rFonts w:cstheme="minorHAnsi"/>
          <w:lang w:val="en-US"/>
        </w:rPr>
      </w:pPr>
      <w:r w:rsidRPr="001C2172">
        <w:rPr>
          <w:rFonts w:cstheme="minorHAnsi"/>
          <w:lang w:val="en-US"/>
        </w:rPr>
        <w:t xml:space="preserve">A second barrier is </w:t>
      </w:r>
      <w:r w:rsidRPr="001C2172">
        <w:rPr>
          <w:rStyle w:val="Strong"/>
          <w:rFonts w:cstheme="minorHAnsi"/>
          <w:lang w:val="en-US"/>
        </w:rPr>
        <w:t>institutional fragmentation</w:t>
      </w:r>
      <w:r w:rsidRPr="001C2172">
        <w:rPr>
          <w:rFonts w:cstheme="minorHAnsi"/>
          <w:lang w:val="en-US"/>
        </w:rPr>
        <w:t xml:space="preserve">. Each SDO operates under its own governance model, intergovernmental, regional, or private, making coordination difficult and leading to duplication of effort. Integration depends heavily on individual champions rather than formal procedures. There is a significant opportunity to strengthen cross-disciplinary capacity for translating legal principles into technical requirements. As seen in the evolution of the UN Guiding Principles on Business and Human Rights, </w:t>
      </w:r>
      <w:r w:rsidRPr="001C2172">
        <w:rPr>
          <w:rFonts w:cstheme="minorHAnsi"/>
          <w:b/>
          <w:bCs/>
          <w:lang w:val="en-US"/>
        </w:rPr>
        <w:t>developing shared methodologies and tools for operationalization</w:t>
      </w:r>
      <w:r w:rsidRPr="001C2172">
        <w:rPr>
          <w:rFonts w:cstheme="minorHAnsi"/>
          <w:lang w:val="en-US"/>
        </w:rPr>
        <w:t xml:space="preserve"> can help SDOs and human-rights bodies converge on practical, interoperable approaches.</w:t>
      </w:r>
      <w:r>
        <w:rPr>
          <w:rFonts w:cstheme="minorHAnsi"/>
          <w:lang w:val="en-US"/>
        </w:rPr>
        <w:t xml:space="preserve"> </w:t>
      </w:r>
    </w:p>
    <w:p w14:paraId="25A9455A" w14:textId="77777777" w:rsidR="007F2271" w:rsidRDefault="007F2271" w:rsidP="007F2271">
      <w:pPr>
        <w:pStyle w:val="NormalWeb"/>
        <w:jc w:val="both"/>
        <w:rPr>
          <w:rFonts w:cstheme="minorHAnsi"/>
          <w:lang w:val="en-US"/>
        </w:rPr>
      </w:pPr>
      <w:r w:rsidRPr="00687D1B">
        <w:rPr>
          <w:rStyle w:val="Strong"/>
          <w:rFonts w:cstheme="minorHAnsi"/>
          <w:lang w:val="en-US"/>
        </w:rPr>
        <w:lastRenderedPageBreak/>
        <w:t>Participation gaps</w:t>
      </w:r>
      <w:r w:rsidRPr="00687D1B">
        <w:rPr>
          <w:rFonts w:cstheme="minorHAnsi"/>
          <w:lang w:val="en-US"/>
        </w:rPr>
        <w:t xml:space="preserve"> persist. </w:t>
      </w:r>
      <w:r w:rsidRPr="00BB0F01">
        <w:rPr>
          <w:rFonts w:cstheme="minorHAnsi"/>
          <w:lang w:val="en-US"/>
        </w:rPr>
        <w:t>Although openness and consensus are central to standardization, non-industry actors remain under-represented. In many organizations, access to working documents and decision-making spaces is effectively “pay-to-play”, with membership fees or travel requirements that favor well-resourced industry participants. Limited resources and technical literacy further constrain the effective involvement of civil society, academia and smaller organizations.</w:t>
      </w:r>
    </w:p>
    <w:p w14:paraId="69D6588C" w14:textId="77777777" w:rsidR="007F2271" w:rsidRPr="00687D1B" w:rsidRDefault="007F2271" w:rsidP="007F2271">
      <w:pPr>
        <w:pStyle w:val="NormalWeb"/>
        <w:jc w:val="both"/>
        <w:rPr>
          <w:rFonts w:cstheme="minorBidi"/>
          <w:lang w:val="en-US"/>
        </w:rPr>
      </w:pPr>
      <w:r w:rsidRPr="7EEBFDF6">
        <w:rPr>
          <w:rFonts w:cstheme="minorBidi"/>
          <w:lang w:val="en-US"/>
        </w:rPr>
        <w:t xml:space="preserve">Beyond intergovernmental bodies such as OHCHR and the few organizations formally recognized in SDO procedures, </w:t>
      </w:r>
      <w:r w:rsidRPr="7EEBFDF6">
        <w:rPr>
          <w:rFonts w:cstheme="minorBidi"/>
          <w:b/>
          <w:bCs/>
          <w:lang w:val="en-US"/>
        </w:rPr>
        <w:t>the global human rights ecosystem encompasses hundreds of NGOs, research centers, legal clinics and grassroots organizations</w:t>
      </w:r>
      <w:r w:rsidRPr="7EEBFDF6">
        <w:rPr>
          <w:rFonts w:cstheme="minorBidi"/>
          <w:lang w:val="en-US"/>
        </w:rPr>
        <w:t xml:space="preserve"> with deep expertise in privacy, equality, freedom of expression, accessibility, and digital rights. Their </w:t>
      </w:r>
      <w:r w:rsidRPr="7EEBFDF6">
        <w:rPr>
          <w:rFonts w:cstheme="minorBidi"/>
          <w:b/>
          <w:bCs/>
          <w:lang w:val="en-US"/>
        </w:rPr>
        <w:t>participation in standardization remains extremely limited</w:t>
      </w:r>
      <w:r w:rsidRPr="7EEBFDF6">
        <w:rPr>
          <w:rFonts w:cstheme="minorBidi"/>
          <w:lang w:val="en-US"/>
        </w:rPr>
        <w:t>, largely due to resource constraints, lack of structured entry points, and insufficient recognition of their technical and legal expertise.</w:t>
      </w:r>
    </w:p>
    <w:p w14:paraId="5F0FDE4E" w14:textId="77777777" w:rsidR="007F2271" w:rsidRDefault="007F2271" w:rsidP="007F2271">
      <w:pPr>
        <w:pStyle w:val="NormalWeb"/>
        <w:spacing w:before="280" w:after="280"/>
        <w:jc w:val="both"/>
        <w:rPr>
          <w:rFonts w:cstheme="minorBidi"/>
          <w:lang w:val="en-US"/>
        </w:rPr>
      </w:pPr>
      <w:r w:rsidRPr="7EEBFDF6">
        <w:rPr>
          <w:rFonts w:cstheme="minorBidi"/>
          <w:lang w:val="en-US"/>
        </w:rPr>
        <w:t xml:space="preserve">Another barrier is the widespread </w:t>
      </w:r>
      <w:r w:rsidRPr="7EEBFDF6">
        <w:rPr>
          <w:rFonts w:cstheme="minorBidi"/>
          <w:b/>
          <w:bCs/>
          <w:lang w:val="en-US"/>
        </w:rPr>
        <w:t>unfamiliarity within technical communities with legal and human rights terminology</w:t>
      </w:r>
      <w:r w:rsidRPr="7EEBFDF6">
        <w:rPr>
          <w:rFonts w:cstheme="minorBidi"/>
          <w:lang w:val="en-US"/>
        </w:rPr>
        <w:t>. What is often described as “</w:t>
      </w:r>
      <w:proofErr w:type="spellStart"/>
      <w:r w:rsidRPr="7EEBFDF6">
        <w:rPr>
          <w:rFonts w:cstheme="minorBidi"/>
          <w:lang w:val="en-US"/>
        </w:rPr>
        <w:t>politicisation</w:t>
      </w:r>
      <w:proofErr w:type="spellEnd"/>
      <w:r w:rsidRPr="7EEBFDF6">
        <w:rPr>
          <w:rFonts w:cstheme="minorBidi"/>
          <w:lang w:val="en-US"/>
        </w:rPr>
        <w:t>” typically reflects uncertainty about how rights translate into engineering decisions rather than an inherent opposition to the topic.</w:t>
      </w:r>
    </w:p>
    <w:p w14:paraId="7ED0424E" w14:textId="77777777" w:rsidR="007F2271" w:rsidRPr="00687D1B" w:rsidRDefault="007F2271" w:rsidP="007F2271">
      <w:pPr>
        <w:pStyle w:val="NormalWeb"/>
        <w:jc w:val="both"/>
        <w:rPr>
          <w:rFonts w:cstheme="minorHAnsi"/>
          <w:lang w:val="en-US"/>
        </w:rPr>
      </w:pPr>
      <w:r w:rsidRPr="00687D1B">
        <w:rPr>
          <w:rFonts w:cstheme="minorHAnsi"/>
          <w:lang w:val="en-US"/>
        </w:rPr>
        <w:t xml:space="preserve">Finally, </w:t>
      </w:r>
      <w:r w:rsidRPr="00687D1B">
        <w:rPr>
          <w:rStyle w:val="Strong"/>
          <w:rFonts w:cstheme="minorHAnsi"/>
          <w:lang w:val="en-US"/>
        </w:rPr>
        <w:t>monitoring and implementation</w:t>
      </w:r>
      <w:r w:rsidRPr="00687D1B">
        <w:rPr>
          <w:rFonts w:cstheme="minorHAnsi"/>
          <w:lang w:val="en-US"/>
        </w:rPr>
        <w:t xml:space="preserve"> remain weak. Even where guidance exists (as in UNECE or </w:t>
      </w:r>
      <w:proofErr w:type="spellStart"/>
      <w:r w:rsidRPr="00687D1B">
        <w:rPr>
          <w:rFonts w:cstheme="minorHAnsi"/>
          <w:lang w:val="en-US"/>
        </w:rPr>
        <w:t>CoE</w:t>
      </w:r>
      <w:proofErr w:type="spellEnd"/>
      <w:r w:rsidRPr="00687D1B">
        <w:rPr>
          <w:rFonts w:cstheme="minorHAnsi"/>
          <w:lang w:val="en-US"/>
        </w:rPr>
        <w:t xml:space="preserve"> methodologies), follow-up mechanisms are </w:t>
      </w:r>
      <w:proofErr w:type="gramStart"/>
      <w:r w:rsidRPr="00687D1B">
        <w:rPr>
          <w:rFonts w:cstheme="minorHAnsi"/>
          <w:lang w:val="en-US"/>
        </w:rPr>
        <w:t>voluntary</w:t>
      </w:r>
      <w:proofErr w:type="gramEnd"/>
      <w:r w:rsidRPr="00687D1B">
        <w:rPr>
          <w:rFonts w:cstheme="minorHAnsi"/>
          <w:lang w:val="en-US"/>
        </w:rPr>
        <w:t xml:space="preserve"> and evidence of practical uptake is limited.</w:t>
      </w:r>
    </w:p>
    <w:p w14:paraId="168CA0BA" w14:textId="77777777" w:rsidR="007F2271" w:rsidRPr="004556CA" w:rsidRDefault="007F2271" w:rsidP="007F2271">
      <w:pPr>
        <w:pStyle w:val="Heading2"/>
        <w:rPr>
          <w:rFonts w:cstheme="minorHAnsi"/>
          <w:lang w:val="en-GB"/>
        </w:rPr>
      </w:pPr>
      <w:bookmarkStart w:id="25" w:name="_Toc214644460"/>
      <w:r>
        <w:rPr>
          <w:rFonts w:cstheme="minorHAnsi"/>
          <w:lang w:val="en-GB"/>
        </w:rPr>
        <w:t>4.2</w:t>
      </w:r>
      <w:r>
        <w:rPr>
          <w:rFonts w:cstheme="minorHAnsi"/>
          <w:lang w:val="en-GB"/>
        </w:rPr>
        <w:tab/>
      </w:r>
      <w:r w:rsidRPr="004556CA">
        <w:rPr>
          <w:rFonts w:cstheme="minorHAnsi"/>
          <w:lang w:val="en-GB"/>
        </w:rPr>
        <w:t>Good practices</w:t>
      </w:r>
      <w:bookmarkEnd w:id="25"/>
    </w:p>
    <w:p w14:paraId="2BFEB2BF" w14:textId="77777777" w:rsidR="007F2271" w:rsidRPr="00D235F0" w:rsidRDefault="007F2271" w:rsidP="007F2271">
      <w:pPr>
        <w:pStyle w:val="NormalWeb"/>
        <w:numPr>
          <w:ilvl w:val="0"/>
          <w:numId w:val="30"/>
        </w:numPr>
        <w:suppressAutoHyphens/>
        <w:spacing w:before="280" w:after="0"/>
        <w:jc w:val="both"/>
        <w:rPr>
          <w:rFonts w:cstheme="minorHAnsi"/>
          <w:lang w:val="en-US"/>
        </w:rPr>
      </w:pPr>
      <w:r w:rsidRPr="00687D1B">
        <w:rPr>
          <w:rStyle w:val="Strong"/>
          <w:rFonts w:cstheme="minorHAnsi"/>
          <w:lang w:val="en-US"/>
        </w:rPr>
        <w:t>Structured methodologies:</w:t>
      </w:r>
      <w:r w:rsidRPr="00687D1B">
        <w:rPr>
          <w:rFonts w:cstheme="minorHAnsi"/>
          <w:lang w:val="en-US"/>
        </w:rPr>
        <w:t xml:space="preserve"> HUDERIA (</w:t>
      </w:r>
      <w:proofErr w:type="spellStart"/>
      <w:r w:rsidRPr="00687D1B">
        <w:rPr>
          <w:rFonts w:cstheme="minorHAnsi"/>
          <w:lang w:val="en-US"/>
        </w:rPr>
        <w:t>CoE</w:t>
      </w:r>
      <w:proofErr w:type="spellEnd"/>
      <w:r w:rsidRPr="00687D1B">
        <w:rPr>
          <w:rFonts w:cstheme="minorHAnsi"/>
          <w:lang w:val="en-US"/>
        </w:rPr>
        <w:t xml:space="preserve">) offers a replicable framework linking rights to </w:t>
      </w:r>
      <w:r>
        <w:rPr>
          <w:rFonts w:cstheme="minorHAnsi"/>
          <w:lang w:val="en-US"/>
        </w:rPr>
        <w:t>technical</w:t>
      </w:r>
      <w:r w:rsidRPr="00687D1B">
        <w:rPr>
          <w:rFonts w:cstheme="minorHAnsi"/>
          <w:lang w:val="en-US"/>
        </w:rPr>
        <w:t xml:space="preserve"> choices through </w:t>
      </w:r>
      <w:r>
        <w:rPr>
          <w:rFonts w:cstheme="minorHAnsi"/>
          <w:lang w:val="en-US"/>
        </w:rPr>
        <w:t xml:space="preserve">an adaptable and flexible socio-technical approach composed of a four-step iterative process, including context-based risk analysis, stakeholder engagement, risk and impact assessment and mitigation. </w:t>
      </w:r>
      <w:r w:rsidRPr="00D235F0">
        <w:rPr>
          <w:rFonts w:cstheme="minorHAnsi"/>
          <w:lang w:val="en-US"/>
        </w:rPr>
        <w:t xml:space="preserve">Similarly, the </w:t>
      </w:r>
      <w:r w:rsidRPr="00D235F0">
        <w:rPr>
          <w:rFonts w:cstheme="minorHAnsi"/>
          <w:b/>
          <w:bCs/>
          <w:lang w:val="en-US"/>
        </w:rPr>
        <w:t>IRTF’s RFC 9620</w:t>
      </w:r>
      <w:r w:rsidRPr="00D235F0">
        <w:rPr>
          <w:rFonts w:cstheme="minorHAnsi"/>
          <w:lang w:val="en-US"/>
        </w:rPr>
        <w:t xml:space="preserve"> provide structured methodologies for analyzing how Internet protocols interact with human rights, offering a set of concepts, and evaluation criteria that can guide engineers in translating rights principles into protocol-design considerations.</w:t>
      </w:r>
    </w:p>
    <w:p w14:paraId="651C258C" w14:textId="77777777" w:rsidR="007F2271" w:rsidRPr="00687D1B" w:rsidRDefault="007F2271" w:rsidP="007F2271">
      <w:pPr>
        <w:pStyle w:val="NormalWeb"/>
        <w:numPr>
          <w:ilvl w:val="0"/>
          <w:numId w:val="30"/>
        </w:numPr>
        <w:jc w:val="both"/>
        <w:rPr>
          <w:rFonts w:cstheme="minorHAnsi"/>
          <w:lang w:val="en-US"/>
        </w:rPr>
      </w:pPr>
      <w:r w:rsidRPr="00687D1B">
        <w:rPr>
          <w:rStyle w:val="Strong"/>
          <w:rFonts w:cstheme="minorHAnsi"/>
          <w:lang w:val="en-US"/>
        </w:rPr>
        <w:t>Procedural checkpoints:</w:t>
      </w:r>
      <w:r w:rsidRPr="00687D1B">
        <w:rPr>
          <w:rFonts w:cstheme="minorHAnsi"/>
          <w:lang w:val="en-US"/>
        </w:rPr>
        <w:t xml:space="preserve"> Upcoming ETSI’s pilot system introduces human</w:t>
      </w:r>
      <w:r>
        <w:rPr>
          <w:rFonts w:cstheme="minorHAnsi"/>
          <w:lang w:val="en-US"/>
        </w:rPr>
        <w:t xml:space="preserve"> </w:t>
      </w:r>
      <w:r w:rsidRPr="00687D1B">
        <w:rPr>
          <w:rFonts w:cstheme="minorHAnsi"/>
          <w:lang w:val="en-US"/>
        </w:rPr>
        <w:t>rights questions at three stages of a standard’s lifecycle, an adaptable low-cost model.</w:t>
      </w:r>
    </w:p>
    <w:p w14:paraId="03D955BD" w14:textId="77777777" w:rsidR="007F2271" w:rsidRPr="00687D1B" w:rsidRDefault="007F2271" w:rsidP="007F2271">
      <w:pPr>
        <w:pStyle w:val="NormalWeb"/>
        <w:numPr>
          <w:ilvl w:val="0"/>
          <w:numId w:val="30"/>
        </w:numPr>
        <w:jc w:val="both"/>
        <w:rPr>
          <w:rFonts w:cstheme="minorHAnsi"/>
          <w:lang w:val="en-US"/>
        </w:rPr>
      </w:pPr>
      <w:r w:rsidRPr="00687D1B">
        <w:rPr>
          <w:rStyle w:val="Strong"/>
          <w:rFonts w:cstheme="minorHAnsi"/>
          <w:lang w:val="en-US"/>
        </w:rPr>
        <w:t>Dedicated portfolios:</w:t>
      </w:r>
      <w:r w:rsidRPr="00687D1B">
        <w:rPr>
          <w:rFonts w:cstheme="minorHAnsi"/>
          <w:lang w:val="en-US"/>
        </w:rPr>
        <w:t xml:space="preserve"> IEEE’s 7000-series standards and </w:t>
      </w:r>
      <w:proofErr w:type="spellStart"/>
      <w:r w:rsidRPr="00687D1B">
        <w:rPr>
          <w:rFonts w:cstheme="minorHAnsi"/>
          <w:lang w:val="en-US"/>
        </w:rPr>
        <w:t>CertifAIEd</w:t>
      </w:r>
      <w:proofErr w:type="spellEnd"/>
      <w:r w:rsidRPr="00687D1B">
        <w:rPr>
          <w:rFonts w:cstheme="minorHAnsi"/>
          <w:lang w:val="en-US"/>
        </w:rPr>
        <w:t xml:space="preserve"> program demonstrate how ethics and rights can be embedded in full product lifecycles.</w:t>
      </w:r>
    </w:p>
    <w:p w14:paraId="43BADA06" w14:textId="77777777" w:rsidR="007F2271" w:rsidRPr="00687D1B" w:rsidRDefault="007F2271" w:rsidP="007F2271">
      <w:pPr>
        <w:pStyle w:val="NormalWeb"/>
        <w:numPr>
          <w:ilvl w:val="0"/>
          <w:numId w:val="30"/>
        </w:numPr>
        <w:jc w:val="both"/>
        <w:rPr>
          <w:rFonts w:cstheme="minorHAnsi"/>
          <w:lang w:val="en-US"/>
        </w:rPr>
      </w:pPr>
      <w:r w:rsidRPr="00687D1B">
        <w:rPr>
          <w:rStyle w:val="Strong"/>
          <w:rFonts w:cstheme="minorHAnsi"/>
          <w:lang w:val="en-US"/>
        </w:rPr>
        <w:t>Inclusive governance:</w:t>
      </w:r>
      <w:r w:rsidRPr="00687D1B">
        <w:rPr>
          <w:rFonts w:cstheme="minorHAnsi"/>
          <w:lang w:val="en-US"/>
        </w:rPr>
        <w:t xml:space="preserve"> CEN/CENELEC’s Annex III participation rights institutionalize civil</w:t>
      </w:r>
      <w:r>
        <w:rPr>
          <w:rFonts w:cstheme="minorHAnsi"/>
          <w:lang w:val="en-US"/>
        </w:rPr>
        <w:t xml:space="preserve"> </w:t>
      </w:r>
      <w:r w:rsidRPr="00687D1B">
        <w:rPr>
          <w:rFonts w:cstheme="minorHAnsi"/>
          <w:lang w:val="en-US"/>
        </w:rPr>
        <w:t>society and equality representation within technical work.</w:t>
      </w:r>
    </w:p>
    <w:p w14:paraId="724AF204" w14:textId="77777777" w:rsidR="007F2271" w:rsidRPr="00687D1B" w:rsidRDefault="007F2271" w:rsidP="007F2271">
      <w:pPr>
        <w:pStyle w:val="NormalWeb"/>
        <w:numPr>
          <w:ilvl w:val="0"/>
          <w:numId w:val="30"/>
        </w:numPr>
        <w:jc w:val="both"/>
        <w:rPr>
          <w:rFonts w:cstheme="minorHAnsi"/>
          <w:lang w:val="en-US"/>
        </w:rPr>
      </w:pPr>
      <w:r w:rsidRPr="00687D1B">
        <w:rPr>
          <w:rStyle w:val="Strong"/>
          <w:rFonts w:cstheme="minorHAnsi"/>
          <w:lang w:val="en-US"/>
        </w:rPr>
        <w:t>Normative translation:</w:t>
      </w:r>
      <w:r w:rsidRPr="00687D1B">
        <w:rPr>
          <w:rFonts w:cstheme="minorHAnsi"/>
          <w:lang w:val="en-US"/>
        </w:rPr>
        <w:t xml:space="preserve"> UNECE’s Gender-Responsive Standards blueprint shows how legal and policy objectives can be operationalized into action plans.</w:t>
      </w:r>
    </w:p>
    <w:p w14:paraId="40337B7D" w14:textId="77777777" w:rsidR="007F2271" w:rsidRPr="00687D1B" w:rsidRDefault="007F2271" w:rsidP="007F2271">
      <w:pPr>
        <w:pStyle w:val="NormalWeb"/>
        <w:numPr>
          <w:ilvl w:val="0"/>
          <w:numId w:val="30"/>
        </w:numPr>
        <w:jc w:val="both"/>
        <w:rPr>
          <w:rFonts w:cstheme="minorHAnsi"/>
          <w:lang w:val="en-US"/>
        </w:rPr>
      </w:pPr>
      <w:r w:rsidRPr="00687D1B">
        <w:rPr>
          <w:rStyle w:val="Strong"/>
          <w:rFonts w:cstheme="minorHAnsi"/>
          <w:lang w:val="en-US"/>
        </w:rPr>
        <w:t>Engineering framing:</w:t>
      </w:r>
      <w:r w:rsidRPr="00687D1B">
        <w:rPr>
          <w:rFonts w:cstheme="minorHAnsi"/>
          <w:lang w:val="en-US"/>
        </w:rPr>
        <w:t xml:space="preserve"> IETF’s “considerations” and threat-model practice exemplify rights-by-design thinking in decentralized environments.</w:t>
      </w:r>
    </w:p>
    <w:p w14:paraId="121543F4" w14:textId="77777777" w:rsidR="007F2271" w:rsidRPr="004556CA" w:rsidRDefault="007F2271" w:rsidP="007F2271">
      <w:pPr>
        <w:pStyle w:val="Heading2"/>
        <w:rPr>
          <w:rFonts w:cstheme="minorHAnsi"/>
          <w:lang w:val="en-GB"/>
        </w:rPr>
      </w:pPr>
      <w:bookmarkStart w:id="26" w:name="_Toc214644461"/>
      <w:r>
        <w:rPr>
          <w:rFonts w:cstheme="minorHAnsi"/>
          <w:lang w:val="en-GB"/>
        </w:rPr>
        <w:t>4.3</w:t>
      </w:r>
      <w:r>
        <w:rPr>
          <w:rFonts w:cstheme="minorHAnsi"/>
          <w:lang w:val="en-GB"/>
        </w:rPr>
        <w:tab/>
      </w:r>
      <w:r w:rsidRPr="004556CA">
        <w:rPr>
          <w:rFonts w:cstheme="minorHAnsi"/>
          <w:lang w:val="en-GB"/>
        </w:rPr>
        <w:t>Opportunities for convergence</w:t>
      </w:r>
      <w:bookmarkEnd w:id="26"/>
    </w:p>
    <w:p w14:paraId="54DC9D70" w14:textId="77777777" w:rsidR="007F2271" w:rsidRPr="00687D1B" w:rsidRDefault="007F2271" w:rsidP="007F2271">
      <w:pPr>
        <w:pStyle w:val="NormalWeb"/>
        <w:jc w:val="both"/>
        <w:rPr>
          <w:rFonts w:cstheme="minorHAnsi"/>
          <w:lang w:val="en-US"/>
        </w:rPr>
      </w:pPr>
      <w:r w:rsidRPr="00687D1B">
        <w:rPr>
          <w:rFonts w:cstheme="minorHAnsi"/>
          <w:lang w:val="en-US"/>
        </w:rPr>
        <w:t xml:space="preserve">The analysis reveals strong potential for </w:t>
      </w:r>
      <w:r w:rsidRPr="00687D1B">
        <w:rPr>
          <w:rStyle w:val="Strong"/>
          <w:rFonts w:cstheme="minorHAnsi"/>
          <w:lang w:val="en-US"/>
        </w:rPr>
        <w:t>mutual reinforcement</w:t>
      </w:r>
      <w:r w:rsidRPr="00687D1B">
        <w:rPr>
          <w:rFonts w:cstheme="minorHAnsi"/>
          <w:lang w:val="en-US"/>
        </w:rPr>
        <w:t xml:space="preserve"> among legal, procedural and technical approaches:</w:t>
      </w:r>
    </w:p>
    <w:p w14:paraId="2E90BB90" w14:textId="77777777" w:rsidR="007F2271" w:rsidRPr="00687D1B" w:rsidRDefault="007F2271" w:rsidP="007F2271">
      <w:pPr>
        <w:pStyle w:val="NormalWeb"/>
        <w:numPr>
          <w:ilvl w:val="0"/>
          <w:numId w:val="31"/>
        </w:numPr>
        <w:jc w:val="both"/>
        <w:rPr>
          <w:rFonts w:cstheme="minorHAnsi"/>
          <w:lang w:val="en-US"/>
        </w:rPr>
      </w:pPr>
      <w:r w:rsidRPr="00687D1B">
        <w:rPr>
          <w:rFonts w:cstheme="minorHAnsi"/>
          <w:lang w:val="en-US"/>
        </w:rPr>
        <w:lastRenderedPageBreak/>
        <w:t xml:space="preserve">The </w:t>
      </w:r>
      <w:proofErr w:type="spellStart"/>
      <w:r w:rsidRPr="00687D1B">
        <w:rPr>
          <w:rStyle w:val="Strong"/>
          <w:rFonts w:cstheme="minorHAnsi"/>
          <w:lang w:val="en-US"/>
        </w:rPr>
        <w:t>CoE</w:t>
      </w:r>
      <w:proofErr w:type="spellEnd"/>
      <w:r w:rsidRPr="00687D1B">
        <w:rPr>
          <w:rStyle w:val="Strong"/>
          <w:rFonts w:cstheme="minorHAnsi"/>
          <w:lang w:val="en-US"/>
        </w:rPr>
        <w:t xml:space="preserve"> HUDERIA</w:t>
      </w:r>
      <w:r w:rsidRPr="00687D1B">
        <w:rPr>
          <w:rFonts w:cstheme="minorHAnsi"/>
          <w:lang w:val="en-US"/>
        </w:rPr>
        <w:t xml:space="preserve"> framework could serve as </w:t>
      </w:r>
      <w:r>
        <w:rPr>
          <w:rFonts w:cstheme="minorHAnsi"/>
          <w:lang w:val="en-US"/>
        </w:rPr>
        <w:t xml:space="preserve">a human rights, democracy and rule of law </w:t>
      </w:r>
      <w:r w:rsidRPr="00687D1B">
        <w:rPr>
          <w:rFonts w:cstheme="minorHAnsi"/>
          <w:lang w:val="en-US"/>
        </w:rPr>
        <w:t xml:space="preserve">reference linked to </w:t>
      </w:r>
      <w:r>
        <w:rPr>
          <w:rFonts w:cstheme="minorHAnsi"/>
          <w:lang w:val="en-US"/>
        </w:rPr>
        <w:t xml:space="preserve">other </w:t>
      </w:r>
      <w:r w:rsidRPr="00687D1B">
        <w:rPr>
          <w:rStyle w:val="Strong"/>
          <w:rFonts w:cstheme="minorHAnsi"/>
          <w:lang w:val="en-US"/>
        </w:rPr>
        <w:t>SDO checklists</w:t>
      </w:r>
      <w:r w:rsidRPr="00687D1B">
        <w:rPr>
          <w:rFonts w:cstheme="minorHAnsi"/>
          <w:lang w:val="en-US"/>
        </w:rPr>
        <w:t xml:space="preserve"> or certification schemes (ETSI</w:t>
      </w:r>
      <w:r>
        <w:rPr>
          <w:rFonts w:cstheme="minorHAnsi"/>
          <w:lang w:val="en-US"/>
        </w:rPr>
        <w:t xml:space="preserve"> and</w:t>
      </w:r>
      <w:r w:rsidRPr="00687D1B">
        <w:rPr>
          <w:rFonts w:cstheme="minorHAnsi"/>
          <w:lang w:val="en-US"/>
        </w:rPr>
        <w:t xml:space="preserve"> IEEE).</w:t>
      </w:r>
    </w:p>
    <w:p w14:paraId="0178500B" w14:textId="77777777" w:rsidR="007F2271" w:rsidRPr="00687D1B" w:rsidRDefault="007F2271" w:rsidP="007F2271">
      <w:pPr>
        <w:pStyle w:val="NormalWeb"/>
        <w:numPr>
          <w:ilvl w:val="0"/>
          <w:numId w:val="31"/>
        </w:numPr>
        <w:jc w:val="both"/>
        <w:rPr>
          <w:rFonts w:cstheme="minorHAnsi"/>
          <w:lang w:val="en-US"/>
        </w:rPr>
      </w:pPr>
      <w:r w:rsidRPr="00687D1B">
        <w:rPr>
          <w:rStyle w:val="Strong"/>
          <w:rFonts w:cstheme="minorHAnsi"/>
          <w:lang w:val="en-US"/>
        </w:rPr>
        <w:t>ISO, IEC and ITU</w:t>
      </w:r>
      <w:r w:rsidRPr="00687D1B">
        <w:rPr>
          <w:rFonts w:cstheme="minorHAnsi"/>
          <w:lang w:val="en-US"/>
        </w:rPr>
        <w:t xml:space="preserve"> can act as coordination hubs, aligning definitions and promoting interoperability among existing initiatives.</w:t>
      </w:r>
    </w:p>
    <w:p w14:paraId="7FA36978" w14:textId="77777777" w:rsidR="007F2271" w:rsidRDefault="007F2271" w:rsidP="007F2271">
      <w:pPr>
        <w:pStyle w:val="NormalWeb"/>
        <w:numPr>
          <w:ilvl w:val="0"/>
          <w:numId w:val="31"/>
        </w:numPr>
        <w:jc w:val="both"/>
        <w:rPr>
          <w:rFonts w:cstheme="minorBidi"/>
          <w:lang w:val="en-US"/>
        </w:rPr>
      </w:pPr>
      <w:r w:rsidRPr="7EEBFDF6">
        <w:rPr>
          <w:rStyle w:val="Strong"/>
          <w:rFonts w:cstheme="minorBidi"/>
          <w:lang w:val="en-US"/>
        </w:rPr>
        <w:t>UNECE’s blueprint methodology</w:t>
      </w:r>
      <w:r w:rsidRPr="7EEBFDF6">
        <w:rPr>
          <w:rFonts w:cstheme="minorBidi"/>
          <w:lang w:val="en-US"/>
        </w:rPr>
        <w:t xml:space="preserve"> could inspire a universal human rights action plan template for SDOs.</w:t>
      </w:r>
    </w:p>
    <w:p w14:paraId="3B1218A1" w14:textId="77777777" w:rsidR="007F2271" w:rsidRPr="00687D1B" w:rsidRDefault="007F2271" w:rsidP="007F2271">
      <w:pPr>
        <w:pStyle w:val="NormalWeb"/>
        <w:numPr>
          <w:ilvl w:val="0"/>
          <w:numId w:val="31"/>
        </w:numPr>
        <w:jc w:val="both"/>
        <w:rPr>
          <w:rFonts w:cstheme="minorBidi"/>
          <w:lang w:val="en-US"/>
        </w:rPr>
      </w:pPr>
      <w:r w:rsidRPr="7EEBFDF6">
        <w:rPr>
          <w:rFonts w:cstheme="minorBidi"/>
          <w:lang w:val="en-US"/>
        </w:rPr>
        <w:t xml:space="preserve">Another avenue for convergence lies in </w:t>
      </w:r>
      <w:r w:rsidRPr="7EEBFDF6">
        <w:rPr>
          <w:rFonts w:cstheme="minorBidi"/>
          <w:b/>
          <w:bCs/>
          <w:lang w:val="en-US"/>
        </w:rPr>
        <w:t>aligning standardization practices with the UN Guiding Principles on Business and Human Rights (UNGPs)</w:t>
      </w:r>
      <w:r w:rsidRPr="7EEBFDF6">
        <w:rPr>
          <w:rFonts w:cstheme="minorBidi"/>
          <w:lang w:val="en-US"/>
        </w:rPr>
        <w:t xml:space="preserve">. Many companies active in SDOs have already committed to the UNGPs and are required to conduct human rights impact assessments as part of their due-diligence processes. Integrating similar assessment practices into standards development could therefore support existing corporate commitments and promote policy coherence. Some experts have suggested that SDOs explore formal alignment with, or reference to, the UNGPs </w:t>
      </w:r>
      <w:proofErr w:type="gramStart"/>
      <w:r w:rsidRPr="7EEBFDF6">
        <w:rPr>
          <w:rFonts w:cstheme="minorBidi"/>
          <w:lang w:val="en-US"/>
        </w:rPr>
        <w:t>as a way to</w:t>
      </w:r>
      <w:proofErr w:type="gramEnd"/>
      <w:r w:rsidRPr="7EEBFDF6">
        <w:rPr>
          <w:rFonts w:cstheme="minorBidi"/>
          <w:lang w:val="en-US"/>
        </w:rPr>
        <w:t xml:space="preserve"> anchor rights-based approaches in recognized international frameworks.</w:t>
      </w:r>
    </w:p>
    <w:p w14:paraId="4047BD6B" w14:textId="77777777" w:rsidR="007F2271" w:rsidRPr="00687D1B" w:rsidRDefault="007F2271" w:rsidP="007F2271">
      <w:pPr>
        <w:pStyle w:val="NormalWeb"/>
        <w:numPr>
          <w:ilvl w:val="0"/>
          <w:numId w:val="31"/>
        </w:numPr>
        <w:jc w:val="both"/>
        <w:rPr>
          <w:rFonts w:cstheme="minorBidi"/>
          <w:lang w:val="en-US"/>
        </w:rPr>
      </w:pPr>
      <w:r w:rsidRPr="7EEBFDF6">
        <w:rPr>
          <w:rFonts w:cstheme="minorBidi"/>
          <w:lang w:val="en-US"/>
        </w:rPr>
        <w:t xml:space="preserve">The </w:t>
      </w:r>
      <w:r w:rsidRPr="7EEBFDF6">
        <w:rPr>
          <w:rStyle w:val="Strong"/>
          <w:rFonts w:cstheme="minorBidi"/>
          <w:lang w:val="en-US"/>
        </w:rPr>
        <w:t>AI Standards Summit (Seoul 2025)</w:t>
      </w:r>
      <w:r w:rsidRPr="7EEBFDF6">
        <w:rPr>
          <w:rFonts w:cstheme="minorBidi"/>
          <w:lang w:val="en-US"/>
        </w:rPr>
        <w:t xml:space="preserve"> and </w:t>
      </w:r>
      <w:r w:rsidRPr="7EEBFDF6">
        <w:rPr>
          <w:rStyle w:val="Strong"/>
          <w:rFonts w:cstheme="minorBidi"/>
          <w:lang w:val="en-US"/>
        </w:rPr>
        <w:t>Global Digital Compact process</w:t>
      </w:r>
      <w:r w:rsidRPr="7EEBFDF6">
        <w:rPr>
          <w:rFonts w:cstheme="minorBidi"/>
          <w:lang w:val="en-US"/>
        </w:rPr>
        <w:t xml:space="preserve"> provide political momentum for a cross-organizational coalition. The GDC is expected to reinforce expectations that technical standardization processes address human rights impacts, promote transparency, and support inclusive participation. As governments operationalize the GDC, SDOs may face stronger expectations to demonstrate how their procedures align with human rights due-diligence principles, multistakeholder engagement, and global interoperability norms.</w:t>
      </w:r>
    </w:p>
    <w:p w14:paraId="1B3A7F0D" w14:textId="77777777" w:rsidR="007F2271" w:rsidRPr="00687D1B" w:rsidRDefault="007F2271" w:rsidP="007F2271">
      <w:pPr>
        <w:pStyle w:val="NormalWeb"/>
        <w:jc w:val="both"/>
        <w:rPr>
          <w:rFonts w:cstheme="minorHAnsi"/>
          <w:lang w:val="en-US"/>
        </w:rPr>
      </w:pPr>
      <w:r w:rsidRPr="00687D1B">
        <w:rPr>
          <w:rFonts w:cstheme="minorHAnsi"/>
          <w:lang w:val="en-US"/>
        </w:rPr>
        <w:t xml:space="preserve">Collectively, these efforts suggest a path toward an </w:t>
      </w:r>
      <w:r w:rsidRPr="00687D1B">
        <w:rPr>
          <w:rStyle w:val="Strong"/>
          <w:rFonts w:cstheme="minorHAnsi"/>
          <w:lang w:val="en-US"/>
        </w:rPr>
        <w:t>ecosystem of interoperable tools and shared references</w:t>
      </w:r>
      <w:r w:rsidRPr="00687D1B">
        <w:rPr>
          <w:rFonts w:cstheme="minorHAnsi"/>
          <w:lang w:val="en-US"/>
        </w:rPr>
        <w:t>, where each body contributes according to its mandate: normative framing (</w:t>
      </w:r>
      <w:proofErr w:type="spellStart"/>
      <w:r w:rsidRPr="00687D1B">
        <w:rPr>
          <w:rFonts w:cstheme="minorHAnsi"/>
          <w:lang w:val="en-US"/>
        </w:rPr>
        <w:t>CoE</w:t>
      </w:r>
      <w:proofErr w:type="spellEnd"/>
      <w:r w:rsidRPr="00687D1B">
        <w:rPr>
          <w:rFonts w:cstheme="minorHAnsi"/>
          <w:lang w:val="en-US"/>
        </w:rPr>
        <w:t xml:space="preserve"> and UNECE), procedural embedding (ETSI and CEN/CENELEC), standard development and technical translation (IEEE, ISO, IEC</w:t>
      </w:r>
      <w:r>
        <w:rPr>
          <w:rFonts w:cstheme="minorHAnsi"/>
          <w:lang w:val="en-US"/>
        </w:rPr>
        <w:t xml:space="preserve"> and </w:t>
      </w:r>
      <w:r w:rsidRPr="00687D1B">
        <w:rPr>
          <w:rFonts w:cstheme="minorHAnsi"/>
          <w:lang w:val="en-US"/>
        </w:rPr>
        <w:t>IETF).</w:t>
      </w:r>
    </w:p>
    <w:p w14:paraId="2E28CCA6" w14:textId="77777777" w:rsidR="007F2271" w:rsidRDefault="007F2271" w:rsidP="007F2271">
      <w:pPr>
        <w:pStyle w:val="NormalWeb"/>
        <w:jc w:val="both"/>
        <w:rPr>
          <w:rFonts w:cstheme="minorHAnsi"/>
          <w:lang w:val="en-US"/>
        </w:rPr>
      </w:pPr>
      <w:r w:rsidRPr="00687D1B">
        <w:rPr>
          <w:rFonts w:cstheme="minorHAnsi"/>
          <w:lang w:val="en-US"/>
        </w:rPr>
        <w:t>Such convergence would transform human</w:t>
      </w:r>
      <w:r>
        <w:rPr>
          <w:rFonts w:cstheme="minorHAnsi"/>
          <w:lang w:val="en-US"/>
        </w:rPr>
        <w:t xml:space="preserve"> </w:t>
      </w:r>
      <w:r w:rsidRPr="00687D1B">
        <w:rPr>
          <w:rFonts w:cstheme="minorHAnsi"/>
          <w:lang w:val="en-US"/>
        </w:rPr>
        <w:t>rights integration from isolated initiatives into a coherent, system-wide practice.</w:t>
      </w:r>
    </w:p>
    <w:p w14:paraId="6E3FB53F" w14:textId="77777777" w:rsidR="007F2271" w:rsidRPr="004556CA" w:rsidRDefault="007F2271" w:rsidP="007F2271">
      <w:pPr>
        <w:pStyle w:val="NormalWeb"/>
        <w:jc w:val="center"/>
        <w:rPr>
          <w:rFonts w:cstheme="minorHAnsi"/>
          <w:u w:val="single"/>
          <w:lang w:val="en-US"/>
        </w:rPr>
      </w:pPr>
      <w:r>
        <w:rPr>
          <w:rFonts w:cstheme="minorHAnsi"/>
          <w:u w:val="single"/>
          <w:lang w:val="en-US"/>
        </w:rPr>
        <w:tab/>
      </w:r>
      <w:r>
        <w:rPr>
          <w:rFonts w:cstheme="minorHAnsi"/>
          <w:u w:val="single"/>
          <w:lang w:val="en-US"/>
        </w:rPr>
        <w:tab/>
      </w:r>
      <w:r>
        <w:rPr>
          <w:rFonts w:cstheme="minorHAnsi"/>
          <w:u w:val="single"/>
          <w:lang w:val="en-US"/>
        </w:rPr>
        <w:tab/>
      </w:r>
    </w:p>
    <w:p w14:paraId="020C4737" w14:textId="7D4226C5" w:rsidR="00EA10EC" w:rsidRPr="007F2271" w:rsidRDefault="00EA10EC" w:rsidP="007F2271">
      <w:pPr>
        <w:jc w:val="center"/>
        <w:rPr>
          <w:rFonts w:cstheme="minorHAnsi"/>
          <w:u w:val="single"/>
          <w:lang w:val="en-US"/>
        </w:rPr>
      </w:pPr>
    </w:p>
    <w:sectPr w:rsidR="00EA10EC" w:rsidRPr="007F2271" w:rsidSect="00BF50AA">
      <w:headerReference w:type="default" r:id="rId13"/>
      <w:footerReference w:type="even" r:id="rId14"/>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5DDA" w14:textId="77777777" w:rsidR="00A91DDC" w:rsidRDefault="00A91DDC" w:rsidP="00466C46">
      <w:r>
        <w:separator/>
      </w:r>
    </w:p>
  </w:endnote>
  <w:endnote w:type="continuationSeparator" w:id="0">
    <w:p w14:paraId="26D98A41" w14:textId="77777777" w:rsidR="00A91DDC" w:rsidRDefault="00A91DDC" w:rsidP="0046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3557362"/>
      <w:docPartObj>
        <w:docPartGallery w:val="Page Numbers (Bottom of Page)"/>
        <w:docPartUnique/>
      </w:docPartObj>
    </w:sdtPr>
    <w:sdtEndPr>
      <w:rPr>
        <w:rStyle w:val="PageNumber"/>
      </w:rPr>
    </w:sdtEndPr>
    <w:sdtContent>
      <w:p w14:paraId="2F550D57" w14:textId="77777777" w:rsidR="00466C46" w:rsidRDefault="00466C46" w:rsidP="006A15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ED95D9" w14:textId="77777777" w:rsidR="00466C46" w:rsidRDefault="00466C46" w:rsidP="00466C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78E2" w14:textId="77777777" w:rsidR="00A91DDC" w:rsidRDefault="00A91DDC" w:rsidP="00466C46">
      <w:r>
        <w:separator/>
      </w:r>
    </w:p>
  </w:footnote>
  <w:footnote w:type="continuationSeparator" w:id="0">
    <w:p w14:paraId="61981B7F" w14:textId="77777777" w:rsidR="00A91DDC" w:rsidRDefault="00A91DDC" w:rsidP="00466C46">
      <w:r>
        <w:continuationSeparator/>
      </w:r>
    </w:p>
  </w:footnote>
  <w:footnote w:id="1">
    <w:p w14:paraId="1D1933E4" w14:textId="77777777" w:rsidR="007F2271" w:rsidRPr="00FF4FEA" w:rsidRDefault="007F2271" w:rsidP="007F2271">
      <w:pPr>
        <w:pStyle w:val="FootnoteText"/>
        <w:rPr>
          <w:rFonts w:cstheme="minorHAnsi"/>
          <w:lang w:val="en-GB"/>
        </w:rPr>
      </w:pPr>
      <w:r w:rsidRPr="00FF4FEA">
        <w:rPr>
          <w:rStyle w:val="FootnoteReference"/>
          <w:rFonts w:cstheme="minorHAnsi"/>
        </w:rPr>
        <w:footnoteRef/>
      </w:r>
      <w:r w:rsidRPr="00FF4FEA">
        <w:rPr>
          <w:rFonts w:cstheme="minorHAnsi"/>
          <w:lang w:val="en-GB"/>
        </w:rPr>
        <w:t xml:space="preserve"> TSAG requested the TSB Director to continue working on the issue of human rights and standardization, within the existing budget and ITU mandate, taking into account C19R1.</w:t>
      </w:r>
    </w:p>
    <w:p w14:paraId="6AE86AFF" w14:textId="77777777" w:rsidR="007F2271" w:rsidRPr="00FF4FEA" w:rsidRDefault="007F2271" w:rsidP="007F2271">
      <w:pPr>
        <w:pStyle w:val="FootnoteText"/>
        <w:rPr>
          <w:rFonts w:cstheme="minorHAnsi"/>
          <w:lang w:val="en-US"/>
        </w:rPr>
      </w:pPr>
      <w:hyperlink r:id="rId1" w:history="1">
        <w:r w:rsidRPr="00FF4FEA">
          <w:rPr>
            <w:rStyle w:val="Hyperlink"/>
            <w:rFonts w:cstheme="minorHAnsi"/>
            <w:lang w:val="en-GB"/>
          </w:rPr>
          <w:t>TSAG-C19R1</w:t>
        </w:r>
      </w:hyperlink>
      <w:r w:rsidRPr="00FF4FEA">
        <w:rPr>
          <w:rFonts w:cstheme="minorHAnsi"/>
          <w:lang w:val="en-GB"/>
        </w:rPr>
        <w:t>: To prepare a report on how other SDOs and other relevant organizations deal with human rights, including a comparison of the taxonomies, frameworks and procedures that they use, and to develop options for further work in ITU-T for Member States to consider at a future TSAG meeting.</w:t>
      </w:r>
    </w:p>
  </w:footnote>
  <w:footnote w:id="2">
    <w:p w14:paraId="715DA92D" w14:textId="77777777" w:rsidR="007F2271" w:rsidRPr="00FF4FEA" w:rsidRDefault="007F2271" w:rsidP="007F2271">
      <w:pPr>
        <w:pStyle w:val="FootnoteText"/>
        <w:rPr>
          <w:rFonts w:cstheme="minorHAnsi"/>
          <w:lang w:val="en-US"/>
        </w:rPr>
      </w:pPr>
      <w:r w:rsidRPr="00FF4FEA">
        <w:rPr>
          <w:rStyle w:val="FootnoteReference"/>
          <w:rFonts w:cstheme="minorHAnsi"/>
        </w:rPr>
        <w:footnoteRef/>
      </w:r>
      <w:r w:rsidRPr="00FF4FEA">
        <w:rPr>
          <w:rFonts w:cstheme="minorHAnsi"/>
          <w:lang w:val="en-US"/>
        </w:rPr>
        <w:t xml:space="preserve"> </w:t>
      </w:r>
      <w:hyperlink r:id="rId2" w:history="1">
        <w:r w:rsidRPr="00CD7FFA">
          <w:rPr>
            <w:rStyle w:val="Hyperlink"/>
            <w:rFonts w:cstheme="minorHAnsi"/>
            <w:lang w:val="en-US"/>
          </w:rPr>
          <w:t>https://standards.ieee.org/wp-content/uploads/import/documents/other/ead_v2.pdf</w:t>
        </w:r>
      </w:hyperlink>
      <w:r>
        <w:rPr>
          <w:rFonts w:cstheme="minorHAnsi"/>
          <w:lang w:val="en-US"/>
        </w:rPr>
        <w:t xml:space="preserve"> </w:t>
      </w:r>
    </w:p>
  </w:footnote>
  <w:footnote w:id="3">
    <w:p w14:paraId="31301CF5" w14:textId="77777777" w:rsidR="007F2271" w:rsidRPr="00FF4FEA" w:rsidRDefault="007F2271" w:rsidP="007F2271">
      <w:pPr>
        <w:pStyle w:val="FootnoteText"/>
        <w:rPr>
          <w:rFonts w:cstheme="minorHAnsi"/>
          <w:lang w:val="en-US"/>
        </w:rPr>
      </w:pPr>
      <w:r w:rsidRPr="00FF4FEA">
        <w:rPr>
          <w:rStyle w:val="FootnoteReference"/>
          <w:rFonts w:cstheme="minorHAnsi"/>
        </w:rPr>
        <w:footnoteRef/>
      </w:r>
      <w:r w:rsidRPr="00FF4FEA">
        <w:rPr>
          <w:rFonts w:cstheme="minorHAnsi"/>
          <w:lang w:val="en-US"/>
        </w:rPr>
        <w:t xml:space="preserve"> </w:t>
      </w:r>
      <w:hyperlink r:id="rId3" w:history="1">
        <w:r w:rsidRPr="00CD7FFA">
          <w:rPr>
            <w:rStyle w:val="Hyperlink"/>
            <w:rFonts w:cstheme="minorHAnsi"/>
            <w:lang w:val="en-US"/>
          </w:rPr>
          <w:t>https://standards.ieee.org/ieee/7000/6781/</w:t>
        </w:r>
      </w:hyperlink>
      <w:r>
        <w:rPr>
          <w:rFonts w:cstheme="minorHAnsi"/>
          <w:lang w:val="en-US"/>
        </w:rPr>
        <w:t xml:space="preserve"> </w:t>
      </w:r>
    </w:p>
  </w:footnote>
  <w:footnote w:id="4">
    <w:p w14:paraId="1DD3B55A" w14:textId="77777777" w:rsidR="007F2271" w:rsidRPr="00FF4FEA" w:rsidRDefault="007F2271" w:rsidP="007F2271">
      <w:pPr>
        <w:pStyle w:val="FootnoteText"/>
        <w:rPr>
          <w:rFonts w:cstheme="minorHAnsi"/>
          <w:lang w:val="en-US"/>
        </w:rPr>
      </w:pPr>
      <w:r w:rsidRPr="00FF4FEA">
        <w:rPr>
          <w:rStyle w:val="FootnoteReference"/>
          <w:rFonts w:cstheme="minorHAnsi"/>
        </w:rPr>
        <w:footnoteRef/>
      </w:r>
      <w:r w:rsidRPr="00FF4FEA">
        <w:rPr>
          <w:rFonts w:cstheme="minorHAnsi"/>
          <w:lang w:val="en-US"/>
        </w:rPr>
        <w:t xml:space="preserve"> </w:t>
      </w:r>
      <w:hyperlink r:id="rId4" w:history="1">
        <w:r w:rsidRPr="00CD7FFA">
          <w:rPr>
            <w:rStyle w:val="Hyperlink"/>
            <w:rFonts w:cstheme="minorHAnsi"/>
            <w:lang w:val="en-US"/>
          </w:rPr>
          <w:t>https://standards.ieee.org/industry-connections/activities/ieee-global-initiative/</w:t>
        </w:r>
      </w:hyperlink>
      <w:r>
        <w:rPr>
          <w:rFonts w:cstheme="minorHAnsi"/>
          <w:lang w:val="en-US"/>
        </w:rPr>
        <w:t xml:space="preserve"> </w:t>
      </w:r>
    </w:p>
  </w:footnote>
  <w:footnote w:id="5">
    <w:p w14:paraId="5DE10912" w14:textId="77777777" w:rsidR="007F2271" w:rsidRPr="00FF4FEA" w:rsidRDefault="007F2271" w:rsidP="007F2271">
      <w:pPr>
        <w:pStyle w:val="FootnoteText"/>
        <w:rPr>
          <w:rFonts w:cstheme="minorHAnsi"/>
          <w:lang w:val="en-US"/>
        </w:rPr>
      </w:pPr>
      <w:r w:rsidRPr="00FF4FEA">
        <w:rPr>
          <w:rStyle w:val="FootnoteReference"/>
          <w:rFonts w:cstheme="minorHAnsi"/>
        </w:rPr>
        <w:footnoteRef/>
      </w:r>
      <w:r w:rsidRPr="00FF4FEA">
        <w:rPr>
          <w:rFonts w:cstheme="minorHAnsi"/>
          <w:lang w:val="en-US"/>
        </w:rPr>
        <w:t xml:space="preserve"> </w:t>
      </w:r>
      <w:hyperlink r:id="rId5" w:history="1">
        <w:r w:rsidRPr="00CD7FFA">
          <w:rPr>
            <w:rStyle w:val="Hyperlink"/>
            <w:rFonts w:cstheme="minorHAnsi"/>
            <w:lang w:val="en-US"/>
          </w:rPr>
          <w:t>https://standards.ieee.org/products-programs/icap/ieee-certifaied/professional-certification/</w:t>
        </w:r>
      </w:hyperlink>
      <w:r>
        <w:rPr>
          <w:rFonts w:cstheme="minorHAnsi"/>
          <w:lang w:val="en-US"/>
        </w:rPr>
        <w:t xml:space="preserve"> </w:t>
      </w:r>
    </w:p>
  </w:footnote>
  <w:footnote w:id="6">
    <w:p w14:paraId="1D25ED67" w14:textId="77777777" w:rsidR="007F2271" w:rsidRPr="00FF4FEA" w:rsidRDefault="007F2271" w:rsidP="007F2271">
      <w:pPr>
        <w:pStyle w:val="FootnoteText"/>
        <w:rPr>
          <w:rFonts w:cstheme="minorHAnsi"/>
          <w:lang w:val="en-US"/>
        </w:rPr>
      </w:pPr>
      <w:r w:rsidRPr="00FF4FEA">
        <w:rPr>
          <w:rStyle w:val="FootnoteReference"/>
          <w:rFonts w:cstheme="minorHAnsi"/>
        </w:rPr>
        <w:footnoteRef/>
      </w:r>
      <w:r w:rsidRPr="00FF4FEA">
        <w:rPr>
          <w:rFonts w:cstheme="minorHAnsi"/>
          <w:lang w:val="en-US"/>
        </w:rPr>
        <w:t xml:space="preserve"> </w:t>
      </w:r>
      <w:hyperlink r:id="rId6" w:history="1">
        <w:r w:rsidRPr="00CD7FFA">
          <w:rPr>
            <w:rStyle w:val="Hyperlink"/>
            <w:rFonts w:cstheme="minorHAnsi"/>
            <w:lang w:val="en-US"/>
          </w:rPr>
          <w:t>https://www.wto.org/english/res_e/publications_e/tbt10keys2024_e.htm</w:t>
        </w:r>
      </w:hyperlink>
      <w:r>
        <w:rPr>
          <w:rFonts w:cstheme="minorHAnsi"/>
          <w:lang w:val="en-US"/>
        </w:rPr>
        <w:t xml:space="preserve"> </w:t>
      </w:r>
    </w:p>
  </w:footnote>
  <w:footnote w:id="7">
    <w:p w14:paraId="5311578B" w14:textId="77777777" w:rsidR="007F2271" w:rsidRPr="00BD4978" w:rsidRDefault="007F2271" w:rsidP="007F2271">
      <w:pPr>
        <w:pStyle w:val="FootnoteText"/>
        <w:rPr>
          <w:rFonts w:cstheme="minorHAnsi"/>
          <w:lang w:val="en-US"/>
        </w:rPr>
      </w:pPr>
      <w:r w:rsidRPr="00BD4978">
        <w:rPr>
          <w:rStyle w:val="FootnoteReference"/>
          <w:rFonts w:cstheme="minorHAnsi"/>
        </w:rPr>
        <w:footnoteRef/>
      </w:r>
      <w:r w:rsidRPr="00BD4978">
        <w:rPr>
          <w:rFonts w:cstheme="minorHAnsi"/>
          <w:lang w:val="en-US"/>
        </w:rPr>
        <w:t xml:space="preserve"> </w:t>
      </w:r>
      <w:hyperlink r:id="rId7" w:history="1">
        <w:r w:rsidRPr="00CD7FFA">
          <w:rPr>
            <w:rStyle w:val="Hyperlink"/>
            <w:rFonts w:cstheme="minorHAnsi"/>
            <w:lang w:val="en-US"/>
          </w:rPr>
          <w:t>https://datatracker.ietf.org/doc/html/draft-martini-hrpc-quichr-00</w:t>
        </w:r>
      </w:hyperlink>
      <w:r>
        <w:rPr>
          <w:rFonts w:cstheme="minorHAnsi"/>
          <w:lang w:val="en-US"/>
        </w:rPr>
        <w:t xml:space="preserve"> </w:t>
      </w:r>
    </w:p>
  </w:footnote>
  <w:footnote w:id="8">
    <w:p w14:paraId="5B584224" w14:textId="77777777" w:rsidR="007F2271" w:rsidRPr="00BD4978" w:rsidRDefault="007F2271" w:rsidP="007F2271">
      <w:pPr>
        <w:pStyle w:val="FootnoteText"/>
        <w:rPr>
          <w:rFonts w:cstheme="minorHAnsi"/>
          <w:lang w:val="en-US"/>
        </w:rPr>
      </w:pPr>
      <w:r w:rsidRPr="00BD4978">
        <w:rPr>
          <w:rStyle w:val="FootnoteReference"/>
          <w:rFonts w:cstheme="minorHAnsi"/>
        </w:rPr>
        <w:footnoteRef/>
      </w:r>
      <w:r w:rsidRPr="00BD4978">
        <w:rPr>
          <w:rFonts w:cstheme="minorHAnsi"/>
          <w:lang w:val="en-US"/>
        </w:rPr>
        <w:t xml:space="preserve"> </w:t>
      </w:r>
      <w:hyperlink r:id="rId8" w:history="1">
        <w:r w:rsidRPr="00CD7FFA">
          <w:rPr>
            <w:rStyle w:val="Hyperlink"/>
            <w:rFonts w:cstheme="minorHAnsi"/>
            <w:lang w:val="en-US"/>
          </w:rPr>
          <w:t>https://datatracker.ietf.org/doc/statement-iab-response-to-the-ohchr-call-for-input-on-the-relationship-between-human-rights-and-technical-standard/00/pdf/</w:t>
        </w:r>
      </w:hyperlink>
      <w:r>
        <w:rPr>
          <w:rFonts w:cstheme="minorHAnsi"/>
          <w:lang w:val="en-US"/>
        </w:rPr>
        <w:t xml:space="preserve"> </w:t>
      </w:r>
    </w:p>
  </w:footnote>
  <w:footnote w:id="9">
    <w:p w14:paraId="63EE4654" w14:textId="77777777" w:rsidR="007F2271" w:rsidRPr="00BD4978" w:rsidRDefault="007F2271" w:rsidP="007F2271">
      <w:pPr>
        <w:pStyle w:val="FootnoteText"/>
        <w:rPr>
          <w:rFonts w:cstheme="minorHAnsi"/>
          <w:lang w:val="en-US"/>
        </w:rPr>
      </w:pPr>
      <w:r w:rsidRPr="00BD4978">
        <w:rPr>
          <w:rStyle w:val="FootnoteReference"/>
          <w:rFonts w:cstheme="minorHAnsi"/>
        </w:rPr>
        <w:footnoteRef/>
      </w:r>
      <w:r w:rsidRPr="00BD4978">
        <w:rPr>
          <w:rFonts w:cstheme="minorHAnsi"/>
          <w:lang w:val="en-US"/>
        </w:rPr>
        <w:t xml:space="preserve"> </w:t>
      </w:r>
      <w:hyperlink r:id="rId9" w:history="1">
        <w:r w:rsidRPr="00CD7FFA">
          <w:rPr>
            <w:rStyle w:val="Hyperlink"/>
            <w:rFonts w:cstheme="minorHAnsi"/>
            <w:lang w:val="en-US"/>
          </w:rPr>
          <w:t>https://portal.etsi.org/directives/50_ETSI_directives_dec_2024.pdf</w:t>
        </w:r>
      </w:hyperlink>
      <w:r>
        <w:rPr>
          <w:rFonts w:cstheme="minorHAnsi"/>
          <w:lang w:val="en-US"/>
        </w:rPr>
        <w:t xml:space="preserve"> </w:t>
      </w:r>
    </w:p>
  </w:footnote>
  <w:footnote w:id="10">
    <w:p w14:paraId="470CE9E5" w14:textId="77777777" w:rsidR="007F2271" w:rsidRPr="00BD4978" w:rsidRDefault="007F2271" w:rsidP="007F2271">
      <w:pPr>
        <w:pStyle w:val="FootnoteText"/>
        <w:rPr>
          <w:rFonts w:cstheme="minorHAnsi"/>
          <w:lang w:val="en-US"/>
        </w:rPr>
      </w:pPr>
      <w:r w:rsidRPr="00BD4978">
        <w:rPr>
          <w:rStyle w:val="FootnoteReference"/>
          <w:rFonts w:cstheme="minorHAnsi"/>
        </w:rPr>
        <w:footnoteRef/>
      </w:r>
      <w:r w:rsidRPr="00BD4978">
        <w:rPr>
          <w:rFonts w:cstheme="minorHAnsi"/>
          <w:lang w:val="en-US"/>
        </w:rPr>
        <w:t xml:space="preserve"> </w:t>
      </w:r>
      <w:hyperlink r:id="rId10" w:history="1">
        <w:r w:rsidRPr="00CD7FFA">
          <w:rPr>
            <w:rStyle w:val="Hyperlink"/>
            <w:rFonts w:cstheme="minorHAnsi"/>
            <w:lang w:val="en-US"/>
          </w:rPr>
          <w:t>https://www.coe.int/en/web/artificial-intelligence/huderia-risk-and-impact-assessment-of-ai-systems</w:t>
        </w:r>
      </w:hyperlink>
      <w:r>
        <w:rPr>
          <w:rFonts w:cstheme="minorHAns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20B0" w14:textId="2AADFBAE" w:rsidR="00BF50AA" w:rsidRPr="00BF50AA" w:rsidRDefault="00BF50AA" w:rsidP="00BF50AA">
    <w:pPr>
      <w:pStyle w:val="Header"/>
      <w:jc w:val="center"/>
      <w:rPr>
        <w:rFonts w:ascii="Times New Roman" w:hAnsi="Times New Roman"/>
        <w:sz w:val="18"/>
      </w:rPr>
    </w:pPr>
    <w:r w:rsidRPr="00BF50AA">
      <w:rPr>
        <w:rFonts w:ascii="Times New Roman" w:hAnsi="Times New Roman"/>
        <w:sz w:val="18"/>
      </w:rPr>
      <w:t xml:space="preserve">- </w:t>
    </w:r>
    <w:r w:rsidRPr="00BF50AA">
      <w:rPr>
        <w:rFonts w:ascii="Times New Roman" w:hAnsi="Times New Roman"/>
        <w:sz w:val="18"/>
      </w:rPr>
      <w:fldChar w:fldCharType="begin"/>
    </w:r>
    <w:r w:rsidRPr="00BF50AA">
      <w:rPr>
        <w:rFonts w:ascii="Times New Roman" w:hAnsi="Times New Roman"/>
        <w:sz w:val="18"/>
      </w:rPr>
      <w:instrText xml:space="preserve"> PAGE  \* MERGEFORMAT </w:instrText>
    </w:r>
    <w:r w:rsidRPr="00BF50AA">
      <w:rPr>
        <w:rFonts w:ascii="Times New Roman" w:hAnsi="Times New Roman"/>
        <w:sz w:val="18"/>
      </w:rPr>
      <w:fldChar w:fldCharType="separate"/>
    </w:r>
    <w:r w:rsidRPr="00BF50AA">
      <w:rPr>
        <w:rFonts w:ascii="Times New Roman" w:hAnsi="Times New Roman"/>
        <w:noProof/>
        <w:sz w:val="18"/>
      </w:rPr>
      <w:t>1</w:t>
    </w:r>
    <w:r w:rsidRPr="00BF50AA">
      <w:rPr>
        <w:rFonts w:ascii="Times New Roman" w:hAnsi="Times New Roman"/>
        <w:sz w:val="18"/>
      </w:rPr>
      <w:fldChar w:fldCharType="end"/>
    </w:r>
    <w:r w:rsidRPr="00BF50AA">
      <w:rPr>
        <w:rFonts w:ascii="Times New Roman" w:hAnsi="Times New Roman"/>
        <w:sz w:val="18"/>
      </w:rPr>
      <w:t xml:space="preserve"> -</w:t>
    </w:r>
  </w:p>
  <w:p w14:paraId="5E274AE3" w14:textId="794269FE" w:rsidR="00BF50AA" w:rsidRPr="00BF50AA" w:rsidRDefault="00BF50AA" w:rsidP="00BF50AA">
    <w:pPr>
      <w:pStyle w:val="Header"/>
      <w:spacing w:after="240"/>
      <w:jc w:val="center"/>
      <w:rPr>
        <w:rFonts w:ascii="Times New Roman" w:hAnsi="Times New Roman"/>
        <w:sz w:val="18"/>
      </w:rPr>
    </w:pPr>
    <w:r w:rsidRPr="00BF50AA">
      <w:rPr>
        <w:rFonts w:ascii="Times New Roman" w:hAnsi="Times New Roman"/>
        <w:sz w:val="18"/>
      </w:rPr>
      <w:fldChar w:fldCharType="begin"/>
    </w:r>
    <w:r w:rsidRPr="00BF50AA">
      <w:rPr>
        <w:rFonts w:ascii="Times New Roman" w:hAnsi="Times New Roman"/>
        <w:sz w:val="18"/>
      </w:rPr>
      <w:instrText xml:space="preserve"> STYLEREF  Docnumber  </w:instrText>
    </w:r>
    <w:r w:rsidRPr="00BF50AA">
      <w:rPr>
        <w:rFonts w:ascii="Times New Roman" w:hAnsi="Times New Roman"/>
        <w:sz w:val="18"/>
      </w:rPr>
      <w:fldChar w:fldCharType="separate"/>
    </w:r>
    <w:r w:rsidR="007F2271">
      <w:rPr>
        <w:rFonts w:ascii="Times New Roman" w:hAnsi="Times New Roman"/>
        <w:noProof/>
        <w:sz w:val="18"/>
      </w:rPr>
      <w:t>TSAG-TD260</w:t>
    </w:r>
    <w:r w:rsidRPr="00BF50AA">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2775"/>
    <w:multiLevelType w:val="multilevel"/>
    <w:tmpl w:val="EAD6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5321"/>
    <w:multiLevelType w:val="multilevel"/>
    <w:tmpl w:val="BA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B4999"/>
    <w:multiLevelType w:val="hybridMultilevel"/>
    <w:tmpl w:val="8A486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074D0"/>
    <w:multiLevelType w:val="multilevel"/>
    <w:tmpl w:val="D30AB28A"/>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1BD731AA"/>
    <w:multiLevelType w:val="hybridMultilevel"/>
    <w:tmpl w:val="B492C3D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46DED"/>
    <w:multiLevelType w:val="multilevel"/>
    <w:tmpl w:val="D48A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43D80"/>
    <w:multiLevelType w:val="multilevel"/>
    <w:tmpl w:val="3258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46265"/>
    <w:multiLevelType w:val="hybridMultilevel"/>
    <w:tmpl w:val="F9DA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5E44E9"/>
    <w:multiLevelType w:val="multilevel"/>
    <w:tmpl w:val="A75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803C4"/>
    <w:multiLevelType w:val="multilevel"/>
    <w:tmpl w:val="6C5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20857"/>
    <w:multiLevelType w:val="multilevel"/>
    <w:tmpl w:val="2A04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C502C"/>
    <w:multiLevelType w:val="multilevel"/>
    <w:tmpl w:val="BEA2F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95E72"/>
    <w:multiLevelType w:val="multilevel"/>
    <w:tmpl w:val="EE6C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D0D5E"/>
    <w:multiLevelType w:val="multilevel"/>
    <w:tmpl w:val="05C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70971"/>
    <w:multiLevelType w:val="multilevel"/>
    <w:tmpl w:val="6C5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8576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716C6F"/>
    <w:multiLevelType w:val="multilevel"/>
    <w:tmpl w:val="6540E38A"/>
    <w:lvl w:ilvl="0">
      <w:start w:val="1"/>
      <w:numFmt w:val="decimal"/>
      <w:pStyle w:val="Heading1"/>
      <w:lvlText w:val="%1."/>
      <w:lvlJc w:val="left"/>
      <w:pPr>
        <w:ind w:left="360" w:hanging="360"/>
      </w:pPr>
      <w:rPr>
        <w:rFonts w:asciiTheme="minorHAnsi" w:hAnsiTheme="minorHAnsi" w:cstheme="minorHAnsi" w:hint="default"/>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C013E2"/>
    <w:multiLevelType w:val="multilevel"/>
    <w:tmpl w:val="DDA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14975"/>
    <w:multiLevelType w:val="hybridMultilevel"/>
    <w:tmpl w:val="B59210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4D6391"/>
    <w:multiLevelType w:val="multilevel"/>
    <w:tmpl w:val="6540E38A"/>
    <w:styleLink w:val="CurrentList1"/>
    <w:lvl w:ilvl="0">
      <w:start w:val="1"/>
      <w:numFmt w:val="decimal"/>
      <w:lvlText w:val="%1."/>
      <w:lvlJc w:val="left"/>
      <w:pPr>
        <w:ind w:left="360" w:hanging="360"/>
      </w:pPr>
      <w:rPr>
        <w:rFonts w:asciiTheme="minorHAnsi" w:hAnsiTheme="minorHAnsi" w:cstheme="minorHAnsi" w:hint="default"/>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45F54BC"/>
    <w:multiLevelType w:val="multilevel"/>
    <w:tmpl w:val="EAF8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80C8D"/>
    <w:multiLevelType w:val="multilevel"/>
    <w:tmpl w:val="6C54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71234E"/>
    <w:multiLevelType w:val="multilevel"/>
    <w:tmpl w:val="483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797718"/>
    <w:multiLevelType w:val="multilevel"/>
    <w:tmpl w:val="4302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D4691"/>
    <w:multiLevelType w:val="multilevel"/>
    <w:tmpl w:val="CEAA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853F4"/>
    <w:multiLevelType w:val="multilevel"/>
    <w:tmpl w:val="1A549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87B0B"/>
    <w:multiLevelType w:val="hybridMultilevel"/>
    <w:tmpl w:val="3E3CD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8A26CA"/>
    <w:multiLevelType w:val="multilevel"/>
    <w:tmpl w:val="C0D0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93351"/>
    <w:multiLevelType w:val="multilevel"/>
    <w:tmpl w:val="6540E38A"/>
    <w:styleLink w:val="CurrentList2"/>
    <w:lvl w:ilvl="0">
      <w:start w:val="1"/>
      <w:numFmt w:val="decimal"/>
      <w:lvlText w:val="%1."/>
      <w:lvlJc w:val="left"/>
      <w:pPr>
        <w:ind w:left="360" w:hanging="360"/>
      </w:pPr>
      <w:rPr>
        <w:rFonts w:asciiTheme="minorHAnsi" w:hAnsiTheme="minorHAnsi" w:cstheme="minorHAnsi" w:hint="default"/>
        <w:b/>
        <w:bCs/>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CF7F55"/>
    <w:multiLevelType w:val="multilevel"/>
    <w:tmpl w:val="7BB2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90BC6"/>
    <w:multiLevelType w:val="multilevel"/>
    <w:tmpl w:val="CA64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77929"/>
    <w:multiLevelType w:val="multilevel"/>
    <w:tmpl w:val="BBAC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342558">
    <w:abstractNumId w:val="16"/>
  </w:num>
  <w:num w:numId="2" w16cid:durableId="1941987771">
    <w:abstractNumId w:val="2"/>
  </w:num>
  <w:num w:numId="3" w16cid:durableId="401492963">
    <w:abstractNumId w:val="27"/>
  </w:num>
  <w:num w:numId="4" w16cid:durableId="1649244647">
    <w:abstractNumId w:val="22"/>
  </w:num>
  <w:num w:numId="5" w16cid:durableId="441851176">
    <w:abstractNumId w:val="13"/>
  </w:num>
  <w:num w:numId="6" w16cid:durableId="18050667">
    <w:abstractNumId w:val="10"/>
  </w:num>
  <w:num w:numId="7" w16cid:durableId="39016983">
    <w:abstractNumId w:val="11"/>
  </w:num>
  <w:num w:numId="8" w16cid:durableId="884029453">
    <w:abstractNumId w:val="17"/>
  </w:num>
  <w:num w:numId="9" w16cid:durableId="263268403">
    <w:abstractNumId w:val="1"/>
  </w:num>
  <w:num w:numId="10" w16cid:durableId="729186165">
    <w:abstractNumId w:val="24"/>
  </w:num>
  <w:num w:numId="11" w16cid:durableId="1520658114">
    <w:abstractNumId w:val="26"/>
  </w:num>
  <w:num w:numId="12" w16cid:durableId="585380000">
    <w:abstractNumId w:val="7"/>
  </w:num>
  <w:num w:numId="13" w16cid:durableId="46614538">
    <w:abstractNumId w:val="18"/>
  </w:num>
  <w:num w:numId="14" w16cid:durableId="1093161559">
    <w:abstractNumId w:val="8"/>
  </w:num>
  <w:num w:numId="15" w16cid:durableId="767236306">
    <w:abstractNumId w:val="6"/>
  </w:num>
  <w:num w:numId="16" w16cid:durableId="1690177089">
    <w:abstractNumId w:val="23"/>
  </w:num>
  <w:num w:numId="17" w16cid:durableId="671372122">
    <w:abstractNumId w:val="29"/>
  </w:num>
  <w:num w:numId="18" w16cid:durableId="220100178">
    <w:abstractNumId w:val="20"/>
  </w:num>
  <w:num w:numId="19" w16cid:durableId="1087923296">
    <w:abstractNumId w:val="25"/>
  </w:num>
  <w:num w:numId="20" w16cid:durableId="1337924701">
    <w:abstractNumId w:val="0"/>
  </w:num>
  <w:num w:numId="21" w16cid:durableId="1950502798">
    <w:abstractNumId w:val="12"/>
  </w:num>
  <w:num w:numId="22" w16cid:durableId="1477838179">
    <w:abstractNumId w:val="9"/>
  </w:num>
  <w:num w:numId="23" w16cid:durableId="773981533">
    <w:abstractNumId w:val="31"/>
  </w:num>
  <w:num w:numId="24" w16cid:durableId="13389764">
    <w:abstractNumId w:val="21"/>
  </w:num>
  <w:num w:numId="25" w16cid:durableId="755323645">
    <w:abstractNumId w:val="30"/>
  </w:num>
  <w:num w:numId="26" w16cid:durableId="37703393">
    <w:abstractNumId w:val="15"/>
  </w:num>
  <w:num w:numId="27" w16cid:durableId="1397585952">
    <w:abstractNumId w:val="14"/>
  </w:num>
  <w:num w:numId="28" w16cid:durableId="281615578">
    <w:abstractNumId w:val="19"/>
  </w:num>
  <w:num w:numId="29" w16cid:durableId="1805343847">
    <w:abstractNumId w:val="28"/>
  </w:num>
  <w:num w:numId="30" w16cid:durableId="2008315844">
    <w:abstractNumId w:val="4"/>
  </w:num>
  <w:num w:numId="31" w16cid:durableId="1138569690">
    <w:abstractNumId w:val="5"/>
  </w:num>
  <w:num w:numId="32" w16cid:durableId="205816626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BE"/>
    <w:rsid w:val="00001BD0"/>
    <w:rsid w:val="000029E6"/>
    <w:rsid w:val="00014F4A"/>
    <w:rsid w:val="0002216B"/>
    <w:rsid w:val="00024CE4"/>
    <w:rsid w:val="000304E9"/>
    <w:rsid w:val="00030F5B"/>
    <w:rsid w:val="0003355E"/>
    <w:rsid w:val="0003533F"/>
    <w:rsid w:val="00036694"/>
    <w:rsid w:val="00042331"/>
    <w:rsid w:val="00044E73"/>
    <w:rsid w:val="00056EFF"/>
    <w:rsid w:val="00057BB5"/>
    <w:rsid w:val="0006102F"/>
    <w:rsid w:val="00066B86"/>
    <w:rsid w:val="00070B94"/>
    <w:rsid w:val="000821E5"/>
    <w:rsid w:val="00082B6C"/>
    <w:rsid w:val="000837C5"/>
    <w:rsid w:val="00093F16"/>
    <w:rsid w:val="000976AC"/>
    <w:rsid w:val="000A2402"/>
    <w:rsid w:val="000B7B9E"/>
    <w:rsid w:val="000C19CF"/>
    <w:rsid w:val="000C3C03"/>
    <w:rsid w:val="000C7BB4"/>
    <w:rsid w:val="000E0F2D"/>
    <w:rsid w:val="000E6C20"/>
    <w:rsid w:val="000F1668"/>
    <w:rsid w:val="000F62BB"/>
    <w:rsid w:val="000F72C9"/>
    <w:rsid w:val="00100379"/>
    <w:rsid w:val="00101179"/>
    <w:rsid w:val="00104558"/>
    <w:rsid w:val="00110B5A"/>
    <w:rsid w:val="00111FA3"/>
    <w:rsid w:val="00113E11"/>
    <w:rsid w:val="00121987"/>
    <w:rsid w:val="00124694"/>
    <w:rsid w:val="00130EE3"/>
    <w:rsid w:val="001312A8"/>
    <w:rsid w:val="001318B3"/>
    <w:rsid w:val="00135999"/>
    <w:rsid w:val="00135EC2"/>
    <w:rsid w:val="00136538"/>
    <w:rsid w:val="00136B5A"/>
    <w:rsid w:val="00141C1C"/>
    <w:rsid w:val="00141FF8"/>
    <w:rsid w:val="00152D0A"/>
    <w:rsid w:val="00157D90"/>
    <w:rsid w:val="00160D70"/>
    <w:rsid w:val="00161D34"/>
    <w:rsid w:val="00163057"/>
    <w:rsid w:val="001641EC"/>
    <w:rsid w:val="0017083A"/>
    <w:rsid w:val="00180A59"/>
    <w:rsid w:val="00180ED6"/>
    <w:rsid w:val="0018276B"/>
    <w:rsid w:val="00182885"/>
    <w:rsid w:val="00186782"/>
    <w:rsid w:val="00190F18"/>
    <w:rsid w:val="001948D0"/>
    <w:rsid w:val="001A2298"/>
    <w:rsid w:val="001A7765"/>
    <w:rsid w:val="001A7AED"/>
    <w:rsid w:val="001C6C36"/>
    <w:rsid w:val="001D5C0A"/>
    <w:rsid w:val="001E2B3F"/>
    <w:rsid w:val="001E336B"/>
    <w:rsid w:val="001E76CC"/>
    <w:rsid w:val="001F1E02"/>
    <w:rsid w:val="001F4907"/>
    <w:rsid w:val="001F7043"/>
    <w:rsid w:val="001F73A2"/>
    <w:rsid w:val="002073EE"/>
    <w:rsid w:val="002163C5"/>
    <w:rsid w:val="00216522"/>
    <w:rsid w:val="0022231C"/>
    <w:rsid w:val="0022240F"/>
    <w:rsid w:val="0022400D"/>
    <w:rsid w:val="00224A0C"/>
    <w:rsid w:val="00224C78"/>
    <w:rsid w:val="00225353"/>
    <w:rsid w:val="00233A23"/>
    <w:rsid w:val="002417D7"/>
    <w:rsid w:val="0024541E"/>
    <w:rsid w:val="002465EE"/>
    <w:rsid w:val="0025755B"/>
    <w:rsid w:val="00260B26"/>
    <w:rsid w:val="00261FE3"/>
    <w:rsid w:val="00270326"/>
    <w:rsid w:val="002735A4"/>
    <w:rsid w:val="00273A30"/>
    <w:rsid w:val="002747E7"/>
    <w:rsid w:val="00284E43"/>
    <w:rsid w:val="00290DF9"/>
    <w:rsid w:val="002A212F"/>
    <w:rsid w:val="002A759B"/>
    <w:rsid w:val="002B09D9"/>
    <w:rsid w:val="002B0C46"/>
    <w:rsid w:val="002B2135"/>
    <w:rsid w:val="002B2AAE"/>
    <w:rsid w:val="002C1C09"/>
    <w:rsid w:val="002C453F"/>
    <w:rsid w:val="002E0EFF"/>
    <w:rsid w:val="002E0F1A"/>
    <w:rsid w:val="002E4D3A"/>
    <w:rsid w:val="002F7F59"/>
    <w:rsid w:val="003010CF"/>
    <w:rsid w:val="003062D1"/>
    <w:rsid w:val="00310E4A"/>
    <w:rsid w:val="00312266"/>
    <w:rsid w:val="0032259F"/>
    <w:rsid w:val="003309E6"/>
    <w:rsid w:val="00337753"/>
    <w:rsid w:val="00337A3D"/>
    <w:rsid w:val="00337F01"/>
    <w:rsid w:val="00341535"/>
    <w:rsid w:val="0034282E"/>
    <w:rsid w:val="00346E00"/>
    <w:rsid w:val="00355472"/>
    <w:rsid w:val="00355DE9"/>
    <w:rsid w:val="00356361"/>
    <w:rsid w:val="0036208D"/>
    <w:rsid w:val="00362978"/>
    <w:rsid w:val="00363833"/>
    <w:rsid w:val="0036553B"/>
    <w:rsid w:val="0036661A"/>
    <w:rsid w:val="003666DA"/>
    <w:rsid w:val="00366E4B"/>
    <w:rsid w:val="00370724"/>
    <w:rsid w:val="00372A5E"/>
    <w:rsid w:val="00381413"/>
    <w:rsid w:val="00387D35"/>
    <w:rsid w:val="00387EBA"/>
    <w:rsid w:val="00393220"/>
    <w:rsid w:val="00394554"/>
    <w:rsid w:val="003A1817"/>
    <w:rsid w:val="003A6146"/>
    <w:rsid w:val="003B4D6E"/>
    <w:rsid w:val="003C01A4"/>
    <w:rsid w:val="003C105A"/>
    <w:rsid w:val="003C2115"/>
    <w:rsid w:val="003C21B2"/>
    <w:rsid w:val="003C2D6C"/>
    <w:rsid w:val="003C37AE"/>
    <w:rsid w:val="003C4808"/>
    <w:rsid w:val="003C61D9"/>
    <w:rsid w:val="003D5783"/>
    <w:rsid w:val="003D666A"/>
    <w:rsid w:val="003D7104"/>
    <w:rsid w:val="003E7DF8"/>
    <w:rsid w:val="003F02A2"/>
    <w:rsid w:val="003F5F22"/>
    <w:rsid w:val="00403A19"/>
    <w:rsid w:val="00413C9D"/>
    <w:rsid w:val="004174EC"/>
    <w:rsid w:val="004221A8"/>
    <w:rsid w:val="00424233"/>
    <w:rsid w:val="00424FA5"/>
    <w:rsid w:val="00436208"/>
    <w:rsid w:val="00447DD7"/>
    <w:rsid w:val="00464BF5"/>
    <w:rsid w:val="00466C46"/>
    <w:rsid w:val="004702DA"/>
    <w:rsid w:val="00480A5A"/>
    <w:rsid w:val="00486976"/>
    <w:rsid w:val="004873A2"/>
    <w:rsid w:val="004915A3"/>
    <w:rsid w:val="00492175"/>
    <w:rsid w:val="004A0735"/>
    <w:rsid w:val="004A50C7"/>
    <w:rsid w:val="004B2A31"/>
    <w:rsid w:val="004B6373"/>
    <w:rsid w:val="004C1994"/>
    <w:rsid w:val="004D260C"/>
    <w:rsid w:val="004D2B49"/>
    <w:rsid w:val="004D5F1A"/>
    <w:rsid w:val="004E02E3"/>
    <w:rsid w:val="004E08CA"/>
    <w:rsid w:val="004E3195"/>
    <w:rsid w:val="004F0374"/>
    <w:rsid w:val="004F234F"/>
    <w:rsid w:val="004F5A4A"/>
    <w:rsid w:val="00504448"/>
    <w:rsid w:val="00510A8E"/>
    <w:rsid w:val="00514725"/>
    <w:rsid w:val="005243F8"/>
    <w:rsid w:val="00527EDE"/>
    <w:rsid w:val="0053084E"/>
    <w:rsid w:val="00533A3B"/>
    <w:rsid w:val="00536295"/>
    <w:rsid w:val="0053747B"/>
    <w:rsid w:val="0054266A"/>
    <w:rsid w:val="00544C81"/>
    <w:rsid w:val="005556C8"/>
    <w:rsid w:val="00555986"/>
    <w:rsid w:val="00556120"/>
    <w:rsid w:val="00560FE2"/>
    <w:rsid w:val="0058025D"/>
    <w:rsid w:val="0058147F"/>
    <w:rsid w:val="00585AA2"/>
    <w:rsid w:val="00586339"/>
    <w:rsid w:val="0059609E"/>
    <w:rsid w:val="00597A90"/>
    <w:rsid w:val="005A7666"/>
    <w:rsid w:val="005A7714"/>
    <w:rsid w:val="005B2A91"/>
    <w:rsid w:val="005B769B"/>
    <w:rsid w:val="005C07F8"/>
    <w:rsid w:val="005C2C0C"/>
    <w:rsid w:val="005C370C"/>
    <w:rsid w:val="005C5729"/>
    <w:rsid w:val="005C65EF"/>
    <w:rsid w:val="005D001B"/>
    <w:rsid w:val="005D4200"/>
    <w:rsid w:val="005D6E80"/>
    <w:rsid w:val="005E0B2E"/>
    <w:rsid w:val="005E2F37"/>
    <w:rsid w:val="005E54D1"/>
    <w:rsid w:val="005F1003"/>
    <w:rsid w:val="005F2B5B"/>
    <w:rsid w:val="005F3C57"/>
    <w:rsid w:val="005F5E55"/>
    <w:rsid w:val="006066BE"/>
    <w:rsid w:val="00612071"/>
    <w:rsid w:val="00612D2F"/>
    <w:rsid w:val="00614EF6"/>
    <w:rsid w:val="006214EF"/>
    <w:rsid w:val="00622309"/>
    <w:rsid w:val="006239F4"/>
    <w:rsid w:val="00623F18"/>
    <w:rsid w:val="006403BC"/>
    <w:rsid w:val="00645583"/>
    <w:rsid w:val="00647C5F"/>
    <w:rsid w:val="00654ABF"/>
    <w:rsid w:val="00656532"/>
    <w:rsid w:val="006568F5"/>
    <w:rsid w:val="00656F4B"/>
    <w:rsid w:val="00664844"/>
    <w:rsid w:val="006732FA"/>
    <w:rsid w:val="006844A0"/>
    <w:rsid w:val="00686316"/>
    <w:rsid w:val="00691BC0"/>
    <w:rsid w:val="006926AF"/>
    <w:rsid w:val="0069499B"/>
    <w:rsid w:val="006966DC"/>
    <w:rsid w:val="006A15C9"/>
    <w:rsid w:val="006A3A2F"/>
    <w:rsid w:val="006A55BF"/>
    <w:rsid w:val="006A5A3C"/>
    <w:rsid w:val="006A5D2B"/>
    <w:rsid w:val="006A668D"/>
    <w:rsid w:val="006A7554"/>
    <w:rsid w:val="006B2366"/>
    <w:rsid w:val="006B73BB"/>
    <w:rsid w:val="006D11B8"/>
    <w:rsid w:val="006D4907"/>
    <w:rsid w:val="006D5B96"/>
    <w:rsid w:val="006D5F9D"/>
    <w:rsid w:val="006D7867"/>
    <w:rsid w:val="006D786F"/>
    <w:rsid w:val="006D7F9C"/>
    <w:rsid w:val="006F205A"/>
    <w:rsid w:val="006F2810"/>
    <w:rsid w:val="006F2905"/>
    <w:rsid w:val="0070283D"/>
    <w:rsid w:val="0070347F"/>
    <w:rsid w:val="00706409"/>
    <w:rsid w:val="00706DA3"/>
    <w:rsid w:val="00715FBB"/>
    <w:rsid w:val="00716675"/>
    <w:rsid w:val="00717278"/>
    <w:rsid w:val="007209F5"/>
    <w:rsid w:val="0072101A"/>
    <w:rsid w:val="00725A47"/>
    <w:rsid w:val="0072639C"/>
    <w:rsid w:val="00735E8C"/>
    <w:rsid w:val="007402B9"/>
    <w:rsid w:val="007438DD"/>
    <w:rsid w:val="00746BE3"/>
    <w:rsid w:val="00746CC8"/>
    <w:rsid w:val="00750C45"/>
    <w:rsid w:val="00760ED3"/>
    <w:rsid w:val="007661C3"/>
    <w:rsid w:val="0077011F"/>
    <w:rsid w:val="007769E2"/>
    <w:rsid w:val="00777E64"/>
    <w:rsid w:val="00780326"/>
    <w:rsid w:val="0078220D"/>
    <w:rsid w:val="007838DB"/>
    <w:rsid w:val="007973EF"/>
    <w:rsid w:val="007A247C"/>
    <w:rsid w:val="007A4B9F"/>
    <w:rsid w:val="007B3587"/>
    <w:rsid w:val="007B5414"/>
    <w:rsid w:val="007C0853"/>
    <w:rsid w:val="007D1DAB"/>
    <w:rsid w:val="007D3881"/>
    <w:rsid w:val="007D4207"/>
    <w:rsid w:val="007D6025"/>
    <w:rsid w:val="007D7130"/>
    <w:rsid w:val="007E0995"/>
    <w:rsid w:val="007E4B14"/>
    <w:rsid w:val="007E58C1"/>
    <w:rsid w:val="007E7025"/>
    <w:rsid w:val="007F2271"/>
    <w:rsid w:val="007F7690"/>
    <w:rsid w:val="007F7AE3"/>
    <w:rsid w:val="00800BBA"/>
    <w:rsid w:val="0080601F"/>
    <w:rsid w:val="00806404"/>
    <w:rsid w:val="00812215"/>
    <w:rsid w:val="008134C3"/>
    <w:rsid w:val="00822B0D"/>
    <w:rsid w:val="00827577"/>
    <w:rsid w:val="008278B6"/>
    <w:rsid w:val="008301DE"/>
    <w:rsid w:val="00832495"/>
    <w:rsid w:val="008336AC"/>
    <w:rsid w:val="00835410"/>
    <w:rsid w:val="0084442C"/>
    <w:rsid w:val="00847C0E"/>
    <w:rsid w:val="00850558"/>
    <w:rsid w:val="00863FBC"/>
    <w:rsid w:val="00880033"/>
    <w:rsid w:val="0088039F"/>
    <w:rsid w:val="00880D69"/>
    <w:rsid w:val="0088231F"/>
    <w:rsid w:val="00883D36"/>
    <w:rsid w:val="00885DBF"/>
    <w:rsid w:val="00886D43"/>
    <w:rsid w:val="00890DD3"/>
    <w:rsid w:val="008929B5"/>
    <w:rsid w:val="00892D8B"/>
    <w:rsid w:val="00894032"/>
    <w:rsid w:val="00894DD1"/>
    <w:rsid w:val="008A1977"/>
    <w:rsid w:val="008B00A7"/>
    <w:rsid w:val="008B04F4"/>
    <w:rsid w:val="008B5A6C"/>
    <w:rsid w:val="008B7BAB"/>
    <w:rsid w:val="008C1975"/>
    <w:rsid w:val="008C5735"/>
    <w:rsid w:val="008D30FB"/>
    <w:rsid w:val="008D77ED"/>
    <w:rsid w:val="008E0554"/>
    <w:rsid w:val="008E19A9"/>
    <w:rsid w:val="008F25F3"/>
    <w:rsid w:val="008F6080"/>
    <w:rsid w:val="008F7B26"/>
    <w:rsid w:val="00910CAE"/>
    <w:rsid w:val="00916388"/>
    <w:rsid w:val="00924407"/>
    <w:rsid w:val="00926EF7"/>
    <w:rsid w:val="009325FC"/>
    <w:rsid w:val="0093675B"/>
    <w:rsid w:val="009421DF"/>
    <w:rsid w:val="00944E78"/>
    <w:rsid w:val="0094739F"/>
    <w:rsid w:val="00952E7E"/>
    <w:rsid w:val="009564CE"/>
    <w:rsid w:val="00960B2B"/>
    <w:rsid w:val="009655D7"/>
    <w:rsid w:val="00967CE1"/>
    <w:rsid w:val="0097308C"/>
    <w:rsid w:val="00973B16"/>
    <w:rsid w:val="00975650"/>
    <w:rsid w:val="00977EEB"/>
    <w:rsid w:val="00980139"/>
    <w:rsid w:val="0098080F"/>
    <w:rsid w:val="00987D3D"/>
    <w:rsid w:val="00994D90"/>
    <w:rsid w:val="009A6984"/>
    <w:rsid w:val="009B4B15"/>
    <w:rsid w:val="009C137D"/>
    <w:rsid w:val="009C5F82"/>
    <w:rsid w:val="009C759D"/>
    <w:rsid w:val="009C770D"/>
    <w:rsid w:val="009C7C53"/>
    <w:rsid w:val="009D2BE2"/>
    <w:rsid w:val="009D32D6"/>
    <w:rsid w:val="009D73B0"/>
    <w:rsid w:val="009D797B"/>
    <w:rsid w:val="009E30B9"/>
    <w:rsid w:val="009E509B"/>
    <w:rsid w:val="009E53D2"/>
    <w:rsid w:val="009E5F9A"/>
    <w:rsid w:val="009E676E"/>
    <w:rsid w:val="009F3930"/>
    <w:rsid w:val="00A00ED3"/>
    <w:rsid w:val="00A10FC9"/>
    <w:rsid w:val="00A134F5"/>
    <w:rsid w:val="00A3222F"/>
    <w:rsid w:val="00A361F0"/>
    <w:rsid w:val="00A46D3E"/>
    <w:rsid w:val="00A47B15"/>
    <w:rsid w:val="00A54FBC"/>
    <w:rsid w:val="00A55873"/>
    <w:rsid w:val="00A57C88"/>
    <w:rsid w:val="00A6149B"/>
    <w:rsid w:val="00A703EE"/>
    <w:rsid w:val="00A71772"/>
    <w:rsid w:val="00A779A7"/>
    <w:rsid w:val="00A8017A"/>
    <w:rsid w:val="00A813BA"/>
    <w:rsid w:val="00A843B1"/>
    <w:rsid w:val="00A91DDC"/>
    <w:rsid w:val="00A92DB4"/>
    <w:rsid w:val="00A9462F"/>
    <w:rsid w:val="00A96E97"/>
    <w:rsid w:val="00A97BA9"/>
    <w:rsid w:val="00AA7F51"/>
    <w:rsid w:val="00AB7263"/>
    <w:rsid w:val="00AB7D69"/>
    <w:rsid w:val="00AC7781"/>
    <w:rsid w:val="00AD04CE"/>
    <w:rsid w:val="00AD3430"/>
    <w:rsid w:val="00AD357A"/>
    <w:rsid w:val="00AE781C"/>
    <w:rsid w:val="00AF15E1"/>
    <w:rsid w:val="00AF1DDE"/>
    <w:rsid w:val="00B04A2B"/>
    <w:rsid w:val="00B07AEE"/>
    <w:rsid w:val="00B10A45"/>
    <w:rsid w:val="00B1333B"/>
    <w:rsid w:val="00B21E48"/>
    <w:rsid w:val="00B21F4A"/>
    <w:rsid w:val="00B30EDB"/>
    <w:rsid w:val="00B429DA"/>
    <w:rsid w:val="00B43321"/>
    <w:rsid w:val="00B464F9"/>
    <w:rsid w:val="00B50019"/>
    <w:rsid w:val="00B50C0B"/>
    <w:rsid w:val="00B54856"/>
    <w:rsid w:val="00B5590B"/>
    <w:rsid w:val="00B56E4A"/>
    <w:rsid w:val="00B66F05"/>
    <w:rsid w:val="00B7339E"/>
    <w:rsid w:val="00B76122"/>
    <w:rsid w:val="00B77793"/>
    <w:rsid w:val="00BA1424"/>
    <w:rsid w:val="00BA3576"/>
    <w:rsid w:val="00BB06FE"/>
    <w:rsid w:val="00BB2AED"/>
    <w:rsid w:val="00BB6939"/>
    <w:rsid w:val="00BC2DF5"/>
    <w:rsid w:val="00BC6F88"/>
    <w:rsid w:val="00BC7D27"/>
    <w:rsid w:val="00BD0637"/>
    <w:rsid w:val="00BD717D"/>
    <w:rsid w:val="00BD733B"/>
    <w:rsid w:val="00BE18FC"/>
    <w:rsid w:val="00BE350E"/>
    <w:rsid w:val="00BE7A40"/>
    <w:rsid w:val="00BF364C"/>
    <w:rsid w:val="00BF50AA"/>
    <w:rsid w:val="00C02BC2"/>
    <w:rsid w:val="00C03156"/>
    <w:rsid w:val="00C04838"/>
    <w:rsid w:val="00C04EF3"/>
    <w:rsid w:val="00C10D83"/>
    <w:rsid w:val="00C12D46"/>
    <w:rsid w:val="00C1550E"/>
    <w:rsid w:val="00C20037"/>
    <w:rsid w:val="00C24EA9"/>
    <w:rsid w:val="00C25F71"/>
    <w:rsid w:val="00C27AE6"/>
    <w:rsid w:val="00C30930"/>
    <w:rsid w:val="00C34F75"/>
    <w:rsid w:val="00C3674E"/>
    <w:rsid w:val="00C3680F"/>
    <w:rsid w:val="00C47D91"/>
    <w:rsid w:val="00C52B60"/>
    <w:rsid w:val="00C65DD0"/>
    <w:rsid w:val="00C724EC"/>
    <w:rsid w:val="00C752B4"/>
    <w:rsid w:val="00C8322C"/>
    <w:rsid w:val="00C85ECD"/>
    <w:rsid w:val="00C861C5"/>
    <w:rsid w:val="00C910FE"/>
    <w:rsid w:val="00C91955"/>
    <w:rsid w:val="00C9252D"/>
    <w:rsid w:val="00C929B2"/>
    <w:rsid w:val="00C96F72"/>
    <w:rsid w:val="00CA324B"/>
    <w:rsid w:val="00CA7691"/>
    <w:rsid w:val="00CB2D9B"/>
    <w:rsid w:val="00CB326E"/>
    <w:rsid w:val="00CB51A7"/>
    <w:rsid w:val="00CB66D5"/>
    <w:rsid w:val="00CD031B"/>
    <w:rsid w:val="00CD4179"/>
    <w:rsid w:val="00CD43C6"/>
    <w:rsid w:val="00CE09D9"/>
    <w:rsid w:val="00CE370A"/>
    <w:rsid w:val="00CE43D4"/>
    <w:rsid w:val="00CE5D1A"/>
    <w:rsid w:val="00CF0E41"/>
    <w:rsid w:val="00CF6693"/>
    <w:rsid w:val="00CF73BE"/>
    <w:rsid w:val="00D01882"/>
    <w:rsid w:val="00D022F1"/>
    <w:rsid w:val="00D03815"/>
    <w:rsid w:val="00D03C3F"/>
    <w:rsid w:val="00D07E93"/>
    <w:rsid w:val="00D10208"/>
    <w:rsid w:val="00D13B6B"/>
    <w:rsid w:val="00D17DAE"/>
    <w:rsid w:val="00D256F1"/>
    <w:rsid w:val="00D2611F"/>
    <w:rsid w:val="00D26E6E"/>
    <w:rsid w:val="00D372CF"/>
    <w:rsid w:val="00D3790F"/>
    <w:rsid w:val="00D37D86"/>
    <w:rsid w:val="00D41250"/>
    <w:rsid w:val="00D44EE6"/>
    <w:rsid w:val="00D46EF7"/>
    <w:rsid w:val="00D47417"/>
    <w:rsid w:val="00D502E1"/>
    <w:rsid w:val="00D55B5F"/>
    <w:rsid w:val="00D64EE6"/>
    <w:rsid w:val="00D65DB4"/>
    <w:rsid w:val="00D75490"/>
    <w:rsid w:val="00D7626C"/>
    <w:rsid w:val="00D77335"/>
    <w:rsid w:val="00D8092F"/>
    <w:rsid w:val="00D811EE"/>
    <w:rsid w:val="00D90804"/>
    <w:rsid w:val="00D91DD7"/>
    <w:rsid w:val="00D935DE"/>
    <w:rsid w:val="00D968AF"/>
    <w:rsid w:val="00D96DE4"/>
    <w:rsid w:val="00DA1779"/>
    <w:rsid w:val="00DA63D0"/>
    <w:rsid w:val="00DC1F91"/>
    <w:rsid w:val="00DD44D4"/>
    <w:rsid w:val="00DD4E8D"/>
    <w:rsid w:val="00DD4F99"/>
    <w:rsid w:val="00DD658A"/>
    <w:rsid w:val="00DE168B"/>
    <w:rsid w:val="00DE5449"/>
    <w:rsid w:val="00DE6A53"/>
    <w:rsid w:val="00DF3326"/>
    <w:rsid w:val="00E1108D"/>
    <w:rsid w:val="00E15142"/>
    <w:rsid w:val="00E245FC"/>
    <w:rsid w:val="00E25AC4"/>
    <w:rsid w:val="00E26628"/>
    <w:rsid w:val="00E36B85"/>
    <w:rsid w:val="00E42016"/>
    <w:rsid w:val="00E44F8D"/>
    <w:rsid w:val="00E450BB"/>
    <w:rsid w:val="00E47D8E"/>
    <w:rsid w:val="00E51392"/>
    <w:rsid w:val="00E567D7"/>
    <w:rsid w:val="00E57DF9"/>
    <w:rsid w:val="00E606A3"/>
    <w:rsid w:val="00E61797"/>
    <w:rsid w:val="00E71523"/>
    <w:rsid w:val="00E74190"/>
    <w:rsid w:val="00E7486F"/>
    <w:rsid w:val="00E757C5"/>
    <w:rsid w:val="00E75B4B"/>
    <w:rsid w:val="00E76F48"/>
    <w:rsid w:val="00E90A78"/>
    <w:rsid w:val="00EA10EC"/>
    <w:rsid w:val="00EA1235"/>
    <w:rsid w:val="00EA660D"/>
    <w:rsid w:val="00EB2300"/>
    <w:rsid w:val="00EB2F28"/>
    <w:rsid w:val="00EB573D"/>
    <w:rsid w:val="00EC5E14"/>
    <w:rsid w:val="00ED0268"/>
    <w:rsid w:val="00ED695D"/>
    <w:rsid w:val="00EE1D0F"/>
    <w:rsid w:val="00EE41E7"/>
    <w:rsid w:val="00EE4DAA"/>
    <w:rsid w:val="00EF16A3"/>
    <w:rsid w:val="00EF22EC"/>
    <w:rsid w:val="00EF41E9"/>
    <w:rsid w:val="00F01094"/>
    <w:rsid w:val="00F027A3"/>
    <w:rsid w:val="00F05F70"/>
    <w:rsid w:val="00F10E41"/>
    <w:rsid w:val="00F17FBF"/>
    <w:rsid w:val="00F2331E"/>
    <w:rsid w:val="00F2341C"/>
    <w:rsid w:val="00F42727"/>
    <w:rsid w:val="00F470F6"/>
    <w:rsid w:val="00F559E7"/>
    <w:rsid w:val="00F626EF"/>
    <w:rsid w:val="00F70980"/>
    <w:rsid w:val="00F71E72"/>
    <w:rsid w:val="00F7265A"/>
    <w:rsid w:val="00F74C24"/>
    <w:rsid w:val="00F77013"/>
    <w:rsid w:val="00F8041F"/>
    <w:rsid w:val="00F90B21"/>
    <w:rsid w:val="00F9122A"/>
    <w:rsid w:val="00F94791"/>
    <w:rsid w:val="00F967B3"/>
    <w:rsid w:val="00F97D1C"/>
    <w:rsid w:val="00FA032F"/>
    <w:rsid w:val="00FA2860"/>
    <w:rsid w:val="00FA7359"/>
    <w:rsid w:val="00FB16CC"/>
    <w:rsid w:val="00FB23BF"/>
    <w:rsid w:val="00FB48F5"/>
    <w:rsid w:val="00FB77DA"/>
    <w:rsid w:val="00FC0552"/>
    <w:rsid w:val="00FC4B88"/>
    <w:rsid w:val="00FC5D52"/>
    <w:rsid w:val="00FD2D3D"/>
    <w:rsid w:val="00FD4774"/>
    <w:rsid w:val="00FD5583"/>
    <w:rsid w:val="00FE6A8E"/>
    <w:rsid w:val="00FE702A"/>
    <w:rsid w:val="00FE7FE7"/>
    <w:rsid w:val="00FF6943"/>
    <w:rsid w:val="00FF73EB"/>
    <w:rsid w:val="01376B01"/>
    <w:rsid w:val="018F4603"/>
    <w:rsid w:val="05E5132F"/>
    <w:rsid w:val="06A15DD6"/>
    <w:rsid w:val="0747DCB4"/>
    <w:rsid w:val="082AB527"/>
    <w:rsid w:val="08FFC31A"/>
    <w:rsid w:val="0F06A60D"/>
    <w:rsid w:val="100886A2"/>
    <w:rsid w:val="10F75C65"/>
    <w:rsid w:val="15776696"/>
    <w:rsid w:val="1597290F"/>
    <w:rsid w:val="17F5E0C7"/>
    <w:rsid w:val="1876D3E1"/>
    <w:rsid w:val="19011E11"/>
    <w:rsid w:val="1BA049E0"/>
    <w:rsid w:val="20B19FF4"/>
    <w:rsid w:val="2129A3BB"/>
    <w:rsid w:val="217C00F6"/>
    <w:rsid w:val="21FC7414"/>
    <w:rsid w:val="2255511C"/>
    <w:rsid w:val="23753E83"/>
    <w:rsid w:val="25462998"/>
    <w:rsid w:val="266AA327"/>
    <w:rsid w:val="274D66B8"/>
    <w:rsid w:val="291BA873"/>
    <w:rsid w:val="29768067"/>
    <w:rsid w:val="2AE500D1"/>
    <w:rsid w:val="2C00DE53"/>
    <w:rsid w:val="2DDD6C6B"/>
    <w:rsid w:val="2E68A8B3"/>
    <w:rsid w:val="2FFD89BF"/>
    <w:rsid w:val="31B7FDAB"/>
    <w:rsid w:val="31BDA9A4"/>
    <w:rsid w:val="3200971F"/>
    <w:rsid w:val="34947368"/>
    <w:rsid w:val="36846A25"/>
    <w:rsid w:val="3960A1E1"/>
    <w:rsid w:val="3CB902C9"/>
    <w:rsid w:val="3EDDF3F5"/>
    <w:rsid w:val="4005783C"/>
    <w:rsid w:val="40B27C2A"/>
    <w:rsid w:val="448B44BE"/>
    <w:rsid w:val="455E7F0C"/>
    <w:rsid w:val="4A114751"/>
    <w:rsid w:val="4ADAEEF1"/>
    <w:rsid w:val="4B1AB157"/>
    <w:rsid w:val="4D4D7E83"/>
    <w:rsid w:val="4DC85E07"/>
    <w:rsid w:val="506B2B45"/>
    <w:rsid w:val="50A600F0"/>
    <w:rsid w:val="510B8FB3"/>
    <w:rsid w:val="5144D850"/>
    <w:rsid w:val="51498020"/>
    <w:rsid w:val="5288704A"/>
    <w:rsid w:val="53A36797"/>
    <w:rsid w:val="53B38345"/>
    <w:rsid w:val="54E67F16"/>
    <w:rsid w:val="58C29CD6"/>
    <w:rsid w:val="58D67B15"/>
    <w:rsid w:val="58F52079"/>
    <w:rsid w:val="594F6B7C"/>
    <w:rsid w:val="595E4F02"/>
    <w:rsid w:val="5A376328"/>
    <w:rsid w:val="5BAE627C"/>
    <w:rsid w:val="5DC11BAA"/>
    <w:rsid w:val="5EAB5CF7"/>
    <w:rsid w:val="5EE7B4B1"/>
    <w:rsid w:val="5EFE3EEC"/>
    <w:rsid w:val="5FAD9430"/>
    <w:rsid w:val="625040E9"/>
    <w:rsid w:val="63C3FD73"/>
    <w:rsid w:val="64D3C7A0"/>
    <w:rsid w:val="67483408"/>
    <w:rsid w:val="67BA953A"/>
    <w:rsid w:val="683F2076"/>
    <w:rsid w:val="68A717FA"/>
    <w:rsid w:val="69AE7F57"/>
    <w:rsid w:val="6A2E27F4"/>
    <w:rsid w:val="6B1611ED"/>
    <w:rsid w:val="6DD5A3C1"/>
    <w:rsid w:val="6DD804AA"/>
    <w:rsid w:val="6DFC2ABF"/>
    <w:rsid w:val="6F5A71E9"/>
    <w:rsid w:val="6F845853"/>
    <w:rsid w:val="6FF5DF4E"/>
    <w:rsid w:val="72448058"/>
    <w:rsid w:val="738DE9E7"/>
    <w:rsid w:val="76BCC4E0"/>
    <w:rsid w:val="76E990F9"/>
    <w:rsid w:val="76F3C669"/>
    <w:rsid w:val="7A119784"/>
    <w:rsid w:val="7FB4A1F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C2A81"/>
  <w15:chartTrackingRefBased/>
  <w15:docId w15:val="{A40A2509-8CEB-4C27-A902-856A1347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5B"/>
    <w:rPr>
      <w:rFonts w:eastAsia="Times New Roman" w:cs="Times New Roman"/>
      <w:kern w:val="0"/>
      <w:lang w:eastAsia="fr-FR"/>
      <w14:ligatures w14:val="none"/>
    </w:rPr>
  </w:style>
  <w:style w:type="paragraph" w:styleId="Heading1">
    <w:name w:val="heading 1"/>
    <w:basedOn w:val="Heading2"/>
    <w:link w:val="Heading1Char"/>
    <w:uiPriority w:val="9"/>
    <w:qFormat/>
    <w:rsid w:val="00036694"/>
    <w:pPr>
      <w:numPr>
        <w:numId w:val="1"/>
      </w:numPr>
      <w:outlineLvl w:val="0"/>
    </w:pPr>
    <w:rPr>
      <w:rFonts w:cstheme="minorHAnsi"/>
      <w:szCs w:val="28"/>
      <w:lang w:val="en-GB"/>
    </w:rPr>
  </w:style>
  <w:style w:type="paragraph" w:styleId="Heading2">
    <w:name w:val="heading 2"/>
    <w:basedOn w:val="Normal"/>
    <w:link w:val="Heading2Char"/>
    <w:uiPriority w:val="9"/>
    <w:qFormat/>
    <w:rsid w:val="001F73A2"/>
    <w:pPr>
      <w:keepNext/>
      <w:spacing w:before="100" w:beforeAutospacing="1" w:after="100" w:afterAutospacing="1"/>
      <w:outlineLvl w:val="1"/>
    </w:pPr>
    <w:rPr>
      <w:b/>
      <w:bCs/>
      <w:sz w:val="28"/>
      <w:szCs w:val="36"/>
    </w:rPr>
  </w:style>
  <w:style w:type="paragraph" w:styleId="Heading3">
    <w:name w:val="heading 3"/>
    <w:basedOn w:val="Normal"/>
    <w:link w:val="Heading3Char"/>
    <w:uiPriority w:val="9"/>
    <w:qFormat/>
    <w:rsid w:val="007A4B9F"/>
    <w:pPr>
      <w:keepNext/>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694"/>
    <w:rPr>
      <w:rFonts w:eastAsia="Times New Roman" w:cstheme="minorHAnsi"/>
      <w:b/>
      <w:bCs/>
      <w:kern w:val="0"/>
      <w:sz w:val="28"/>
      <w:szCs w:val="28"/>
      <w:lang w:val="en-GB" w:eastAsia="fr-FR"/>
      <w14:ligatures w14:val="none"/>
    </w:rPr>
  </w:style>
  <w:style w:type="character" w:customStyle="1" w:styleId="Heading2Char">
    <w:name w:val="Heading 2 Char"/>
    <w:basedOn w:val="DefaultParagraphFont"/>
    <w:link w:val="Heading2"/>
    <w:uiPriority w:val="9"/>
    <w:rsid w:val="001F73A2"/>
    <w:rPr>
      <w:rFonts w:eastAsia="Times New Roman" w:cs="Times New Roman"/>
      <w:b/>
      <w:bCs/>
      <w:kern w:val="0"/>
      <w:sz w:val="28"/>
      <w:szCs w:val="36"/>
      <w:lang w:eastAsia="fr-FR"/>
      <w14:ligatures w14:val="none"/>
    </w:rPr>
  </w:style>
  <w:style w:type="character" w:customStyle="1" w:styleId="Heading3Char">
    <w:name w:val="Heading 3 Char"/>
    <w:basedOn w:val="DefaultParagraphFont"/>
    <w:link w:val="Heading3"/>
    <w:uiPriority w:val="9"/>
    <w:rsid w:val="007A4B9F"/>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unhideWhenUsed/>
    <w:qFormat/>
    <w:rsid w:val="0025755B"/>
    <w:pPr>
      <w:spacing w:before="100" w:beforeAutospacing="1" w:after="100" w:afterAutospacing="1"/>
    </w:pPr>
  </w:style>
  <w:style w:type="character" w:styleId="Strong">
    <w:name w:val="Strong"/>
    <w:basedOn w:val="DefaultParagraphFont"/>
    <w:uiPriority w:val="22"/>
    <w:qFormat/>
    <w:rsid w:val="00CF73BE"/>
    <w:rPr>
      <w:b/>
      <w:bCs/>
    </w:rPr>
  </w:style>
  <w:style w:type="paragraph" w:styleId="ListParagraph">
    <w:name w:val="List Paragraph"/>
    <w:basedOn w:val="Normal"/>
    <w:uiPriority w:val="34"/>
    <w:qFormat/>
    <w:rsid w:val="00B429DA"/>
    <w:pPr>
      <w:ind w:left="720"/>
      <w:contextualSpacing/>
    </w:pPr>
  </w:style>
  <w:style w:type="character" w:customStyle="1" w:styleId="relative">
    <w:name w:val="relative"/>
    <w:basedOn w:val="DefaultParagraphFont"/>
    <w:rsid w:val="00B429DA"/>
  </w:style>
  <w:style w:type="paragraph" w:customStyle="1" w:styleId="not-prose">
    <w:name w:val="not-prose"/>
    <w:basedOn w:val="Normal"/>
    <w:rsid w:val="00B429DA"/>
    <w:pPr>
      <w:spacing w:before="100" w:beforeAutospacing="1" w:after="100" w:afterAutospacing="1"/>
    </w:pPr>
  </w:style>
  <w:style w:type="paragraph" w:styleId="TOC1">
    <w:name w:val="toc 1"/>
    <w:basedOn w:val="Normal"/>
    <w:next w:val="Normal"/>
    <w:autoRedefine/>
    <w:uiPriority w:val="39"/>
    <w:unhideWhenUsed/>
    <w:rsid w:val="00403A19"/>
    <w:pPr>
      <w:spacing w:after="100"/>
    </w:pPr>
  </w:style>
  <w:style w:type="paragraph" w:styleId="TOC2">
    <w:name w:val="toc 2"/>
    <w:basedOn w:val="Normal"/>
    <w:next w:val="Normal"/>
    <w:autoRedefine/>
    <w:uiPriority w:val="39"/>
    <w:unhideWhenUsed/>
    <w:rsid w:val="00403A19"/>
    <w:pPr>
      <w:spacing w:after="100"/>
      <w:ind w:left="240"/>
    </w:pPr>
  </w:style>
  <w:style w:type="character" w:styleId="Hyperlink">
    <w:name w:val="Hyperlink"/>
    <w:basedOn w:val="DefaultParagraphFont"/>
    <w:uiPriority w:val="99"/>
    <w:unhideWhenUsed/>
    <w:rsid w:val="00403A19"/>
    <w:rPr>
      <w:color w:val="0563C1" w:themeColor="hyperlink"/>
      <w:u w:val="single"/>
    </w:rPr>
  </w:style>
  <w:style w:type="paragraph" w:styleId="Footer">
    <w:name w:val="footer"/>
    <w:basedOn w:val="Normal"/>
    <w:link w:val="FooterChar"/>
    <w:uiPriority w:val="99"/>
    <w:unhideWhenUsed/>
    <w:rsid w:val="00D55B5F"/>
    <w:pPr>
      <w:tabs>
        <w:tab w:val="center" w:pos="4536"/>
        <w:tab w:val="right" w:pos="9072"/>
      </w:tabs>
    </w:pPr>
  </w:style>
  <w:style w:type="character" w:customStyle="1" w:styleId="FooterChar">
    <w:name w:val="Footer Char"/>
    <w:basedOn w:val="DefaultParagraphFont"/>
    <w:link w:val="Footer"/>
    <w:uiPriority w:val="99"/>
    <w:rsid w:val="00D55B5F"/>
    <w:rPr>
      <w:rFonts w:eastAsia="Times New Roman" w:cs="Times New Roman"/>
      <w:kern w:val="0"/>
      <w:lang w:eastAsia="fr-FR"/>
      <w14:ligatures w14:val="none"/>
    </w:rPr>
  </w:style>
  <w:style w:type="character" w:styleId="PageNumber">
    <w:name w:val="page number"/>
    <w:basedOn w:val="DefaultParagraphFont"/>
    <w:uiPriority w:val="99"/>
    <w:semiHidden/>
    <w:unhideWhenUsed/>
    <w:rsid w:val="00466C46"/>
  </w:style>
  <w:style w:type="paragraph" w:styleId="Header">
    <w:name w:val="header"/>
    <w:basedOn w:val="Normal"/>
    <w:link w:val="HeaderChar"/>
    <w:uiPriority w:val="99"/>
    <w:unhideWhenUsed/>
    <w:rsid w:val="00E44F8D"/>
    <w:pPr>
      <w:tabs>
        <w:tab w:val="center" w:pos="4536"/>
        <w:tab w:val="right" w:pos="9072"/>
      </w:tabs>
    </w:pPr>
  </w:style>
  <w:style w:type="character" w:customStyle="1" w:styleId="HeaderChar">
    <w:name w:val="Header Char"/>
    <w:basedOn w:val="DefaultParagraphFont"/>
    <w:link w:val="Header"/>
    <w:uiPriority w:val="99"/>
    <w:rsid w:val="00E44F8D"/>
    <w:rPr>
      <w:rFonts w:ascii="Times New Roman" w:eastAsia="Times New Roman" w:hAnsi="Times New Roman" w:cs="Times New Roman"/>
      <w:kern w:val="0"/>
      <w:lang w:eastAsia="fr-FR"/>
      <w14:ligatures w14:val="none"/>
    </w:rPr>
  </w:style>
  <w:style w:type="character" w:styleId="Emphasis">
    <w:name w:val="Emphasis"/>
    <w:basedOn w:val="DefaultParagraphFont"/>
    <w:uiPriority w:val="20"/>
    <w:qFormat/>
    <w:rsid w:val="00EE4DAA"/>
    <w:rPr>
      <w:i/>
      <w:iCs/>
    </w:rPr>
  </w:style>
  <w:style w:type="paragraph" w:styleId="TOC3">
    <w:name w:val="toc 3"/>
    <w:basedOn w:val="Normal"/>
    <w:next w:val="Normal"/>
    <w:autoRedefine/>
    <w:uiPriority w:val="39"/>
    <w:unhideWhenUsed/>
    <w:rsid w:val="00E74190"/>
    <w:pPr>
      <w:tabs>
        <w:tab w:val="right" w:leader="dot" w:pos="9062"/>
      </w:tabs>
      <w:spacing w:after="100"/>
      <w:ind w:left="480"/>
    </w:pPr>
    <w:rPr>
      <w:rFonts w:cstheme="minorHAnsi"/>
      <w:noProof/>
      <w:lang w:val="en-US"/>
    </w:rPr>
  </w:style>
  <w:style w:type="character" w:styleId="CommentReference">
    <w:name w:val="annotation reference"/>
    <w:basedOn w:val="DefaultParagraphFont"/>
    <w:uiPriority w:val="99"/>
    <w:semiHidden/>
    <w:unhideWhenUsed/>
    <w:rsid w:val="002B09D9"/>
    <w:rPr>
      <w:sz w:val="16"/>
      <w:szCs w:val="16"/>
    </w:rPr>
  </w:style>
  <w:style w:type="paragraph" w:styleId="CommentText">
    <w:name w:val="annotation text"/>
    <w:basedOn w:val="Normal"/>
    <w:link w:val="CommentTextChar"/>
    <w:uiPriority w:val="99"/>
    <w:unhideWhenUsed/>
    <w:rsid w:val="002B09D9"/>
    <w:rPr>
      <w:sz w:val="20"/>
      <w:szCs w:val="20"/>
    </w:rPr>
  </w:style>
  <w:style w:type="character" w:customStyle="1" w:styleId="CommentTextChar">
    <w:name w:val="Comment Text Char"/>
    <w:basedOn w:val="DefaultParagraphFont"/>
    <w:link w:val="CommentText"/>
    <w:uiPriority w:val="99"/>
    <w:rsid w:val="002B09D9"/>
    <w:rPr>
      <w:rFonts w:ascii="Times New Roman" w:eastAsia="Times New Roman" w:hAnsi="Times New Roman" w:cs="Times New Roman"/>
      <w:kern w:val="0"/>
      <w:sz w:val="20"/>
      <w:szCs w:val="20"/>
      <w:lang w:eastAsia="fr-FR"/>
      <w14:ligatures w14:val="none"/>
    </w:rPr>
  </w:style>
  <w:style w:type="paragraph" w:styleId="CommentSubject">
    <w:name w:val="annotation subject"/>
    <w:basedOn w:val="CommentText"/>
    <w:next w:val="CommentText"/>
    <w:link w:val="CommentSubjectChar"/>
    <w:uiPriority w:val="99"/>
    <w:semiHidden/>
    <w:unhideWhenUsed/>
    <w:rsid w:val="002B09D9"/>
    <w:rPr>
      <w:b/>
      <w:bCs/>
    </w:rPr>
  </w:style>
  <w:style w:type="character" w:customStyle="1" w:styleId="CommentSubjectChar">
    <w:name w:val="Comment Subject Char"/>
    <w:basedOn w:val="CommentTextChar"/>
    <w:link w:val="CommentSubject"/>
    <w:uiPriority w:val="99"/>
    <w:semiHidden/>
    <w:rsid w:val="002B09D9"/>
    <w:rPr>
      <w:rFonts w:ascii="Times New Roman" w:eastAsia="Times New Roman" w:hAnsi="Times New Roman" w:cs="Times New Roman"/>
      <w:b/>
      <w:bCs/>
      <w:kern w:val="0"/>
      <w:sz w:val="20"/>
      <w:szCs w:val="20"/>
      <w:lang w:eastAsia="fr-FR"/>
      <w14:ligatures w14:val="none"/>
    </w:rPr>
  </w:style>
  <w:style w:type="paragraph" w:styleId="Revision">
    <w:name w:val="Revision"/>
    <w:hidden/>
    <w:uiPriority w:val="99"/>
    <w:semiHidden/>
    <w:rsid w:val="009D73B0"/>
    <w:rPr>
      <w:rFonts w:ascii="Times New Roman" w:eastAsia="Times New Roman" w:hAnsi="Times New Roman" w:cs="Times New Roman"/>
      <w:kern w:val="0"/>
      <w:lang w:eastAsia="fr-FR"/>
      <w14:ligatures w14:val="none"/>
    </w:rPr>
  </w:style>
  <w:style w:type="paragraph" w:styleId="FootnoteText">
    <w:name w:val="footnote text"/>
    <w:basedOn w:val="Normal"/>
    <w:link w:val="FootnoteTextChar"/>
    <w:uiPriority w:val="99"/>
    <w:semiHidden/>
    <w:unhideWhenUsed/>
    <w:rsid w:val="00D55B5F"/>
    <w:rPr>
      <w:sz w:val="20"/>
      <w:szCs w:val="20"/>
    </w:rPr>
  </w:style>
  <w:style w:type="character" w:customStyle="1" w:styleId="FootnoteTextChar">
    <w:name w:val="Footnote Text Char"/>
    <w:basedOn w:val="DefaultParagraphFont"/>
    <w:link w:val="FootnoteText"/>
    <w:uiPriority w:val="99"/>
    <w:semiHidden/>
    <w:rsid w:val="00D55B5F"/>
    <w:rPr>
      <w:rFonts w:eastAsia="Times New Roman" w:cs="Times New Roman"/>
      <w:kern w:val="0"/>
      <w:sz w:val="20"/>
      <w:szCs w:val="20"/>
      <w:lang w:eastAsia="fr-FR"/>
      <w14:ligatures w14:val="none"/>
    </w:rPr>
  </w:style>
  <w:style w:type="character" w:styleId="FootnoteReference">
    <w:name w:val="footnote reference"/>
    <w:basedOn w:val="DefaultParagraphFont"/>
    <w:uiPriority w:val="99"/>
    <w:semiHidden/>
    <w:unhideWhenUsed/>
    <w:rsid w:val="00E75B4B"/>
    <w:rPr>
      <w:vertAlign w:val="superscript"/>
    </w:rPr>
  </w:style>
  <w:style w:type="character" w:styleId="UnresolvedMention">
    <w:name w:val="Unresolved Mention"/>
    <w:basedOn w:val="DefaultParagraphFont"/>
    <w:uiPriority w:val="99"/>
    <w:semiHidden/>
    <w:unhideWhenUsed/>
    <w:rsid w:val="002073EE"/>
    <w:rPr>
      <w:color w:val="605E5C"/>
      <w:shd w:val="clear" w:color="auto" w:fill="E1DFDD"/>
    </w:rPr>
  </w:style>
  <w:style w:type="numbering" w:customStyle="1" w:styleId="CurrentList1">
    <w:name w:val="Current List1"/>
    <w:uiPriority w:val="99"/>
    <w:rsid w:val="001F73A2"/>
    <w:pPr>
      <w:numPr>
        <w:numId w:val="28"/>
      </w:numPr>
    </w:pPr>
  </w:style>
  <w:style w:type="numbering" w:customStyle="1" w:styleId="CurrentList2">
    <w:name w:val="Current List2"/>
    <w:uiPriority w:val="99"/>
    <w:rsid w:val="00A8017A"/>
    <w:pPr>
      <w:numPr>
        <w:numId w:val="29"/>
      </w:numPr>
    </w:pPr>
  </w:style>
  <w:style w:type="paragraph" w:customStyle="1" w:styleId="Docnumber">
    <w:name w:val="Docnumber"/>
    <w:basedOn w:val="Normal"/>
    <w:link w:val="DocnumberChar"/>
    <w:qFormat/>
    <w:rsid w:val="00BF50AA"/>
    <w:pPr>
      <w:tabs>
        <w:tab w:val="left" w:pos="794"/>
        <w:tab w:val="left" w:pos="1191"/>
        <w:tab w:val="left" w:pos="1588"/>
        <w:tab w:val="left" w:pos="1985"/>
      </w:tabs>
      <w:overflowPunct w:val="0"/>
      <w:autoSpaceDE w:val="0"/>
      <w:autoSpaceDN w:val="0"/>
      <w:adjustRightInd w:val="0"/>
      <w:spacing w:before="120"/>
      <w:jc w:val="right"/>
      <w:textAlignment w:val="baseline"/>
    </w:pPr>
    <w:rPr>
      <w:rFonts w:ascii="Times New Roman" w:eastAsia="SimSun" w:hAnsi="Times New Roman"/>
      <w:b/>
      <w:sz w:val="32"/>
      <w:szCs w:val="20"/>
      <w:lang w:val="en-GB" w:eastAsia="en-US"/>
    </w:rPr>
  </w:style>
  <w:style w:type="character" w:customStyle="1" w:styleId="DocnumberChar">
    <w:name w:val="Docnumber Char"/>
    <w:link w:val="Docnumber"/>
    <w:rsid w:val="00BF50AA"/>
    <w:rPr>
      <w:rFonts w:ascii="Times New Roman" w:eastAsia="SimSun" w:hAnsi="Times New Roman" w:cs="Times New Roman"/>
      <w:b/>
      <w:kern w:val="0"/>
      <w:sz w:val="32"/>
      <w:szCs w:val="20"/>
      <w:lang w:val="en-GB"/>
      <w14:ligatures w14:val="none"/>
    </w:rPr>
  </w:style>
  <w:style w:type="paragraph" w:customStyle="1" w:styleId="TSBHeaderQuestion">
    <w:name w:val="TSBHeaderQuestion"/>
    <w:basedOn w:val="Normal"/>
    <w:qFormat/>
    <w:rsid w:val="00BF50AA"/>
    <w:pPr>
      <w:spacing w:before="120"/>
    </w:pPr>
    <w:rPr>
      <w:rFonts w:ascii="Times New Roman" w:eastAsiaTheme="minorEastAsia" w:hAnsi="Times New Roman"/>
      <w:lang w:val="en-GB" w:eastAsia="ja-JP"/>
    </w:rPr>
  </w:style>
  <w:style w:type="paragraph" w:customStyle="1" w:styleId="TSBHeaderSource">
    <w:name w:val="TSBHeaderSource"/>
    <w:basedOn w:val="Normal"/>
    <w:qFormat/>
    <w:rsid w:val="00BF50AA"/>
    <w:pPr>
      <w:spacing w:before="120"/>
    </w:pPr>
    <w:rPr>
      <w:rFonts w:ascii="Times New Roman" w:eastAsiaTheme="minorEastAsia" w:hAnsi="Times New Roman"/>
      <w:lang w:val="en-GB" w:eastAsia="ja-JP"/>
    </w:rPr>
  </w:style>
  <w:style w:type="paragraph" w:customStyle="1" w:styleId="TSBHeaderTitle">
    <w:name w:val="TSBHeaderTitle"/>
    <w:basedOn w:val="Normal"/>
    <w:qFormat/>
    <w:rsid w:val="00BF50AA"/>
    <w:pPr>
      <w:spacing w:before="120"/>
    </w:pPr>
    <w:rPr>
      <w:rFonts w:ascii="Times New Roman" w:eastAsiaTheme="minorEastAsia" w:hAnsi="Times New Roman"/>
      <w:lang w:val="en-GB" w:eastAsia="ja-JP"/>
    </w:rPr>
  </w:style>
  <w:style w:type="paragraph" w:customStyle="1" w:styleId="TSBHeaderRight14">
    <w:name w:val="TSBHeaderRight14"/>
    <w:basedOn w:val="Normal"/>
    <w:qFormat/>
    <w:rsid w:val="00BF50AA"/>
    <w:pPr>
      <w:spacing w:before="120"/>
      <w:jc w:val="right"/>
    </w:pPr>
    <w:rPr>
      <w:rFonts w:ascii="Times New Roman" w:eastAsiaTheme="minorEastAsia" w:hAnsi="Times New Roman"/>
      <w:b/>
      <w:bCs/>
      <w:sz w:val="28"/>
      <w:szCs w:val="28"/>
      <w:lang w:val="en-GB" w:eastAsia="ja-JP"/>
    </w:rPr>
  </w:style>
  <w:style w:type="paragraph" w:customStyle="1" w:styleId="VenueDate">
    <w:name w:val="VenueDate"/>
    <w:basedOn w:val="Normal"/>
    <w:qFormat/>
    <w:rsid w:val="00BF50AA"/>
    <w:pPr>
      <w:spacing w:before="120"/>
      <w:jc w:val="right"/>
    </w:pPr>
    <w:rPr>
      <w:rFonts w:ascii="Times New Roman" w:eastAsiaTheme="minorEastAsia" w:hAnsi="Times New Roman"/>
      <w:lang w:val="en-GB" w:eastAsia="ja-JP"/>
    </w:rPr>
  </w:style>
  <w:style w:type="paragraph" w:customStyle="1" w:styleId="TSBHeaderSummary">
    <w:name w:val="TSBHeaderSummary"/>
    <w:basedOn w:val="Normal"/>
    <w:rsid w:val="00BF50AA"/>
    <w:pPr>
      <w:spacing w:before="120"/>
    </w:pPr>
    <w:rPr>
      <w:rFonts w:ascii="Times New Roman" w:eastAsiaTheme="minorEastAsia"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3908">
      <w:bodyDiv w:val="1"/>
      <w:marLeft w:val="0"/>
      <w:marRight w:val="0"/>
      <w:marTop w:val="0"/>
      <w:marBottom w:val="0"/>
      <w:divBdr>
        <w:top w:val="none" w:sz="0" w:space="0" w:color="auto"/>
        <w:left w:val="none" w:sz="0" w:space="0" w:color="auto"/>
        <w:bottom w:val="none" w:sz="0" w:space="0" w:color="auto"/>
        <w:right w:val="none" w:sz="0" w:space="0" w:color="auto"/>
      </w:divBdr>
    </w:div>
    <w:div w:id="124280775">
      <w:bodyDiv w:val="1"/>
      <w:marLeft w:val="0"/>
      <w:marRight w:val="0"/>
      <w:marTop w:val="0"/>
      <w:marBottom w:val="0"/>
      <w:divBdr>
        <w:top w:val="none" w:sz="0" w:space="0" w:color="auto"/>
        <w:left w:val="none" w:sz="0" w:space="0" w:color="auto"/>
        <w:bottom w:val="none" w:sz="0" w:space="0" w:color="auto"/>
        <w:right w:val="none" w:sz="0" w:space="0" w:color="auto"/>
      </w:divBdr>
    </w:div>
    <w:div w:id="140392860">
      <w:bodyDiv w:val="1"/>
      <w:marLeft w:val="0"/>
      <w:marRight w:val="0"/>
      <w:marTop w:val="0"/>
      <w:marBottom w:val="0"/>
      <w:divBdr>
        <w:top w:val="none" w:sz="0" w:space="0" w:color="auto"/>
        <w:left w:val="none" w:sz="0" w:space="0" w:color="auto"/>
        <w:bottom w:val="none" w:sz="0" w:space="0" w:color="auto"/>
        <w:right w:val="none" w:sz="0" w:space="0" w:color="auto"/>
      </w:divBdr>
    </w:div>
    <w:div w:id="160780327">
      <w:bodyDiv w:val="1"/>
      <w:marLeft w:val="0"/>
      <w:marRight w:val="0"/>
      <w:marTop w:val="0"/>
      <w:marBottom w:val="0"/>
      <w:divBdr>
        <w:top w:val="none" w:sz="0" w:space="0" w:color="auto"/>
        <w:left w:val="none" w:sz="0" w:space="0" w:color="auto"/>
        <w:bottom w:val="none" w:sz="0" w:space="0" w:color="auto"/>
        <w:right w:val="none" w:sz="0" w:space="0" w:color="auto"/>
      </w:divBdr>
    </w:div>
    <w:div w:id="252402111">
      <w:bodyDiv w:val="1"/>
      <w:marLeft w:val="0"/>
      <w:marRight w:val="0"/>
      <w:marTop w:val="0"/>
      <w:marBottom w:val="0"/>
      <w:divBdr>
        <w:top w:val="none" w:sz="0" w:space="0" w:color="auto"/>
        <w:left w:val="none" w:sz="0" w:space="0" w:color="auto"/>
        <w:bottom w:val="none" w:sz="0" w:space="0" w:color="auto"/>
        <w:right w:val="none" w:sz="0" w:space="0" w:color="auto"/>
      </w:divBdr>
    </w:div>
    <w:div w:id="292560676">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1904667">
      <w:bodyDiv w:val="1"/>
      <w:marLeft w:val="0"/>
      <w:marRight w:val="0"/>
      <w:marTop w:val="0"/>
      <w:marBottom w:val="0"/>
      <w:divBdr>
        <w:top w:val="none" w:sz="0" w:space="0" w:color="auto"/>
        <w:left w:val="none" w:sz="0" w:space="0" w:color="auto"/>
        <w:bottom w:val="none" w:sz="0" w:space="0" w:color="auto"/>
        <w:right w:val="none" w:sz="0" w:space="0" w:color="auto"/>
      </w:divBdr>
    </w:div>
    <w:div w:id="391121738">
      <w:bodyDiv w:val="1"/>
      <w:marLeft w:val="0"/>
      <w:marRight w:val="0"/>
      <w:marTop w:val="0"/>
      <w:marBottom w:val="0"/>
      <w:divBdr>
        <w:top w:val="none" w:sz="0" w:space="0" w:color="auto"/>
        <w:left w:val="none" w:sz="0" w:space="0" w:color="auto"/>
        <w:bottom w:val="none" w:sz="0" w:space="0" w:color="auto"/>
        <w:right w:val="none" w:sz="0" w:space="0" w:color="auto"/>
      </w:divBdr>
    </w:div>
    <w:div w:id="400367315">
      <w:bodyDiv w:val="1"/>
      <w:marLeft w:val="0"/>
      <w:marRight w:val="0"/>
      <w:marTop w:val="0"/>
      <w:marBottom w:val="0"/>
      <w:divBdr>
        <w:top w:val="none" w:sz="0" w:space="0" w:color="auto"/>
        <w:left w:val="none" w:sz="0" w:space="0" w:color="auto"/>
        <w:bottom w:val="none" w:sz="0" w:space="0" w:color="auto"/>
        <w:right w:val="none" w:sz="0" w:space="0" w:color="auto"/>
      </w:divBdr>
    </w:div>
    <w:div w:id="416832310">
      <w:bodyDiv w:val="1"/>
      <w:marLeft w:val="0"/>
      <w:marRight w:val="0"/>
      <w:marTop w:val="0"/>
      <w:marBottom w:val="0"/>
      <w:divBdr>
        <w:top w:val="none" w:sz="0" w:space="0" w:color="auto"/>
        <w:left w:val="none" w:sz="0" w:space="0" w:color="auto"/>
        <w:bottom w:val="none" w:sz="0" w:space="0" w:color="auto"/>
        <w:right w:val="none" w:sz="0" w:space="0" w:color="auto"/>
      </w:divBdr>
    </w:div>
    <w:div w:id="443037773">
      <w:bodyDiv w:val="1"/>
      <w:marLeft w:val="0"/>
      <w:marRight w:val="0"/>
      <w:marTop w:val="0"/>
      <w:marBottom w:val="0"/>
      <w:divBdr>
        <w:top w:val="none" w:sz="0" w:space="0" w:color="auto"/>
        <w:left w:val="none" w:sz="0" w:space="0" w:color="auto"/>
        <w:bottom w:val="none" w:sz="0" w:space="0" w:color="auto"/>
        <w:right w:val="none" w:sz="0" w:space="0" w:color="auto"/>
      </w:divBdr>
    </w:div>
    <w:div w:id="469982845">
      <w:bodyDiv w:val="1"/>
      <w:marLeft w:val="0"/>
      <w:marRight w:val="0"/>
      <w:marTop w:val="0"/>
      <w:marBottom w:val="0"/>
      <w:divBdr>
        <w:top w:val="none" w:sz="0" w:space="0" w:color="auto"/>
        <w:left w:val="none" w:sz="0" w:space="0" w:color="auto"/>
        <w:bottom w:val="none" w:sz="0" w:space="0" w:color="auto"/>
        <w:right w:val="none" w:sz="0" w:space="0" w:color="auto"/>
      </w:divBdr>
    </w:div>
    <w:div w:id="489567019">
      <w:bodyDiv w:val="1"/>
      <w:marLeft w:val="0"/>
      <w:marRight w:val="0"/>
      <w:marTop w:val="0"/>
      <w:marBottom w:val="0"/>
      <w:divBdr>
        <w:top w:val="none" w:sz="0" w:space="0" w:color="auto"/>
        <w:left w:val="none" w:sz="0" w:space="0" w:color="auto"/>
        <w:bottom w:val="none" w:sz="0" w:space="0" w:color="auto"/>
        <w:right w:val="none" w:sz="0" w:space="0" w:color="auto"/>
      </w:divBdr>
    </w:div>
    <w:div w:id="509640098">
      <w:bodyDiv w:val="1"/>
      <w:marLeft w:val="0"/>
      <w:marRight w:val="0"/>
      <w:marTop w:val="0"/>
      <w:marBottom w:val="0"/>
      <w:divBdr>
        <w:top w:val="none" w:sz="0" w:space="0" w:color="auto"/>
        <w:left w:val="none" w:sz="0" w:space="0" w:color="auto"/>
        <w:bottom w:val="none" w:sz="0" w:space="0" w:color="auto"/>
        <w:right w:val="none" w:sz="0" w:space="0" w:color="auto"/>
      </w:divBdr>
    </w:div>
    <w:div w:id="581837289">
      <w:bodyDiv w:val="1"/>
      <w:marLeft w:val="0"/>
      <w:marRight w:val="0"/>
      <w:marTop w:val="0"/>
      <w:marBottom w:val="0"/>
      <w:divBdr>
        <w:top w:val="none" w:sz="0" w:space="0" w:color="auto"/>
        <w:left w:val="none" w:sz="0" w:space="0" w:color="auto"/>
        <w:bottom w:val="none" w:sz="0" w:space="0" w:color="auto"/>
        <w:right w:val="none" w:sz="0" w:space="0" w:color="auto"/>
      </w:divBdr>
    </w:div>
    <w:div w:id="590046086">
      <w:bodyDiv w:val="1"/>
      <w:marLeft w:val="0"/>
      <w:marRight w:val="0"/>
      <w:marTop w:val="0"/>
      <w:marBottom w:val="0"/>
      <w:divBdr>
        <w:top w:val="none" w:sz="0" w:space="0" w:color="auto"/>
        <w:left w:val="none" w:sz="0" w:space="0" w:color="auto"/>
        <w:bottom w:val="none" w:sz="0" w:space="0" w:color="auto"/>
        <w:right w:val="none" w:sz="0" w:space="0" w:color="auto"/>
      </w:divBdr>
    </w:div>
    <w:div w:id="593518239">
      <w:bodyDiv w:val="1"/>
      <w:marLeft w:val="0"/>
      <w:marRight w:val="0"/>
      <w:marTop w:val="0"/>
      <w:marBottom w:val="0"/>
      <w:divBdr>
        <w:top w:val="none" w:sz="0" w:space="0" w:color="auto"/>
        <w:left w:val="none" w:sz="0" w:space="0" w:color="auto"/>
        <w:bottom w:val="none" w:sz="0" w:space="0" w:color="auto"/>
        <w:right w:val="none" w:sz="0" w:space="0" w:color="auto"/>
      </w:divBdr>
    </w:div>
    <w:div w:id="598147179">
      <w:bodyDiv w:val="1"/>
      <w:marLeft w:val="0"/>
      <w:marRight w:val="0"/>
      <w:marTop w:val="0"/>
      <w:marBottom w:val="0"/>
      <w:divBdr>
        <w:top w:val="none" w:sz="0" w:space="0" w:color="auto"/>
        <w:left w:val="none" w:sz="0" w:space="0" w:color="auto"/>
        <w:bottom w:val="none" w:sz="0" w:space="0" w:color="auto"/>
        <w:right w:val="none" w:sz="0" w:space="0" w:color="auto"/>
      </w:divBdr>
    </w:div>
    <w:div w:id="598486281">
      <w:bodyDiv w:val="1"/>
      <w:marLeft w:val="0"/>
      <w:marRight w:val="0"/>
      <w:marTop w:val="0"/>
      <w:marBottom w:val="0"/>
      <w:divBdr>
        <w:top w:val="none" w:sz="0" w:space="0" w:color="auto"/>
        <w:left w:val="none" w:sz="0" w:space="0" w:color="auto"/>
        <w:bottom w:val="none" w:sz="0" w:space="0" w:color="auto"/>
        <w:right w:val="none" w:sz="0" w:space="0" w:color="auto"/>
      </w:divBdr>
    </w:div>
    <w:div w:id="610674427">
      <w:bodyDiv w:val="1"/>
      <w:marLeft w:val="0"/>
      <w:marRight w:val="0"/>
      <w:marTop w:val="0"/>
      <w:marBottom w:val="0"/>
      <w:divBdr>
        <w:top w:val="none" w:sz="0" w:space="0" w:color="auto"/>
        <w:left w:val="none" w:sz="0" w:space="0" w:color="auto"/>
        <w:bottom w:val="none" w:sz="0" w:space="0" w:color="auto"/>
        <w:right w:val="none" w:sz="0" w:space="0" w:color="auto"/>
      </w:divBdr>
    </w:div>
    <w:div w:id="613949752">
      <w:bodyDiv w:val="1"/>
      <w:marLeft w:val="0"/>
      <w:marRight w:val="0"/>
      <w:marTop w:val="0"/>
      <w:marBottom w:val="0"/>
      <w:divBdr>
        <w:top w:val="none" w:sz="0" w:space="0" w:color="auto"/>
        <w:left w:val="none" w:sz="0" w:space="0" w:color="auto"/>
        <w:bottom w:val="none" w:sz="0" w:space="0" w:color="auto"/>
        <w:right w:val="none" w:sz="0" w:space="0" w:color="auto"/>
      </w:divBdr>
    </w:div>
    <w:div w:id="638193859">
      <w:bodyDiv w:val="1"/>
      <w:marLeft w:val="0"/>
      <w:marRight w:val="0"/>
      <w:marTop w:val="0"/>
      <w:marBottom w:val="0"/>
      <w:divBdr>
        <w:top w:val="none" w:sz="0" w:space="0" w:color="auto"/>
        <w:left w:val="none" w:sz="0" w:space="0" w:color="auto"/>
        <w:bottom w:val="none" w:sz="0" w:space="0" w:color="auto"/>
        <w:right w:val="none" w:sz="0" w:space="0" w:color="auto"/>
      </w:divBdr>
    </w:div>
    <w:div w:id="694578804">
      <w:bodyDiv w:val="1"/>
      <w:marLeft w:val="0"/>
      <w:marRight w:val="0"/>
      <w:marTop w:val="0"/>
      <w:marBottom w:val="0"/>
      <w:divBdr>
        <w:top w:val="none" w:sz="0" w:space="0" w:color="auto"/>
        <w:left w:val="none" w:sz="0" w:space="0" w:color="auto"/>
        <w:bottom w:val="none" w:sz="0" w:space="0" w:color="auto"/>
        <w:right w:val="none" w:sz="0" w:space="0" w:color="auto"/>
      </w:divBdr>
    </w:div>
    <w:div w:id="707024585">
      <w:bodyDiv w:val="1"/>
      <w:marLeft w:val="0"/>
      <w:marRight w:val="0"/>
      <w:marTop w:val="0"/>
      <w:marBottom w:val="0"/>
      <w:divBdr>
        <w:top w:val="none" w:sz="0" w:space="0" w:color="auto"/>
        <w:left w:val="none" w:sz="0" w:space="0" w:color="auto"/>
        <w:bottom w:val="none" w:sz="0" w:space="0" w:color="auto"/>
        <w:right w:val="none" w:sz="0" w:space="0" w:color="auto"/>
      </w:divBdr>
    </w:div>
    <w:div w:id="771782362">
      <w:bodyDiv w:val="1"/>
      <w:marLeft w:val="0"/>
      <w:marRight w:val="0"/>
      <w:marTop w:val="0"/>
      <w:marBottom w:val="0"/>
      <w:divBdr>
        <w:top w:val="none" w:sz="0" w:space="0" w:color="auto"/>
        <w:left w:val="none" w:sz="0" w:space="0" w:color="auto"/>
        <w:bottom w:val="none" w:sz="0" w:space="0" w:color="auto"/>
        <w:right w:val="none" w:sz="0" w:space="0" w:color="auto"/>
      </w:divBdr>
    </w:div>
    <w:div w:id="868642519">
      <w:bodyDiv w:val="1"/>
      <w:marLeft w:val="0"/>
      <w:marRight w:val="0"/>
      <w:marTop w:val="0"/>
      <w:marBottom w:val="0"/>
      <w:divBdr>
        <w:top w:val="none" w:sz="0" w:space="0" w:color="auto"/>
        <w:left w:val="none" w:sz="0" w:space="0" w:color="auto"/>
        <w:bottom w:val="none" w:sz="0" w:space="0" w:color="auto"/>
        <w:right w:val="none" w:sz="0" w:space="0" w:color="auto"/>
      </w:divBdr>
    </w:div>
    <w:div w:id="928268548">
      <w:bodyDiv w:val="1"/>
      <w:marLeft w:val="0"/>
      <w:marRight w:val="0"/>
      <w:marTop w:val="0"/>
      <w:marBottom w:val="0"/>
      <w:divBdr>
        <w:top w:val="none" w:sz="0" w:space="0" w:color="auto"/>
        <w:left w:val="none" w:sz="0" w:space="0" w:color="auto"/>
        <w:bottom w:val="none" w:sz="0" w:space="0" w:color="auto"/>
        <w:right w:val="none" w:sz="0" w:space="0" w:color="auto"/>
      </w:divBdr>
    </w:div>
    <w:div w:id="937058892">
      <w:bodyDiv w:val="1"/>
      <w:marLeft w:val="0"/>
      <w:marRight w:val="0"/>
      <w:marTop w:val="0"/>
      <w:marBottom w:val="0"/>
      <w:divBdr>
        <w:top w:val="none" w:sz="0" w:space="0" w:color="auto"/>
        <w:left w:val="none" w:sz="0" w:space="0" w:color="auto"/>
        <w:bottom w:val="none" w:sz="0" w:space="0" w:color="auto"/>
        <w:right w:val="none" w:sz="0" w:space="0" w:color="auto"/>
      </w:divBdr>
    </w:div>
    <w:div w:id="992611133">
      <w:bodyDiv w:val="1"/>
      <w:marLeft w:val="0"/>
      <w:marRight w:val="0"/>
      <w:marTop w:val="0"/>
      <w:marBottom w:val="0"/>
      <w:divBdr>
        <w:top w:val="none" w:sz="0" w:space="0" w:color="auto"/>
        <w:left w:val="none" w:sz="0" w:space="0" w:color="auto"/>
        <w:bottom w:val="none" w:sz="0" w:space="0" w:color="auto"/>
        <w:right w:val="none" w:sz="0" w:space="0" w:color="auto"/>
      </w:divBdr>
    </w:div>
    <w:div w:id="1032027150">
      <w:bodyDiv w:val="1"/>
      <w:marLeft w:val="0"/>
      <w:marRight w:val="0"/>
      <w:marTop w:val="0"/>
      <w:marBottom w:val="0"/>
      <w:divBdr>
        <w:top w:val="none" w:sz="0" w:space="0" w:color="auto"/>
        <w:left w:val="none" w:sz="0" w:space="0" w:color="auto"/>
        <w:bottom w:val="none" w:sz="0" w:space="0" w:color="auto"/>
        <w:right w:val="none" w:sz="0" w:space="0" w:color="auto"/>
      </w:divBdr>
    </w:div>
    <w:div w:id="1047602309">
      <w:bodyDiv w:val="1"/>
      <w:marLeft w:val="0"/>
      <w:marRight w:val="0"/>
      <w:marTop w:val="0"/>
      <w:marBottom w:val="0"/>
      <w:divBdr>
        <w:top w:val="none" w:sz="0" w:space="0" w:color="auto"/>
        <w:left w:val="none" w:sz="0" w:space="0" w:color="auto"/>
        <w:bottom w:val="none" w:sz="0" w:space="0" w:color="auto"/>
        <w:right w:val="none" w:sz="0" w:space="0" w:color="auto"/>
      </w:divBdr>
    </w:div>
    <w:div w:id="1110588108">
      <w:bodyDiv w:val="1"/>
      <w:marLeft w:val="0"/>
      <w:marRight w:val="0"/>
      <w:marTop w:val="0"/>
      <w:marBottom w:val="0"/>
      <w:divBdr>
        <w:top w:val="none" w:sz="0" w:space="0" w:color="auto"/>
        <w:left w:val="none" w:sz="0" w:space="0" w:color="auto"/>
        <w:bottom w:val="none" w:sz="0" w:space="0" w:color="auto"/>
        <w:right w:val="none" w:sz="0" w:space="0" w:color="auto"/>
      </w:divBdr>
    </w:div>
    <w:div w:id="1141726903">
      <w:bodyDiv w:val="1"/>
      <w:marLeft w:val="0"/>
      <w:marRight w:val="0"/>
      <w:marTop w:val="0"/>
      <w:marBottom w:val="0"/>
      <w:divBdr>
        <w:top w:val="none" w:sz="0" w:space="0" w:color="auto"/>
        <w:left w:val="none" w:sz="0" w:space="0" w:color="auto"/>
        <w:bottom w:val="none" w:sz="0" w:space="0" w:color="auto"/>
        <w:right w:val="none" w:sz="0" w:space="0" w:color="auto"/>
      </w:divBdr>
    </w:div>
    <w:div w:id="1160340987">
      <w:bodyDiv w:val="1"/>
      <w:marLeft w:val="0"/>
      <w:marRight w:val="0"/>
      <w:marTop w:val="0"/>
      <w:marBottom w:val="0"/>
      <w:divBdr>
        <w:top w:val="none" w:sz="0" w:space="0" w:color="auto"/>
        <w:left w:val="none" w:sz="0" w:space="0" w:color="auto"/>
        <w:bottom w:val="none" w:sz="0" w:space="0" w:color="auto"/>
        <w:right w:val="none" w:sz="0" w:space="0" w:color="auto"/>
      </w:divBdr>
    </w:div>
    <w:div w:id="1322809894">
      <w:bodyDiv w:val="1"/>
      <w:marLeft w:val="0"/>
      <w:marRight w:val="0"/>
      <w:marTop w:val="0"/>
      <w:marBottom w:val="0"/>
      <w:divBdr>
        <w:top w:val="none" w:sz="0" w:space="0" w:color="auto"/>
        <w:left w:val="none" w:sz="0" w:space="0" w:color="auto"/>
        <w:bottom w:val="none" w:sz="0" w:space="0" w:color="auto"/>
        <w:right w:val="none" w:sz="0" w:space="0" w:color="auto"/>
      </w:divBdr>
    </w:div>
    <w:div w:id="1328171688">
      <w:bodyDiv w:val="1"/>
      <w:marLeft w:val="0"/>
      <w:marRight w:val="0"/>
      <w:marTop w:val="0"/>
      <w:marBottom w:val="0"/>
      <w:divBdr>
        <w:top w:val="none" w:sz="0" w:space="0" w:color="auto"/>
        <w:left w:val="none" w:sz="0" w:space="0" w:color="auto"/>
        <w:bottom w:val="none" w:sz="0" w:space="0" w:color="auto"/>
        <w:right w:val="none" w:sz="0" w:space="0" w:color="auto"/>
      </w:divBdr>
    </w:div>
    <w:div w:id="1351565815">
      <w:bodyDiv w:val="1"/>
      <w:marLeft w:val="0"/>
      <w:marRight w:val="0"/>
      <w:marTop w:val="0"/>
      <w:marBottom w:val="0"/>
      <w:divBdr>
        <w:top w:val="none" w:sz="0" w:space="0" w:color="auto"/>
        <w:left w:val="none" w:sz="0" w:space="0" w:color="auto"/>
        <w:bottom w:val="none" w:sz="0" w:space="0" w:color="auto"/>
        <w:right w:val="none" w:sz="0" w:space="0" w:color="auto"/>
      </w:divBdr>
    </w:div>
    <w:div w:id="1355107436">
      <w:bodyDiv w:val="1"/>
      <w:marLeft w:val="0"/>
      <w:marRight w:val="0"/>
      <w:marTop w:val="0"/>
      <w:marBottom w:val="0"/>
      <w:divBdr>
        <w:top w:val="none" w:sz="0" w:space="0" w:color="auto"/>
        <w:left w:val="none" w:sz="0" w:space="0" w:color="auto"/>
        <w:bottom w:val="none" w:sz="0" w:space="0" w:color="auto"/>
        <w:right w:val="none" w:sz="0" w:space="0" w:color="auto"/>
      </w:divBdr>
    </w:div>
    <w:div w:id="1360936518">
      <w:bodyDiv w:val="1"/>
      <w:marLeft w:val="0"/>
      <w:marRight w:val="0"/>
      <w:marTop w:val="0"/>
      <w:marBottom w:val="0"/>
      <w:divBdr>
        <w:top w:val="none" w:sz="0" w:space="0" w:color="auto"/>
        <w:left w:val="none" w:sz="0" w:space="0" w:color="auto"/>
        <w:bottom w:val="none" w:sz="0" w:space="0" w:color="auto"/>
        <w:right w:val="none" w:sz="0" w:space="0" w:color="auto"/>
      </w:divBdr>
    </w:div>
    <w:div w:id="1375352364">
      <w:bodyDiv w:val="1"/>
      <w:marLeft w:val="0"/>
      <w:marRight w:val="0"/>
      <w:marTop w:val="0"/>
      <w:marBottom w:val="0"/>
      <w:divBdr>
        <w:top w:val="none" w:sz="0" w:space="0" w:color="auto"/>
        <w:left w:val="none" w:sz="0" w:space="0" w:color="auto"/>
        <w:bottom w:val="none" w:sz="0" w:space="0" w:color="auto"/>
        <w:right w:val="none" w:sz="0" w:space="0" w:color="auto"/>
      </w:divBdr>
    </w:div>
    <w:div w:id="1467162531">
      <w:bodyDiv w:val="1"/>
      <w:marLeft w:val="0"/>
      <w:marRight w:val="0"/>
      <w:marTop w:val="0"/>
      <w:marBottom w:val="0"/>
      <w:divBdr>
        <w:top w:val="none" w:sz="0" w:space="0" w:color="auto"/>
        <w:left w:val="none" w:sz="0" w:space="0" w:color="auto"/>
        <w:bottom w:val="none" w:sz="0" w:space="0" w:color="auto"/>
        <w:right w:val="none" w:sz="0" w:space="0" w:color="auto"/>
      </w:divBdr>
    </w:div>
    <w:div w:id="1508402324">
      <w:bodyDiv w:val="1"/>
      <w:marLeft w:val="0"/>
      <w:marRight w:val="0"/>
      <w:marTop w:val="0"/>
      <w:marBottom w:val="0"/>
      <w:divBdr>
        <w:top w:val="none" w:sz="0" w:space="0" w:color="auto"/>
        <w:left w:val="none" w:sz="0" w:space="0" w:color="auto"/>
        <w:bottom w:val="none" w:sz="0" w:space="0" w:color="auto"/>
        <w:right w:val="none" w:sz="0" w:space="0" w:color="auto"/>
      </w:divBdr>
    </w:div>
    <w:div w:id="1560507641">
      <w:bodyDiv w:val="1"/>
      <w:marLeft w:val="0"/>
      <w:marRight w:val="0"/>
      <w:marTop w:val="0"/>
      <w:marBottom w:val="0"/>
      <w:divBdr>
        <w:top w:val="none" w:sz="0" w:space="0" w:color="auto"/>
        <w:left w:val="none" w:sz="0" w:space="0" w:color="auto"/>
        <w:bottom w:val="none" w:sz="0" w:space="0" w:color="auto"/>
        <w:right w:val="none" w:sz="0" w:space="0" w:color="auto"/>
      </w:divBdr>
    </w:div>
    <w:div w:id="1643383911">
      <w:bodyDiv w:val="1"/>
      <w:marLeft w:val="0"/>
      <w:marRight w:val="0"/>
      <w:marTop w:val="0"/>
      <w:marBottom w:val="0"/>
      <w:divBdr>
        <w:top w:val="none" w:sz="0" w:space="0" w:color="auto"/>
        <w:left w:val="none" w:sz="0" w:space="0" w:color="auto"/>
        <w:bottom w:val="none" w:sz="0" w:space="0" w:color="auto"/>
        <w:right w:val="none" w:sz="0" w:space="0" w:color="auto"/>
      </w:divBdr>
    </w:div>
    <w:div w:id="1652446640">
      <w:bodyDiv w:val="1"/>
      <w:marLeft w:val="0"/>
      <w:marRight w:val="0"/>
      <w:marTop w:val="0"/>
      <w:marBottom w:val="0"/>
      <w:divBdr>
        <w:top w:val="none" w:sz="0" w:space="0" w:color="auto"/>
        <w:left w:val="none" w:sz="0" w:space="0" w:color="auto"/>
        <w:bottom w:val="none" w:sz="0" w:space="0" w:color="auto"/>
        <w:right w:val="none" w:sz="0" w:space="0" w:color="auto"/>
      </w:divBdr>
    </w:div>
    <w:div w:id="1689913289">
      <w:bodyDiv w:val="1"/>
      <w:marLeft w:val="0"/>
      <w:marRight w:val="0"/>
      <w:marTop w:val="0"/>
      <w:marBottom w:val="0"/>
      <w:divBdr>
        <w:top w:val="none" w:sz="0" w:space="0" w:color="auto"/>
        <w:left w:val="none" w:sz="0" w:space="0" w:color="auto"/>
        <w:bottom w:val="none" w:sz="0" w:space="0" w:color="auto"/>
        <w:right w:val="none" w:sz="0" w:space="0" w:color="auto"/>
      </w:divBdr>
    </w:div>
    <w:div w:id="1700743876">
      <w:bodyDiv w:val="1"/>
      <w:marLeft w:val="0"/>
      <w:marRight w:val="0"/>
      <w:marTop w:val="0"/>
      <w:marBottom w:val="0"/>
      <w:divBdr>
        <w:top w:val="none" w:sz="0" w:space="0" w:color="auto"/>
        <w:left w:val="none" w:sz="0" w:space="0" w:color="auto"/>
        <w:bottom w:val="none" w:sz="0" w:space="0" w:color="auto"/>
        <w:right w:val="none" w:sz="0" w:space="0" w:color="auto"/>
      </w:divBdr>
    </w:div>
    <w:div w:id="1720786887">
      <w:bodyDiv w:val="1"/>
      <w:marLeft w:val="0"/>
      <w:marRight w:val="0"/>
      <w:marTop w:val="0"/>
      <w:marBottom w:val="0"/>
      <w:divBdr>
        <w:top w:val="none" w:sz="0" w:space="0" w:color="auto"/>
        <w:left w:val="none" w:sz="0" w:space="0" w:color="auto"/>
        <w:bottom w:val="none" w:sz="0" w:space="0" w:color="auto"/>
        <w:right w:val="none" w:sz="0" w:space="0" w:color="auto"/>
      </w:divBdr>
    </w:div>
    <w:div w:id="1772165557">
      <w:bodyDiv w:val="1"/>
      <w:marLeft w:val="0"/>
      <w:marRight w:val="0"/>
      <w:marTop w:val="0"/>
      <w:marBottom w:val="0"/>
      <w:divBdr>
        <w:top w:val="none" w:sz="0" w:space="0" w:color="auto"/>
        <w:left w:val="none" w:sz="0" w:space="0" w:color="auto"/>
        <w:bottom w:val="none" w:sz="0" w:space="0" w:color="auto"/>
        <w:right w:val="none" w:sz="0" w:space="0" w:color="auto"/>
      </w:divBdr>
    </w:div>
    <w:div w:id="1964579495">
      <w:bodyDiv w:val="1"/>
      <w:marLeft w:val="0"/>
      <w:marRight w:val="0"/>
      <w:marTop w:val="0"/>
      <w:marBottom w:val="0"/>
      <w:divBdr>
        <w:top w:val="none" w:sz="0" w:space="0" w:color="auto"/>
        <w:left w:val="none" w:sz="0" w:space="0" w:color="auto"/>
        <w:bottom w:val="none" w:sz="0" w:space="0" w:color="auto"/>
        <w:right w:val="none" w:sz="0" w:space="0" w:color="auto"/>
      </w:divBdr>
    </w:div>
    <w:div w:id="1974820690">
      <w:bodyDiv w:val="1"/>
      <w:marLeft w:val="0"/>
      <w:marRight w:val="0"/>
      <w:marTop w:val="0"/>
      <w:marBottom w:val="0"/>
      <w:divBdr>
        <w:top w:val="none" w:sz="0" w:space="0" w:color="auto"/>
        <w:left w:val="none" w:sz="0" w:space="0" w:color="auto"/>
        <w:bottom w:val="none" w:sz="0" w:space="0" w:color="auto"/>
        <w:right w:val="none" w:sz="0" w:space="0" w:color="auto"/>
      </w:divBdr>
    </w:div>
    <w:div w:id="1976135988">
      <w:bodyDiv w:val="1"/>
      <w:marLeft w:val="0"/>
      <w:marRight w:val="0"/>
      <w:marTop w:val="0"/>
      <w:marBottom w:val="0"/>
      <w:divBdr>
        <w:top w:val="none" w:sz="0" w:space="0" w:color="auto"/>
        <w:left w:val="none" w:sz="0" w:space="0" w:color="auto"/>
        <w:bottom w:val="none" w:sz="0" w:space="0" w:color="auto"/>
        <w:right w:val="none" w:sz="0" w:space="0" w:color="auto"/>
      </w:divBdr>
    </w:div>
    <w:div w:id="20188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atatracker.ietf.org/doc/statement-iab-response-to-the-ohchr-call-for-input-on-the-relationship-between-human-rights-and-technical-standard/00/pdf/" TargetMode="External"/><Relationship Id="rId3" Type="http://schemas.openxmlformats.org/officeDocument/2006/relationships/hyperlink" Target="https://standards.ieee.org/ieee/7000/6781/" TargetMode="External"/><Relationship Id="rId7" Type="http://schemas.openxmlformats.org/officeDocument/2006/relationships/hyperlink" Target="https://datatracker.ietf.org/doc/html/draft-martini-hrpc-quichr-00" TargetMode="External"/><Relationship Id="rId2" Type="http://schemas.openxmlformats.org/officeDocument/2006/relationships/hyperlink" Target="https://standards.ieee.org/wp-content/uploads/import/documents/other/ead_v2.pdf" TargetMode="External"/><Relationship Id="rId1" Type="http://schemas.openxmlformats.org/officeDocument/2006/relationships/hyperlink" Target="https://www.itu.int/md/T25-TSAG-C-0019/en" TargetMode="External"/><Relationship Id="rId6" Type="http://schemas.openxmlformats.org/officeDocument/2006/relationships/hyperlink" Target="https://www.wto.org/english/res_e/publications_e/tbt10keys2024_e.htm" TargetMode="External"/><Relationship Id="rId5" Type="http://schemas.openxmlformats.org/officeDocument/2006/relationships/hyperlink" Target="https://standards.ieee.org/products-programs/icap/ieee-certifaied/professional-certification/" TargetMode="External"/><Relationship Id="rId10" Type="http://schemas.openxmlformats.org/officeDocument/2006/relationships/hyperlink" Target="https://www.coe.int/en/web/artificial-intelligence/huderia-risk-and-impact-assessment-of-ai-systems" TargetMode="External"/><Relationship Id="rId4" Type="http://schemas.openxmlformats.org/officeDocument/2006/relationships/hyperlink" Target="https://standards.ieee.org/industry-connections/activities/ieee-global-initiative/" TargetMode="External"/><Relationship Id="rId9" Type="http://schemas.openxmlformats.org/officeDocument/2006/relationships/hyperlink" Target="https://portal.etsi.org/directives/50_ETSI_directives_dec_202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de00b352c05b58cef17abb3499389e64">
  <xsd:schema xmlns:xsd="http://www.w3.org/2001/XMLSchema" xmlns:xs="http://www.w3.org/2001/XMLSchema" xmlns:p="http://schemas.microsoft.com/office/2006/metadata/properties" xmlns:ns2="81665285-f1bb-4675-b7f4-28c4ccc980a7" targetNamespace="http://schemas.microsoft.com/office/2006/metadata/properties" ma:root="true" ma:fieldsID="b8e52e1c64bb159f512eb49ac7e5cabf"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564D2-4A63-44F3-BB0F-56D301A19F1F}">
  <ds:schemaRefs>
    <ds:schemaRef ds:uri="http://schemas.openxmlformats.org/officeDocument/2006/bibliography"/>
  </ds:schemaRefs>
</ds:datastoreItem>
</file>

<file path=customXml/itemProps2.xml><?xml version="1.0" encoding="utf-8"?>
<ds:datastoreItem xmlns:ds="http://schemas.openxmlformats.org/officeDocument/2006/customXml" ds:itemID="{ADC2C758-11A7-4EF1-BF9E-6B57E5822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2C8A5-09B6-4DDA-82A5-4043A11B1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20C0EC-9581-4DD4-85CB-DBE7F26C2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4760</Words>
  <Characters>28037</Characters>
  <Application>Microsoft Office Word</Application>
  <DocSecurity>0</DocSecurity>
  <Lines>801</Lines>
  <Paragraphs>520</Paragraphs>
  <ScaleCrop>false</ScaleCrop>
  <Manager>ITU-T</Manager>
  <Company>International Telecommunication Union (ITU)</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Alais</dc:creator>
  <cp:keywords/>
  <dc:description>TSAG-TD259  For: Geneva, 26-30 January 2026_x000d_Document date: _x000d_Saved by ITU51017913 at 4:12:06 PM on 12/10/2025</dc:description>
  <cp:lastModifiedBy>TSB</cp:lastModifiedBy>
  <cp:revision>4</cp:revision>
  <cp:lastPrinted>2025-09-26T07:25:00Z</cp:lastPrinted>
  <dcterms:created xsi:type="dcterms:W3CDTF">2025-12-10T15:28:00Z</dcterms:created>
  <dcterms:modified xsi:type="dcterms:W3CDTF">2025-12-10T15:28:00Z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TSAG-TD259</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Geneva, 26-30 January 2026</vt:lpwstr>
  </property>
  <property fmtid="{D5CDD505-2E9C-101B-9397-08002B2CF9AE}" pid="7" name="Docauthor">
    <vt:lpwstr/>
  </property>
  <property fmtid="{D5CDD505-2E9C-101B-9397-08002B2CF9AE}" pid="8" name="ContentTypeId">
    <vt:lpwstr>0x010100A77651819BF4BD4A99FFF36FD7E4E96D</vt:lpwstr>
  </property>
</Properties>
</file>