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455"/>
        <w:gridCol w:w="30"/>
        <w:gridCol w:w="510"/>
        <w:gridCol w:w="3118"/>
        <w:gridCol w:w="368"/>
        <w:gridCol w:w="4026"/>
      </w:tblGrid>
      <w:tr w:rsidR="0029296C" w:rsidRPr="0029296C" w14:paraId="5B74DF21" w14:textId="77777777" w:rsidTr="0029296C">
        <w:trPr>
          <w:cantSplit/>
        </w:trPr>
        <w:tc>
          <w:tcPr>
            <w:tcW w:w="1132" w:type="dxa"/>
            <w:vMerge w:val="restart"/>
            <w:vAlign w:val="center"/>
          </w:tcPr>
          <w:p w14:paraId="4D64CD7A" w14:textId="77777777" w:rsidR="0029296C" w:rsidRPr="0029296C" w:rsidRDefault="0029296C" w:rsidP="0029296C">
            <w:pPr>
              <w:spacing w:before="0"/>
              <w:jc w:val="center"/>
              <w:rPr>
                <w:sz w:val="20"/>
                <w:szCs w:val="20"/>
              </w:rPr>
            </w:pPr>
            <w:bookmarkStart w:id="0" w:name="dnum" w:colFirst="2" w:colLast="2"/>
            <w:bookmarkStart w:id="1" w:name="dtableau"/>
            <w:r w:rsidRPr="0029296C">
              <w:rPr>
                <w:noProof/>
              </w:rPr>
              <w:drawing>
                <wp:inline distT="0" distB="0" distL="0" distR="0" wp14:anchorId="2019C637" wp14:editId="17D5E980">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0">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5"/>
            <w:vMerge w:val="restart"/>
          </w:tcPr>
          <w:p w14:paraId="2F2B8F2C" w14:textId="77777777" w:rsidR="0029296C" w:rsidRPr="0029296C" w:rsidRDefault="0029296C" w:rsidP="0029296C">
            <w:pPr>
              <w:rPr>
                <w:sz w:val="16"/>
                <w:szCs w:val="16"/>
              </w:rPr>
            </w:pPr>
            <w:r w:rsidRPr="0029296C">
              <w:rPr>
                <w:sz w:val="16"/>
                <w:szCs w:val="16"/>
              </w:rPr>
              <w:t>INTERNATIONAL TELECOMMUNICATION UNION</w:t>
            </w:r>
          </w:p>
          <w:p w14:paraId="35205A42" w14:textId="77777777" w:rsidR="0029296C" w:rsidRPr="0029296C" w:rsidRDefault="0029296C" w:rsidP="0029296C">
            <w:pPr>
              <w:rPr>
                <w:b/>
                <w:bCs/>
                <w:sz w:val="26"/>
                <w:szCs w:val="26"/>
              </w:rPr>
            </w:pPr>
            <w:r w:rsidRPr="0029296C">
              <w:rPr>
                <w:b/>
                <w:bCs/>
                <w:sz w:val="26"/>
                <w:szCs w:val="26"/>
              </w:rPr>
              <w:t>TELECOMMUNICATION</w:t>
            </w:r>
            <w:r w:rsidRPr="0029296C">
              <w:rPr>
                <w:b/>
                <w:bCs/>
                <w:sz w:val="26"/>
                <w:szCs w:val="26"/>
              </w:rPr>
              <w:br/>
              <w:t>STANDARDIZATION SECTOR</w:t>
            </w:r>
          </w:p>
          <w:p w14:paraId="3533768F" w14:textId="4DF2472E" w:rsidR="0029296C" w:rsidRPr="0029296C" w:rsidRDefault="0029296C" w:rsidP="0029296C">
            <w:pPr>
              <w:rPr>
                <w:sz w:val="20"/>
                <w:szCs w:val="20"/>
              </w:rPr>
            </w:pPr>
            <w:r w:rsidRPr="0029296C">
              <w:rPr>
                <w:sz w:val="20"/>
                <w:szCs w:val="20"/>
              </w:rPr>
              <w:t xml:space="preserve">STUDY PERIOD </w:t>
            </w:r>
            <w:r>
              <w:rPr>
                <w:sz w:val="20"/>
              </w:rPr>
              <w:t>2025-2028</w:t>
            </w:r>
          </w:p>
        </w:tc>
        <w:tc>
          <w:tcPr>
            <w:tcW w:w="4026" w:type="dxa"/>
            <w:vAlign w:val="center"/>
          </w:tcPr>
          <w:p w14:paraId="12582AF6" w14:textId="7F7C0AFF" w:rsidR="0029296C" w:rsidRPr="0029296C" w:rsidRDefault="0029296C" w:rsidP="0029296C">
            <w:pPr>
              <w:pStyle w:val="Docnumber"/>
            </w:pPr>
            <w:r>
              <w:t>TSAG-TD246</w:t>
            </w:r>
          </w:p>
        </w:tc>
      </w:tr>
      <w:tr w:rsidR="0029296C" w:rsidRPr="0029296C" w14:paraId="1193518F" w14:textId="77777777" w:rsidTr="0029296C">
        <w:trPr>
          <w:cantSplit/>
        </w:trPr>
        <w:tc>
          <w:tcPr>
            <w:tcW w:w="1132" w:type="dxa"/>
            <w:vMerge/>
          </w:tcPr>
          <w:p w14:paraId="2DA0E4EF" w14:textId="77777777" w:rsidR="0029296C" w:rsidRPr="0029296C" w:rsidRDefault="0029296C" w:rsidP="0029296C">
            <w:pPr>
              <w:rPr>
                <w:smallCaps/>
                <w:sz w:val="20"/>
              </w:rPr>
            </w:pPr>
            <w:bookmarkStart w:id="2" w:name="dsg" w:colFirst="2" w:colLast="2"/>
            <w:bookmarkEnd w:id="0"/>
          </w:p>
        </w:tc>
        <w:tc>
          <w:tcPr>
            <w:tcW w:w="4481" w:type="dxa"/>
            <w:gridSpan w:val="5"/>
            <w:vMerge/>
          </w:tcPr>
          <w:p w14:paraId="107B668A" w14:textId="77777777" w:rsidR="0029296C" w:rsidRPr="0029296C" w:rsidRDefault="0029296C" w:rsidP="0029296C">
            <w:pPr>
              <w:rPr>
                <w:smallCaps/>
                <w:sz w:val="20"/>
              </w:rPr>
            </w:pPr>
          </w:p>
        </w:tc>
        <w:tc>
          <w:tcPr>
            <w:tcW w:w="4026" w:type="dxa"/>
          </w:tcPr>
          <w:p w14:paraId="69197B12" w14:textId="200BCB1E" w:rsidR="0029296C" w:rsidRPr="0029296C" w:rsidRDefault="0029296C" w:rsidP="0029296C">
            <w:pPr>
              <w:pStyle w:val="TSBHeaderRight14"/>
              <w:rPr>
                <w:smallCaps/>
              </w:rPr>
            </w:pPr>
            <w:r>
              <w:rPr>
                <w:smallCaps/>
              </w:rPr>
              <w:t>TSAG</w:t>
            </w:r>
          </w:p>
        </w:tc>
      </w:tr>
      <w:bookmarkEnd w:id="2"/>
      <w:tr w:rsidR="0029296C" w:rsidRPr="0029296C" w14:paraId="1504D51D" w14:textId="77777777" w:rsidTr="0029296C">
        <w:trPr>
          <w:cantSplit/>
        </w:trPr>
        <w:tc>
          <w:tcPr>
            <w:tcW w:w="1132" w:type="dxa"/>
            <w:vMerge/>
            <w:tcBorders>
              <w:bottom w:val="single" w:sz="12" w:space="0" w:color="auto"/>
            </w:tcBorders>
          </w:tcPr>
          <w:p w14:paraId="5BACA3A1" w14:textId="77777777" w:rsidR="0029296C" w:rsidRPr="0029296C" w:rsidRDefault="0029296C" w:rsidP="0029296C">
            <w:pPr>
              <w:rPr>
                <w:b/>
                <w:bCs/>
                <w:sz w:val="26"/>
              </w:rPr>
            </w:pPr>
          </w:p>
        </w:tc>
        <w:tc>
          <w:tcPr>
            <w:tcW w:w="4481" w:type="dxa"/>
            <w:gridSpan w:val="5"/>
            <w:vMerge/>
            <w:tcBorders>
              <w:bottom w:val="single" w:sz="12" w:space="0" w:color="auto"/>
            </w:tcBorders>
          </w:tcPr>
          <w:p w14:paraId="090E38AD" w14:textId="77777777" w:rsidR="0029296C" w:rsidRPr="0029296C" w:rsidRDefault="0029296C" w:rsidP="0029296C">
            <w:pPr>
              <w:rPr>
                <w:b/>
                <w:bCs/>
                <w:sz w:val="26"/>
              </w:rPr>
            </w:pPr>
          </w:p>
        </w:tc>
        <w:tc>
          <w:tcPr>
            <w:tcW w:w="4026" w:type="dxa"/>
            <w:tcBorders>
              <w:bottom w:val="single" w:sz="12" w:space="0" w:color="auto"/>
            </w:tcBorders>
            <w:vAlign w:val="center"/>
          </w:tcPr>
          <w:p w14:paraId="01A0E885" w14:textId="77777777" w:rsidR="0029296C" w:rsidRPr="0029296C" w:rsidRDefault="0029296C" w:rsidP="0029296C">
            <w:pPr>
              <w:pStyle w:val="TSBHeaderRight14"/>
            </w:pPr>
            <w:r w:rsidRPr="0029296C">
              <w:t>Original: English</w:t>
            </w:r>
          </w:p>
        </w:tc>
      </w:tr>
      <w:tr w:rsidR="0029296C" w:rsidRPr="0029296C" w14:paraId="641C76AE" w14:textId="77777777" w:rsidTr="0029296C">
        <w:trPr>
          <w:cantSplit/>
        </w:trPr>
        <w:tc>
          <w:tcPr>
            <w:tcW w:w="1587" w:type="dxa"/>
            <w:gridSpan w:val="2"/>
          </w:tcPr>
          <w:p w14:paraId="7570861C" w14:textId="4DE59A74" w:rsidR="0029296C" w:rsidRPr="0029296C" w:rsidRDefault="0029296C" w:rsidP="0029296C">
            <w:pPr>
              <w:rPr>
                <w:b/>
                <w:bCs/>
              </w:rPr>
            </w:pPr>
            <w:bookmarkStart w:id="3" w:name="dbluepink" w:colFirst="1" w:colLast="1"/>
            <w:bookmarkStart w:id="4" w:name="dmeeting" w:colFirst="2" w:colLast="2"/>
          </w:p>
        </w:tc>
        <w:tc>
          <w:tcPr>
            <w:tcW w:w="4026" w:type="dxa"/>
            <w:gridSpan w:val="4"/>
          </w:tcPr>
          <w:p w14:paraId="78D5DDF0" w14:textId="7F7BDD4C" w:rsidR="0029296C" w:rsidRPr="0029296C" w:rsidRDefault="0029296C" w:rsidP="0029296C">
            <w:pPr>
              <w:pStyle w:val="TSBHeaderQuestion"/>
            </w:pPr>
          </w:p>
        </w:tc>
        <w:tc>
          <w:tcPr>
            <w:tcW w:w="4026" w:type="dxa"/>
          </w:tcPr>
          <w:p w14:paraId="3FB028DD" w14:textId="380A67DB" w:rsidR="0029296C" w:rsidRPr="0029296C" w:rsidRDefault="0029296C" w:rsidP="0029296C">
            <w:pPr>
              <w:pStyle w:val="VenueDate"/>
            </w:pPr>
            <w:r w:rsidRPr="0029296C">
              <w:t>Geneva, 26-30 January 2026</w:t>
            </w:r>
          </w:p>
        </w:tc>
      </w:tr>
      <w:tr w:rsidR="0029296C" w:rsidRPr="0029296C" w14:paraId="6C04A7C6" w14:textId="77777777" w:rsidTr="005F7827">
        <w:trPr>
          <w:cantSplit/>
        </w:trPr>
        <w:tc>
          <w:tcPr>
            <w:tcW w:w="9639" w:type="dxa"/>
            <w:gridSpan w:val="7"/>
          </w:tcPr>
          <w:p w14:paraId="27A46673" w14:textId="77777777" w:rsidR="0029296C" w:rsidRPr="0029296C" w:rsidRDefault="0029296C" w:rsidP="0029296C">
            <w:pPr>
              <w:jc w:val="center"/>
              <w:rPr>
                <w:b/>
                <w:bCs/>
              </w:rPr>
            </w:pPr>
            <w:bookmarkStart w:id="5" w:name="ddoctype"/>
            <w:bookmarkEnd w:id="3"/>
            <w:bookmarkEnd w:id="4"/>
            <w:r w:rsidRPr="0029296C">
              <w:rPr>
                <w:b/>
                <w:bCs/>
              </w:rPr>
              <w:t>TD</w:t>
            </w:r>
          </w:p>
          <w:p w14:paraId="3301ED98" w14:textId="6C0E8B94" w:rsidR="0029296C" w:rsidRPr="0029296C" w:rsidRDefault="0029296C" w:rsidP="005452E0">
            <w:pPr>
              <w:spacing w:before="0"/>
              <w:jc w:val="center"/>
              <w:rPr>
                <w:b/>
                <w:bCs/>
              </w:rPr>
            </w:pPr>
            <w:r w:rsidRPr="0029296C">
              <w:rPr>
                <w:b/>
                <w:bCs/>
              </w:rPr>
              <w:t xml:space="preserve">(Ref.: </w:t>
            </w:r>
            <w:hyperlink r:id="rId11" w:history="1">
              <w:r w:rsidR="005452E0" w:rsidRPr="005452E0">
                <w:rPr>
                  <w:rStyle w:val="Hyperlink"/>
                  <w:b/>
                  <w:bCs/>
                </w:rPr>
                <w:t>SG21-LS156</w:t>
              </w:r>
            </w:hyperlink>
            <w:r w:rsidRPr="0029296C">
              <w:rPr>
                <w:b/>
                <w:bCs/>
              </w:rPr>
              <w:t>)</w:t>
            </w:r>
          </w:p>
        </w:tc>
      </w:tr>
      <w:tr w:rsidR="0029296C" w:rsidRPr="0029296C" w14:paraId="0D46E42A" w14:textId="77777777" w:rsidTr="0029296C">
        <w:trPr>
          <w:cantSplit/>
        </w:trPr>
        <w:tc>
          <w:tcPr>
            <w:tcW w:w="1587" w:type="dxa"/>
            <w:gridSpan w:val="2"/>
          </w:tcPr>
          <w:p w14:paraId="09A542AE" w14:textId="77777777" w:rsidR="0029296C" w:rsidRPr="0029296C" w:rsidRDefault="0029296C" w:rsidP="0029296C">
            <w:pPr>
              <w:rPr>
                <w:b/>
                <w:bCs/>
              </w:rPr>
            </w:pPr>
            <w:bookmarkStart w:id="6" w:name="dsource" w:colFirst="1" w:colLast="1"/>
            <w:bookmarkEnd w:id="5"/>
            <w:r w:rsidRPr="0029296C">
              <w:rPr>
                <w:b/>
                <w:bCs/>
              </w:rPr>
              <w:t>Source:</w:t>
            </w:r>
          </w:p>
        </w:tc>
        <w:tc>
          <w:tcPr>
            <w:tcW w:w="8052" w:type="dxa"/>
            <w:gridSpan w:val="5"/>
          </w:tcPr>
          <w:p w14:paraId="23FBC87B" w14:textId="023F17D3" w:rsidR="0029296C" w:rsidRPr="0029296C" w:rsidRDefault="0029296C" w:rsidP="0029296C">
            <w:pPr>
              <w:pStyle w:val="TSBHeaderSource"/>
            </w:pPr>
            <w:r w:rsidRPr="0029296C">
              <w:t>ITU-T Study Group 21</w:t>
            </w:r>
          </w:p>
        </w:tc>
      </w:tr>
      <w:tr w:rsidR="0029296C" w:rsidRPr="0029296C" w14:paraId="6ABAECC2" w14:textId="77777777" w:rsidTr="0029296C">
        <w:trPr>
          <w:cantSplit/>
        </w:trPr>
        <w:tc>
          <w:tcPr>
            <w:tcW w:w="1587" w:type="dxa"/>
            <w:gridSpan w:val="2"/>
            <w:tcBorders>
              <w:bottom w:val="single" w:sz="8" w:space="0" w:color="auto"/>
            </w:tcBorders>
          </w:tcPr>
          <w:p w14:paraId="73ABCBB0" w14:textId="77777777" w:rsidR="0029296C" w:rsidRPr="0029296C" w:rsidRDefault="0029296C" w:rsidP="0029296C">
            <w:pPr>
              <w:rPr>
                <w:b/>
                <w:bCs/>
              </w:rPr>
            </w:pPr>
            <w:bookmarkStart w:id="7" w:name="dtitle1" w:colFirst="1" w:colLast="1"/>
            <w:bookmarkEnd w:id="6"/>
            <w:r w:rsidRPr="0029296C">
              <w:rPr>
                <w:b/>
                <w:bCs/>
              </w:rPr>
              <w:t>Title:</w:t>
            </w:r>
          </w:p>
        </w:tc>
        <w:tc>
          <w:tcPr>
            <w:tcW w:w="8052" w:type="dxa"/>
            <w:gridSpan w:val="5"/>
            <w:tcBorders>
              <w:bottom w:val="single" w:sz="8" w:space="0" w:color="auto"/>
            </w:tcBorders>
          </w:tcPr>
          <w:p w14:paraId="20B21421" w14:textId="50B31E4C" w:rsidR="0029296C" w:rsidRPr="0029296C" w:rsidRDefault="0029296C" w:rsidP="0029296C">
            <w:pPr>
              <w:pStyle w:val="TSBHeaderTitle"/>
            </w:pPr>
            <w:r w:rsidRPr="0029296C">
              <w:t>LS/</w:t>
            </w:r>
            <w:proofErr w:type="spellStart"/>
            <w:r>
              <w:t>i</w:t>
            </w:r>
            <w:proofErr w:type="spellEnd"/>
            <w:r>
              <w:t>/</w:t>
            </w:r>
            <w:r w:rsidRPr="0029296C">
              <w:t>r on lead study group concept (</w:t>
            </w:r>
            <w:r>
              <w:t xml:space="preserve">reply to </w:t>
            </w:r>
            <w:r w:rsidRPr="0029296C">
              <w:t>TSAG-LS4)</w:t>
            </w:r>
            <w:r>
              <w:t xml:space="preserve"> [from ITU-T SG21]</w:t>
            </w:r>
          </w:p>
        </w:tc>
      </w:tr>
      <w:tr w:rsidR="00073387" w:rsidRPr="00073387" w14:paraId="7433FC3E" w14:textId="77777777" w:rsidTr="00F620E9">
        <w:trPr>
          <w:cantSplit/>
          <w:trHeight w:val="357"/>
        </w:trPr>
        <w:tc>
          <w:tcPr>
            <w:tcW w:w="9639" w:type="dxa"/>
            <w:gridSpan w:val="7"/>
            <w:tcBorders>
              <w:top w:val="single" w:sz="12" w:space="0" w:color="auto"/>
            </w:tcBorders>
          </w:tcPr>
          <w:p w14:paraId="5F91B75B" w14:textId="77777777" w:rsidR="00073387" w:rsidRPr="00073387" w:rsidRDefault="00073387" w:rsidP="00073387">
            <w:pPr>
              <w:jc w:val="center"/>
              <w:rPr>
                <w:rFonts w:eastAsia="SimSun"/>
                <w:b/>
                <w:bCs/>
                <w:lang w:val="en-US"/>
              </w:rPr>
            </w:pPr>
            <w:bookmarkStart w:id="8" w:name="_Hlk115806100"/>
            <w:bookmarkEnd w:id="1"/>
            <w:bookmarkEnd w:id="7"/>
            <w:r w:rsidRPr="00073387">
              <w:rPr>
                <w:rFonts w:eastAsia="SimSun"/>
                <w:b/>
                <w:bCs/>
                <w:lang w:val="en-US"/>
              </w:rPr>
              <w:t>LIAISON STATEMENT</w:t>
            </w:r>
          </w:p>
        </w:tc>
      </w:tr>
      <w:tr w:rsidR="00073387" w:rsidRPr="00073387" w14:paraId="0EB8EEDB" w14:textId="77777777" w:rsidTr="00F620E9">
        <w:trPr>
          <w:cantSplit/>
          <w:trHeight w:val="357"/>
        </w:trPr>
        <w:tc>
          <w:tcPr>
            <w:tcW w:w="2127" w:type="dxa"/>
            <w:gridSpan w:val="4"/>
          </w:tcPr>
          <w:p w14:paraId="0960BCBB" w14:textId="77777777" w:rsidR="00073387" w:rsidRPr="00073387" w:rsidRDefault="00073387" w:rsidP="00073387">
            <w:pPr>
              <w:rPr>
                <w:rFonts w:eastAsia="SimSun"/>
                <w:b/>
                <w:bCs/>
                <w:lang w:val="en-US"/>
              </w:rPr>
            </w:pPr>
            <w:r w:rsidRPr="00073387">
              <w:rPr>
                <w:rFonts w:eastAsia="SimSun"/>
                <w:b/>
                <w:bCs/>
                <w:lang w:val="en-US"/>
              </w:rPr>
              <w:t>For action to:</w:t>
            </w:r>
          </w:p>
        </w:tc>
        <w:tc>
          <w:tcPr>
            <w:tcW w:w="7512" w:type="dxa"/>
            <w:gridSpan w:val="3"/>
          </w:tcPr>
          <w:p w14:paraId="5F34FC1E" w14:textId="77777777" w:rsidR="00073387" w:rsidRPr="00073387" w:rsidRDefault="00073387" w:rsidP="00073387">
            <w:pPr>
              <w:rPr>
                <w:rFonts w:eastAsia="MS Mincho"/>
                <w:lang w:val="en-US"/>
              </w:rPr>
            </w:pPr>
            <w:r w:rsidRPr="00073387">
              <w:rPr>
                <w:rFonts w:eastAsia="MS Mincho"/>
                <w:lang w:val="en-US"/>
              </w:rPr>
              <w:t>-</w:t>
            </w:r>
          </w:p>
        </w:tc>
      </w:tr>
      <w:tr w:rsidR="00073387" w:rsidRPr="00073387" w14:paraId="3382A6AB" w14:textId="77777777" w:rsidTr="00F620E9">
        <w:trPr>
          <w:cantSplit/>
          <w:trHeight w:val="357"/>
        </w:trPr>
        <w:tc>
          <w:tcPr>
            <w:tcW w:w="2127" w:type="dxa"/>
            <w:gridSpan w:val="4"/>
          </w:tcPr>
          <w:p w14:paraId="67B006DF" w14:textId="77777777" w:rsidR="00073387" w:rsidRPr="00073387" w:rsidRDefault="00073387" w:rsidP="00073387">
            <w:pPr>
              <w:rPr>
                <w:rFonts w:eastAsia="SimSun"/>
                <w:b/>
                <w:bCs/>
                <w:lang w:val="en-US"/>
              </w:rPr>
            </w:pPr>
            <w:r w:rsidRPr="00073387">
              <w:rPr>
                <w:rFonts w:eastAsia="SimSun"/>
                <w:b/>
                <w:bCs/>
                <w:lang w:val="en-US"/>
              </w:rPr>
              <w:t>For information to:</w:t>
            </w:r>
          </w:p>
        </w:tc>
        <w:tc>
          <w:tcPr>
            <w:tcW w:w="7512" w:type="dxa"/>
            <w:gridSpan w:val="3"/>
          </w:tcPr>
          <w:p w14:paraId="67048581" w14:textId="77777777" w:rsidR="00073387" w:rsidRPr="00073387" w:rsidRDefault="00073387" w:rsidP="00073387">
            <w:pPr>
              <w:rPr>
                <w:rFonts w:eastAsia="MS Mincho"/>
                <w:bCs/>
                <w:lang w:val="en-US"/>
              </w:rPr>
            </w:pPr>
            <w:r w:rsidRPr="00073387">
              <w:rPr>
                <w:rFonts w:eastAsia="MS Mincho"/>
                <w:bCs/>
                <w:lang w:val="en-US"/>
              </w:rPr>
              <w:t>TSAG</w:t>
            </w:r>
          </w:p>
        </w:tc>
      </w:tr>
      <w:tr w:rsidR="00073387" w:rsidRPr="00073387" w14:paraId="2FDD438E" w14:textId="77777777" w:rsidTr="00F620E9">
        <w:trPr>
          <w:cantSplit/>
          <w:trHeight w:val="357"/>
        </w:trPr>
        <w:tc>
          <w:tcPr>
            <w:tcW w:w="2127" w:type="dxa"/>
            <w:gridSpan w:val="4"/>
          </w:tcPr>
          <w:p w14:paraId="3640AAD0" w14:textId="77777777" w:rsidR="00073387" w:rsidRPr="00073387" w:rsidRDefault="00073387" w:rsidP="00073387">
            <w:pPr>
              <w:rPr>
                <w:rFonts w:eastAsia="SimSun"/>
                <w:b/>
                <w:bCs/>
                <w:lang w:val="en-US"/>
              </w:rPr>
            </w:pPr>
            <w:r w:rsidRPr="00073387">
              <w:rPr>
                <w:rFonts w:eastAsia="SimSun"/>
                <w:b/>
                <w:bCs/>
                <w:lang w:val="en-US"/>
              </w:rPr>
              <w:t>Approval:</w:t>
            </w:r>
          </w:p>
        </w:tc>
        <w:tc>
          <w:tcPr>
            <w:tcW w:w="7512" w:type="dxa"/>
            <w:gridSpan w:val="3"/>
          </w:tcPr>
          <w:p w14:paraId="69E5CC58" w14:textId="64FBE31D" w:rsidR="00073387" w:rsidRPr="00073387" w:rsidRDefault="00073387" w:rsidP="00073387">
            <w:pPr>
              <w:rPr>
                <w:rFonts w:eastAsia="SimSun"/>
                <w:bCs/>
                <w:lang w:val="en-US"/>
              </w:rPr>
            </w:pPr>
            <w:r w:rsidRPr="00073387">
              <w:rPr>
                <w:rFonts w:eastAsia="SimSun"/>
                <w:bCs/>
                <w:lang w:val="en-US"/>
              </w:rPr>
              <w:t>ITU-T S</w:t>
            </w:r>
            <w:r w:rsidR="0029296C">
              <w:rPr>
                <w:rFonts w:eastAsia="SimSun"/>
                <w:bCs/>
                <w:lang w:val="en-US"/>
              </w:rPr>
              <w:t xml:space="preserve">tudy </w:t>
            </w:r>
            <w:r w:rsidRPr="00073387">
              <w:rPr>
                <w:rFonts w:eastAsia="SimSun"/>
                <w:bCs/>
                <w:lang w:val="en-US"/>
              </w:rPr>
              <w:t>G</w:t>
            </w:r>
            <w:r w:rsidR="0029296C">
              <w:rPr>
                <w:rFonts w:eastAsia="SimSun"/>
                <w:bCs/>
                <w:lang w:val="en-US"/>
              </w:rPr>
              <w:t xml:space="preserve">roup </w:t>
            </w:r>
            <w:r w:rsidRPr="00073387">
              <w:rPr>
                <w:rFonts w:eastAsia="SimSun"/>
                <w:bCs/>
                <w:lang w:val="en-US"/>
              </w:rPr>
              <w:t>21 meeting (</w:t>
            </w:r>
            <w:r w:rsidRPr="00073387">
              <w:rPr>
                <w:rFonts w:eastAsia="SimSun"/>
                <w:lang w:val="en-US"/>
              </w:rPr>
              <w:t>Geneva, 17 October 2025</w:t>
            </w:r>
            <w:r w:rsidRPr="00073387">
              <w:rPr>
                <w:rFonts w:eastAsia="SimSun"/>
                <w:bCs/>
                <w:lang w:val="en-US"/>
              </w:rPr>
              <w:t>)</w:t>
            </w:r>
          </w:p>
        </w:tc>
      </w:tr>
      <w:tr w:rsidR="00073387" w:rsidRPr="00073387" w14:paraId="05FE1125" w14:textId="77777777" w:rsidTr="00F620E9">
        <w:trPr>
          <w:cantSplit/>
          <w:trHeight w:val="357"/>
        </w:trPr>
        <w:tc>
          <w:tcPr>
            <w:tcW w:w="2127" w:type="dxa"/>
            <w:gridSpan w:val="4"/>
            <w:tcBorders>
              <w:bottom w:val="single" w:sz="12" w:space="0" w:color="auto"/>
            </w:tcBorders>
          </w:tcPr>
          <w:p w14:paraId="56757487" w14:textId="77777777" w:rsidR="00073387" w:rsidRPr="00073387" w:rsidRDefault="00073387" w:rsidP="00073387">
            <w:pPr>
              <w:rPr>
                <w:rFonts w:eastAsia="SimSun"/>
                <w:b/>
                <w:bCs/>
                <w:lang w:val="en-US"/>
              </w:rPr>
            </w:pPr>
            <w:r w:rsidRPr="00073387">
              <w:rPr>
                <w:rFonts w:eastAsia="SimSun"/>
                <w:b/>
                <w:bCs/>
                <w:lang w:val="en-US"/>
              </w:rPr>
              <w:t>Deadline:</w:t>
            </w:r>
          </w:p>
        </w:tc>
        <w:tc>
          <w:tcPr>
            <w:tcW w:w="7512" w:type="dxa"/>
            <w:gridSpan w:val="3"/>
            <w:tcBorders>
              <w:bottom w:val="single" w:sz="12" w:space="0" w:color="auto"/>
            </w:tcBorders>
          </w:tcPr>
          <w:p w14:paraId="730445FE" w14:textId="1BDD7125" w:rsidR="00073387" w:rsidRPr="00073387" w:rsidRDefault="0029296C" w:rsidP="00073387">
            <w:pPr>
              <w:rPr>
                <w:rFonts w:eastAsia="MS Mincho"/>
                <w:b/>
                <w:lang w:val="en-US"/>
              </w:rPr>
            </w:pPr>
            <w:r>
              <w:rPr>
                <w:rFonts w:eastAsia="MS Mincho"/>
                <w:lang w:val="en-US"/>
              </w:rPr>
              <w:t>-</w:t>
            </w:r>
          </w:p>
        </w:tc>
      </w:tr>
      <w:tr w:rsidR="00073387" w:rsidRPr="0010191E" w14:paraId="7EDAA30F" w14:textId="77777777" w:rsidTr="00F620E9">
        <w:trPr>
          <w:cantSplit/>
          <w:trHeight w:val="204"/>
        </w:trPr>
        <w:tc>
          <w:tcPr>
            <w:tcW w:w="1617" w:type="dxa"/>
            <w:gridSpan w:val="3"/>
            <w:tcBorders>
              <w:top w:val="single" w:sz="12" w:space="0" w:color="auto"/>
              <w:bottom w:val="single" w:sz="12" w:space="0" w:color="auto"/>
            </w:tcBorders>
          </w:tcPr>
          <w:p w14:paraId="7EE47342" w14:textId="77777777" w:rsidR="00073387" w:rsidRPr="00073387" w:rsidRDefault="00073387" w:rsidP="00073387">
            <w:pPr>
              <w:rPr>
                <w:rFonts w:eastAsia="SimSun"/>
                <w:b/>
                <w:bCs/>
                <w:lang w:val="en-US"/>
              </w:rPr>
            </w:pPr>
            <w:r w:rsidRPr="00073387">
              <w:rPr>
                <w:rFonts w:eastAsia="SimSun"/>
                <w:b/>
                <w:bCs/>
                <w:lang w:val="en-US"/>
              </w:rPr>
              <w:t>Contact:</w:t>
            </w:r>
          </w:p>
        </w:tc>
        <w:tc>
          <w:tcPr>
            <w:tcW w:w="3628" w:type="dxa"/>
            <w:gridSpan w:val="2"/>
            <w:tcBorders>
              <w:top w:val="single" w:sz="12" w:space="0" w:color="auto"/>
              <w:bottom w:val="single" w:sz="12" w:space="0" w:color="auto"/>
            </w:tcBorders>
          </w:tcPr>
          <w:p w14:paraId="1D269B5F" w14:textId="194A4C25" w:rsidR="00073387" w:rsidRPr="00073387" w:rsidRDefault="00073387" w:rsidP="00073387">
            <w:pPr>
              <w:rPr>
                <w:rFonts w:eastAsia="SimSun"/>
                <w:lang w:val="en-US"/>
              </w:rPr>
            </w:pPr>
            <w:r w:rsidRPr="00073387">
              <w:rPr>
                <w:rFonts w:eastAsia="SimSun"/>
                <w:lang w:val="en-US"/>
              </w:rPr>
              <w:t>Noah L</w:t>
            </w:r>
            <w:r w:rsidRPr="00073387">
              <w:rPr>
                <w:rFonts w:eastAsia="MS Mincho"/>
                <w:lang w:val="en-US"/>
              </w:rPr>
              <w:t>UO</w:t>
            </w:r>
            <w:r w:rsidRPr="00073387">
              <w:rPr>
                <w:rFonts w:eastAsia="MS Mincho"/>
                <w:lang w:val="en-US"/>
              </w:rPr>
              <w:tab/>
            </w:r>
            <w:r w:rsidRPr="00073387">
              <w:rPr>
                <w:rFonts w:eastAsia="SimSun"/>
                <w:lang w:val="en-US"/>
              </w:rPr>
              <w:br/>
              <w:t>ITU-TSG 21 Chair</w:t>
            </w:r>
          </w:p>
        </w:tc>
        <w:tc>
          <w:tcPr>
            <w:tcW w:w="4394" w:type="dxa"/>
            <w:gridSpan w:val="2"/>
            <w:tcBorders>
              <w:top w:val="single" w:sz="12" w:space="0" w:color="auto"/>
              <w:bottom w:val="single" w:sz="12" w:space="0" w:color="auto"/>
            </w:tcBorders>
          </w:tcPr>
          <w:p w14:paraId="6D2350AB" w14:textId="77777777" w:rsidR="00073387" w:rsidRPr="00073387" w:rsidRDefault="00073387" w:rsidP="00073387">
            <w:pPr>
              <w:tabs>
                <w:tab w:val="left" w:pos="796"/>
              </w:tabs>
              <w:rPr>
                <w:rFonts w:eastAsia="SimSun"/>
                <w:lang w:val="pt-PT"/>
              </w:rPr>
            </w:pPr>
            <w:r w:rsidRPr="00073387">
              <w:rPr>
                <w:rFonts w:eastAsia="SimSun"/>
                <w:lang w:val="pt-PT"/>
              </w:rPr>
              <w:t>Tel:</w:t>
            </w:r>
            <w:r w:rsidRPr="00073387">
              <w:rPr>
                <w:rFonts w:eastAsia="SimSun"/>
                <w:lang w:val="pt-PT"/>
              </w:rPr>
              <w:tab/>
              <w:t>+1 437 662 6688</w:t>
            </w:r>
            <w:r w:rsidRPr="00073387">
              <w:rPr>
                <w:rFonts w:eastAsia="SimSun"/>
                <w:lang w:val="pt-PT"/>
              </w:rPr>
              <w:br/>
              <w:t xml:space="preserve">E-mail: </w:t>
            </w:r>
            <w:r w:rsidRPr="00073387">
              <w:rPr>
                <w:rFonts w:eastAsia="SimSun"/>
              </w:rPr>
              <w:fldChar w:fldCharType="begin"/>
            </w:r>
            <w:r w:rsidRPr="00073387">
              <w:rPr>
                <w:rFonts w:eastAsia="SimSun"/>
                <w:lang w:val="pt-PT"/>
              </w:rPr>
              <w:instrText>HYPERLINK "mailto:noahluozz@gmail.com"</w:instrText>
            </w:r>
            <w:r w:rsidRPr="00073387">
              <w:rPr>
                <w:rFonts w:eastAsia="SimSun"/>
              </w:rPr>
            </w:r>
            <w:r w:rsidRPr="00073387">
              <w:rPr>
                <w:rFonts w:eastAsia="SimSun"/>
              </w:rPr>
              <w:fldChar w:fldCharType="separate"/>
            </w:r>
            <w:r w:rsidRPr="00073387">
              <w:rPr>
                <w:rFonts w:eastAsia="SimSun"/>
                <w:color w:val="0000FF"/>
                <w:u w:val="single"/>
                <w:lang w:val="pt-PT"/>
              </w:rPr>
              <w:t>noahluozz@gmail.com</w:t>
            </w:r>
            <w:r w:rsidRPr="00073387">
              <w:rPr>
                <w:rFonts w:eastAsia="SimSun"/>
              </w:rPr>
              <w:fldChar w:fldCharType="end"/>
            </w:r>
          </w:p>
        </w:tc>
      </w:tr>
      <w:tr w:rsidR="00073387" w:rsidRPr="00073387" w14:paraId="0959C972" w14:textId="77777777" w:rsidTr="00F620E9">
        <w:trPr>
          <w:cantSplit/>
          <w:trHeight w:val="204"/>
        </w:trPr>
        <w:tc>
          <w:tcPr>
            <w:tcW w:w="1617" w:type="dxa"/>
            <w:gridSpan w:val="3"/>
            <w:tcBorders>
              <w:top w:val="single" w:sz="12" w:space="0" w:color="auto"/>
              <w:bottom w:val="single" w:sz="12" w:space="0" w:color="auto"/>
            </w:tcBorders>
          </w:tcPr>
          <w:p w14:paraId="24AE68DE" w14:textId="77777777" w:rsidR="00073387" w:rsidRPr="00073387" w:rsidRDefault="00073387" w:rsidP="00073387">
            <w:pPr>
              <w:rPr>
                <w:rFonts w:eastAsia="SimSun"/>
                <w:b/>
                <w:bCs/>
                <w:lang w:val="en-US"/>
              </w:rPr>
            </w:pPr>
            <w:r w:rsidRPr="00073387">
              <w:rPr>
                <w:rFonts w:eastAsia="SimSun"/>
                <w:b/>
                <w:bCs/>
                <w:lang w:val="en-US"/>
              </w:rPr>
              <w:t>Contact:</w:t>
            </w:r>
          </w:p>
        </w:tc>
        <w:tc>
          <w:tcPr>
            <w:tcW w:w="3628" w:type="dxa"/>
            <w:gridSpan w:val="2"/>
            <w:tcBorders>
              <w:top w:val="single" w:sz="12" w:space="0" w:color="auto"/>
              <w:bottom w:val="single" w:sz="12" w:space="0" w:color="auto"/>
            </w:tcBorders>
          </w:tcPr>
          <w:p w14:paraId="51F9CE36" w14:textId="77777777" w:rsidR="00073387" w:rsidRPr="00073387" w:rsidRDefault="00073387" w:rsidP="00073387">
            <w:pPr>
              <w:rPr>
                <w:rFonts w:eastAsia="MS Mincho"/>
                <w:lang w:val="en-US"/>
              </w:rPr>
            </w:pPr>
            <w:r w:rsidRPr="00073387">
              <w:rPr>
                <w:rFonts w:eastAsia="SimSun"/>
                <w:lang w:val="en-US"/>
              </w:rPr>
              <w:t xml:space="preserve">Sarra </w:t>
            </w:r>
            <w:proofErr w:type="spellStart"/>
            <w:r w:rsidRPr="00073387">
              <w:rPr>
                <w:rFonts w:eastAsia="SimSun"/>
                <w:lang w:val="en-US"/>
              </w:rPr>
              <w:t>Rebhi</w:t>
            </w:r>
            <w:proofErr w:type="spellEnd"/>
            <w:r w:rsidRPr="00073387">
              <w:rPr>
                <w:rFonts w:eastAsia="Yu Mincho"/>
                <w:lang w:val="en-US"/>
              </w:rPr>
              <w:br/>
            </w:r>
            <w:r w:rsidRPr="00073387">
              <w:rPr>
                <w:rFonts w:eastAsia="SimSun"/>
                <w:lang w:val="en-US"/>
              </w:rPr>
              <w:t>Tunisian Broadcasting Office</w:t>
            </w:r>
            <w:r w:rsidRPr="00073387">
              <w:rPr>
                <w:rFonts w:eastAsia="SimSun"/>
                <w:lang w:val="en-US"/>
              </w:rPr>
              <w:br/>
              <w:t>Tunisia</w:t>
            </w:r>
          </w:p>
        </w:tc>
        <w:tc>
          <w:tcPr>
            <w:tcW w:w="4394" w:type="dxa"/>
            <w:gridSpan w:val="2"/>
            <w:tcBorders>
              <w:top w:val="single" w:sz="12" w:space="0" w:color="auto"/>
              <w:bottom w:val="single" w:sz="12" w:space="0" w:color="auto"/>
            </w:tcBorders>
          </w:tcPr>
          <w:p w14:paraId="7768C4FB" w14:textId="77777777" w:rsidR="00073387" w:rsidRPr="00073387" w:rsidRDefault="00073387" w:rsidP="00073387">
            <w:pPr>
              <w:tabs>
                <w:tab w:val="left" w:pos="796"/>
              </w:tabs>
              <w:rPr>
                <w:rFonts w:eastAsia="SimSun"/>
                <w:lang w:val="en-US"/>
              </w:rPr>
            </w:pPr>
            <w:r w:rsidRPr="00073387">
              <w:rPr>
                <w:rFonts w:eastAsia="SimSun"/>
                <w:lang w:val="en-US"/>
              </w:rPr>
              <w:t>Tel:</w:t>
            </w:r>
            <w:r w:rsidRPr="00073387">
              <w:rPr>
                <w:rFonts w:eastAsia="MS Mincho"/>
                <w:lang w:val="en-US"/>
              </w:rPr>
              <w:tab/>
            </w:r>
            <w:r w:rsidRPr="00073387">
              <w:rPr>
                <w:rFonts w:eastAsia="SimSun"/>
                <w:lang w:val="en-US"/>
              </w:rPr>
              <w:t>+216 98 812 279</w:t>
            </w:r>
            <w:r w:rsidRPr="00073387">
              <w:rPr>
                <w:rFonts w:eastAsia="MS Mincho"/>
                <w:lang w:val="en-US"/>
              </w:rPr>
              <w:br/>
            </w:r>
            <w:r w:rsidRPr="00073387">
              <w:rPr>
                <w:rFonts w:eastAsia="SimSun"/>
                <w:lang w:val="en-US"/>
              </w:rPr>
              <w:t>Email:</w:t>
            </w:r>
            <w:r w:rsidRPr="00073387">
              <w:rPr>
                <w:rFonts w:eastAsia="MS Mincho"/>
                <w:lang w:val="en-US"/>
              </w:rPr>
              <w:tab/>
            </w:r>
            <w:hyperlink r:id="rId12" w:history="1">
              <w:r w:rsidRPr="00073387">
                <w:rPr>
                  <w:rFonts w:eastAsia="SimSun"/>
                  <w:color w:val="0000FF"/>
                  <w:u w:val="single"/>
                  <w:lang w:val="en-US"/>
                </w:rPr>
                <w:t>rebhi.sarra@telediffusion.net.tn</w:t>
              </w:r>
            </w:hyperlink>
          </w:p>
        </w:tc>
      </w:tr>
      <w:tr w:rsidR="00073387" w:rsidRPr="00073387" w14:paraId="507A38AF" w14:textId="77777777" w:rsidTr="00F620E9">
        <w:trPr>
          <w:cantSplit/>
          <w:trHeight w:val="204"/>
        </w:trPr>
        <w:tc>
          <w:tcPr>
            <w:tcW w:w="1617" w:type="dxa"/>
            <w:gridSpan w:val="3"/>
            <w:tcBorders>
              <w:top w:val="single" w:sz="12" w:space="0" w:color="auto"/>
              <w:bottom w:val="single" w:sz="12" w:space="0" w:color="auto"/>
            </w:tcBorders>
          </w:tcPr>
          <w:p w14:paraId="5491E26B" w14:textId="77777777" w:rsidR="00073387" w:rsidRPr="00073387" w:rsidRDefault="00073387" w:rsidP="00073387">
            <w:pPr>
              <w:rPr>
                <w:rFonts w:eastAsia="SimSun"/>
                <w:b/>
                <w:bCs/>
                <w:lang w:val="en-US"/>
              </w:rPr>
            </w:pPr>
            <w:r w:rsidRPr="00073387">
              <w:rPr>
                <w:rFonts w:eastAsia="SimSun"/>
                <w:b/>
                <w:bCs/>
                <w:lang w:val="en-US"/>
              </w:rPr>
              <w:t>Contact:</w:t>
            </w:r>
          </w:p>
        </w:tc>
        <w:tc>
          <w:tcPr>
            <w:tcW w:w="3628" w:type="dxa"/>
            <w:gridSpan w:val="2"/>
            <w:tcBorders>
              <w:top w:val="single" w:sz="12" w:space="0" w:color="auto"/>
              <w:bottom w:val="single" w:sz="12" w:space="0" w:color="auto"/>
            </w:tcBorders>
          </w:tcPr>
          <w:p w14:paraId="7BA81210" w14:textId="77777777" w:rsidR="00073387" w:rsidRPr="00073387" w:rsidRDefault="00073387" w:rsidP="00073387">
            <w:pPr>
              <w:rPr>
                <w:rFonts w:eastAsia="MS Mincho"/>
                <w:lang w:val="en-US"/>
              </w:rPr>
            </w:pPr>
            <w:r w:rsidRPr="00073387">
              <w:rPr>
                <w:rFonts w:eastAsia="MS Mincho"/>
                <w:lang w:val="en-US"/>
              </w:rPr>
              <w:t>Kei KAWAMURA</w:t>
            </w:r>
            <w:r w:rsidRPr="00073387">
              <w:rPr>
                <w:rFonts w:eastAsia="MS Mincho"/>
                <w:lang w:val="en-US"/>
              </w:rPr>
              <w:br/>
              <w:t>KDDI Corporation</w:t>
            </w:r>
            <w:r w:rsidRPr="00073387">
              <w:rPr>
                <w:rFonts w:eastAsia="MS Mincho"/>
                <w:lang w:val="en-US"/>
              </w:rPr>
              <w:br/>
              <w:t>Japan</w:t>
            </w:r>
          </w:p>
        </w:tc>
        <w:tc>
          <w:tcPr>
            <w:tcW w:w="4394" w:type="dxa"/>
            <w:gridSpan w:val="2"/>
            <w:tcBorders>
              <w:top w:val="single" w:sz="12" w:space="0" w:color="auto"/>
              <w:bottom w:val="single" w:sz="12" w:space="0" w:color="auto"/>
            </w:tcBorders>
          </w:tcPr>
          <w:p w14:paraId="79C9DEEE" w14:textId="77777777" w:rsidR="00073387" w:rsidRPr="00073387" w:rsidRDefault="00073387" w:rsidP="00073387">
            <w:pPr>
              <w:tabs>
                <w:tab w:val="left" w:pos="796"/>
              </w:tabs>
              <w:rPr>
                <w:rFonts w:eastAsia="SimSun"/>
                <w:lang w:val="en-US"/>
              </w:rPr>
            </w:pPr>
            <w:r w:rsidRPr="00073387">
              <w:rPr>
                <w:rFonts w:eastAsia="SimSun"/>
                <w:lang w:val="en-US"/>
              </w:rPr>
              <w:t>Tel:</w:t>
            </w:r>
            <w:r w:rsidRPr="00073387">
              <w:rPr>
                <w:rFonts w:eastAsia="SimSun"/>
                <w:lang w:val="en-US"/>
              </w:rPr>
              <w:tab/>
              <w:t>+81 80 5066 9075</w:t>
            </w:r>
            <w:r w:rsidRPr="00073387">
              <w:rPr>
                <w:rFonts w:eastAsia="SimSun"/>
                <w:lang w:val="en-US"/>
              </w:rPr>
              <w:br/>
              <w:t>E-mail:</w:t>
            </w:r>
            <w:r w:rsidRPr="00073387">
              <w:rPr>
                <w:rFonts w:eastAsia="MS Mincho"/>
                <w:lang w:val="en-US"/>
              </w:rPr>
              <w:tab/>
            </w:r>
            <w:hyperlink r:id="rId13" w:history="1">
              <w:r w:rsidRPr="00073387">
                <w:rPr>
                  <w:rFonts w:eastAsia="SimSun"/>
                  <w:color w:val="0000FF"/>
                  <w:u w:val="single"/>
                  <w:lang w:val="en-US"/>
                </w:rPr>
                <w:t>ki-kawamura@kddi.com</w:t>
              </w:r>
            </w:hyperlink>
          </w:p>
        </w:tc>
      </w:tr>
    </w:tbl>
    <w:p w14:paraId="7BDD84E3" w14:textId="77777777" w:rsidR="00073387" w:rsidRPr="00073387" w:rsidRDefault="00073387" w:rsidP="00073387">
      <w:pPr>
        <w:rPr>
          <w:rFonts w:eastAsia="Calibri"/>
          <w:lang w:val="en-US"/>
        </w:rPr>
      </w:pPr>
    </w:p>
    <w:tbl>
      <w:tblPr>
        <w:tblW w:w="9639" w:type="dxa"/>
        <w:tblLayout w:type="fixed"/>
        <w:tblCellMar>
          <w:left w:w="57" w:type="dxa"/>
          <w:right w:w="57" w:type="dxa"/>
        </w:tblCellMar>
        <w:tblLook w:val="04A0" w:firstRow="1" w:lastRow="0" w:firstColumn="1" w:lastColumn="0" w:noHBand="0" w:noVBand="1"/>
      </w:tblPr>
      <w:tblGrid>
        <w:gridCol w:w="1616"/>
        <w:gridCol w:w="8023"/>
      </w:tblGrid>
      <w:tr w:rsidR="00073387" w:rsidRPr="00073387" w14:paraId="1F29696E" w14:textId="77777777" w:rsidTr="00F620E9">
        <w:trPr>
          <w:cantSplit/>
        </w:trPr>
        <w:tc>
          <w:tcPr>
            <w:tcW w:w="1616" w:type="dxa"/>
            <w:hideMark/>
          </w:tcPr>
          <w:p w14:paraId="7C3FE735" w14:textId="77777777" w:rsidR="00073387" w:rsidRPr="00073387" w:rsidRDefault="00073387" w:rsidP="00073387">
            <w:pPr>
              <w:rPr>
                <w:rFonts w:eastAsia="SimSun"/>
                <w:b/>
                <w:bCs/>
                <w:lang w:val="en-US"/>
              </w:rPr>
            </w:pPr>
            <w:r w:rsidRPr="00073387">
              <w:rPr>
                <w:rFonts w:eastAsia="SimSun"/>
                <w:b/>
                <w:bCs/>
                <w:lang w:val="en-US"/>
              </w:rPr>
              <w:t>Abstract:</w:t>
            </w:r>
          </w:p>
        </w:tc>
        <w:tc>
          <w:tcPr>
            <w:tcW w:w="8023" w:type="dxa"/>
          </w:tcPr>
          <w:p w14:paraId="3A95C814" w14:textId="77777777" w:rsidR="00073387" w:rsidRPr="00073387" w:rsidRDefault="00073387" w:rsidP="00073387">
            <w:pPr>
              <w:rPr>
                <w:rFonts w:eastAsia="SimSun"/>
                <w:lang w:val="en-US"/>
              </w:rPr>
            </w:pPr>
            <w:r w:rsidRPr="00073387">
              <w:rPr>
                <w:rFonts w:eastAsia="SimSun"/>
                <w:lang w:val="en-US"/>
              </w:rPr>
              <w:t>ITU-T Study Group 21 appreciates the opportunity to provide feedback on the lead study group concept. While the intention behind lead roles is to enhance visibility and coordination, their practical impact has sometimes been limited, with some associated institutional overhead and criteria that could benefit from further clarification. We recognize that liaison statements and JCAs play a complementary role in coordination, though JCAs may face certain limitations in authority. We suggest that improved transparency and optional guidelines could be helpful, while harmonization of lead SG descriptions may not be necessary.</w:t>
            </w:r>
          </w:p>
        </w:tc>
      </w:tr>
      <w:tr w:rsidR="0029296C" w:rsidRPr="00073387" w14:paraId="1EF3F2E4" w14:textId="77777777" w:rsidTr="00F620E9">
        <w:trPr>
          <w:cantSplit/>
        </w:trPr>
        <w:tc>
          <w:tcPr>
            <w:tcW w:w="1616" w:type="dxa"/>
          </w:tcPr>
          <w:p w14:paraId="2912C26D" w14:textId="77777777" w:rsidR="0029296C" w:rsidRPr="00073387" w:rsidRDefault="0029296C" w:rsidP="00073387">
            <w:pPr>
              <w:rPr>
                <w:rFonts w:eastAsia="SimSun"/>
                <w:b/>
                <w:bCs/>
                <w:lang w:val="en-US"/>
              </w:rPr>
            </w:pPr>
          </w:p>
        </w:tc>
        <w:tc>
          <w:tcPr>
            <w:tcW w:w="8023" w:type="dxa"/>
          </w:tcPr>
          <w:p w14:paraId="4FB99E1F" w14:textId="77777777" w:rsidR="0029296C" w:rsidRPr="00073387" w:rsidRDefault="0029296C" w:rsidP="00073387">
            <w:pPr>
              <w:rPr>
                <w:rFonts w:eastAsia="SimSun"/>
                <w:lang w:val="en-US"/>
              </w:rPr>
            </w:pPr>
          </w:p>
        </w:tc>
      </w:tr>
    </w:tbl>
    <w:bookmarkEnd w:id="8"/>
    <w:p w14:paraId="2CF624A0" w14:textId="64F5657A" w:rsidR="00073387" w:rsidRPr="00073387" w:rsidRDefault="00073387" w:rsidP="00C04C6F">
      <w:pPr>
        <w:spacing w:before="240"/>
        <w:rPr>
          <w:rFonts w:eastAsia="SimSun"/>
        </w:rPr>
      </w:pPr>
      <w:r w:rsidRPr="00073387">
        <w:rPr>
          <w:rFonts w:eastAsia="SimSun"/>
        </w:rPr>
        <w:t>ITU-T Study Group 21 would like to thank TSAG for inviting the Study Group to share its views on the lead study group concepts in TSAG-LS4 (</w:t>
      </w:r>
      <w:hyperlink r:id="rId14" w:history="1">
        <w:r w:rsidRPr="00073387">
          <w:rPr>
            <w:rStyle w:val="Hyperlink"/>
            <w:rFonts w:eastAsia="SimSun"/>
            <w:b/>
            <w:bCs/>
          </w:rPr>
          <w:t>SG21-TD217</w:t>
        </w:r>
        <w:r w:rsidR="00C04C6F" w:rsidRPr="00C04C6F">
          <w:rPr>
            <w:rStyle w:val="Hyperlink"/>
            <w:rFonts w:eastAsia="SimSun"/>
            <w:b/>
            <w:bCs/>
          </w:rPr>
          <w:t>/GEN</w:t>
        </w:r>
      </w:hyperlink>
      <w:r w:rsidRPr="00073387">
        <w:rPr>
          <w:rFonts w:eastAsia="SimSun"/>
        </w:rPr>
        <w:t>).</w:t>
      </w:r>
    </w:p>
    <w:p w14:paraId="79E7D90D" w14:textId="77777777" w:rsidR="00073387" w:rsidRPr="00073387" w:rsidRDefault="00073387" w:rsidP="00073387">
      <w:pPr>
        <w:rPr>
          <w:rFonts w:eastAsia="SimSun"/>
        </w:rPr>
      </w:pPr>
      <w:r w:rsidRPr="00073387">
        <w:rPr>
          <w:rFonts w:eastAsia="SimSun"/>
        </w:rPr>
        <w:t>SG21 offers the following feedback on the questions raised:</w:t>
      </w:r>
    </w:p>
    <w:p w14:paraId="4E7EBA23" w14:textId="38A32FA9" w:rsidR="00073387" w:rsidRPr="0029296C" w:rsidRDefault="0029296C" w:rsidP="0029296C">
      <w:pPr>
        <w:keepNext/>
        <w:tabs>
          <w:tab w:val="left" w:pos="794"/>
          <w:tab w:val="left" w:pos="1191"/>
          <w:tab w:val="left" w:pos="1588"/>
          <w:tab w:val="left" w:pos="1985"/>
        </w:tabs>
        <w:overflowPunct w:val="0"/>
        <w:autoSpaceDE w:val="0"/>
        <w:autoSpaceDN w:val="0"/>
        <w:adjustRightInd w:val="0"/>
        <w:spacing w:before="240"/>
        <w:textAlignment w:val="baseline"/>
        <w:rPr>
          <w:rFonts w:eastAsia="SimSun"/>
          <w:b/>
          <w:szCs w:val="20"/>
        </w:rPr>
      </w:pPr>
      <w:r w:rsidRPr="0029296C">
        <w:rPr>
          <w:rFonts w:eastAsia="SimSun"/>
          <w:b/>
          <w:szCs w:val="20"/>
        </w:rPr>
        <w:t>1.</w:t>
      </w:r>
      <w:r>
        <w:rPr>
          <w:rFonts w:eastAsia="SimSun"/>
          <w:b/>
          <w:szCs w:val="20"/>
        </w:rPr>
        <w:tab/>
      </w:r>
      <w:r w:rsidR="00073387" w:rsidRPr="0029296C">
        <w:rPr>
          <w:rFonts w:eastAsia="SimSun"/>
          <w:b/>
          <w:szCs w:val="20"/>
        </w:rPr>
        <w:t>How effective is the concept of Lead Study Group in your SG?</w:t>
      </w:r>
    </w:p>
    <w:p w14:paraId="6EB7B8A3" w14:textId="77777777" w:rsidR="00073387" w:rsidRPr="00073387" w:rsidRDefault="00073387" w:rsidP="00073387">
      <w:pPr>
        <w:rPr>
          <w:rFonts w:eastAsia="SimSun"/>
        </w:rPr>
      </w:pPr>
      <w:r w:rsidRPr="00073387">
        <w:rPr>
          <w:rFonts w:eastAsia="SimSun"/>
        </w:rPr>
        <w:t>ITU-T SG21 is among the most active groups leading standardization in multimedia technologies, content delivery, and cable television. Our studies focus on areas such as:</w:t>
      </w:r>
    </w:p>
    <w:p w14:paraId="193342F2" w14:textId="77777777" w:rsidR="00073387" w:rsidRPr="00073387" w:rsidRDefault="00073387" w:rsidP="00073387">
      <w:pPr>
        <w:numPr>
          <w:ilvl w:val="0"/>
          <w:numId w:val="11"/>
        </w:numPr>
        <w:rPr>
          <w:rFonts w:eastAsia="SimSun"/>
        </w:rPr>
      </w:pPr>
      <w:r w:rsidRPr="00073387">
        <w:rPr>
          <w:rFonts w:eastAsia="SimSun"/>
        </w:rPr>
        <w:t>AI-enabled multimedia applications</w:t>
      </w:r>
    </w:p>
    <w:p w14:paraId="5E9C0FF6" w14:textId="77777777" w:rsidR="00073387" w:rsidRPr="00073387" w:rsidRDefault="00073387" w:rsidP="00073387">
      <w:pPr>
        <w:numPr>
          <w:ilvl w:val="0"/>
          <w:numId w:val="11"/>
        </w:numPr>
        <w:rPr>
          <w:rFonts w:eastAsia="SimSun"/>
        </w:rPr>
      </w:pPr>
      <w:r w:rsidRPr="00073387">
        <w:rPr>
          <w:rFonts w:eastAsia="SimSun"/>
        </w:rPr>
        <w:t>Advanced coding</w:t>
      </w:r>
    </w:p>
    <w:p w14:paraId="241D263D" w14:textId="77777777" w:rsidR="00073387" w:rsidRPr="00073387" w:rsidRDefault="00073387" w:rsidP="00073387">
      <w:pPr>
        <w:numPr>
          <w:ilvl w:val="0"/>
          <w:numId w:val="11"/>
        </w:numPr>
        <w:rPr>
          <w:rFonts w:eastAsia="SimSun"/>
        </w:rPr>
      </w:pPr>
      <w:r w:rsidRPr="00073387">
        <w:rPr>
          <w:rFonts w:eastAsia="SimSun"/>
        </w:rPr>
        <w:lastRenderedPageBreak/>
        <w:t>Multimedia authentication</w:t>
      </w:r>
    </w:p>
    <w:p w14:paraId="0D50ABC9" w14:textId="77777777" w:rsidR="00073387" w:rsidRPr="00073387" w:rsidRDefault="00073387" w:rsidP="00073387">
      <w:pPr>
        <w:numPr>
          <w:ilvl w:val="0"/>
          <w:numId w:val="11"/>
        </w:numPr>
        <w:rPr>
          <w:rFonts w:eastAsia="SimSun"/>
        </w:rPr>
      </w:pPr>
      <w:r w:rsidRPr="00073387">
        <w:rPr>
          <w:rFonts w:eastAsia="SimSun"/>
        </w:rPr>
        <w:t>Multimedia digital services, including digital culture and digital health</w:t>
      </w:r>
    </w:p>
    <w:p w14:paraId="6ADAE548" w14:textId="77777777" w:rsidR="00073387" w:rsidRPr="00073387" w:rsidRDefault="00073387" w:rsidP="00073387">
      <w:pPr>
        <w:numPr>
          <w:ilvl w:val="0"/>
          <w:numId w:val="11"/>
        </w:numPr>
        <w:rPr>
          <w:rFonts w:eastAsia="SimSun"/>
        </w:rPr>
      </w:pPr>
      <w:r w:rsidRPr="00073387">
        <w:rPr>
          <w:rFonts w:eastAsia="SimSun"/>
        </w:rPr>
        <w:t>Accessibility and human aspects</w:t>
      </w:r>
    </w:p>
    <w:p w14:paraId="6A9ADBE3" w14:textId="77777777" w:rsidR="00073387" w:rsidRPr="00073387" w:rsidRDefault="00073387" w:rsidP="00073387">
      <w:pPr>
        <w:numPr>
          <w:ilvl w:val="0"/>
          <w:numId w:val="11"/>
        </w:numPr>
        <w:rPr>
          <w:rFonts w:eastAsia="SimSun"/>
        </w:rPr>
      </w:pPr>
      <w:r w:rsidRPr="00073387">
        <w:rPr>
          <w:rFonts w:eastAsia="SimSun"/>
        </w:rPr>
        <w:t>Immersive multimedia technologies, including the metaverse</w:t>
      </w:r>
    </w:p>
    <w:p w14:paraId="51F2807C" w14:textId="77777777" w:rsidR="00073387" w:rsidRPr="00073387" w:rsidRDefault="00073387" w:rsidP="00073387">
      <w:pPr>
        <w:numPr>
          <w:ilvl w:val="0"/>
          <w:numId w:val="11"/>
        </w:numPr>
        <w:rPr>
          <w:rFonts w:eastAsia="SimSun"/>
        </w:rPr>
      </w:pPr>
      <w:r w:rsidRPr="00073387">
        <w:rPr>
          <w:rFonts w:eastAsia="SimSun"/>
        </w:rPr>
        <w:t>Multimedia for intelligent transport and vehicular communications</w:t>
      </w:r>
    </w:p>
    <w:p w14:paraId="5F37F9E6" w14:textId="77777777" w:rsidR="00073387" w:rsidRPr="00073387" w:rsidRDefault="00073387" w:rsidP="00073387">
      <w:pPr>
        <w:numPr>
          <w:ilvl w:val="0"/>
          <w:numId w:val="11"/>
        </w:numPr>
        <w:rPr>
          <w:rFonts w:eastAsia="SimSun"/>
        </w:rPr>
      </w:pPr>
      <w:r w:rsidRPr="00073387">
        <w:rPr>
          <w:rFonts w:eastAsia="SimSun"/>
        </w:rPr>
        <w:t>Multimedia streaming infrastructure, systems, and services</w:t>
      </w:r>
    </w:p>
    <w:p w14:paraId="017AD921" w14:textId="77777777" w:rsidR="00073387" w:rsidRPr="00073387" w:rsidRDefault="00073387" w:rsidP="00073387">
      <w:pPr>
        <w:numPr>
          <w:ilvl w:val="0"/>
          <w:numId w:val="11"/>
        </w:numPr>
        <w:rPr>
          <w:rFonts w:eastAsia="SimSun"/>
        </w:rPr>
      </w:pPr>
      <w:r w:rsidRPr="00073387">
        <w:rPr>
          <w:rFonts w:eastAsia="SimSun"/>
        </w:rPr>
        <w:t>Integrated broadband and cable television systems</w:t>
      </w:r>
    </w:p>
    <w:p w14:paraId="60E88208" w14:textId="77777777" w:rsidR="00073387" w:rsidRPr="00073387" w:rsidRDefault="00073387" w:rsidP="00073387">
      <w:pPr>
        <w:rPr>
          <w:rFonts w:eastAsia="SimSun"/>
        </w:rPr>
      </w:pPr>
      <w:r w:rsidRPr="00073387">
        <w:rPr>
          <w:rFonts w:eastAsia="SimSun"/>
        </w:rPr>
        <w:t>The Study Group’s standards are widely recognized and have received awards, underscoring its leadership. While it is not clear if this is directly attributable to the lead SG concept, SG21’s current lead roles reflect our leadership and responsibilities in specific areas. It is noted, however, that in the past, the lead SG role has had limited effect in resolving inter-study group coordination issues.</w:t>
      </w:r>
    </w:p>
    <w:p w14:paraId="425761BB" w14:textId="70ACA181" w:rsidR="00073387" w:rsidRPr="00073387" w:rsidRDefault="00073387" w:rsidP="00C04C6F">
      <w:pPr>
        <w:keepNext/>
        <w:tabs>
          <w:tab w:val="left" w:pos="794"/>
          <w:tab w:val="left" w:pos="1191"/>
          <w:tab w:val="left" w:pos="1588"/>
          <w:tab w:val="left" w:pos="1985"/>
        </w:tabs>
        <w:overflowPunct w:val="0"/>
        <w:autoSpaceDE w:val="0"/>
        <w:autoSpaceDN w:val="0"/>
        <w:adjustRightInd w:val="0"/>
        <w:spacing w:before="240"/>
        <w:textAlignment w:val="baseline"/>
        <w:rPr>
          <w:rFonts w:eastAsia="SimSun"/>
          <w:b/>
          <w:szCs w:val="20"/>
        </w:rPr>
      </w:pPr>
      <w:r w:rsidRPr="00073387">
        <w:rPr>
          <w:rFonts w:eastAsia="SimSun"/>
          <w:b/>
          <w:szCs w:val="20"/>
        </w:rPr>
        <w:t>2.</w:t>
      </w:r>
      <w:r w:rsidR="0029296C">
        <w:rPr>
          <w:rFonts w:eastAsia="SimSun"/>
          <w:b/>
          <w:szCs w:val="20"/>
        </w:rPr>
        <w:tab/>
      </w:r>
      <w:r w:rsidRPr="00073387">
        <w:rPr>
          <w:rFonts w:eastAsia="SimSun"/>
          <w:b/>
          <w:szCs w:val="20"/>
        </w:rPr>
        <w:t>Do “lead roles” support the progress of the work program?</w:t>
      </w:r>
    </w:p>
    <w:p w14:paraId="2D4D089E" w14:textId="77777777" w:rsidR="00073387" w:rsidRPr="00073387" w:rsidRDefault="00073387" w:rsidP="00073387">
      <w:pPr>
        <w:rPr>
          <w:rFonts w:eastAsia="SimSun"/>
        </w:rPr>
      </w:pPr>
      <w:r w:rsidRPr="00073387">
        <w:rPr>
          <w:rFonts w:eastAsia="SimSun"/>
        </w:rPr>
        <w:t>Ideally, lead roles should enhance the visibility of specific technical areas and help accelerate standardization progress while preventing duplication. However, it is challenging for ITU-T SG21 to fully assess the effectiveness of lead SG roles. At times, significant time is devoted at TSAG and WTSA to discussing specific lead roles, but ultimately, work progresses in study groups based on contributions. The lead SG role does not always prevent the initiation of new work items in groups outside the designated lead. As such, the concept may introduce some institutional overhead without always delivering clear benefits in streamlining the work programme across ITU-T study groups.</w:t>
      </w:r>
    </w:p>
    <w:p w14:paraId="4B5B0DBF" w14:textId="67737120" w:rsidR="00073387" w:rsidRPr="00073387" w:rsidRDefault="00073387" w:rsidP="00C04C6F">
      <w:pPr>
        <w:keepNext/>
        <w:tabs>
          <w:tab w:val="left" w:pos="794"/>
          <w:tab w:val="left" w:pos="1191"/>
          <w:tab w:val="left" w:pos="1588"/>
          <w:tab w:val="left" w:pos="1985"/>
        </w:tabs>
        <w:overflowPunct w:val="0"/>
        <w:autoSpaceDE w:val="0"/>
        <w:autoSpaceDN w:val="0"/>
        <w:adjustRightInd w:val="0"/>
        <w:spacing w:before="240"/>
        <w:textAlignment w:val="baseline"/>
        <w:rPr>
          <w:rFonts w:eastAsia="SimSun"/>
          <w:b/>
          <w:szCs w:val="20"/>
        </w:rPr>
      </w:pPr>
      <w:r w:rsidRPr="00073387">
        <w:rPr>
          <w:rFonts w:eastAsia="SimSun"/>
          <w:b/>
          <w:szCs w:val="20"/>
        </w:rPr>
        <w:t>3.</w:t>
      </w:r>
      <w:r w:rsidR="0029296C">
        <w:rPr>
          <w:rFonts w:eastAsia="SimSun"/>
          <w:b/>
          <w:szCs w:val="20"/>
        </w:rPr>
        <w:tab/>
      </w:r>
      <w:r w:rsidRPr="00073387">
        <w:rPr>
          <w:rFonts w:eastAsia="SimSun"/>
          <w:b/>
          <w:szCs w:val="20"/>
        </w:rPr>
        <w:t>Are you aware of the criteria used for determination of lead roles?</w:t>
      </w:r>
    </w:p>
    <w:p w14:paraId="7F2B34EB" w14:textId="77777777" w:rsidR="00073387" w:rsidRPr="00073387" w:rsidRDefault="00073387" w:rsidP="00073387">
      <w:pPr>
        <w:rPr>
          <w:rFonts w:eastAsia="SimSun"/>
        </w:rPr>
      </w:pPr>
      <w:r w:rsidRPr="00073387">
        <w:rPr>
          <w:rFonts w:eastAsia="SimSun"/>
        </w:rPr>
        <w:t>Lead roles are proposed by the Study Group, reviewed by TSAG, and adopted by WTSA in accordance with Resolution 2. However, the current criteria may benefit from further clarification, as they are sometimes perceived as vague. WTSA also considers Members’ direct contributions (written or during discussions) when finalizing lead roles. There is an opportunity to improve awareness and transparency of these criteria among SG members to ensure broader understanding and acceptance. Additionally, the absence of enforcement mechanisms may limit the practical application of the concept.</w:t>
      </w:r>
    </w:p>
    <w:p w14:paraId="3000B2A1" w14:textId="46F489CA" w:rsidR="00073387" w:rsidRPr="00073387" w:rsidRDefault="00073387" w:rsidP="00C04C6F">
      <w:pPr>
        <w:keepNext/>
        <w:tabs>
          <w:tab w:val="left" w:pos="794"/>
          <w:tab w:val="left" w:pos="1191"/>
          <w:tab w:val="left" w:pos="1588"/>
          <w:tab w:val="left" w:pos="1985"/>
        </w:tabs>
        <w:overflowPunct w:val="0"/>
        <w:autoSpaceDE w:val="0"/>
        <w:autoSpaceDN w:val="0"/>
        <w:adjustRightInd w:val="0"/>
        <w:spacing w:before="240"/>
        <w:textAlignment w:val="baseline"/>
        <w:rPr>
          <w:rFonts w:eastAsia="SimSun"/>
          <w:b/>
          <w:szCs w:val="20"/>
        </w:rPr>
      </w:pPr>
      <w:r w:rsidRPr="00073387">
        <w:rPr>
          <w:rFonts w:eastAsia="SimSun"/>
          <w:b/>
          <w:szCs w:val="20"/>
        </w:rPr>
        <w:t>4.</w:t>
      </w:r>
      <w:r w:rsidR="0029296C">
        <w:rPr>
          <w:rFonts w:eastAsia="SimSun"/>
          <w:b/>
          <w:szCs w:val="20"/>
        </w:rPr>
        <w:tab/>
      </w:r>
      <w:r w:rsidRPr="00073387">
        <w:rPr>
          <w:rFonts w:eastAsia="SimSun"/>
          <w:b/>
          <w:szCs w:val="20"/>
        </w:rPr>
        <w:t>Do you think the description of lead SGs should be harmonized?</w:t>
      </w:r>
    </w:p>
    <w:p w14:paraId="25D18DC7" w14:textId="77777777" w:rsidR="00073387" w:rsidRPr="00073387" w:rsidRDefault="00073387" w:rsidP="00073387">
      <w:pPr>
        <w:rPr>
          <w:rFonts w:eastAsia="SimSun"/>
        </w:rPr>
      </w:pPr>
      <w:r w:rsidRPr="00073387">
        <w:rPr>
          <w:rFonts w:eastAsia="SimSun"/>
        </w:rPr>
        <w:t>The scope and terms of reference for lead SGs vary significantly from group to group, depending on the study areas and involved experts. ITU-T SG21 does not see a strong need for harmonization, as many work areas intersect with different aspects and verticals, making strict compartmentalization less effective for expediting progress. Nevertheless, some common mechanisms or optional guidelines could be beneficial to facilitate the development of Lead SG texts.</w:t>
      </w:r>
    </w:p>
    <w:p w14:paraId="63A215BC" w14:textId="64EC7262" w:rsidR="00073387" w:rsidRPr="00073387" w:rsidRDefault="00073387" w:rsidP="00C04C6F">
      <w:pPr>
        <w:keepNext/>
        <w:tabs>
          <w:tab w:val="left" w:pos="794"/>
          <w:tab w:val="left" w:pos="1191"/>
          <w:tab w:val="left" w:pos="1588"/>
          <w:tab w:val="left" w:pos="1985"/>
        </w:tabs>
        <w:overflowPunct w:val="0"/>
        <w:autoSpaceDE w:val="0"/>
        <w:autoSpaceDN w:val="0"/>
        <w:adjustRightInd w:val="0"/>
        <w:spacing w:before="240"/>
        <w:textAlignment w:val="baseline"/>
        <w:rPr>
          <w:rFonts w:eastAsia="SimSun"/>
          <w:b/>
          <w:szCs w:val="20"/>
        </w:rPr>
      </w:pPr>
      <w:r w:rsidRPr="00073387">
        <w:rPr>
          <w:rFonts w:eastAsia="SimSun"/>
          <w:b/>
          <w:szCs w:val="20"/>
        </w:rPr>
        <w:t>5.</w:t>
      </w:r>
      <w:r w:rsidR="0029296C">
        <w:rPr>
          <w:rFonts w:eastAsia="SimSun"/>
          <w:b/>
          <w:szCs w:val="20"/>
        </w:rPr>
        <w:tab/>
      </w:r>
      <w:r w:rsidRPr="00073387">
        <w:rPr>
          <w:rFonts w:eastAsia="SimSun"/>
          <w:b/>
          <w:szCs w:val="20"/>
        </w:rPr>
        <w:t>How does this concept correlate with the SGs’ responsibilities and with other collaboration mechanisms such as the Liaison process and JCAs?</w:t>
      </w:r>
    </w:p>
    <w:p w14:paraId="5C28C435" w14:textId="77777777" w:rsidR="00073387" w:rsidRPr="00073387" w:rsidRDefault="00073387" w:rsidP="00073387">
      <w:pPr>
        <w:rPr>
          <w:rFonts w:eastAsia="SimSun"/>
        </w:rPr>
      </w:pPr>
      <w:r w:rsidRPr="00073387">
        <w:rPr>
          <w:rFonts w:eastAsia="SimSun"/>
        </w:rPr>
        <w:t xml:space="preserve">The SG Lead role primarily provides visibility for specific areas of responsibility and can help attract contributions on certain subjects. However, its effectiveness may vary, and coordination among SGs is sometimes still required. Liaison statements are informative and enable the exchange of updates and progress between SGs. Often, incoming liaison statements include actionable requests that enhance coordination, and in our view, they are an effective coordination tool. JCAs can offer a horizontal coordination framework, particularly for collaboration with external bodies, though their limited authority may reduce their effectiveness, especially within ITU-T. Together, </w:t>
      </w:r>
      <w:r w:rsidRPr="00073387">
        <w:rPr>
          <w:rFonts w:eastAsia="SimSun"/>
        </w:rPr>
        <w:lastRenderedPageBreak/>
        <w:t>these mechanisms complement each other by addressing different aspects of coordination and collaboration within ITU-T and with external organizations. In general, the lead SG concept and liaison statements are usually sufficient to address most coordination issues, especially between SGs. JCAs should be established only in exceptional and well-justified cases.</w:t>
      </w:r>
    </w:p>
    <w:p w14:paraId="39FA1BEF" w14:textId="0359AEA1" w:rsidR="00073387" w:rsidRPr="00073387" w:rsidRDefault="00073387" w:rsidP="00C04C6F">
      <w:pPr>
        <w:keepNext/>
        <w:tabs>
          <w:tab w:val="left" w:pos="794"/>
          <w:tab w:val="left" w:pos="1191"/>
          <w:tab w:val="left" w:pos="1588"/>
          <w:tab w:val="left" w:pos="1985"/>
        </w:tabs>
        <w:overflowPunct w:val="0"/>
        <w:autoSpaceDE w:val="0"/>
        <w:autoSpaceDN w:val="0"/>
        <w:adjustRightInd w:val="0"/>
        <w:spacing w:before="240"/>
        <w:textAlignment w:val="baseline"/>
        <w:rPr>
          <w:rFonts w:eastAsia="SimSun"/>
          <w:b/>
          <w:szCs w:val="20"/>
        </w:rPr>
      </w:pPr>
      <w:r w:rsidRPr="00073387">
        <w:rPr>
          <w:rFonts w:eastAsia="SimSun"/>
          <w:b/>
          <w:szCs w:val="20"/>
        </w:rPr>
        <w:t>6.</w:t>
      </w:r>
      <w:r w:rsidR="0029296C">
        <w:rPr>
          <w:rFonts w:eastAsia="SimSun"/>
          <w:b/>
          <w:szCs w:val="20"/>
        </w:rPr>
        <w:tab/>
      </w:r>
      <w:r w:rsidRPr="00073387">
        <w:rPr>
          <w:rFonts w:eastAsia="SimSun"/>
          <w:b/>
          <w:szCs w:val="20"/>
        </w:rPr>
        <w:t>Can you provide an example of the use of this concept in the SGs that would not be possible with other mechanisms readily available?</w:t>
      </w:r>
    </w:p>
    <w:p w14:paraId="4B0E65F5" w14:textId="77777777" w:rsidR="00073387" w:rsidRPr="00073387" w:rsidRDefault="00073387" w:rsidP="00073387">
      <w:pPr>
        <w:rPr>
          <w:rFonts w:eastAsia="SimSun"/>
        </w:rPr>
      </w:pPr>
      <w:r w:rsidRPr="00073387">
        <w:rPr>
          <w:rFonts w:eastAsia="SimSun"/>
        </w:rPr>
        <w:t>SG21 has not established any JCAs in this Study Period but participates in some JCAs. For example, a recent JCA on Metaverse (JCA-MV) was established by TSAG, with co-conveners from SG20 and SG21. It is too early to assess the effectiveness of this approach. Historically, JCAs have not always advanced coordination issues, as they lack the authority to mandate specific actions to study groups. As a result, their suggestions are generally addressed on a voluntary basis.</w:t>
      </w:r>
    </w:p>
    <w:p w14:paraId="026A4272" w14:textId="77777777" w:rsidR="00073387" w:rsidRPr="00073387" w:rsidRDefault="00073387" w:rsidP="00073387">
      <w:pPr>
        <w:rPr>
          <w:rFonts w:eastAsia="SimSun"/>
        </w:rPr>
      </w:pPr>
      <w:r w:rsidRPr="00073387">
        <w:rPr>
          <w:rFonts w:eastAsia="SimSun"/>
          <w:shd w:val="clear" w:color="auto" w:fill="FFFFFF"/>
        </w:rPr>
        <w:t xml:space="preserve">The </w:t>
      </w:r>
      <w:proofErr w:type="spellStart"/>
      <w:r w:rsidRPr="00073387">
        <w:rPr>
          <w:rFonts w:eastAsia="SimSun"/>
          <w:shd w:val="clear" w:color="auto" w:fill="FFFFFF"/>
        </w:rPr>
        <w:t>Intersector</w:t>
      </w:r>
      <w:proofErr w:type="spellEnd"/>
      <w:r w:rsidRPr="00073387">
        <w:rPr>
          <w:rFonts w:eastAsia="SimSun"/>
          <w:shd w:val="clear" w:color="auto" w:fill="FFFFFF"/>
        </w:rPr>
        <w:t xml:space="preserve"> Rapporteur Group on Audiovisual Media Accessibility (IRG-AVA), which includes members from ITU-T and ITU-R, illustrates an effective coordination mechanism between ITU sectors. IRG-AVA coordinates standardization efforts on audiovisual media accessibility—such as captions and audio descriptions—across sectors, enabling more effective cross-sector collaboration than individual study groups alone</w:t>
      </w:r>
      <w:r w:rsidRPr="00073387">
        <w:rPr>
          <w:rFonts w:eastAsia="SimSun"/>
          <w:color w:val="4E5A66"/>
          <w:shd w:val="clear" w:color="auto" w:fill="FFFFFF"/>
        </w:rPr>
        <w:t>.</w:t>
      </w:r>
    </w:p>
    <w:p w14:paraId="783A0698" w14:textId="77777777" w:rsidR="00073387" w:rsidRPr="00073387" w:rsidRDefault="00073387" w:rsidP="00C04C6F">
      <w:pPr>
        <w:spacing w:before="240"/>
        <w:rPr>
          <w:rFonts w:eastAsia="SimSun"/>
        </w:rPr>
      </w:pPr>
      <w:r w:rsidRPr="00073387">
        <w:rPr>
          <w:rFonts w:eastAsia="SimSun"/>
        </w:rPr>
        <w:t>In summary, SG21 believes that while the current concept of lead study groups may help attract work in specific areas, it has not always been effective in coordinating work and avoiding conflicts among study groups. At the same time, it has required significant time and resources for its development and application. JCAs have also had limited effectiveness, as reflected by the absence of JCAs under ITU-T SG21. We believe that further reflection and updates to these mechanisms could help enhance their effectiveness.</w:t>
      </w:r>
    </w:p>
    <w:p w14:paraId="2F436177" w14:textId="0E75D10C" w:rsidR="00BF1C1D" w:rsidRPr="00073387" w:rsidRDefault="00C04C6F" w:rsidP="00C04C6F">
      <w:pPr>
        <w:jc w:val="center"/>
      </w:pPr>
      <w:r>
        <w:rPr>
          <w:rFonts w:eastAsia="SimSun"/>
        </w:rPr>
        <w:t>____________________</w:t>
      </w:r>
    </w:p>
    <w:sectPr w:rsidR="00BF1C1D" w:rsidRPr="00073387" w:rsidSect="0029296C">
      <w:headerReference w:type="default" r:id="rId15"/>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16324" w14:textId="77777777" w:rsidR="00073387" w:rsidRDefault="00073387" w:rsidP="00C42125">
      <w:pPr>
        <w:spacing w:before="0"/>
      </w:pPr>
      <w:r>
        <w:separator/>
      </w:r>
    </w:p>
  </w:endnote>
  <w:endnote w:type="continuationSeparator" w:id="0">
    <w:p w14:paraId="1C0AD307" w14:textId="77777777" w:rsidR="00073387" w:rsidRDefault="00073387"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12006" w14:textId="77777777" w:rsidR="00073387" w:rsidRDefault="00073387" w:rsidP="00C42125">
      <w:pPr>
        <w:spacing w:before="0"/>
      </w:pPr>
      <w:r>
        <w:separator/>
      </w:r>
    </w:p>
  </w:footnote>
  <w:footnote w:type="continuationSeparator" w:id="0">
    <w:p w14:paraId="4DA0037B" w14:textId="77777777" w:rsidR="00073387" w:rsidRDefault="00073387"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0FD7" w14:textId="4E2715B0" w:rsidR="00EC4DB8" w:rsidRPr="0029296C" w:rsidRDefault="0029296C" w:rsidP="0029296C">
    <w:pPr>
      <w:pStyle w:val="Header"/>
    </w:pPr>
    <w:r w:rsidRPr="0029296C">
      <w:t xml:space="preserve">- </w:t>
    </w:r>
    <w:r w:rsidRPr="0029296C">
      <w:fldChar w:fldCharType="begin"/>
    </w:r>
    <w:r w:rsidRPr="0029296C">
      <w:instrText xml:space="preserve"> PAGE  \* MERGEFORMAT </w:instrText>
    </w:r>
    <w:r w:rsidRPr="0029296C">
      <w:fldChar w:fldCharType="separate"/>
    </w:r>
    <w:r w:rsidRPr="0029296C">
      <w:rPr>
        <w:noProof/>
      </w:rPr>
      <w:t>1</w:t>
    </w:r>
    <w:r w:rsidRPr="0029296C">
      <w:fldChar w:fldCharType="end"/>
    </w:r>
    <w:r w:rsidRPr="0029296C">
      <w:t xml:space="preserve"> -</w:t>
    </w:r>
  </w:p>
  <w:p w14:paraId="2CEB77A6" w14:textId="41F08B8D" w:rsidR="0029296C" w:rsidRPr="0029296C" w:rsidRDefault="0029296C" w:rsidP="0029296C">
    <w:pPr>
      <w:pStyle w:val="Header"/>
      <w:spacing w:after="240"/>
    </w:pPr>
    <w:r w:rsidRPr="0029296C">
      <w:fldChar w:fldCharType="begin"/>
    </w:r>
    <w:r w:rsidRPr="0029296C">
      <w:instrText xml:space="preserve"> STYLEREF  Docnumber  </w:instrText>
    </w:r>
    <w:r>
      <w:fldChar w:fldCharType="separate"/>
    </w:r>
    <w:r w:rsidR="005452E0">
      <w:rPr>
        <w:noProof/>
      </w:rPr>
      <w:t>TSAG-TD246</w:t>
    </w:r>
    <w:r w:rsidRPr="0029296C">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B011B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904B0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F3830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F2C864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474123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DEE2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48D9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AA9C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4DA6D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9DC623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BC362DF"/>
    <w:multiLevelType w:val="multilevel"/>
    <w:tmpl w:val="9D48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4145B4"/>
    <w:multiLevelType w:val="hybridMultilevel"/>
    <w:tmpl w:val="7722C3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0176496">
    <w:abstractNumId w:val="9"/>
  </w:num>
  <w:num w:numId="2" w16cid:durableId="211889481">
    <w:abstractNumId w:val="7"/>
  </w:num>
  <w:num w:numId="3" w16cid:durableId="209070992">
    <w:abstractNumId w:val="6"/>
  </w:num>
  <w:num w:numId="4" w16cid:durableId="104885643">
    <w:abstractNumId w:val="5"/>
  </w:num>
  <w:num w:numId="5" w16cid:durableId="933786636">
    <w:abstractNumId w:val="4"/>
  </w:num>
  <w:num w:numId="6" w16cid:durableId="450561951">
    <w:abstractNumId w:val="8"/>
  </w:num>
  <w:num w:numId="7" w16cid:durableId="452139044">
    <w:abstractNumId w:val="3"/>
  </w:num>
  <w:num w:numId="8" w16cid:durableId="48119203">
    <w:abstractNumId w:val="2"/>
  </w:num>
  <w:num w:numId="9" w16cid:durableId="243802267">
    <w:abstractNumId w:val="1"/>
  </w:num>
  <w:num w:numId="10" w16cid:durableId="37435115">
    <w:abstractNumId w:val="0"/>
  </w:num>
  <w:num w:numId="11" w16cid:durableId="1951662148">
    <w:abstractNumId w:val="10"/>
  </w:num>
  <w:num w:numId="12" w16cid:durableId="6360355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387"/>
    <w:rsid w:val="00014F69"/>
    <w:rsid w:val="000171DB"/>
    <w:rsid w:val="00023D9A"/>
    <w:rsid w:val="0003582E"/>
    <w:rsid w:val="00043D75"/>
    <w:rsid w:val="00057000"/>
    <w:rsid w:val="00061268"/>
    <w:rsid w:val="000640E0"/>
    <w:rsid w:val="00073387"/>
    <w:rsid w:val="000920CE"/>
    <w:rsid w:val="000966A8"/>
    <w:rsid w:val="000A5CA2"/>
    <w:rsid w:val="000B739D"/>
    <w:rsid w:val="000C397B"/>
    <w:rsid w:val="000E6125"/>
    <w:rsid w:val="0010191E"/>
    <w:rsid w:val="00113DBE"/>
    <w:rsid w:val="001200A6"/>
    <w:rsid w:val="00124A40"/>
    <w:rsid w:val="001251DA"/>
    <w:rsid w:val="00125432"/>
    <w:rsid w:val="00136DDD"/>
    <w:rsid w:val="00137F40"/>
    <w:rsid w:val="001410FD"/>
    <w:rsid w:val="00144BDF"/>
    <w:rsid w:val="00155DDC"/>
    <w:rsid w:val="00161830"/>
    <w:rsid w:val="001871EC"/>
    <w:rsid w:val="001A20C3"/>
    <w:rsid w:val="001A670F"/>
    <w:rsid w:val="001B6A45"/>
    <w:rsid w:val="001C62B8"/>
    <w:rsid w:val="001D22D8"/>
    <w:rsid w:val="001D4296"/>
    <w:rsid w:val="001E7B0E"/>
    <w:rsid w:val="001F141D"/>
    <w:rsid w:val="00200A06"/>
    <w:rsid w:val="00200A98"/>
    <w:rsid w:val="00201AFA"/>
    <w:rsid w:val="002229F1"/>
    <w:rsid w:val="00233F75"/>
    <w:rsid w:val="00253DBE"/>
    <w:rsid w:val="00253DC6"/>
    <w:rsid w:val="0025489C"/>
    <w:rsid w:val="002622FA"/>
    <w:rsid w:val="00263518"/>
    <w:rsid w:val="00263B33"/>
    <w:rsid w:val="0027014B"/>
    <w:rsid w:val="002759E7"/>
    <w:rsid w:val="00277326"/>
    <w:rsid w:val="0029296C"/>
    <w:rsid w:val="002A11C4"/>
    <w:rsid w:val="002A399B"/>
    <w:rsid w:val="002C26C0"/>
    <w:rsid w:val="002C2BC5"/>
    <w:rsid w:val="002C502A"/>
    <w:rsid w:val="002D22A9"/>
    <w:rsid w:val="002D6447"/>
    <w:rsid w:val="002E0407"/>
    <w:rsid w:val="002E3C52"/>
    <w:rsid w:val="002E79CB"/>
    <w:rsid w:val="002F5070"/>
    <w:rsid w:val="002F7F55"/>
    <w:rsid w:val="0030745F"/>
    <w:rsid w:val="00314630"/>
    <w:rsid w:val="0032090A"/>
    <w:rsid w:val="00321CDE"/>
    <w:rsid w:val="00333E15"/>
    <w:rsid w:val="003449F4"/>
    <w:rsid w:val="003571BC"/>
    <w:rsid w:val="0036090C"/>
    <w:rsid w:val="00361116"/>
    <w:rsid w:val="00362562"/>
    <w:rsid w:val="00385FB5"/>
    <w:rsid w:val="0038715D"/>
    <w:rsid w:val="00394DBF"/>
    <w:rsid w:val="003957A6"/>
    <w:rsid w:val="003A43EF"/>
    <w:rsid w:val="003B4CF8"/>
    <w:rsid w:val="003C7445"/>
    <w:rsid w:val="003D0336"/>
    <w:rsid w:val="003E1F8C"/>
    <w:rsid w:val="003E39A2"/>
    <w:rsid w:val="003E57AB"/>
    <w:rsid w:val="003E7207"/>
    <w:rsid w:val="003F2BED"/>
    <w:rsid w:val="00400B49"/>
    <w:rsid w:val="004037CA"/>
    <w:rsid w:val="00443878"/>
    <w:rsid w:val="004539A8"/>
    <w:rsid w:val="004712CA"/>
    <w:rsid w:val="00473782"/>
    <w:rsid w:val="0047422E"/>
    <w:rsid w:val="0049090D"/>
    <w:rsid w:val="0049674B"/>
    <w:rsid w:val="004C0673"/>
    <w:rsid w:val="004C4E4E"/>
    <w:rsid w:val="004F23BA"/>
    <w:rsid w:val="004F3816"/>
    <w:rsid w:val="0050586A"/>
    <w:rsid w:val="00520DBF"/>
    <w:rsid w:val="0053731C"/>
    <w:rsid w:val="00543D41"/>
    <w:rsid w:val="005452E0"/>
    <w:rsid w:val="00556A5B"/>
    <w:rsid w:val="00566EDA"/>
    <w:rsid w:val="0057081A"/>
    <w:rsid w:val="00572654"/>
    <w:rsid w:val="005976A1"/>
    <w:rsid w:val="005B5629"/>
    <w:rsid w:val="005B6B78"/>
    <w:rsid w:val="005C0300"/>
    <w:rsid w:val="005C27A2"/>
    <w:rsid w:val="005D4FEB"/>
    <w:rsid w:val="005F4B6A"/>
    <w:rsid w:val="006010F3"/>
    <w:rsid w:val="00606DB6"/>
    <w:rsid w:val="00615A0A"/>
    <w:rsid w:val="00626673"/>
    <w:rsid w:val="006333D4"/>
    <w:rsid w:val="006369B2"/>
    <w:rsid w:val="0063718D"/>
    <w:rsid w:val="00647525"/>
    <w:rsid w:val="00647A71"/>
    <w:rsid w:val="00652D9F"/>
    <w:rsid w:val="006570B0"/>
    <w:rsid w:val="0066022F"/>
    <w:rsid w:val="00666892"/>
    <w:rsid w:val="006813BC"/>
    <w:rsid w:val="006823F3"/>
    <w:rsid w:val="0069210B"/>
    <w:rsid w:val="00692AB1"/>
    <w:rsid w:val="00695DD7"/>
    <w:rsid w:val="00695FC2"/>
    <w:rsid w:val="006A4055"/>
    <w:rsid w:val="006A6DA0"/>
    <w:rsid w:val="006A7C27"/>
    <w:rsid w:val="006B2FE4"/>
    <w:rsid w:val="006B37B0"/>
    <w:rsid w:val="006C5641"/>
    <w:rsid w:val="006D1089"/>
    <w:rsid w:val="006D1B86"/>
    <w:rsid w:val="006D7355"/>
    <w:rsid w:val="006F7DEE"/>
    <w:rsid w:val="00715551"/>
    <w:rsid w:val="00715CA6"/>
    <w:rsid w:val="00731135"/>
    <w:rsid w:val="007324AF"/>
    <w:rsid w:val="00740128"/>
    <w:rsid w:val="007409B4"/>
    <w:rsid w:val="00741974"/>
    <w:rsid w:val="00754192"/>
    <w:rsid w:val="0075525E"/>
    <w:rsid w:val="00756D3D"/>
    <w:rsid w:val="007806C2"/>
    <w:rsid w:val="00781FEE"/>
    <w:rsid w:val="007903F8"/>
    <w:rsid w:val="00794F4F"/>
    <w:rsid w:val="007974BE"/>
    <w:rsid w:val="007A0916"/>
    <w:rsid w:val="007A0DFD"/>
    <w:rsid w:val="007B2BC6"/>
    <w:rsid w:val="007B311A"/>
    <w:rsid w:val="007C7122"/>
    <w:rsid w:val="007D3F11"/>
    <w:rsid w:val="007D66E2"/>
    <w:rsid w:val="007E2C69"/>
    <w:rsid w:val="007E53E4"/>
    <w:rsid w:val="007E656A"/>
    <w:rsid w:val="007F3CAA"/>
    <w:rsid w:val="007F664D"/>
    <w:rsid w:val="00812E67"/>
    <w:rsid w:val="00837203"/>
    <w:rsid w:val="00842137"/>
    <w:rsid w:val="00853F5F"/>
    <w:rsid w:val="008560AC"/>
    <w:rsid w:val="008623ED"/>
    <w:rsid w:val="00864B5A"/>
    <w:rsid w:val="00872559"/>
    <w:rsid w:val="00874AA3"/>
    <w:rsid w:val="00875AA6"/>
    <w:rsid w:val="00880944"/>
    <w:rsid w:val="0089088E"/>
    <w:rsid w:val="00892297"/>
    <w:rsid w:val="008964D6"/>
    <w:rsid w:val="008B5123"/>
    <w:rsid w:val="008E0172"/>
    <w:rsid w:val="00900EF1"/>
    <w:rsid w:val="00906CD2"/>
    <w:rsid w:val="009302DE"/>
    <w:rsid w:val="00936852"/>
    <w:rsid w:val="0094045D"/>
    <w:rsid w:val="009406B5"/>
    <w:rsid w:val="00946166"/>
    <w:rsid w:val="009507EC"/>
    <w:rsid w:val="00983164"/>
    <w:rsid w:val="009972EF"/>
    <w:rsid w:val="009B5035"/>
    <w:rsid w:val="009C3160"/>
    <w:rsid w:val="009E766E"/>
    <w:rsid w:val="009F1960"/>
    <w:rsid w:val="009F2C64"/>
    <w:rsid w:val="009F715E"/>
    <w:rsid w:val="00A10DBB"/>
    <w:rsid w:val="00A11720"/>
    <w:rsid w:val="00A21247"/>
    <w:rsid w:val="00A31D47"/>
    <w:rsid w:val="00A4013E"/>
    <w:rsid w:val="00A4045F"/>
    <w:rsid w:val="00A427CD"/>
    <w:rsid w:val="00A45FEE"/>
    <w:rsid w:val="00A4600B"/>
    <w:rsid w:val="00A50506"/>
    <w:rsid w:val="00A51EF0"/>
    <w:rsid w:val="00A67A81"/>
    <w:rsid w:val="00A730A6"/>
    <w:rsid w:val="00A84724"/>
    <w:rsid w:val="00A907B3"/>
    <w:rsid w:val="00A971A0"/>
    <w:rsid w:val="00AA1F22"/>
    <w:rsid w:val="00AF5A57"/>
    <w:rsid w:val="00AF735D"/>
    <w:rsid w:val="00B024D7"/>
    <w:rsid w:val="00B05821"/>
    <w:rsid w:val="00B100D6"/>
    <w:rsid w:val="00B164C9"/>
    <w:rsid w:val="00B26C28"/>
    <w:rsid w:val="00B30F21"/>
    <w:rsid w:val="00B376D2"/>
    <w:rsid w:val="00B4174C"/>
    <w:rsid w:val="00B453F5"/>
    <w:rsid w:val="00B532CE"/>
    <w:rsid w:val="00B61624"/>
    <w:rsid w:val="00B66481"/>
    <w:rsid w:val="00B7189C"/>
    <w:rsid w:val="00B718A5"/>
    <w:rsid w:val="00B90AD6"/>
    <w:rsid w:val="00BA788A"/>
    <w:rsid w:val="00BB4983"/>
    <w:rsid w:val="00BB7597"/>
    <w:rsid w:val="00BC2AAB"/>
    <w:rsid w:val="00BC62E2"/>
    <w:rsid w:val="00BF02DC"/>
    <w:rsid w:val="00BF1C1D"/>
    <w:rsid w:val="00C04C6F"/>
    <w:rsid w:val="00C37820"/>
    <w:rsid w:val="00C42125"/>
    <w:rsid w:val="00C62814"/>
    <w:rsid w:val="00C62BE6"/>
    <w:rsid w:val="00C67B25"/>
    <w:rsid w:val="00C748F7"/>
    <w:rsid w:val="00C74937"/>
    <w:rsid w:val="00CA6409"/>
    <w:rsid w:val="00CB2599"/>
    <w:rsid w:val="00CD2139"/>
    <w:rsid w:val="00CD2497"/>
    <w:rsid w:val="00CD6848"/>
    <w:rsid w:val="00CE1E6E"/>
    <w:rsid w:val="00CE5986"/>
    <w:rsid w:val="00CF34C4"/>
    <w:rsid w:val="00D11885"/>
    <w:rsid w:val="00D647EF"/>
    <w:rsid w:val="00D73137"/>
    <w:rsid w:val="00D745B2"/>
    <w:rsid w:val="00D977A2"/>
    <w:rsid w:val="00DA1D47"/>
    <w:rsid w:val="00DC774A"/>
    <w:rsid w:val="00DD50DE"/>
    <w:rsid w:val="00DE3062"/>
    <w:rsid w:val="00E0581D"/>
    <w:rsid w:val="00E204DD"/>
    <w:rsid w:val="00E353EC"/>
    <w:rsid w:val="00E51F61"/>
    <w:rsid w:val="00E53C24"/>
    <w:rsid w:val="00E56E77"/>
    <w:rsid w:val="00E71046"/>
    <w:rsid w:val="00E72E36"/>
    <w:rsid w:val="00E87795"/>
    <w:rsid w:val="00EB444D"/>
    <w:rsid w:val="00EC4DB8"/>
    <w:rsid w:val="00ED5B66"/>
    <w:rsid w:val="00EE5C0D"/>
    <w:rsid w:val="00EF4792"/>
    <w:rsid w:val="00F02294"/>
    <w:rsid w:val="00F30DE7"/>
    <w:rsid w:val="00F35F57"/>
    <w:rsid w:val="00F44D3D"/>
    <w:rsid w:val="00F50467"/>
    <w:rsid w:val="00F562A0"/>
    <w:rsid w:val="00F57FA4"/>
    <w:rsid w:val="00FA02CB"/>
    <w:rsid w:val="00FA2177"/>
    <w:rsid w:val="00FB0783"/>
    <w:rsid w:val="00FB7A8B"/>
    <w:rsid w:val="00FD439E"/>
    <w:rsid w:val="00FD76CB"/>
    <w:rsid w:val="00FE152B"/>
    <w:rsid w:val="00FE239E"/>
    <w:rsid w:val="00FE3437"/>
    <w:rsid w:val="00FF4546"/>
    <w:rsid w:val="00FF538F"/>
    <w:rsid w:val="28EE24EE"/>
    <w:rsid w:val="3B7EA7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6351A"/>
  <w15:chartTrackingRefBased/>
  <w15:docId w15:val="{316C7477-6C1D-467A-AA10-5C59D33C9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12E67"/>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566EDA"/>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566EDA"/>
    <w:pPr>
      <w:spacing w:before="240"/>
      <w:outlineLvl w:val="1"/>
    </w:pPr>
  </w:style>
  <w:style w:type="paragraph" w:styleId="Heading3">
    <w:name w:val="heading 3"/>
    <w:basedOn w:val="Heading1"/>
    <w:next w:val="Normal"/>
    <w:link w:val="Heading3Char"/>
    <w:rsid w:val="00566EDA"/>
    <w:pPr>
      <w:spacing w:before="160"/>
      <w:outlineLvl w:val="2"/>
    </w:pPr>
  </w:style>
  <w:style w:type="paragraph" w:styleId="Heading4">
    <w:name w:val="heading 4"/>
    <w:basedOn w:val="Heading3"/>
    <w:next w:val="Normal"/>
    <w:link w:val="Heading4Char"/>
    <w:qFormat/>
    <w:rsid w:val="00566EDA"/>
    <w:pPr>
      <w:tabs>
        <w:tab w:val="clear" w:pos="794"/>
        <w:tab w:val="left" w:pos="1021"/>
      </w:tabs>
      <w:ind w:left="1021" w:hanging="1021"/>
      <w:outlineLvl w:val="3"/>
    </w:pPr>
  </w:style>
  <w:style w:type="paragraph" w:styleId="Heading5">
    <w:name w:val="heading 5"/>
    <w:basedOn w:val="Heading4"/>
    <w:next w:val="Normal"/>
    <w:link w:val="Heading5Char"/>
    <w:qFormat/>
    <w:rsid w:val="00566EDA"/>
    <w:pPr>
      <w:outlineLvl w:val="4"/>
    </w:pPr>
  </w:style>
  <w:style w:type="paragraph" w:styleId="Heading6">
    <w:name w:val="heading 6"/>
    <w:basedOn w:val="Heading4"/>
    <w:next w:val="Normal"/>
    <w:link w:val="Heading6Char"/>
    <w:rsid w:val="00566EDA"/>
    <w:pPr>
      <w:tabs>
        <w:tab w:val="clear" w:pos="1021"/>
        <w:tab w:val="clear" w:pos="1191"/>
      </w:tabs>
      <w:ind w:left="1588" w:hanging="1588"/>
      <w:outlineLvl w:val="5"/>
    </w:pPr>
  </w:style>
  <w:style w:type="paragraph" w:styleId="Heading7">
    <w:name w:val="heading 7"/>
    <w:basedOn w:val="Heading6"/>
    <w:next w:val="Normal"/>
    <w:link w:val="Heading7Char"/>
    <w:rsid w:val="00566EDA"/>
    <w:pPr>
      <w:outlineLvl w:val="6"/>
    </w:pPr>
  </w:style>
  <w:style w:type="paragraph" w:styleId="Heading8">
    <w:name w:val="heading 8"/>
    <w:basedOn w:val="Heading6"/>
    <w:next w:val="Normal"/>
    <w:link w:val="Heading8Char"/>
    <w:rsid w:val="00566EDA"/>
    <w:pPr>
      <w:outlineLvl w:val="7"/>
    </w:pPr>
  </w:style>
  <w:style w:type="paragraph" w:styleId="Heading9">
    <w:name w:val="heading 9"/>
    <w:basedOn w:val="Heading6"/>
    <w:next w:val="Normal"/>
    <w:link w:val="Heading9Char"/>
    <w:rsid w:val="00566EDA"/>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4630"/>
    <w:rPr>
      <w:rFonts w:ascii="Times New Roman" w:hAnsi="Times New Roman"/>
      <w:color w:val="808080"/>
    </w:rPr>
  </w:style>
  <w:style w:type="paragraph" w:customStyle="1" w:styleId="Docnumber">
    <w:name w:val="Docnumber"/>
    <w:basedOn w:val="Normal"/>
    <w:link w:val="DocnumberChar"/>
    <w:qFormat/>
    <w:rsid w:val="00E87795"/>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E87795"/>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812E67"/>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812E67"/>
  </w:style>
  <w:style w:type="paragraph" w:customStyle="1" w:styleId="CorrectionSeparatorBegin">
    <w:name w:val="Correction Separator Begin"/>
    <w:basedOn w:val="Normal"/>
    <w:rsid w:val="00812E67"/>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812E67"/>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812E67"/>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812E67"/>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812E67"/>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812E67"/>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812E67"/>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812E67"/>
    <w:rPr>
      <w:b/>
      <w:bCs/>
    </w:rPr>
  </w:style>
  <w:style w:type="paragraph" w:customStyle="1" w:styleId="Normalbeforetable">
    <w:name w:val="Normal before table"/>
    <w:basedOn w:val="Normal"/>
    <w:rsid w:val="00812E67"/>
    <w:pPr>
      <w:keepNext/>
      <w:spacing w:after="120"/>
    </w:pPr>
    <w:rPr>
      <w:rFonts w:eastAsia="????"/>
      <w:lang w:eastAsia="en-US"/>
    </w:rPr>
  </w:style>
  <w:style w:type="paragraph" w:customStyle="1" w:styleId="RecNo">
    <w:name w:val="Rec_No"/>
    <w:basedOn w:val="Normal"/>
    <w:next w:val="Normal"/>
    <w:rsid w:val="00812E67"/>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812E67"/>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812E67"/>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812E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812E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812E67"/>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812E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812E67"/>
    <w:pPr>
      <w:tabs>
        <w:tab w:val="right" w:leader="dot" w:pos="9639"/>
      </w:tabs>
    </w:pPr>
    <w:rPr>
      <w:rFonts w:eastAsia="MS Mincho"/>
    </w:rPr>
  </w:style>
  <w:style w:type="paragraph" w:styleId="TOC1">
    <w:name w:val="toc 1"/>
    <w:basedOn w:val="Normal"/>
    <w:uiPriority w:val="39"/>
    <w:rsid w:val="00812E67"/>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812E67"/>
    <w:pPr>
      <w:tabs>
        <w:tab w:val="clear" w:pos="964"/>
      </w:tabs>
      <w:spacing w:before="80"/>
      <w:ind w:left="1531" w:hanging="851"/>
    </w:pPr>
  </w:style>
  <w:style w:type="paragraph" w:styleId="TOC3">
    <w:name w:val="toc 3"/>
    <w:basedOn w:val="TOC2"/>
    <w:rsid w:val="00812E67"/>
    <w:pPr>
      <w:ind w:left="2269"/>
    </w:pPr>
  </w:style>
  <w:style w:type="character" w:styleId="Hyperlink">
    <w:name w:val="Hyperlink"/>
    <w:basedOn w:val="DefaultParagraphFont"/>
    <w:rsid w:val="00812E67"/>
    <w:rPr>
      <w:color w:val="0000FF"/>
      <w:u w:val="single"/>
    </w:rPr>
  </w:style>
  <w:style w:type="character" w:customStyle="1" w:styleId="Heading1Char">
    <w:name w:val="Heading 1 Char"/>
    <w:basedOn w:val="DefaultParagraphFont"/>
    <w:link w:val="Heading1"/>
    <w:rsid w:val="00394DBF"/>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394DBF"/>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394DBF"/>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394DBF"/>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394DBF"/>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394DBF"/>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394DBF"/>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394DBF"/>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394DBF"/>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394DBF"/>
    <w:pPr>
      <w:spacing w:before="0" w:after="200"/>
    </w:pPr>
    <w:rPr>
      <w:i/>
      <w:iCs/>
      <w:color w:val="44546A" w:themeColor="text2"/>
      <w:sz w:val="18"/>
      <w:szCs w:val="18"/>
    </w:rPr>
  </w:style>
  <w:style w:type="paragraph" w:styleId="Header">
    <w:name w:val="header"/>
    <w:basedOn w:val="Normal"/>
    <w:link w:val="HeaderChar"/>
    <w:rsid w:val="00812E67"/>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812E67"/>
    <w:rPr>
      <w:rFonts w:ascii="Times New Roman" w:eastAsia="Times New Roman" w:hAnsi="Times New Roman" w:cs="Times New Roman"/>
      <w:sz w:val="18"/>
      <w:szCs w:val="20"/>
      <w:lang w:val="en-GB" w:eastAsia="en-US"/>
    </w:rPr>
  </w:style>
  <w:style w:type="paragraph" w:styleId="Footer">
    <w:name w:val="footer"/>
    <w:basedOn w:val="Normal"/>
    <w:link w:val="FooterChar"/>
    <w:uiPriority w:val="99"/>
    <w:unhideWhenUsed/>
    <w:rsid w:val="00394DBF"/>
    <w:pPr>
      <w:tabs>
        <w:tab w:val="center" w:pos="4680"/>
        <w:tab w:val="right" w:pos="9360"/>
      </w:tabs>
      <w:spacing w:before="0"/>
    </w:pPr>
  </w:style>
  <w:style w:type="character" w:customStyle="1" w:styleId="FooterChar">
    <w:name w:val="Footer Char"/>
    <w:basedOn w:val="DefaultParagraphFont"/>
    <w:link w:val="Footer"/>
    <w:uiPriority w:val="99"/>
    <w:rsid w:val="00394DBF"/>
    <w:rPr>
      <w:rFonts w:ascii="Times New Roman" w:hAnsi="Times New Roman" w:cs="Times New Roman"/>
      <w:sz w:val="24"/>
      <w:szCs w:val="24"/>
      <w:lang w:val="en-GB" w:eastAsia="ja-JP"/>
    </w:rPr>
  </w:style>
  <w:style w:type="character" w:styleId="Emphasis">
    <w:name w:val="Emphasis"/>
    <w:basedOn w:val="DefaultParagraphFont"/>
    <w:uiPriority w:val="20"/>
    <w:rsid w:val="00394DBF"/>
    <w:rPr>
      <w:i/>
      <w:iCs/>
    </w:rPr>
  </w:style>
  <w:style w:type="paragraph" w:styleId="Subtitle">
    <w:name w:val="Subtitle"/>
    <w:basedOn w:val="Normal"/>
    <w:next w:val="Normal"/>
    <w:link w:val="SubtitleChar"/>
    <w:uiPriority w:val="11"/>
    <w:rsid w:val="00394DBF"/>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94DBF"/>
    <w:rPr>
      <w:color w:val="5A5A5A" w:themeColor="text1" w:themeTint="A5"/>
      <w:spacing w:val="15"/>
      <w:lang w:val="en-GB" w:eastAsia="ja-JP"/>
    </w:rPr>
  </w:style>
  <w:style w:type="character" w:styleId="Strong">
    <w:name w:val="Strong"/>
    <w:basedOn w:val="DefaultParagraphFont"/>
    <w:uiPriority w:val="22"/>
    <w:rsid w:val="00394DBF"/>
    <w:rPr>
      <w:b/>
      <w:bCs/>
    </w:rPr>
  </w:style>
  <w:style w:type="paragraph" w:styleId="Quote">
    <w:name w:val="Quote"/>
    <w:basedOn w:val="Normal"/>
    <w:next w:val="Normal"/>
    <w:link w:val="QuoteChar"/>
    <w:uiPriority w:val="29"/>
    <w:rsid w:val="00394DB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94DBF"/>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LSDeadline">
    <w:name w:val="LSDeadline"/>
    <w:basedOn w:val="LSForAction"/>
    <w:next w:val="Normal"/>
    <w:rsid w:val="00A907B3"/>
    <w:rPr>
      <w:bCs w:val="0"/>
    </w:rPr>
  </w:style>
  <w:style w:type="paragraph" w:customStyle="1" w:styleId="LSForAction">
    <w:name w:val="LSForAction"/>
    <w:basedOn w:val="Normal"/>
    <w:rsid w:val="00A907B3"/>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Info">
    <w:name w:val="LSForInfo"/>
    <w:basedOn w:val="LSForAction"/>
    <w:next w:val="Normal"/>
    <w:rsid w:val="00A907B3"/>
  </w:style>
  <w:style w:type="paragraph" w:customStyle="1" w:styleId="LSForComment">
    <w:name w:val="LSForComment"/>
    <w:basedOn w:val="LSForAction"/>
    <w:next w:val="Normal"/>
    <w:rsid w:val="00A907B3"/>
  </w:style>
  <w:style w:type="paragraph" w:customStyle="1" w:styleId="enumlev1">
    <w:name w:val="enumlev1"/>
    <w:basedOn w:val="Normal"/>
    <w:rsid w:val="00E87795"/>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E87795"/>
    <w:pPr>
      <w:ind w:left="1191" w:hanging="397"/>
    </w:pPr>
  </w:style>
  <w:style w:type="paragraph" w:customStyle="1" w:styleId="enumlev3">
    <w:name w:val="enumlev3"/>
    <w:basedOn w:val="enumlev2"/>
    <w:rsid w:val="00E87795"/>
    <w:pPr>
      <w:ind w:left="1588"/>
    </w:pPr>
  </w:style>
  <w:style w:type="paragraph" w:customStyle="1" w:styleId="LSSource">
    <w:name w:val="LSSource"/>
    <w:basedOn w:val="LSForAction"/>
    <w:next w:val="Normal"/>
    <w:rsid w:val="00A907B3"/>
    <w:rPr>
      <w:rFonts w:eastAsiaTheme="minorHAnsi"/>
      <w:bCs w:val="0"/>
    </w:rPr>
  </w:style>
  <w:style w:type="paragraph" w:customStyle="1" w:styleId="LSTitle">
    <w:name w:val="LSTitle"/>
    <w:basedOn w:val="LSForAction"/>
    <w:next w:val="Normal"/>
    <w:rsid w:val="00A907B3"/>
    <w:rPr>
      <w:rFonts w:eastAsiaTheme="minorHAnsi"/>
      <w:bCs w:val="0"/>
    </w:rPr>
  </w:style>
  <w:style w:type="paragraph" w:styleId="Revision">
    <w:name w:val="Revision"/>
    <w:hidden/>
    <w:uiPriority w:val="99"/>
    <w:semiHidden/>
    <w:rsid w:val="00754192"/>
    <w:pPr>
      <w:spacing w:after="0" w:line="240" w:lineRule="auto"/>
    </w:pPr>
    <w:rPr>
      <w:rFonts w:ascii="Times New Roman" w:hAnsi="Times New Roman" w:cs="Times New Roman"/>
      <w:sz w:val="24"/>
      <w:szCs w:val="24"/>
      <w:lang w:val="en-GB" w:eastAsia="ja-JP"/>
    </w:rPr>
  </w:style>
  <w:style w:type="paragraph" w:customStyle="1" w:styleId="VenueDate">
    <w:name w:val="VenueDate"/>
    <w:basedOn w:val="Normal"/>
    <w:qFormat/>
    <w:rsid w:val="00AF5A57"/>
    <w:pPr>
      <w:overflowPunct w:val="0"/>
      <w:autoSpaceDE w:val="0"/>
      <w:autoSpaceDN w:val="0"/>
      <w:adjustRightInd w:val="0"/>
      <w:jc w:val="right"/>
      <w:textAlignment w:val="baseline"/>
    </w:pPr>
    <w:rPr>
      <w:rFonts w:eastAsia="Times New Roman"/>
      <w:szCs w:val="20"/>
      <w:lang w:eastAsia="en-US"/>
    </w:rPr>
  </w:style>
  <w:style w:type="character" w:styleId="CommentReference">
    <w:name w:val="annotation reference"/>
    <w:basedOn w:val="DefaultParagraphFont"/>
    <w:uiPriority w:val="99"/>
    <w:semiHidden/>
    <w:unhideWhenUsed/>
    <w:rsid w:val="00740128"/>
    <w:rPr>
      <w:sz w:val="16"/>
      <w:szCs w:val="16"/>
    </w:rPr>
  </w:style>
  <w:style w:type="paragraph" w:styleId="CommentText">
    <w:name w:val="annotation text"/>
    <w:basedOn w:val="Normal"/>
    <w:link w:val="CommentTextChar"/>
    <w:uiPriority w:val="99"/>
    <w:semiHidden/>
    <w:unhideWhenUsed/>
    <w:rsid w:val="00740128"/>
    <w:rPr>
      <w:sz w:val="20"/>
      <w:szCs w:val="20"/>
    </w:rPr>
  </w:style>
  <w:style w:type="character" w:customStyle="1" w:styleId="CommentTextChar">
    <w:name w:val="Comment Text Char"/>
    <w:basedOn w:val="DefaultParagraphFont"/>
    <w:link w:val="CommentText"/>
    <w:uiPriority w:val="99"/>
    <w:semiHidden/>
    <w:rsid w:val="00740128"/>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740128"/>
    <w:rPr>
      <w:b/>
      <w:bCs/>
    </w:rPr>
  </w:style>
  <w:style w:type="character" w:customStyle="1" w:styleId="CommentSubjectChar">
    <w:name w:val="Comment Subject Char"/>
    <w:basedOn w:val="CommentTextChar"/>
    <w:link w:val="CommentSubject"/>
    <w:uiPriority w:val="99"/>
    <w:semiHidden/>
    <w:rsid w:val="00740128"/>
    <w:rPr>
      <w:rFonts w:ascii="Times New Roman" w:hAnsi="Times New Roman" w:cs="Times New Roman"/>
      <w:b/>
      <w:bCs/>
      <w:sz w:val="20"/>
      <w:szCs w:val="20"/>
      <w:lang w:val="en-GB" w:eastAsia="ja-JP"/>
    </w:rPr>
  </w:style>
  <w:style w:type="character" w:styleId="UnresolvedMention">
    <w:name w:val="Unresolved Mention"/>
    <w:basedOn w:val="DefaultParagraphFont"/>
    <w:uiPriority w:val="99"/>
    <w:unhideWhenUsed/>
    <w:rsid w:val="00740128"/>
    <w:rPr>
      <w:color w:val="605E5C"/>
      <w:shd w:val="clear" w:color="auto" w:fill="E1DFDD"/>
    </w:rPr>
  </w:style>
  <w:style w:type="character" w:styleId="Mention">
    <w:name w:val="Mention"/>
    <w:basedOn w:val="DefaultParagraphFont"/>
    <w:uiPriority w:val="99"/>
    <w:unhideWhenUsed/>
    <w:rsid w:val="00740128"/>
    <w:rPr>
      <w:color w:val="2B579A"/>
      <w:shd w:val="clear" w:color="auto" w:fill="E1DFDD"/>
    </w:rPr>
  </w:style>
  <w:style w:type="character" w:customStyle="1" w:styleId="ReftextArial9pt">
    <w:name w:val="Ref_text Arial 9 pt"/>
    <w:rsid w:val="00812E67"/>
    <w:rPr>
      <w:rFonts w:ascii="Arial" w:hAnsi="Arial" w:cs="Arial"/>
      <w:sz w:val="18"/>
      <w:szCs w:val="18"/>
    </w:rPr>
  </w:style>
  <w:style w:type="paragraph" w:customStyle="1" w:styleId="Title4">
    <w:name w:val="Title 4"/>
    <w:basedOn w:val="Normal"/>
    <w:next w:val="Heading1"/>
    <w:rsid w:val="00812E6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812E67"/>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rmal"/>
    <w:link w:val="FootnoteTextChar"/>
    <w:uiPriority w:val="99"/>
    <w:semiHidden/>
    <w:unhideWhenUsed/>
    <w:rsid w:val="00812E67"/>
    <w:pPr>
      <w:spacing w:before="0"/>
    </w:pPr>
    <w:rPr>
      <w:sz w:val="20"/>
      <w:szCs w:val="20"/>
    </w:rPr>
  </w:style>
  <w:style w:type="character" w:customStyle="1" w:styleId="FootnoteTextChar">
    <w:name w:val="Footnote Text Char"/>
    <w:basedOn w:val="DefaultParagraphFont"/>
    <w:link w:val="FootnoteText"/>
    <w:uiPriority w:val="99"/>
    <w:semiHidden/>
    <w:rsid w:val="00812E67"/>
    <w:rPr>
      <w:rFonts w:ascii="Times New Roman" w:hAnsi="Times New Roman" w:cs="Times New Roman"/>
      <w:sz w:val="20"/>
      <w:szCs w:val="20"/>
      <w:lang w:val="en-GB" w:eastAsia="ja-JP"/>
    </w:rPr>
  </w:style>
  <w:style w:type="character" w:styleId="FootnoteReference">
    <w:name w:val="footnote reference"/>
    <w:basedOn w:val="DefaultParagraphFont"/>
    <w:uiPriority w:val="99"/>
    <w:semiHidden/>
    <w:unhideWhenUsed/>
    <w:rsid w:val="00812E67"/>
    <w:rPr>
      <w:vertAlign w:val="superscript"/>
    </w:rPr>
  </w:style>
  <w:style w:type="paragraph" w:styleId="Bibliography">
    <w:name w:val="Bibliography"/>
    <w:basedOn w:val="Normal"/>
    <w:next w:val="Normal"/>
    <w:uiPriority w:val="37"/>
    <w:semiHidden/>
    <w:unhideWhenUsed/>
    <w:rsid w:val="00812E67"/>
  </w:style>
  <w:style w:type="paragraph" w:styleId="BlockText">
    <w:name w:val="Block Text"/>
    <w:basedOn w:val="Normal"/>
    <w:uiPriority w:val="99"/>
    <w:semiHidden/>
    <w:unhideWhenUsed/>
    <w:rsid w:val="00812E6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12E67"/>
    <w:pPr>
      <w:spacing w:after="120"/>
    </w:pPr>
  </w:style>
  <w:style w:type="character" w:customStyle="1" w:styleId="BodyTextChar">
    <w:name w:val="Body Text Char"/>
    <w:basedOn w:val="DefaultParagraphFont"/>
    <w:link w:val="BodyText"/>
    <w:uiPriority w:val="99"/>
    <w:semiHidden/>
    <w:rsid w:val="00812E67"/>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812E67"/>
    <w:pPr>
      <w:spacing w:after="120" w:line="480" w:lineRule="auto"/>
    </w:pPr>
  </w:style>
  <w:style w:type="character" w:customStyle="1" w:styleId="BodyText2Char">
    <w:name w:val="Body Text 2 Char"/>
    <w:basedOn w:val="DefaultParagraphFont"/>
    <w:link w:val="BodyText2"/>
    <w:uiPriority w:val="99"/>
    <w:semiHidden/>
    <w:rsid w:val="00812E67"/>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812E67"/>
    <w:pPr>
      <w:spacing w:after="120"/>
    </w:pPr>
    <w:rPr>
      <w:sz w:val="16"/>
      <w:szCs w:val="16"/>
    </w:rPr>
  </w:style>
  <w:style w:type="character" w:customStyle="1" w:styleId="BodyText3Char">
    <w:name w:val="Body Text 3 Char"/>
    <w:basedOn w:val="DefaultParagraphFont"/>
    <w:link w:val="BodyText3"/>
    <w:uiPriority w:val="99"/>
    <w:semiHidden/>
    <w:rsid w:val="00812E67"/>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812E67"/>
    <w:pPr>
      <w:spacing w:after="0"/>
      <w:ind w:firstLine="360"/>
    </w:pPr>
  </w:style>
  <w:style w:type="character" w:customStyle="1" w:styleId="BodyTextFirstIndentChar">
    <w:name w:val="Body Text First Indent Char"/>
    <w:basedOn w:val="BodyTextChar"/>
    <w:link w:val="BodyTextFirstIndent"/>
    <w:uiPriority w:val="99"/>
    <w:semiHidden/>
    <w:rsid w:val="00812E67"/>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812E67"/>
    <w:pPr>
      <w:spacing w:after="120"/>
      <w:ind w:left="360"/>
    </w:pPr>
  </w:style>
  <w:style w:type="character" w:customStyle="1" w:styleId="BodyTextIndentChar">
    <w:name w:val="Body Text Indent Char"/>
    <w:basedOn w:val="DefaultParagraphFont"/>
    <w:link w:val="BodyTextIndent"/>
    <w:uiPriority w:val="99"/>
    <w:semiHidden/>
    <w:rsid w:val="00812E67"/>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812E67"/>
    <w:pPr>
      <w:spacing w:after="0"/>
      <w:ind w:firstLine="360"/>
    </w:pPr>
  </w:style>
  <w:style w:type="character" w:customStyle="1" w:styleId="BodyTextFirstIndent2Char">
    <w:name w:val="Body Text First Indent 2 Char"/>
    <w:basedOn w:val="BodyTextIndentChar"/>
    <w:link w:val="BodyTextFirstIndent2"/>
    <w:uiPriority w:val="99"/>
    <w:semiHidden/>
    <w:rsid w:val="00812E67"/>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812E67"/>
    <w:pPr>
      <w:spacing w:after="120" w:line="480" w:lineRule="auto"/>
      <w:ind w:left="360"/>
    </w:pPr>
  </w:style>
  <w:style w:type="character" w:customStyle="1" w:styleId="BodyTextIndent2Char">
    <w:name w:val="Body Text Indent 2 Char"/>
    <w:basedOn w:val="DefaultParagraphFont"/>
    <w:link w:val="BodyTextIndent2"/>
    <w:uiPriority w:val="99"/>
    <w:semiHidden/>
    <w:rsid w:val="00812E67"/>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812E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12E67"/>
    <w:rPr>
      <w:rFonts w:ascii="Times New Roman" w:hAnsi="Times New Roman" w:cs="Times New Roman"/>
      <w:sz w:val="16"/>
      <w:szCs w:val="16"/>
      <w:lang w:val="en-GB" w:eastAsia="ja-JP"/>
    </w:rPr>
  </w:style>
  <w:style w:type="character" w:styleId="BookTitle">
    <w:name w:val="Book Title"/>
    <w:basedOn w:val="DefaultParagraphFont"/>
    <w:uiPriority w:val="33"/>
    <w:rsid w:val="00812E67"/>
    <w:rPr>
      <w:b/>
      <w:bCs/>
      <w:i/>
      <w:iCs/>
      <w:spacing w:val="5"/>
    </w:rPr>
  </w:style>
  <w:style w:type="paragraph" w:styleId="Closing">
    <w:name w:val="Closing"/>
    <w:basedOn w:val="Normal"/>
    <w:link w:val="ClosingChar"/>
    <w:uiPriority w:val="99"/>
    <w:semiHidden/>
    <w:unhideWhenUsed/>
    <w:rsid w:val="00812E67"/>
    <w:pPr>
      <w:spacing w:before="0"/>
      <w:ind w:left="4320"/>
    </w:pPr>
  </w:style>
  <w:style w:type="character" w:customStyle="1" w:styleId="ClosingChar">
    <w:name w:val="Closing Char"/>
    <w:basedOn w:val="DefaultParagraphFont"/>
    <w:link w:val="Closing"/>
    <w:uiPriority w:val="99"/>
    <w:semiHidden/>
    <w:rsid w:val="00812E67"/>
    <w:rPr>
      <w:rFonts w:ascii="Times New Roman" w:hAnsi="Times New Roman" w:cs="Times New Roman"/>
      <w:sz w:val="24"/>
      <w:szCs w:val="24"/>
      <w:lang w:val="en-GB" w:eastAsia="ja-JP"/>
    </w:rPr>
  </w:style>
  <w:style w:type="paragraph" w:styleId="Date">
    <w:name w:val="Date"/>
    <w:basedOn w:val="Normal"/>
    <w:next w:val="Normal"/>
    <w:link w:val="DateChar"/>
    <w:uiPriority w:val="99"/>
    <w:semiHidden/>
    <w:unhideWhenUsed/>
    <w:rsid w:val="00812E67"/>
  </w:style>
  <w:style w:type="character" w:customStyle="1" w:styleId="DateChar">
    <w:name w:val="Date Char"/>
    <w:basedOn w:val="DefaultParagraphFont"/>
    <w:link w:val="Date"/>
    <w:uiPriority w:val="99"/>
    <w:semiHidden/>
    <w:rsid w:val="00812E67"/>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812E67"/>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12E67"/>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812E67"/>
    <w:pPr>
      <w:spacing w:before="0"/>
    </w:pPr>
  </w:style>
  <w:style w:type="character" w:customStyle="1" w:styleId="E-mailSignatureChar">
    <w:name w:val="E-mail Signature Char"/>
    <w:basedOn w:val="DefaultParagraphFont"/>
    <w:link w:val="E-mailSignature"/>
    <w:uiPriority w:val="99"/>
    <w:semiHidden/>
    <w:rsid w:val="00812E67"/>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812E67"/>
    <w:rPr>
      <w:vertAlign w:val="superscript"/>
    </w:rPr>
  </w:style>
  <w:style w:type="paragraph" w:styleId="EndnoteText">
    <w:name w:val="endnote text"/>
    <w:basedOn w:val="Normal"/>
    <w:link w:val="EndnoteTextChar"/>
    <w:uiPriority w:val="99"/>
    <w:semiHidden/>
    <w:unhideWhenUsed/>
    <w:rsid w:val="00812E67"/>
    <w:pPr>
      <w:spacing w:before="0"/>
    </w:pPr>
    <w:rPr>
      <w:sz w:val="20"/>
      <w:szCs w:val="20"/>
    </w:rPr>
  </w:style>
  <w:style w:type="character" w:customStyle="1" w:styleId="EndnoteTextChar">
    <w:name w:val="Endnote Text Char"/>
    <w:basedOn w:val="DefaultParagraphFont"/>
    <w:link w:val="EndnoteText"/>
    <w:uiPriority w:val="99"/>
    <w:semiHidden/>
    <w:rsid w:val="00812E67"/>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812E67"/>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12E67"/>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12E67"/>
    <w:rPr>
      <w:color w:val="954F72" w:themeColor="followedHyperlink"/>
      <w:u w:val="single"/>
    </w:rPr>
  </w:style>
  <w:style w:type="character" w:styleId="Hashtag">
    <w:name w:val="Hashtag"/>
    <w:basedOn w:val="DefaultParagraphFont"/>
    <w:uiPriority w:val="99"/>
    <w:semiHidden/>
    <w:unhideWhenUsed/>
    <w:rsid w:val="00812E67"/>
    <w:rPr>
      <w:color w:val="2B579A"/>
      <w:shd w:val="clear" w:color="auto" w:fill="E1DFDD"/>
    </w:rPr>
  </w:style>
  <w:style w:type="character" w:styleId="HTMLAcronym">
    <w:name w:val="HTML Acronym"/>
    <w:basedOn w:val="DefaultParagraphFont"/>
    <w:uiPriority w:val="99"/>
    <w:semiHidden/>
    <w:unhideWhenUsed/>
    <w:rsid w:val="00812E67"/>
  </w:style>
  <w:style w:type="paragraph" w:styleId="HTMLAddress">
    <w:name w:val="HTML Address"/>
    <w:basedOn w:val="Normal"/>
    <w:link w:val="HTMLAddressChar"/>
    <w:uiPriority w:val="99"/>
    <w:semiHidden/>
    <w:unhideWhenUsed/>
    <w:rsid w:val="00812E67"/>
    <w:pPr>
      <w:spacing w:before="0"/>
    </w:pPr>
    <w:rPr>
      <w:i/>
      <w:iCs/>
    </w:rPr>
  </w:style>
  <w:style w:type="character" w:customStyle="1" w:styleId="HTMLAddressChar">
    <w:name w:val="HTML Address Char"/>
    <w:basedOn w:val="DefaultParagraphFont"/>
    <w:link w:val="HTMLAddress"/>
    <w:uiPriority w:val="99"/>
    <w:semiHidden/>
    <w:rsid w:val="00812E67"/>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812E67"/>
    <w:rPr>
      <w:i/>
      <w:iCs/>
    </w:rPr>
  </w:style>
  <w:style w:type="character" w:styleId="HTMLCode">
    <w:name w:val="HTML Code"/>
    <w:basedOn w:val="DefaultParagraphFont"/>
    <w:uiPriority w:val="99"/>
    <w:semiHidden/>
    <w:unhideWhenUsed/>
    <w:rsid w:val="00812E67"/>
    <w:rPr>
      <w:rFonts w:ascii="Consolas" w:hAnsi="Consolas"/>
      <w:sz w:val="20"/>
      <w:szCs w:val="20"/>
    </w:rPr>
  </w:style>
  <w:style w:type="character" w:styleId="HTMLDefinition">
    <w:name w:val="HTML Definition"/>
    <w:basedOn w:val="DefaultParagraphFont"/>
    <w:uiPriority w:val="99"/>
    <w:semiHidden/>
    <w:unhideWhenUsed/>
    <w:rsid w:val="00812E67"/>
    <w:rPr>
      <w:i/>
      <w:iCs/>
    </w:rPr>
  </w:style>
  <w:style w:type="character" w:styleId="HTMLKeyboard">
    <w:name w:val="HTML Keyboard"/>
    <w:basedOn w:val="DefaultParagraphFont"/>
    <w:uiPriority w:val="99"/>
    <w:semiHidden/>
    <w:unhideWhenUsed/>
    <w:rsid w:val="00812E67"/>
    <w:rPr>
      <w:rFonts w:ascii="Consolas" w:hAnsi="Consolas"/>
      <w:sz w:val="20"/>
      <w:szCs w:val="20"/>
    </w:rPr>
  </w:style>
  <w:style w:type="paragraph" w:styleId="HTMLPreformatted">
    <w:name w:val="HTML Preformatted"/>
    <w:basedOn w:val="Normal"/>
    <w:link w:val="HTMLPreformattedChar"/>
    <w:uiPriority w:val="99"/>
    <w:semiHidden/>
    <w:unhideWhenUsed/>
    <w:rsid w:val="00812E67"/>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2E67"/>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812E67"/>
    <w:rPr>
      <w:rFonts w:ascii="Consolas" w:hAnsi="Consolas"/>
      <w:sz w:val="24"/>
      <w:szCs w:val="24"/>
    </w:rPr>
  </w:style>
  <w:style w:type="character" w:styleId="HTMLTypewriter">
    <w:name w:val="HTML Typewriter"/>
    <w:basedOn w:val="DefaultParagraphFont"/>
    <w:uiPriority w:val="99"/>
    <w:semiHidden/>
    <w:unhideWhenUsed/>
    <w:rsid w:val="00812E67"/>
    <w:rPr>
      <w:rFonts w:ascii="Consolas" w:hAnsi="Consolas"/>
      <w:sz w:val="20"/>
      <w:szCs w:val="20"/>
    </w:rPr>
  </w:style>
  <w:style w:type="character" w:styleId="HTMLVariable">
    <w:name w:val="HTML Variable"/>
    <w:basedOn w:val="DefaultParagraphFont"/>
    <w:uiPriority w:val="99"/>
    <w:semiHidden/>
    <w:unhideWhenUsed/>
    <w:rsid w:val="00812E67"/>
    <w:rPr>
      <w:i/>
      <w:iCs/>
    </w:rPr>
  </w:style>
  <w:style w:type="paragraph" w:styleId="Index1">
    <w:name w:val="index 1"/>
    <w:basedOn w:val="Normal"/>
    <w:next w:val="Normal"/>
    <w:autoRedefine/>
    <w:uiPriority w:val="99"/>
    <w:semiHidden/>
    <w:unhideWhenUsed/>
    <w:rsid w:val="00812E67"/>
    <w:pPr>
      <w:spacing w:before="0"/>
      <w:ind w:left="240" w:hanging="240"/>
    </w:pPr>
  </w:style>
  <w:style w:type="paragraph" w:styleId="Index2">
    <w:name w:val="index 2"/>
    <w:basedOn w:val="Normal"/>
    <w:next w:val="Normal"/>
    <w:autoRedefine/>
    <w:uiPriority w:val="99"/>
    <w:semiHidden/>
    <w:unhideWhenUsed/>
    <w:rsid w:val="00812E67"/>
    <w:pPr>
      <w:spacing w:before="0"/>
      <w:ind w:left="480" w:hanging="240"/>
    </w:pPr>
  </w:style>
  <w:style w:type="paragraph" w:styleId="Index3">
    <w:name w:val="index 3"/>
    <w:basedOn w:val="Normal"/>
    <w:next w:val="Normal"/>
    <w:autoRedefine/>
    <w:uiPriority w:val="99"/>
    <w:semiHidden/>
    <w:unhideWhenUsed/>
    <w:rsid w:val="00812E67"/>
    <w:pPr>
      <w:spacing w:before="0"/>
      <w:ind w:left="720" w:hanging="240"/>
    </w:pPr>
  </w:style>
  <w:style w:type="paragraph" w:styleId="Index4">
    <w:name w:val="index 4"/>
    <w:basedOn w:val="Normal"/>
    <w:next w:val="Normal"/>
    <w:autoRedefine/>
    <w:uiPriority w:val="99"/>
    <w:semiHidden/>
    <w:unhideWhenUsed/>
    <w:rsid w:val="00812E67"/>
    <w:pPr>
      <w:spacing w:before="0"/>
      <w:ind w:left="960" w:hanging="240"/>
    </w:pPr>
  </w:style>
  <w:style w:type="paragraph" w:styleId="Index5">
    <w:name w:val="index 5"/>
    <w:basedOn w:val="Normal"/>
    <w:next w:val="Normal"/>
    <w:autoRedefine/>
    <w:uiPriority w:val="99"/>
    <w:semiHidden/>
    <w:unhideWhenUsed/>
    <w:rsid w:val="00812E67"/>
    <w:pPr>
      <w:spacing w:before="0"/>
      <w:ind w:left="1200" w:hanging="240"/>
    </w:pPr>
  </w:style>
  <w:style w:type="paragraph" w:styleId="Index6">
    <w:name w:val="index 6"/>
    <w:basedOn w:val="Normal"/>
    <w:next w:val="Normal"/>
    <w:autoRedefine/>
    <w:uiPriority w:val="99"/>
    <w:semiHidden/>
    <w:unhideWhenUsed/>
    <w:rsid w:val="00812E67"/>
    <w:pPr>
      <w:spacing w:before="0"/>
      <w:ind w:left="1440" w:hanging="240"/>
    </w:pPr>
  </w:style>
  <w:style w:type="paragraph" w:styleId="Index7">
    <w:name w:val="index 7"/>
    <w:basedOn w:val="Normal"/>
    <w:next w:val="Normal"/>
    <w:autoRedefine/>
    <w:uiPriority w:val="99"/>
    <w:semiHidden/>
    <w:unhideWhenUsed/>
    <w:rsid w:val="00812E67"/>
    <w:pPr>
      <w:spacing w:before="0"/>
      <w:ind w:left="1680" w:hanging="240"/>
    </w:pPr>
  </w:style>
  <w:style w:type="paragraph" w:styleId="Index8">
    <w:name w:val="index 8"/>
    <w:basedOn w:val="Normal"/>
    <w:next w:val="Normal"/>
    <w:autoRedefine/>
    <w:uiPriority w:val="99"/>
    <w:semiHidden/>
    <w:unhideWhenUsed/>
    <w:rsid w:val="00812E67"/>
    <w:pPr>
      <w:spacing w:before="0"/>
      <w:ind w:left="1920" w:hanging="240"/>
    </w:pPr>
  </w:style>
  <w:style w:type="paragraph" w:styleId="Index9">
    <w:name w:val="index 9"/>
    <w:basedOn w:val="Normal"/>
    <w:next w:val="Normal"/>
    <w:autoRedefine/>
    <w:uiPriority w:val="99"/>
    <w:semiHidden/>
    <w:unhideWhenUsed/>
    <w:rsid w:val="00812E67"/>
    <w:pPr>
      <w:spacing w:before="0"/>
      <w:ind w:left="2160" w:hanging="240"/>
    </w:pPr>
  </w:style>
  <w:style w:type="paragraph" w:styleId="IndexHeading">
    <w:name w:val="index heading"/>
    <w:basedOn w:val="Normal"/>
    <w:next w:val="Index1"/>
    <w:uiPriority w:val="99"/>
    <w:semiHidden/>
    <w:unhideWhenUsed/>
    <w:rsid w:val="00812E67"/>
    <w:rPr>
      <w:rFonts w:asciiTheme="majorHAnsi" w:eastAsiaTheme="majorEastAsia" w:hAnsiTheme="majorHAnsi" w:cstheme="majorBidi"/>
      <w:b/>
      <w:bCs/>
    </w:rPr>
  </w:style>
  <w:style w:type="character" w:styleId="IntenseEmphasis">
    <w:name w:val="Intense Emphasis"/>
    <w:basedOn w:val="DefaultParagraphFont"/>
    <w:uiPriority w:val="21"/>
    <w:rsid w:val="00812E67"/>
    <w:rPr>
      <w:i/>
      <w:iCs/>
      <w:color w:val="5B9BD5" w:themeColor="accent1"/>
    </w:rPr>
  </w:style>
  <w:style w:type="paragraph" w:styleId="IntenseQuote">
    <w:name w:val="Intense Quote"/>
    <w:basedOn w:val="Normal"/>
    <w:next w:val="Normal"/>
    <w:link w:val="IntenseQuoteChar"/>
    <w:uiPriority w:val="30"/>
    <w:rsid w:val="00812E6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12E67"/>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812E67"/>
    <w:rPr>
      <w:b/>
      <w:bCs/>
      <w:smallCaps/>
      <w:color w:val="5B9BD5" w:themeColor="accent1"/>
      <w:spacing w:val="5"/>
    </w:rPr>
  </w:style>
  <w:style w:type="character" w:styleId="LineNumber">
    <w:name w:val="line number"/>
    <w:basedOn w:val="DefaultParagraphFont"/>
    <w:uiPriority w:val="99"/>
    <w:semiHidden/>
    <w:unhideWhenUsed/>
    <w:rsid w:val="00812E67"/>
  </w:style>
  <w:style w:type="paragraph" w:styleId="List">
    <w:name w:val="List"/>
    <w:basedOn w:val="Normal"/>
    <w:uiPriority w:val="99"/>
    <w:semiHidden/>
    <w:unhideWhenUsed/>
    <w:rsid w:val="00812E67"/>
    <w:pPr>
      <w:ind w:left="360" w:hanging="360"/>
      <w:contextualSpacing/>
    </w:pPr>
  </w:style>
  <w:style w:type="paragraph" w:styleId="List2">
    <w:name w:val="List 2"/>
    <w:basedOn w:val="Normal"/>
    <w:uiPriority w:val="99"/>
    <w:semiHidden/>
    <w:unhideWhenUsed/>
    <w:rsid w:val="00812E67"/>
    <w:pPr>
      <w:ind w:left="720" w:hanging="360"/>
      <w:contextualSpacing/>
    </w:pPr>
  </w:style>
  <w:style w:type="paragraph" w:styleId="List3">
    <w:name w:val="List 3"/>
    <w:basedOn w:val="Normal"/>
    <w:uiPriority w:val="99"/>
    <w:semiHidden/>
    <w:unhideWhenUsed/>
    <w:rsid w:val="00812E67"/>
    <w:pPr>
      <w:ind w:left="1080" w:hanging="360"/>
      <w:contextualSpacing/>
    </w:pPr>
  </w:style>
  <w:style w:type="paragraph" w:styleId="List4">
    <w:name w:val="List 4"/>
    <w:basedOn w:val="Normal"/>
    <w:uiPriority w:val="99"/>
    <w:semiHidden/>
    <w:unhideWhenUsed/>
    <w:rsid w:val="00812E67"/>
    <w:pPr>
      <w:ind w:left="1440" w:hanging="360"/>
      <w:contextualSpacing/>
    </w:pPr>
  </w:style>
  <w:style w:type="paragraph" w:styleId="List5">
    <w:name w:val="List 5"/>
    <w:basedOn w:val="Normal"/>
    <w:uiPriority w:val="99"/>
    <w:semiHidden/>
    <w:unhideWhenUsed/>
    <w:rsid w:val="00812E67"/>
    <w:pPr>
      <w:ind w:left="1800" w:hanging="360"/>
      <w:contextualSpacing/>
    </w:pPr>
  </w:style>
  <w:style w:type="paragraph" w:styleId="ListBullet">
    <w:name w:val="List Bullet"/>
    <w:basedOn w:val="Normal"/>
    <w:uiPriority w:val="99"/>
    <w:semiHidden/>
    <w:unhideWhenUsed/>
    <w:rsid w:val="00812E67"/>
    <w:pPr>
      <w:numPr>
        <w:numId w:val="1"/>
      </w:numPr>
      <w:contextualSpacing/>
    </w:pPr>
  </w:style>
  <w:style w:type="paragraph" w:styleId="ListBullet2">
    <w:name w:val="List Bullet 2"/>
    <w:basedOn w:val="Normal"/>
    <w:uiPriority w:val="99"/>
    <w:semiHidden/>
    <w:unhideWhenUsed/>
    <w:rsid w:val="00812E67"/>
    <w:pPr>
      <w:numPr>
        <w:numId w:val="2"/>
      </w:numPr>
      <w:contextualSpacing/>
    </w:pPr>
  </w:style>
  <w:style w:type="paragraph" w:styleId="ListBullet3">
    <w:name w:val="List Bullet 3"/>
    <w:basedOn w:val="Normal"/>
    <w:uiPriority w:val="99"/>
    <w:semiHidden/>
    <w:unhideWhenUsed/>
    <w:rsid w:val="00812E67"/>
    <w:pPr>
      <w:numPr>
        <w:numId w:val="3"/>
      </w:numPr>
      <w:contextualSpacing/>
    </w:pPr>
  </w:style>
  <w:style w:type="paragraph" w:styleId="ListBullet4">
    <w:name w:val="List Bullet 4"/>
    <w:basedOn w:val="Normal"/>
    <w:uiPriority w:val="99"/>
    <w:semiHidden/>
    <w:unhideWhenUsed/>
    <w:rsid w:val="00812E67"/>
    <w:pPr>
      <w:numPr>
        <w:numId w:val="4"/>
      </w:numPr>
      <w:contextualSpacing/>
    </w:pPr>
  </w:style>
  <w:style w:type="paragraph" w:styleId="ListBullet5">
    <w:name w:val="List Bullet 5"/>
    <w:basedOn w:val="Normal"/>
    <w:uiPriority w:val="99"/>
    <w:semiHidden/>
    <w:unhideWhenUsed/>
    <w:rsid w:val="00812E67"/>
    <w:pPr>
      <w:numPr>
        <w:numId w:val="5"/>
      </w:numPr>
      <w:contextualSpacing/>
    </w:pPr>
  </w:style>
  <w:style w:type="paragraph" w:styleId="ListContinue">
    <w:name w:val="List Continue"/>
    <w:basedOn w:val="Normal"/>
    <w:uiPriority w:val="99"/>
    <w:semiHidden/>
    <w:unhideWhenUsed/>
    <w:rsid w:val="00812E67"/>
    <w:pPr>
      <w:spacing w:after="120"/>
      <w:ind w:left="360"/>
      <w:contextualSpacing/>
    </w:pPr>
  </w:style>
  <w:style w:type="paragraph" w:styleId="ListContinue2">
    <w:name w:val="List Continue 2"/>
    <w:basedOn w:val="Normal"/>
    <w:uiPriority w:val="99"/>
    <w:semiHidden/>
    <w:unhideWhenUsed/>
    <w:rsid w:val="00812E67"/>
    <w:pPr>
      <w:spacing w:after="120"/>
      <w:ind w:left="720"/>
      <w:contextualSpacing/>
    </w:pPr>
  </w:style>
  <w:style w:type="paragraph" w:styleId="ListContinue3">
    <w:name w:val="List Continue 3"/>
    <w:basedOn w:val="Normal"/>
    <w:uiPriority w:val="99"/>
    <w:semiHidden/>
    <w:unhideWhenUsed/>
    <w:rsid w:val="00812E67"/>
    <w:pPr>
      <w:spacing w:after="120"/>
      <w:ind w:left="1080"/>
      <w:contextualSpacing/>
    </w:pPr>
  </w:style>
  <w:style w:type="paragraph" w:styleId="ListContinue4">
    <w:name w:val="List Continue 4"/>
    <w:basedOn w:val="Normal"/>
    <w:uiPriority w:val="99"/>
    <w:semiHidden/>
    <w:unhideWhenUsed/>
    <w:rsid w:val="00812E67"/>
    <w:pPr>
      <w:spacing w:after="120"/>
      <w:ind w:left="1440"/>
      <w:contextualSpacing/>
    </w:pPr>
  </w:style>
  <w:style w:type="paragraph" w:styleId="ListContinue5">
    <w:name w:val="List Continue 5"/>
    <w:basedOn w:val="Normal"/>
    <w:uiPriority w:val="99"/>
    <w:semiHidden/>
    <w:unhideWhenUsed/>
    <w:rsid w:val="00812E67"/>
    <w:pPr>
      <w:spacing w:after="120"/>
      <w:ind w:left="1800"/>
      <w:contextualSpacing/>
    </w:pPr>
  </w:style>
  <w:style w:type="paragraph" w:styleId="ListNumber">
    <w:name w:val="List Number"/>
    <w:basedOn w:val="Normal"/>
    <w:uiPriority w:val="99"/>
    <w:semiHidden/>
    <w:unhideWhenUsed/>
    <w:rsid w:val="00812E67"/>
    <w:pPr>
      <w:numPr>
        <w:numId w:val="6"/>
      </w:numPr>
      <w:contextualSpacing/>
    </w:pPr>
  </w:style>
  <w:style w:type="paragraph" w:styleId="ListNumber2">
    <w:name w:val="List Number 2"/>
    <w:basedOn w:val="Normal"/>
    <w:uiPriority w:val="99"/>
    <w:semiHidden/>
    <w:unhideWhenUsed/>
    <w:rsid w:val="00812E67"/>
    <w:pPr>
      <w:numPr>
        <w:numId w:val="7"/>
      </w:numPr>
      <w:contextualSpacing/>
    </w:pPr>
  </w:style>
  <w:style w:type="paragraph" w:styleId="ListNumber3">
    <w:name w:val="List Number 3"/>
    <w:basedOn w:val="Normal"/>
    <w:uiPriority w:val="99"/>
    <w:semiHidden/>
    <w:unhideWhenUsed/>
    <w:rsid w:val="00812E67"/>
    <w:pPr>
      <w:numPr>
        <w:numId w:val="8"/>
      </w:numPr>
      <w:contextualSpacing/>
    </w:pPr>
  </w:style>
  <w:style w:type="paragraph" w:styleId="ListNumber4">
    <w:name w:val="List Number 4"/>
    <w:basedOn w:val="Normal"/>
    <w:uiPriority w:val="99"/>
    <w:semiHidden/>
    <w:unhideWhenUsed/>
    <w:rsid w:val="00812E67"/>
    <w:pPr>
      <w:numPr>
        <w:numId w:val="9"/>
      </w:numPr>
      <w:contextualSpacing/>
    </w:pPr>
  </w:style>
  <w:style w:type="paragraph" w:styleId="ListNumber5">
    <w:name w:val="List Number 5"/>
    <w:basedOn w:val="Normal"/>
    <w:uiPriority w:val="99"/>
    <w:semiHidden/>
    <w:unhideWhenUsed/>
    <w:rsid w:val="00812E67"/>
    <w:pPr>
      <w:numPr>
        <w:numId w:val="10"/>
      </w:numPr>
      <w:contextualSpacing/>
    </w:pPr>
  </w:style>
  <w:style w:type="paragraph" w:styleId="ListParagraph">
    <w:name w:val="List Paragraph"/>
    <w:basedOn w:val="Normal"/>
    <w:uiPriority w:val="34"/>
    <w:rsid w:val="00812E67"/>
    <w:pPr>
      <w:ind w:left="720"/>
      <w:contextualSpacing/>
    </w:pPr>
  </w:style>
  <w:style w:type="paragraph" w:styleId="MacroText">
    <w:name w:val="macro"/>
    <w:link w:val="MacroTextChar"/>
    <w:uiPriority w:val="99"/>
    <w:semiHidden/>
    <w:unhideWhenUsed/>
    <w:rsid w:val="00812E67"/>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812E67"/>
    <w:rPr>
      <w:rFonts w:ascii="Consolas" w:hAnsi="Consolas" w:cs="Times New Roman"/>
      <w:sz w:val="20"/>
      <w:szCs w:val="20"/>
      <w:lang w:val="en-GB" w:eastAsia="ja-JP"/>
    </w:rPr>
  </w:style>
  <w:style w:type="paragraph" w:styleId="MessageHeader">
    <w:name w:val="Message Header"/>
    <w:basedOn w:val="Normal"/>
    <w:link w:val="MessageHeaderChar"/>
    <w:uiPriority w:val="99"/>
    <w:semiHidden/>
    <w:unhideWhenUsed/>
    <w:rsid w:val="00812E67"/>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12E67"/>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812E67"/>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812E67"/>
  </w:style>
  <w:style w:type="paragraph" w:styleId="NormalIndent">
    <w:name w:val="Normal Indent"/>
    <w:basedOn w:val="Normal"/>
    <w:uiPriority w:val="99"/>
    <w:semiHidden/>
    <w:unhideWhenUsed/>
    <w:rsid w:val="00812E67"/>
    <w:pPr>
      <w:ind w:left="720"/>
    </w:pPr>
  </w:style>
  <w:style w:type="paragraph" w:styleId="NoteHeading">
    <w:name w:val="Note Heading"/>
    <w:basedOn w:val="Normal"/>
    <w:next w:val="Normal"/>
    <w:link w:val="NoteHeadingChar"/>
    <w:uiPriority w:val="99"/>
    <w:semiHidden/>
    <w:unhideWhenUsed/>
    <w:rsid w:val="00812E67"/>
    <w:pPr>
      <w:spacing w:before="0"/>
    </w:pPr>
  </w:style>
  <w:style w:type="character" w:customStyle="1" w:styleId="NoteHeadingChar">
    <w:name w:val="Note Heading Char"/>
    <w:basedOn w:val="DefaultParagraphFont"/>
    <w:link w:val="NoteHeading"/>
    <w:uiPriority w:val="99"/>
    <w:semiHidden/>
    <w:rsid w:val="00812E67"/>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812E67"/>
  </w:style>
  <w:style w:type="paragraph" w:styleId="PlainText">
    <w:name w:val="Plain Text"/>
    <w:basedOn w:val="Normal"/>
    <w:link w:val="PlainTextChar"/>
    <w:uiPriority w:val="99"/>
    <w:semiHidden/>
    <w:unhideWhenUsed/>
    <w:rsid w:val="00812E67"/>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812E67"/>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812E67"/>
  </w:style>
  <w:style w:type="character" w:customStyle="1" w:styleId="SalutationChar">
    <w:name w:val="Salutation Char"/>
    <w:basedOn w:val="DefaultParagraphFont"/>
    <w:link w:val="Salutation"/>
    <w:uiPriority w:val="99"/>
    <w:semiHidden/>
    <w:rsid w:val="00812E67"/>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812E67"/>
    <w:pPr>
      <w:spacing w:before="0"/>
      <w:ind w:left="4320"/>
    </w:pPr>
  </w:style>
  <w:style w:type="character" w:customStyle="1" w:styleId="SignatureChar">
    <w:name w:val="Signature Char"/>
    <w:basedOn w:val="DefaultParagraphFont"/>
    <w:link w:val="Signature"/>
    <w:uiPriority w:val="99"/>
    <w:semiHidden/>
    <w:rsid w:val="00812E67"/>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812E67"/>
    <w:rPr>
      <w:u w:val="dotted"/>
    </w:rPr>
  </w:style>
  <w:style w:type="character" w:styleId="SmartLink">
    <w:name w:val="Smart Link"/>
    <w:basedOn w:val="DefaultParagraphFont"/>
    <w:uiPriority w:val="99"/>
    <w:semiHidden/>
    <w:unhideWhenUsed/>
    <w:rsid w:val="00812E67"/>
    <w:rPr>
      <w:color w:val="0000FF"/>
      <w:u w:val="single"/>
      <w:shd w:val="clear" w:color="auto" w:fill="F3F2F1"/>
    </w:rPr>
  </w:style>
  <w:style w:type="character" w:styleId="SubtleEmphasis">
    <w:name w:val="Subtle Emphasis"/>
    <w:basedOn w:val="DefaultParagraphFont"/>
    <w:uiPriority w:val="19"/>
    <w:rsid w:val="00812E67"/>
    <w:rPr>
      <w:i/>
      <w:iCs/>
      <w:color w:val="404040" w:themeColor="text1" w:themeTint="BF"/>
    </w:rPr>
  </w:style>
  <w:style w:type="character" w:styleId="SubtleReference">
    <w:name w:val="Subtle Reference"/>
    <w:basedOn w:val="DefaultParagraphFont"/>
    <w:uiPriority w:val="31"/>
    <w:rsid w:val="00812E67"/>
    <w:rPr>
      <w:smallCaps/>
      <w:color w:val="5A5A5A" w:themeColor="text1" w:themeTint="A5"/>
    </w:rPr>
  </w:style>
  <w:style w:type="paragraph" w:styleId="TableofAuthorities">
    <w:name w:val="table of authorities"/>
    <w:basedOn w:val="Normal"/>
    <w:next w:val="Normal"/>
    <w:uiPriority w:val="99"/>
    <w:semiHidden/>
    <w:unhideWhenUsed/>
    <w:rsid w:val="00812E67"/>
    <w:pPr>
      <w:ind w:left="240" w:hanging="240"/>
    </w:pPr>
  </w:style>
  <w:style w:type="paragraph" w:styleId="Title">
    <w:name w:val="Title"/>
    <w:basedOn w:val="Normal"/>
    <w:next w:val="Normal"/>
    <w:link w:val="TitleChar"/>
    <w:uiPriority w:val="10"/>
    <w:rsid w:val="00812E67"/>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E67"/>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812E67"/>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812E67"/>
    <w:pPr>
      <w:spacing w:after="100"/>
      <w:ind w:left="720"/>
    </w:pPr>
  </w:style>
  <w:style w:type="paragraph" w:styleId="TOC5">
    <w:name w:val="toc 5"/>
    <w:basedOn w:val="Normal"/>
    <w:next w:val="Normal"/>
    <w:autoRedefine/>
    <w:uiPriority w:val="39"/>
    <w:semiHidden/>
    <w:unhideWhenUsed/>
    <w:rsid w:val="00812E67"/>
    <w:pPr>
      <w:spacing w:after="100"/>
      <w:ind w:left="960"/>
    </w:pPr>
  </w:style>
  <w:style w:type="paragraph" w:styleId="TOC6">
    <w:name w:val="toc 6"/>
    <w:basedOn w:val="Normal"/>
    <w:next w:val="Normal"/>
    <w:autoRedefine/>
    <w:uiPriority w:val="39"/>
    <w:semiHidden/>
    <w:unhideWhenUsed/>
    <w:rsid w:val="00812E67"/>
    <w:pPr>
      <w:spacing w:after="100"/>
      <w:ind w:left="1200"/>
    </w:pPr>
  </w:style>
  <w:style w:type="paragraph" w:styleId="TOC7">
    <w:name w:val="toc 7"/>
    <w:basedOn w:val="Normal"/>
    <w:next w:val="Normal"/>
    <w:autoRedefine/>
    <w:uiPriority w:val="39"/>
    <w:semiHidden/>
    <w:unhideWhenUsed/>
    <w:rsid w:val="00812E67"/>
    <w:pPr>
      <w:spacing w:after="100"/>
      <w:ind w:left="1440"/>
    </w:pPr>
  </w:style>
  <w:style w:type="paragraph" w:styleId="TOC8">
    <w:name w:val="toc 8"/>
    <w:basedOn w:val="Normal"/>
    <w:next w:val="Normal"/>
    <w:autoRedefine/>
    <w:uiPriority w:val="39"/>
    <w:semiHidden/>
    <w:unhideWhenUsed/>
    <w:rsid w:val="00812E67"/>
    <w:pPr>
      <w:spacing w:after="100"/>
      <w:ind w:left="1680"/>
    </w:pPr>
  </w:style>
  <w:style w:type="paragraph" w:styleId="TOC9">
    <w:name w:val="toc 9"/>
    <w:basedOn w:val="Normal"/>
    <w:next w:val="Normal"/>
    <w:autoRedefine/>
    <w:uiPriority w:val="39"/>
    <w:semiHidden/>
    <w:unhideWhenUsed/>
    <w:rsid w:val="00812E67"/>
    <w:pPr>
      <w:spacing w:after="100"/>
      <w:ind w:left="1920"/>
    </w:pPr>
  </w:style>
  <w:style w:type="paragraph" w:styleId="TOCHeading">
    <w:name w:val="TOC Heading"/>
    <w:basedOn w:val="Heading1"/>
    <w:next w:val="Normal"/>
    <w:uiPriority w:val="39"/>
    <w:semiHidden/>
    <w:unhideWhenUsed/>
    <w:rsid w:val="00812E67"/>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TSBHeaderQuestion">
    <w:name w:val="TSBHeaderQuestion"/>
    <w:basedOn w:val="Normal"/>
    <w:qFormat/>
    <w:rsid w:val="00900EF1"/>
  </w:style>
  <w:style w:type="paragraph" w:customStyle="1" w:styleId="TSBHeaderSource">
    <w:name w:val="TSBHeaderSource"/>
    <w:basedOn w:val="Normal"/>
    <w:qFormat/>
    <w:rsid w:val="00900EF1"/>
  </w:style>
  <w:style w:type="paragraph" w:customStyle="1" w:styleId="TSBHeaderTitle">
    <w:name w:val="TSBHeaderTitle"/>
    <w:basedOn w:val="Normal"/>
    <w:qFormat/>
    <w:rsid w:val="00900EF1"/>
  </w:style>
  <w:style w:type="paragraph" w:customStyle="1" w:styleId="TSBHeaderSummary">
    <w:name w:val="TSBHeaderSummary"/>
    <w:basedOn w:val="Normal"/>
    <w:rsid w:val="00900EF1"/>
  </w:style>
  <w:style w:type="paragraph" w:customStyle="1" w:styleId="LSApproval">
    <w:name w:val="LSApproval"/>
    <w:basedOn w:val="Normal"/>
    <w:rsid w:val="00A907B3"/>
    <w:rPr>
      <w:bCs/>
    </w:rPr>
  </w:style>
  <w:style w:type="paragraph" w:customStyle="1" w:styleId="TSBHeaderRight14">
    <w:name w:val="TSBHeaderRight14"/>
    <w:basedOn w:val="Normal"/>
    <w:qFormat/>
    <w:rsid w:val="0029296C"/>
    <w:pPr>
      <w:jc w:val="right"/>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8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i-kawamura@kddi.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bhi.sarra@telediffusion.net.t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ifa/t/2025/ls/sg21/sp18-sg21-00156.doc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md/T25-SG21-251006-TD-GEN-0217/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hawihi\ITU\TSBSG21%20-%20Documents\202510-SG21\Follow%20up\OLSs\L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38945037d99bd08aeb4b28f71dea4a48">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2e93fffb5888ca31fb8e02194a54100f"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AC8F61B8-A474-48B5-B197-2DA737778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3.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docProps/app.xml><?xml version="1.0" encoding="utf-8"?>
<Properties xmlns="http://schemas.openxmlformats.org/officeDocument/2006/extended-properties" xmlns:vt="http://schemas.openxmlformats.org/officeDocument/2006/docPropsVTypes">
  <Template>LS template.dotx</Template>
  <TotalTime>3</TotalTime>
  <Pages>3</Pages>
  <Words>1104</Words>
  <Characters>6540</Characters>
  <Application>Microsoft Office Word</Application>
  <DocSecurity>0</DocSecurity>
  <Lines>142</Lines>
  <Paragraphs>74</Paragraphs>
  <ScaleCrop>false</ScaleCrop>
  <HeadingPairs>
    <vt:vector size="2" baseType="variant">
      <vt:variant>
        <vt:lpstr>Title</vt:lpstr>
      </vt:variant>
      <vt:variant>
        <vt:i4>1</vt:i4>
      </vt:variant>
    </vt:vector>
  </HeadingPairs>
  <TitlesOfParts>
    <vt:vector size="1" baseType="lpstr">
      <vt:lpstr>Liaison Statement - Unformatted template (T21)</vt:lpstr>
    </vt:vector>
  </TitlesOfParts>
  <Manager>ITU-T</Manager>
  <Company>International Telecommunication Union (ITU)</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LS/r on lead study group concept (TSAG-LS4)</dc:title>
  <dc:subject/>
  <dc:creator>ITU-T Study Group 21</dc:creator>
  <cp:keywords/>
  <dc:description>TSAG-TD246  For: Geneva, 26-30 January 2026_x000d_Document date: _x000d_Saved by ITU51017913 at 9:55:53 AM on 11/25/2025</dc:description>
  <cp:lastModifiedBy>TSB</cp:lastModifiedBy>
  <cp:revision>4</cp:revision>
  <cp:lastPrinted>2016-12-23T12:52:00Z</cp:lastPrinted>
  <dcterms:created xsi:type="dcterms:W3CDTF">2025-11-25T08:55:00Z</dcterms:created>
  <dcterms:modified xsi:type="dcterms:W3CDTF">2025-11-25T08:57:00Z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y fmtid="{D5CDD505-2E9C-101B-9397-08002B2CF9AE}" pid="3" name="Docnum">
    <vt:lpwstr>TSAG-TD246</vt:lpwstr>
  </property>
  <property fmtid="{D5CDD505-2E9C-101B-9397-08002B2CF9AE}" pid="4" name="Docdate">
    <vt:lpwstr/>
  </property>
  <property fmtid="{D5CDD505-2E9C-101B-9397-08002B2CF9AE}" pid="5" name="Docorlang">
    <vt:lpwstr/>
  </property>
  <property fmtid="{D5CDD505-2E9C-101B-9397-08002B2CF9AE}" pid="6" name="Docbluepink">
    <vt:lpwstr>0/21</vt:lpwstr>
  </property>
  <property fmtid="{D5CDD505-2E9C-101B-9397-08002B2CF9AE}" pid="7" name="Docdest">
    <vt:lpwstr>Geneva, 26-30 January 2026</vt:lpwstr>
  </property>
  <property fmtid="{D5CDD505-2E9C-101B-9397-08002B2CF9AE}" pid="8" name="Docauthor">
    <vt:lpwstr>ITU-T Study Group 21</vt:lpwstr>
  </property>
  <property fmtid="{D5CDD505-2E9C-101B-9397-08002B2CF9AE}" pid="9" name="MediaServiceImageTags">
    <vt:lpwstr/>
  </property>
</Properties>
</file>