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600"/>
        <w:gridCol w:w="3200"/>
        <w:gridCol w:w="226"/>
        <w:gridCol w:w="4026"/>
      </w:tblGrid>
      <w:tr w:rsidR="000F0F27" w:rsidRPr="000F0F27" w14:paraId="036D5378" w14:textId="77777777" w:rsidTr="000F0F27">
        <w:trPr>
          <w:cantSplit/>
        </w:trPr>
        <w:tc>
          <w:tcPr>
            <w:tcW w:w="1132" w:type="dxa"/>
            <w:vMerge w:val="restart"/>
            <w:vAlign w:val="center"/>
          </w:tcPr>
          <w:p w14:paraId="6A0A3A6E" w14:textId="77777777" w:rsidR="000F0F27" w:rsidRPr="000F0F27" w:rsidRDefault="000F0F27" w:rsidP="000F0F27">
            <w:pPr>
              <w:spacing w:before="120" w:after="0" w:line="240" w:lineRule="auto"/>
              <w:jc w:val="center"/>
              <w:rPr>
                <w:rFonts w:ascii="Times New Roman" w:hAnsi="Times New Roman" w:cs="Times New Roman"/>
                <w:sz w:val="20"/>
                <w:szCs w:val="20"/>
              </w:rPr>
            </w:pPr>
            <w:bookmarkStart w:id="0" w:name="dnum" w:colFirst="2" w:colLast="2"/>
            <w:bookmarkStart w:id="1" w:name="dtableau"/>
            <w:r w:rsidRPr="000F0F27">
              <w:rPr>
                <w:rFonts w:ascii="Times New Roman" w:hAnsi="Times New Roman" w:cs="Times New Roman"/>
                <w:noProof/>
              </w:rPr>
              <w:drawing>
                <wp:inline distT="0" distB="0" distL="0" distR="0" wp14:anchorId="1A0A601C" wp14:editId="1B15C6ED">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25706C26" w14:textId="77777777" w:rsidR="000F0F27" w:rsidRPr="000F0F27" w:rsidRDefault="000F0F27" w:rsidP="000F0F27">
            <w:pPr>
              <w:spacing w:before="120" w:after="0" w:line="240" w:lineRule="auto"/>
              <w:rPr>
                <w:rFonts w:ascii="Times New Roman" w:hAnsi="Times New Roman" w:cs="Times New Roman"/>
                <w:sz w:val="16"/>
                <w:szCs w:val="16"/>
              </w:rPr>
            </w:pPr>
            <w:r w:rsidRPr="000F0F27">
              <w:rPr>
                <w:rFonts w:ascii="Times New Roman" w:hAnsi="Times New Roman" w:cs="Times New Roman"/>
                <w:sz w:val="16"/>
                <w:szCs w:val="16"/>
              </w:rPr>
              <w:t>INTERNATIONAL TELECOMMUNICATION UNION</w:t>
            </w:r>
          </w:p>
          <w:p w14:paraId="64F1ADA4" w14:textId="77777777" w:rsidR="000F0F27" w:rsidRPr="000F0F27" w:rsidRDefault="000F0F27" w:rsidP="000F0F27">
            <w:pPr>
              <w:spacing w:before="120" w:after="0" w:line="240" w:lineRule="auto"/>
              <w:rPr>
                <w:rFonts w:ascii="Times New Roman" w:hAnsi="Times New Roman" w:cs="Times New Roman"/>
                <w:b/>
                <w:bCs/>
                <w:sz w:val="26"/>
                <w:szCs w:val="26"/>
              </w:rPr>
            </w:pPr>
            <w:r w:rsidRPr="000F0F27">
              <w:rPr>
                <w:rFonts w:ascii="Times New Roman" w:hAnsi="Times New Roman" w:cs="Times New Roman"/>
                <w:b/>
                <w:bCs/>
                <w:sz w:val="26"/>
                <w:szCs w:val="26"/>
              </w:rPr>
              <w:t>TELECOMMUNICATION</w:t>
            </w:r>
            <w:r w:rsidRPr="000F0F27">
              <w:rPr>
                <w:rFonts w:ascii="Times New Roman" w:hAnsi="Times New Roman" w:cs="Times New Roman"/>
                <w:b/>
                <w:bCs/>
                <w:sz w:val="26"/>
                <w:szCs w:val="26"/>
              </w:rPr>
              <w:br/>
              <w:t>STANDARDIZATION SECTOR</w:t>
            </w:r>
          </w:p>
          <w:p w14:paraId="269F637E" w14:textId="0C9A99A6" w:rsidR="000F0F27" w:rsidRPr="000F0F27" w:rsidRDefault="000F0F27" w:rsidP="000F0F27">
            <w:pPr>
              <w:spacing w:before="120" w:after="0" w:line="240" w:lineRule="auto"/>
              <w:rPr>
                <w:rFonts w:ascii="Times New Roman" w:hAnsi="Times New Roman" w:cs="Times New Roman"/>
                <w:sz w:val="20"/>
                <w:szCs w:val="20"/>
              </w:rPr>
            </w:pPr>
            <w:r w:rsidRPr="000F0F27">
              <w:rPr>
                <w:rFonts w:ascii="Times New Roman" w:hAnsi="Times New Roman" w:cs="Times New Roman"/>
                <w:sz w:val="20"/>
                <w:szCs w:val="20"/>
              </w:rPr>
              <w:t xml:space="preserve">STUDY PERIOD </w:t>
            </w:r>
            <w:r>
              <w:rPr>
                <w:rFonts w:ascii="Times New Roman" w:hAnsi="Times New Roman" w:cs="Times New Roman"/>
                <w:sz w:val="20"/>
              </w:rPr>
              <w:t>2025-2028</w:t>
            </w:r>
          </w:p>
        </w:tc>
        <w:tc>
          <w:tcPr>
            <w:tcW w:w="4026" w:type="dxa"/>
            <w:vAlign w:val="center"/>
          </w:tcPr>
          <w:p w14:paraId="4BB8965D" w14:textId="6F9F4D41" w:rsidR="000F0F27" w:rsidRPr="000F0F27" w:rsidRDefault="000F0F27" w:rsidP="000F0F27">
            <w:pPr>
              <w:pStyle w:val="Docnumber"/>
            </w:pPr>
            <w:r>
              <w:t>TSAG-TD241</w:t>
            </w:r>
          </w:p>
        </w:tc>
      </w:tr>
      <w:tr w:rsidR="000F0F27" w:rsidRPr="000F0F27" w14:paraId="3FA214A0" w14:textId="77777777" w:rsidTr="000F0F27">
        <w:trPr>
          <w:cantSplit/>
        </w:trPr>
        <w:tc>
          <w:tcPr>
            <w:tcW w:w="1132" w:type="dxa"/>
            <w:vMerge/>
          </w:tcPr>
          <w:p w14:paraId="1427C25E" w14:textId="77777777" w:rsidR="000F0F27" w:rsidRPr="000F0F27" w:rsidRDefault="000F0F27" w:rsidP="000F0F27">
            <w:pPr>
              <w:spacing w:before="120" w:after="0" w:line="240" w:lineRule="auto"/>
              <w:rPr>
                <w:rFonts w:ascii="Times New Roman" w:hAnsi="Times New Roman" w:cs="Times New Roman"/>
                <w:smallCaps/>
                <w:sz w:val="20"/>
              </w:rPr>
            </w:pPr>
            <w:bookmarkStart w:id="2" w:name="dsg" w:colFirst="2" w:colLast="2"/>
            <w:bookmarkEnd w:id="0"/>
          </w:p>
        </w:tc>
        <w:tc>
          <w:tcPr>
            <w:tcW w:w="4481" w:type="dxa"/>
            <w:gridSpan w:val="4"/>
            <w:vMerge/>
          </w:tcPr>
          <w:p w14:paraId="54584439" w14:textId="77777777" w:rsidR="000F0F27" w:rsidRPr="000F0F27" w:rsidRDefault="000F0F27" w:rsidP="000F0F27">
            <w:pPr>
              <w:spacing w:before="120" w:after="0" w:line="240" w:lineRule="auto"/>
              <w:rPr>
                <w:rFonts w:ascii="Times New Roman" w:hAnsi="Times New Roman" w:cs="Times New Roman"/>
                <w:smallCaps/>
                <w:sz w:val="20"/>
              </w:rPr>
            </w:pPr>
          </w:p>
        </w:tc>
        <w:tc>
          <w:tcPr>
            <w:tcW w:w="4026" w:type="dxa"/>
          </w:tcPr>
          <w:p w14:paraId="593E21C3" w14:textId="7D4F8B48" w:rsidR="000F0F27" w:rsidRPr="000F0F27" w:rsidRDefault="000F0F27" w:rsidP="000F0F27">
            <w:pPr>
              <w:pStyle w:val="TSBHeaderRight14"/>
              <w:rPr>
                <w:smallCaps/>
              </w:rPr>
            </w:pPr>
            <w:r>
              <w:rPr>
                <w:smallCaps/>
              </w:rPr>
              <w:t>TSAG</w:t>
            </w:r>
          </w:p>
        </w:tc>
      </w:tr>
      <w:bookmarkEnd w:id="2"/>
      <w:tr w:rsidR="000F0F27" w:rsidRPr="000F0F27" w14:paraId="1A29A442" w14:textId="77777777" w:rsidTr="000F0F27">
        <w:trPr>
          <w:cantSplit/>
        </w:trPr>
        <w:tc>
          <w:tcPr>
            <w:tcW w:w="1132" w:type="dxa"/>
            <w:vMerge/>
            <w:tcBorders>
              <w:bottom w:val="single" w:sz="12" w:space="0" w:color="auto"/>
            </w:tcBorders>
          </w:tcPr>
          <w:p w14:paraId="47FE0F59" w14:textId="77777777" w:rsidR="000F0F27" w:rsidRPr="000F0F27" w:rsidRDefault="000F0F27" w:rsidP="000F0F27">
            <w:pPr>
              <w:spacing w:before="120" w:after="0" w:line="240" w:lineRule="auto"/>
              <w:rPr>
                <w:rFonts w:ascii="Times New Roman" w:hAnsi="Times New Roman" w:cs="Times New Roman"/>
                <w:b/>
                <w:bCs/>
                <w:sz w:val="26"/>
              </w:rPr>
            </w:pPr>
          </w:p>
        </w:tc>
        <w:tc>
          <w:tcPr>
            <w:tcW w:w="4481" w:type="dxa"/>
            <w:gridSpan w:val="4"/>
            <w:vMerge/>
            <w:tcBorders>
              <w:bottom w:val="single" w:sz="12" w:space="0" w:color="auto"/>
            </w:tcBorders>
          </w:tcPr>
          <w:p w14:paraId="789F9F46" w14:textId="77777777" w:rsidR="000F0F27" w:rsidRPr="000F0F27" w:rsidRDefault="000F0F27" w:rsidP="000F0F27">
            <w:pPr>
              <w:spacing w:before="120" w:after="0" w:line="240" w:lineRule="auto"/>
              <w:rPr>
                <w:rFonts w:ascii="Times New Roman" w:hAnsi="Times New Roman" w:cs="Times New Roman"/>
                <w:b/>
                <w:bCs/>
                <w:sz w:val="26"/>
              </w:rPr>
            </w:pPr>
          </w:p>
        </w:tc>
        <w:tc>
          <w:tcPr>
            <w:tcW w:w="4026" w:type="dxa"/>
            <w:tcBorders>
              <w:bottom w:val="single" w:sz="12" w:space="0" w:color="auto"/>
            </w:tcBorders>
            <w:vAlign w:val="center"/>
          </w:tcPr>
          <w:p w14:paraId="1EAE2762" w14:textId="77777777" w:rsidR="000F0F27" w:rsidRPr="000F0F27" w:rsidRDefault="000F0F27" w:rsidP="000F0F27">
            <w:pPr>
              <w:pStyle w:val="TSBHeaderRight14"/>
            </w:pPr>
            <w:r w:rsidRPr="000F0F27">
              <w:t>Original: English</w:t>
            </w:r>
          </w:p>
        </w:tc>
      </w:tr>
      <w:tr w:rsidR="000F0F27" w:rsidRPr="000F0F27" w14:paraId="0AE45E41" w14:textId="77777777" w:rsidTr="000F0F27">
        <w:trPr>
          <w:cantSplit/>
        </w:trPr>
        <w:tc>
          <w:tcPr>
            <w:tcW w:w="1587" w:type="dxa"/>
            <w:gridSpan w:val="2"/>
          </w:tcPr>
          <w:p w14:paraId="4A8F40A8" w14:textId="4E847F83" w:rsidR="000F0F27" w:rsidRPr="000F0F27" w:rsidRDefault="000F0F27" w:rsidP="000F0F27">
            <w:pPr>
              <w:spacing w:before="120" w:after="0" w:line="240" w:lineRule="auto"/>
              <w:rPr>
                <w:rFonts w:ascii="Times New Roman" w:hAnsi="Times New Roman" w:cs="Times New Roman"/>
                <w:b/>
                <w:bCs/>
                <w:sz w:val="24"/>
                <w:szCs w:val="24"/>
              </w:rPr>
            </w:pPr>
            <w:bookmarkStart w:id="3" w:name="dbluepink" w:colFirst="1" w:colLast="1"/>
            <w:bookmarkStart w:id="4" w:name="dmeeting" w:colFirst="2" w:colLast="2"/>
          </w:p>
        </w:tc>
        <w:tc>
          <w:tcPr>
            <w:tcW w:w="4026" w:type="dxa"/>
            <w:gridSpan w:val="3"/>
          </w:tcPr>
          <w:p w14:paraId="74B04E36" w14:textId="61C14517" w:rsidR="000F0F27" w:rsidRPr="000F0F27" w:rsidRDefault="000F0F27" w:rsidP="000F0F27">
            <w:pPr>
              <w:pStyle w:val="TSBHeaderQuestion"/>
            </w:pPr>
          </w:p>
        </w:tc>
        <w:tc>
          <w:tcPr>
            <w:tcW w:w="4026" w:type="dxa"/>
          </w:tcPr>
          <w:p w14:paraId="2AB55E03" w14:textId="0102745F" w:rsidR="000F0F27" w:rsidRPr="000F0F27" w:rsidRDefault="000F0F27" w:rsidP="000F0F27">
            <w:pPr>
              <w:pStyle w:val="VenueDate"/>
            </w:pPr>
            <w:r w:rsidRPr="000F0F27">
              <w:t>Geneva, 26-30 January 2026</w:t>
            </w:r>
          </w:p>
        </w:tc>
      </w:tr>
      <w:tr w:rsidR="000F0F27" w:rsidRPr="000F0F27" w14:paraId="0DB455EC" w14:textId="77777777" w:rsidTr="005F7827">
        <w:trPr>
          <w:cantSplit/>
        </w:trPr>
        <w:tc>
          <w:tcPr>
            <w:tcW w:w="9639" w:type="dxa"/>
            <w:gridSpan w:val="6"/>
          </w:tcPr>
          <w:p w14:paraId="3BBDE0C0" w14:textId="77777777" w:rsidR="000F0F27" w:rsidRPr="000F0F27" w:rsidRDefault="000F0F27" w:rsidP="000F0F27">
            <w:pPr>
              <w:spacing w:before="120" w:after="0" w:line="240" w:lineRule="auto"/>
              <w:jc w:val="center"/>
              <w:rPr>
                <w:rFonts w:ascii="Times New Roman" w:hAnsi="Times New Roman" w:cs="Times New Roman"/>
                <w:b/>
                <w:bCs/>
                <w:sz w:val="24"/>
                <w:szCs w:val="24"/>
              </w:rPr>
            </w:pPr>
            <w:bookmarkStart w:id="5" w:name="ddoctype"/>
            <w:bookmarkEnd w:id="3"/>
            <w:bookmarkEnd w:id="4"/>
            <w:r w:rsidRPr="000F0F27">
              <w:rPr>
                <w:rFonts w:ascii="Times New Roman" w:hAnsi="Times New Roman" w:cs="Times New Roman"/>
                <w:b/>
                <w:bCs/>
                <w:sz w:val="24"/>
                <w:szCs w:val="24"/>
              </w:rPr>
              <w:t>TD</w:t>
            </w:r>
          </w:p>
          <w:p w14:paraId="760089D3" w14:textId="5802C367" w:rsidR="000F0F27" w:rsidRPr="000F0F27" w:rsidRDefault="000F0F27" w:rsidP="00AC0B75">
            <w:pPr>
              <w:spacing w:after="0" w:line="240" w:lineRule="auto"/>
              <w:jc w:val="center"/>
              <w:rPr>
                <w:rFonts w:ascii="Times New Roman" w:hAnsi="Times New Roman" w:cs="Times New Roman"/>
                <w:b/>
                <w:bCs/>
                <w:sz w:val="24"/>
                <w:szCs w:val="24"/>
              </w:rPr>
            </w:pPr>
            <w:r w:rsidRPr="000F0F27">
              <w:rPr>
                <w:rFonts w:ascii="Times New Roman" w:hAnsi="Times New Roman" w:cs="Times New Roman"/>
                <w:b/>
                <w:bCs/>
                <w:sz w:val="24"/>
                <w:szCs w:val="24"/>
              </w:rPr>
              <w:t xml:space="preserve">(Ref.: </w:t>
            </w:r>
            <w:hyperlink r:id="rId11" w:history="1">
              <w:r w:rsidR="00AC0B75" w:rsidRPr="00AC0B75">
                <w:rPr>
                  <w:rStyle w:val="Hyperlink"/>
                  <w:rFonts w:ascii="Times New Roman" w:hAnsi="Times New Roman" w:cs="Times New Roman"/>
                  <w:b/>
                  <w:bCs/>
                  <w:sz w:val="24"/>
                  <w:szCs w:val="24"/>
                </w:rPr>
                <w:t>SG20-LS109</w:t>
              </w:r>
            </w:hyperlink>
            <w:r w:rsidRPr="000F0F27">
              <w:rPr>
                <w:rFonts w:ascii="Times New Roman" w:hAnsi="Times New Roman" w:cs="Times New Roman"/>
                <w:b/>
                <w:bCs/>
                <w:sz w:val="24"/>
                <w:szCs w:val="24"/>
              </w:rPr>
              <w:t>)</w:t>
            </w:r>
          </w:p>
        </w:tc>
      </w:tr>
      <w:tr w:rsidR="000F0F27" w:rsidRPr="000F0F27" w14:paraId="230B6B0E" w14:textId="77777777" w:rsidTr="000F0F27">
        <w:trPr>
          <w:cantSplit/>
        </w:trPr>
        <w:tc>
          <w:tcPr>
            <w:tcW w:w="1587" w:type="dxa"/>
            <w:gridSpan w:val="2"/>
          </w:tcPr>
          <w:p w14:paraId="5A50F25C" w14:textId="77777777" w:rsidR="000F0F27" w:rsidRPr="000F0F27" w:rsidRDefault="000F0F27" w:rsidP="000F0F27">
            <w:pPr>
              <w:spacing w:before="120" w:after="0" w:line="240" w:lineRule="auto"/>
              <w:rPr>
                <w:rFonts w:ascii="Times New Roman" w:hAnsi="Times New Roman" w:cs="Times New Roman"/>
                <w:b/>
                <w:bCs/>
                <w:sz w:val="24"/>
                <w:szCs w:val="24"/>
              </w:rPr>
            </w:pPr>
            <w:bookmarkStart w:id="6" w:name="dsource" w:colFirst="1" w:colLast="1"/>
            <w:bookmarkEnd w:id="5"/>
            <w:r w:rsidRPr="000F0F27">
              <w:rPr>
                <w:rFonts w:ascii="Times New Roman" w:hAnsi="Times New Roman" w:cs="Times New Roman"/>
                <w:b/>
                <w:bCs/>
                <w:sz w:val="24"/>
                <w:szCs w:val="24"/>
              </w:rPr>
              <w:t>Source:</w:t>
            </w:r>
          </w:p>
        </w:tc>
        <w:tc>
          <w:tcPr>
            <w:tcW w:w="8052" w:type="dxa"/>
            <w:gridSpan w:val="4"/>
          </w:tcPr>
          <w:p w14:paraId="6E6E9307" w14:textId="56371EB4" w:rsidR="000F0F27" w:rsidRPr="000F0F27" w:rsidRDefault="000F0F27" w:rsidP="000F0F27">
            <w:pPr>
              <w:pStyle w:val="TSBHeaderSource"/>
            </w:pPr>
            <w:r w:rsidRPr="000F0F27">
              <w:t>ITU-T Study Group 20</w:t>
            </w:r>
          </w:p>
        </w:tc>
      </w:tr>
      <w:tr w:rsidR="000F0F27" w:rsidRPr="000F0F27" w14:paraId="41F2C8B3" w14:textId="77777777" w:rsidTr="000F0F27">
        <w:trPr>
          <w:cantSplit/>
        </w:trPr>
        <w:tc>
          <w:tcPr>
            <w:tcW w:w="1587" w:type="dxa"/>
            <w:gridSpan w:val="2"/>
            <w:tcBorders>
              <w:bottom w:val="single" w:sz="8" w:space="0" w:color="auto"/>
            </w:tcBorders>
          </w:tcPr>
          <w:p w14:paraId="0816C724" w14:textId="77777777" w:rsidR="000F0F27" w:rsidRPr="000F0F27" w:rsidRDefault="000F0F27" w:rsidP="000F0F27">
            <w:pPr>
              <w:spacing w:before="120" w:after="0" w:line="240" w:lineRule="auto"/>
              <w:rPr>
                <w:rFonts w:ascii="Times New Roman" w:hAnsi="Times New Roman" w:cs="Times New Roman"/>
                <w:b/>
                <w:bCs/>
                <w:sz w:val="24"/>
                <w:szCs w:val="24"/>
              </w:rPr>
            </w:pPr>
            <w:bookmarkStart w:id="7" w:name="dtitle1" w:colFirst="1" w:colLast="1"/>
            <w:bookmarkEnd w:id="6"/>
            <w:r w:rsidRPr="000F0F27">
              <w:rPr>
                <w:rFonts w:ascii="Times New Roman" w:hAnsi="Times New Roman" w:cs="Times New Roman"/>
                <w:b/>
                <w:bCs/>
                <w:sz w:val="24"/>
                <w:szCs w:val="24"/>
              </w:rPr>
              <w:t>Title:</w:t>
            </w:r>
          </w:p>
        </w:tc>
        <w:tc>
          <w:tcPr>
            <w:tcW w:w="8052" w:type="dxa"/>
            <w:gridSpan w:val="4"/>
            <w:tcBorders>
              <w:bottom w:val="single" w:sz="8" w:space="0" w:color="auto"/>
            </w:tcBorders>
          </w:tcPr>
          <w:p w14:paraId="6CE25564" w14:textId="7263D908" w:rsidR="000F0F27" w:rsidRPr="000F0F27" w:rsidRDefault="000F0F27" w:rsidP="000F0F27">
            <w:pPr>
              <w:pStyle w:val="TSBHeaderTitle"/>
            </w:pPr>
            <w:r w:rsidRPr="000F0F27">
              <w:t>LS/</w:t>
            </w:r>
            <w:proofErr w:type="spellStart"/>
            <w:r>
              <w:t>i</w:t>
            </w:r>
            <w:proofErr w:type="spellEnd"/>
            <w:r>
              <w:t>/</w:t>
            </w:r>
            <w:r w:rsidRPr="000F0F27">
              <w:t>r on lead study group concept (reply to TSAG-LS4)</w:t>
            </w:r>
            <w:r>
              <w:t xml:space="preserve"> [from ITU-T SG20]</w:t>
            </w:r>
          </w:p>
        </w:tc>
      </w:tr>
      <w:bookmarkEnd w:id="1"/>
      <w:bookmarkEnd w:id="7"/>
      <w:tr w:rsidR="00DB4DCF" w:rsidRPr="0059228A" w14:paraId="7112971B" w14:textId="77777777" w:rsidTr="00693BC7">
        <w:trPr>
          <w:cantSplit/>
          <w:trHeight w:val="357"/>
        </w:trPr>
        <w:tc>
          <w:tcPr>
            <w:tcW w:w="9639" w:type="dxa"/>
            <w:gridSpan w:val="6"/>
            <w:tcBorders>
              <w:top w:val="single" w:sz="12" w:space="0" w:color="auto"/>
            </w:tcBorders>
          </w:tcPr>
          <w:p w14:paraId="7AD5A472" w14:textId="77777777" w:rsidR="00DB4DCF" w:rsidRPr="0059228A" w:rsidRDefault="00DB4DCF" w:rsidP="000F0F27">
            <w:pPr>
              <w:spacing w:before="120" w:after="0" w:line="240" w:lineRule="auto"/>
              <w:jc w:val="center"/>
              <w:rPr>
                <w:rFonts w:ascii="Times New Roman" w:eastAsia="DengXian" w:hAnsi="Times New Roman" w:cs="Times New Roman"/>
                <w:b/>
                <w:kern w:val="0"/>
                <w:sz w:val="24"/>
                <w:szCs w:val="24"/>
                <w:lang w:eastAsia="en-GB"/>
                <w14:ligatures w14:val="none"/>
              </w:rPr>
            </w:pPr>
            <w:r w:rsidRPr="0059228A">
              <w:rPr>
                <w:rFonts w:ascii="Times New Roman" w:eastAsia="DengXian" w:hAnsi="Times New Roman" w:cs="Times New Roman"/>
                <w:b/>
                <w:kern w:val="0"/>
                <w:sz w:val="24"/>
                <w:szCs w:val="24"/>
                <w:lang w:eastAsia="en-GB"/>
                <w14:ligatures w14:val="none"/>
              </w:rPr>
              <w:t>LIAISON STATEMENT</w:t>
            </w:r>
          </w:p>
        </w:tc>
      </w:tr>
      <w:tr w:rsidR="00DB4DCF" w:rsidRPr="0059228A" w14:paraId="26A9798D" w14:textId="77777777" w:rsidTr="00693BC7">
        <w:trPr>
          <w:cantSplit/>
          <w:trHeight w:val="357"/>
        </w:trPr>
        <w:tc>
          <w:tcPr>
            <w:tcW w:w="2187" w:type="dxa"/>
            <w:gridSpan w:val="3"/>
          </w:tcPr>
          <w:p w14:paraId="713BE403" w14:textId="77777777" w:rsidR="00DB4DCF" w:rsidRPr="0059228A" w:rsidRDefault="00DB4DCF" w:rsidP="000F0F27">
            <w:pPr>
              <w:spacing w:before="120" w:after="0" w:line="240" w:lineRule="auto"/>
              <w:rPr>
                <w:rFonts w:ascii="Times New Roman" w:eastAsia="DengXian" w:hAnsi="Times New Roman" w:cs="Times New Roman"/>
                <w:b/>
                <w:bCs/>
                <w:kern w:val="0"/>
                <w:sz w:val="24"/>
                <w:szCs w:val="24"/>
                <w:lang w:eastAsia="en-GB"/>
                <w14:ligatures w14:val="none"/>
              </w:rPr>
            </w:pPr>
            <w:r w:rsidRPr="0059228A">
              <w:rPr>
                <w:rFonts w:ascii="Times New Roman" w:eastAsia="DengXian" w:hAnsi="Times New Roman" w:cs="Times New Roman"/>
                <w:b/>
                <w:bCs/>
                <w:kern w:val="0"/>
                <w:sz w:val="24"/>
                <w:szCs w:val="24"/>
                <w:lang w:eastAsia="en-GB"/>
                <w14:ligatures w14:val="none"/>
              </w:rPr>
              <w:t>For action to:</w:t>
            </w:r>
          </w:p>
        </w:tc>
        <w:tc>
          <w:tcPr>
            <w:tcW w:w="7452" w:type="dxa"/>
            <w:gridSpan w:val="3"/>
          </w:tcPr>
          <w:p w14:paraId="21A73503" w14:textId="77777777" w:rsidR="00DB4DCF" w:rsidRPr="0059228A" w:rsidRDefault="00DB4DCF" w:rsidP="000F0F27">
            <w:pPr>
              <w:spacing w:before="120" w:after="0" w:line="240" w:lineRule="auto"/>
              <w:rPr>
                <w:rFonts w:ascii="Times New Roman" w:eastAsia="DengXian" w:hAnsi="Times New Roman" w:cs="Times New Roman"/>
                <w:kern w:val="0"/>
                <w:sz w:val="24"/>
                <w:szCs w:val="24"/>
                <w:lang w:eastAsia="en-GB"/>
                <w14:ligatures w14:val="none"/>
              </w:rPr>
            </w:pPr>
            <w:r w:rsidRPr="0059228A">
              <w:rPr>
                <w:rFonts w:ascii="Times New Roman" w:eastAsia="DengXian" w:hAnsi="Times New Roman" w:cs="Times New Roman"/>
                <w:kern w:val="0"/>
                <w:sz w:val="24"/>
                <w:szCs w:val="24"/>
                <w:lang w:eastAsia="en-GB"/>
                <w14:ligatures w14:val="none"/>
              </w:rPr>
              <w:t>-</w:t>
            </w:r>
          </w:p>
        </w:tc>
      </w:tr>
      <w:tr w:rsidR="00DB4DCF" w:rsidRPr="0059228A" w14:paraId="3073BA19" w14:textId="77777777" w:rsidTr="00693BC7">
        <w:trPr>
          <w:cantSplit/>
          <w:trHeight w:val="357"/>
        </w:trPr>
        <w:tc>
          <w:tcPr>
            <w:tcW w:w="2187" w:type="dxa"/>
            <w:gridSpan w:val="3"/>
          </w:tcPr>
          <w:p w14:paraId="4EA8D84F" w14:textId="77777777" w:rsidR="00DB4DCF" w:rsidRPr="0059228A" w:rsidRDefault="00DB4DCF" w:rsidP="000F0F27">
            <w:pPr>
              <w:spacing w:before="120" w:after="0" w:line="240" w:lineRule="auto"/>
              <w:rPr>
                <w:rFonts w:ascii="Times New Roman" w:eastAsia="DengXian" w:hAnsi="Times New Roman" w:cs="Times New Roman"/>
                <w:b/>
                <w:bCs/>
                <w:kern w:val="0"/>
                <w:sz w:val="24"/>
                <w:szCs w:val="24"/>
                <w:lang w:eastAsia="en-GB"/>
                <w14:ligatures w14:val="none"/>
              </w:rPr>
            </w:pPr>
            <w:r w:rsidRPr="0059228A">
              <w:rPr>
                <w:rFonts w:ascii="Times New Roman" w:eastAsia="DengXian" w:hAnsi="Times New Roman" w:cs="Times New Roman"/>
                <w:b/>
                <w:bCs/>
                <w:kern w:val="0"/>
                <w:sz w:val="24"/>
                <w:szCs w:val="24"/>
                <w:lang w:eastAsia="en-GB"/>
                <w14:ligatures w14:val="none"/>
              </w:rPr>
              <w:t>For information to:</w:t>
            </w:r>
          </w:p>
        </w:tc>
        <w:tc>
          <w:tcPr>
            <w:tcW w:w="7452" w:type="dxa"/>
            <w:gridSpan w:val="3"/>
          </w:tcPr>
          <w:p w14:paraId="3E7F307B" w14:textId="77777777" w:rsidR="00DB4DCF" w:rsidRPr="0059228A" w:rsidRDefault="00DB4DCF" w:rsidP="000F0F27">
            <w:pPr>
              <w:spacing w:before="120" w:after="0" w:line="240" w:lineRule="auto"/>
              <w:rPr>
                <w:rFonts w:ascii="Times New Roman" w:eastAsia="DengXian" w:hAnsi="Times New Roman" w:cs="Times New Roman"/>
                <w:kern w:val="0"/>
                <w:sz w:val="24"/>
                <w:szCs w:val="24"/>
                <w:lang w:eastAsia="en-GB"/>
                <w14:ligatures w14:val="none"/>
              </w:rPr>
            </w:pPr>
            <w:r w:rsidRPr="0059228A">
              <w:rPr>
                <w:rFonts w:ascii="Times New Roman" w:eastAsia="Yu Mincho" w:hAnsi="Times New Roman" w:cs="Times New Roman"/>
                <w:kern w:val="0"/>
                <w:sz w:val="24"/>
                <w:szCs w:val="24"/>
                <w:lang w:eastAsia="ja-JP"/>
                <w14:ligatures w14:val="none"/>
              </w:rPr>
              <w:t>TSAG</w:t>
            </w:r>
          </w:p>
        </w:tc>
      </w:tr>
      <w:tr w:rsidR="00DB4DCF" w:rsidRPr="0059228A" w14:paraId="544D1A79" w14:textId="77777777" w:rsidTr="00693BC7">
        <w:trPr>
          <w:cantSplit/>
          <w:trHeight w:val="357"/>
        </w:trPr>
        <w:tc>
          <w:tcPr>
            <w:tcW w:w="2187" w:type="dxa"/>
            <w:gridSpan w:val="3"/>
          </w:tcPr>
          <w:p w14:paraId="62B71BA2" w14:textId="77777777" w:rsidR="00DB4DCF" w:rsidRPr="0059228A" w:rsidRDefault="00DB4DCF" w:rsidP="000F0F27">
            <w:pPr>
              <w:spacing w:before="120" w:after="0" w:line="240" w:lineRule="auto"/>
              <w:rPr>
                <w:rFonts w:ascii="Times New Roman" w:eastAsia="DengXian" w:hAnsi="Times New Roman" w:cs="Times New Roman"/>
                <w:b/>
                <w:bCs/>
                <w:kern w:val="0"/>
                <w:sz w:val="24"/>
                <w:szCs w:val="24"/>
                <w:lang w:eastAsia="en-GB"/>
                <w14:ligatures w14:val="none"/>
              </w:rPr>
            </w:pPr>
            <w:r w:rsidRPr="0059228A">
              <w:rPr>
                <w:rFonts w:ascii="Times New Roman" w:eastAsia="DengXian" w:hAnsi="Times New Roman" w:cs="Times New Roman"/>
                <w:b/>
                <w:bCs/>
                <w:kern w:val="0"/>
                <w:sz w:val="24"/>
                <w:szCs w:val="24"/>
                <w:lang w:eastAsia="en-GB"/>
                <w14:ligatures w14:val="none"/>
              </w:rPr>
              <w:t>Approval:</w:t>
            </w:r>
          </w:p>
        </w:tc>
        <w:tc>
          <w:tcPr>
            <w:tcW w:w="7452" w:type="dxa"/>
            <w:gridSpan w:val="3"/>
          </w:tcPr>
          <w:p w14:paraId="25AC0BCA" w14:textId="77777777" w:rsidR="00DB4DCF" w:rsidRPr="000F0F27" w:rsidRDefault="00DB4DCF" w:rsidP="000F0F27">
            <w:pPr>
              <w:spacing w:before="120" w:after="0" w:line="240" w:lineRule="auto"/>
              <w:rPr>
                <w:rFonts w:ascii="Times New Roman" w:eastAsia="DengXian" w:hAnsi="Times New Roman" w:cs="Times New Roman"/>
                <w:kern w:val="0"/>
                <w:sz w:val="24"/>
                <w:szCs w:val="24"/>
                <w:lang w:eastAsia="en-GB"/>
                <w14:ligatures w14:val="none"/>
              </w:rPr>
            </w:pPr>
            <w:r w:rsidRPr="000F0F27">
              <w:rPr>
                <w:rFonts w:ascii="Times New Roman" w:eastAsia="DengXian" w:hAnsi="Times New Roman" w:cs="Times New Roman"/>
                <w:kern w:val="0"/>
                <w:sz w:val="24"/>
                <w:szCs w:val="24"/>
                <w:lang w:eastAsia="en-GB"/>
                <w14:ligatures w14:val="none"/>
              </w:rPr>
              <w:t>ITU-T Study Group 20 (Geneva, 25 September 2025)</w:t>
            </w:r>
          </w:p>
        </w:tc>
      </w:tr>
      <w:tr w:rsidR="00DB4DCF" w:rsidRPr="0059228A" w14:paraId="2B5EB094" w14:textId="77777777" w:rsidTr="00693BC7">
        <w:trPr>
          <w:cantSplit/>
          <w:trHeight w:val="357"/>
        </w:trPr>
        <w:tc>
          <w:tcPr>
            <w:tcW w:w="2187" w:type="dxa"/>
            <w:gridSpan w:val="3"/>
            <w:tcBorders>
              <w:bottom w:val="single" w:sz="12" w:space="0" w:color="auto"/>
            </w:tcBorders>
          </w:tcPr>
          <w:p w14:paraId="2CFD88D9" w14:textId="77777777" w:rsidR="00DB4DCF" w:rsidRPr="0059228A" w:rsidRDefault="00DB4DCF" w:rsidP="000F0F27">
            <w:pPr>
              <w:spacing w:before="120" w:after="0" w:line="240" w:lineRule="auto"/>
              <w:rPr>
                <w:rFonts w:ascii="Times New Roman" w:eastAsia="DengXian" w:hAnsi="Times New Roman" w:cs="Times New Roman"/>
                <w:kern w:val="0"/>
                <w:sz w:val="24"/>
                <w:szCs w:val="24"/>
                <w:lang w:eastAsia="en-GB"/>
                <w14:ligatures w14:val="none"/>
              </w:rPr>
            </w:pPr>
            <w:r w:rsidRPr="0059228A">
              <w:rPr>
                <w:rFonts w:ascii="Times New Roman" w:eastAsia="DengXian" w:hAnsi="Times New Roman" w:cs="Times New Roman"/>
                <w:b/>
                <w:kern w:val="0"/>
                <w:sz w:val="24"/>
                <w:szCs w:val="24"/>
                <w:lang w:eastAsia="en-GB"/>
                <w14:ligatures w14:val="none"/>
              </w:rPr>
              <w:t>Deadline:</w:t>
            </w:r>
          </w:p>
        </w:tc>
        <w:tc>
          <w:tcPr>
            <w:tcW w:w="7452" w:type="dxa"/>
            <w:gridSpan w:val="3"/>
            <w:tcBorders>
              <w:bottom w:val="single" w:sz="12" w:space="0" w:color="auto"/>
            </w:tcBorders>
          </w:tcPr>
          <w:p w14:paraId="1577AE19" w14:textId="77777777" w:rsidR="00DB4DCF" w:rsidRPr="0059228A" w:rsidRDefault="00DB4DCF" w:rsidP="000F0F27">
            <w:pPr>
              <w:spacing w:before="120" w:after="0" w:line="240" w:lineRule="auto"/>
              <w:rPr>
                <w:rFonts w:ascii="Times New Roman" w:eastAsia="DengXian" w:hAnsi="Times New Roman" w:cs="Times New Roman"/>
                <w:kern w:val="0"/>
                <w:sz w:val="24"/>
                <w:szCs w:val="24"/>
                <w:lang w:eastAsia="en-GB"/>
                <w14:ligatures w14:val="none"/>
              </w:rPr>
            </w:pPr>
            <w:r w:rsidRPr="0059228A">
              <w:rPr>
                <w:rFonts w:ascii="Times New Roman" w:eastAsia="DengXian" w:hAnsi="Times New Roman" w:cs="Times New Roman"/>
                <w:kern w:val="0"/>
                <w:sz w:val="24"/>
                <w:szCs w:val="24"/>
                <w:lang w:eastAsia="en-GB"/>
                <w14:ligatures w14:val="none"/>
              </w:rPr>
              <w:t>-</w:t>
            </w:r>
          </w:p>
        </w:tc>
      </w:tr>
      <w:tr w:rsidR="00DB4DCF" w:rsidRPr="00AF2AC2" w14:paraId="250778EE" w14:textId="77777777" w:rsidTr="00693BC7">
        <w:trPr>
          <w:trHeight w:val="204"/>
        </w:trPr>
        <w:tc>
          <w:tcPr>
            <w:tcW w:w="2187" w:type="dxa"/>
            <w:gridSpan w:val="3"/>
            <w:tcBorders>
              <w:bottom w:val="single" w:sz="12" w:space="0" w:color="auto"/>
            </w:tcBorders>
          </w:tcPr>
          <w:p w14:paraId="6AA8D9C8" w14:textId="77777777" w:rsidR="00DB4DCF" w:rsidRPr="0059228A" w:rsidRDefault="00DB4DCF" w:rsidP="000F0F27">
            <w:pPr>
              <w:spacing w:before="120" w:after="0" w:line="240" w:lineRule="auto"/>
              <w:rPr>
                <w:rFonts w:ascii="Times New Roman" w:eastAsia="DengXian" w:hAnsi="Times New Roman" w:cs="Times New Roman"/>
                <w:b/>
                <w:bCs/>
                <w:kern w:val="0"/>
                <w:sz w:val="24"/>
                <w:szCs w:val="24"/>
                <w:lang w:eastAsia="en-GB"/>
                <w14:ligatures w14:val="none"/>
              </w:rPr>
            </w:pPr>
            <w:r w:rsidRPr="0059228A">
              <w:rPr>
                <w:rFonts w:ascii="Times New Roman" w:eastAsia="DengXian" w:hAnsi="Times New Roman" w:cs="Times New Roman"/>
                <w:b/>
                <w:bCs/>
                <w:kern w:val="0"/>
                <w:sz w:val="24"/>
                <w:szCs w:val="24"/>
                <w:lang w:eastAsia="en-GB"/>
                <w14:ligatures w14:val="none"/>
              </w:rPr>
              <w:t>Contact:</w:t>
            </w:r>
          </w:p>
        </w:tc>
        <w:tc>
          <w:tcPr>
            <w:tcW w:w="3200" w:type="dxa"/>
            <w:tcBorders>
              <w:bottom w:val="single" w:sz="12" w:space="0" w:color="auto"/>
            </w:tcBorders>
          </w:tcPr>
          <w:p w14:paraId="6AB7BA73" w14:textId="77777777" w:rsidR="00DB4DCF" w:rsidRPr="0059228A" w:rsidRDefault="00DB4DCF" w:rsidP="000F0F27">
            <w:pPr>
              <w:spacing w:before="120" w:after="0" w:line="240" w:lineRule="auto"/>
              <w:rPr>
                <w:rFonts w:ascii="Times New Roman" w:eastAsia="DengXian" w:hAnsi="Times New Roman" w:cs="Times New Roman"/>
                <w:kern w:val="0"/>
                <w:sz w:val="24"/>
                <w:szCs w:val="24"/>
                <w:lang w:eastAsia="en-GB"/>
                <w14:ligatures w14:val="none"/>
              </w:rPr>
            </w:pPr>
            <w:r w:rsidRPr="0059228A">
              <w:rPr>
                <w:rFonts w:ascii="Times New Roman" w:eastAsia="DengXian" w:hAnsi="Times New Roman" w:cs="Times New Roman"/>
                <w:kern w:val="0"/>
                <w:sz w:val="24"/>
                <w:szCs w:val="24"/>
                <w:lang w:eastAsia="en-GB"/>
                <w14:ligatures w14:val="none"/>
              </w:rPr>
              <w:t>Hyoung Jun Kim</w:t>
            </w:r>
            <w:r w:rsidRPr="0059228A">
              <w:rPr>
                <w:rFonts w:ascii="Times New Roman" w:eastAsia="DengXian" w:hAnsi="Times New Roman" w:cs="Times New Roman"/>
                <w:kern w:val="0"/>
                <w:sz w:val="24"/>
                <w:szCs w:val="24"/>
                <w:lang w:eastAsia="en-GB"/>
                <w14:ligatures w14:val="none"/>
              </w:rPr>
              <w:br/>
              <w:t>Study Group 20 Chair</w:t>
            </w:r>
          </w:p>
        </w:tc>
        <w:tc>
          <w:tcPr>
            <w:tcW w:w="4252" w:type="dxa"/>
            <w:gridSpan w:val="2"/>
            <w:tcBorders>
              <w:bottom w:val="single" w:sz="12" w:space="0" w:color="auto"/>
            </w:tcBorders>
          </w:tcPr>
          <w:p w14:paraId="4C9AC893" w14:textId="77777777" w:rsidR="004038BB" w:rsidRPr="004038BB" w:rsidRDefault="004038BB" w:rsidP="000F0F27">
            <w:pPr>
              <w:spacing w:before="120" w:after="0" w:line="240" w:lineRule="auto"/>
              <w:rPr>
                <w:rFonts w:ascii="Times New Roman" w:eastAsia="DengXian" w:hAnsi="Times New Roman" w:cs="Times New Roman"/>
                <w:kern w:val="0"/>
                <w:sz w:val="24"/>
                <w:szCs w:val="24"/>
                <w:lang w:val="de-DE" w:eastAsia="en-GB"/>
                <w14:ligatures w14:val="none"/>
              </w:rPr>
            </w:pPr>
            <w:r w:rsidRPr="004038BB">
              <w:rPr>
                <w:rFonts w:ascii="Times New Roman" w:eastAsia="DengXian" w:hAnsi="Times New Roman" w:cs="Times New Roman"/>
                <w:kern w:val="0"/>
                <w:sz w:val="24"/>
                <w:szCs w:val="24"/>
                <w:lang w:val="de-DE" w:eastAsia="en-GB"/>
                <w14:ligatures w14:val="none"/>
              </w:rPr>
              <w:t xml:space="preserve">Tel: </w:t>
            </w:r>
            <w:r w:rsidRPr="004038BB">
              <w:rPr>
                <w:rFonts w:ascii="Times New Roman" w:eastAsia="DengXian" w:hAnsi="Times New Roman" w:cs="Times New Roman"/>
                <w:kern w:val="0"/>
                <w:sz w:val="24"/>
                <w:szCs w:val="24"/>
                <w:lang w:val="de-DE" w:eastAsia="en-GB"/>
                <w14:ligatures w14:val="none"/>
              </w:rPr>
              <w:tab/>
              <w:t>+82 428606576</w:t>
            </w:r>
          </w:p>
          <w:p w14:paraId="690D9BE5" w14:textId="77777777" w:rsidR="004038BB" w:rsidRPr="004038BB" w:rsidRDefault="004038BB" w:rsidP="000F0F27">
            <w:pPr>
              <w:spacing w:after="0" w:line="240" w:lineRule="auto"/>
              <w:rPr>
                <w:rFonts w:ascii="Times New Roman" w:eastAsia="DengXian" w:hAnsi="Times New Roman" w:cs="Times New Roman"/>
                <w:kern w:val="0"/>
                <w:sz w:val="24"/>
                <w:szCs w:val="24"/>
                <w:lang w:val="de-DE" w:eastAsia="en-GB"/>
                <w14:ligatures w14:val="none"/>
              </w:rPr>
            </w:pPr>
            <w:r w:rsidRPr="004038BB">
              <w:rPr>
                <w:rFonts w:ascii="Times New Roman" w:eastAsia="DengXian" w:hAnsi="Times New Roman" w:cs="Times New Roman"/>
                <w:kern w:val="0"/>
                <w:sz w:val="24"/>
                <w:szCs w:val="24"/>
                <w:lang w:val="de-DE" w:eastAsia="en-GB"/>
                <w14:ligatures w14:val="none"/>
              </w:rPr>
              <w:t xml:space="preserve">Fax: </w:t>
            </w:r>
            <w:r w:rsidRPr="004038BB">
              <w:rPr>
                <w:rFonts w:ascii="Times New Roman" w:eastAsia="DengXian" w:hAnsi="Times New Roman" w:cs="Times New Roman"/>
                <w:kern w:val="0"/>
                <w:sz w:val="24"/>
                <w:szCs w:val="24"/>
                <w:lang w:val="de-DE" w:eastAsia="en-GB"/>
                <w14:ligatures w14:val="none"/>
              </w:rPr>
              <w:tab/>
              <w:t>+82 428615404</w:t>
            </w:r>
          </w:p>
          <w:p w14:paraId="2578C417" w14:textId="5DE4C267" w:rsidR="00DB4DCF" w:rsidRPr="0059228A" w:rsidRDefault="004038BB" w:rsidP="000F0F27">
            <w:pPr>
              <w:spacing w:after="0" w:line="240" w:lineRule="auto"/>
              <w:rPr>
                <w:rFonts w:ascii="Times New Roman" w:eastAsia="DengXian" w:hAnsi="Times New Roman" w:cs="Times New Roman"/>
                <w:kern w:val="0"/>
                <w:sz w:val="24"/>
                <w:szCs w:val="24"/>
                <w:lang w:val="de-DE" w:eastAsia="en-GB"/>
                <w14:ligatures w14:val="none"/>
              </w:rPr>
            </w:pPr>
            <w:r w:rsidRPr="004038BB">
              <w:rPr>
                <w:rFonts w:ascii="Times New Roman" w:eastAsia="DengXian" w:hAnsi="Times New Roman" w:cs="Times New Roman"/>
                <w:kern w:val="0"/>
                <w:sz w:val="24"/>
                <w:szCs w:val="24"/>
                <w:lang w:val="de-DE" w:eastAsia="en-GB"/>
                <w14:ligatures w14:val="none"/>
              </w:rPr>
              <w:t>E-mail:</w:t>
            </w:r>
            <w:r>
              <w:rPr>
                <w:rFonts w:ascii="Times New Roman" w:eastAsia="DengXian" w:hAnsi="Times New Roman" w:cs="Times New Roman"/>
                <w:kern w:val="0"/>
                <w:sz w:val="24"/>
                <w:szCs w:val="24"/>
                <w:lang w:val="de-DE" w:eastAsia="en-GB"/>
                <w14:ligatures w14:val="none"/>
              </w:rPr>
              <w:t xml:space="preserve"> </w:t>
            </w:r>
            <w:hyperlink r:id="rId12" w:history="1">
              <w:r w:rsidRPr="00A627F2">
                <w:rPr>
                  <w:rStyle w:val="Hyperlink"/>
                  <w:rFonts w:ascii="Times New Roman" w:eastAsia="DengXian" w:hAnsi="Times New Roman" w:cs="Times New Roman"/>
                  <w:kern w:val="0"/>
                  <w:sz w:val="24"/>
                  <w:szCs w:val="24"/>
                  <w:lang w:val="de-DE" w:eastAsia="en-GB"/>
                  <w14:ligatures w14:val="none"/>
                </w:rPr>
                <w:t>khj@etri.re.kr</w:t>
              </w:r>
            </w:hyperlink>
            <w:r>
              <w:rPr>
                <w:rFonts w:ascii="Times New Roman" w:eastAsia="DengXian" w:hAnsi="Times New Roman" w:cs="Times New Roman"/>
                <w:kern w:val="0"/>
                <w:sz w:val="24"/>
                <w:szCs w:val="24"/>
                <w:lang w:val="de-DE" w:eastAsia="en-GB"/>
                <w14:ligatures w14:val="none"/>
              </w:rPr>
              <w:t xml:space="preserve"> </w:t>
            </w:r>
          </w:p>
        </w:tc>
      </w:tr>
    </w:tbl>
    <w:p w14:paraId="2CA19BD3" w14:textId="77777777" w:rsidR="00DB4DCF" w:rsidRPr="003820DE" w:rsidRDefault="00DB4DCF" w:rsidP="003820DE">
      <w:pPr>
        <w:spacing w:before="120" w:after="0" w:line="240" w:lineRule="auto"/>
        <w:rPr>
          <w:rFonts w:ascii="Times New Roman" w:eastAsia="DengXian" w:hAnsi="Times New Roman" w:cs="Times New Roman"/>
          <w:kern w:val="0"/>
          <w:sz w:val="24"/>
          <w:szCs w:val="24"/>
          <w:lang w:val="de-DE" w:eastAsia="en-GB"/>
          <w14:ligatures w14:val="none"/>
        </w:rPr>
      </w:pPr>
    </w:p>
    <w:tbl>
      <w:tblPr>
        <w:tblW w:w="9640" w:type="dxa"/>
        <w:tblLayout w:type="fixed"/>
        <w:tblCellMar>
          <w:left w:w="57" w:type="dxa"/>
          <w:right w:w="57" w:type="dxa"/>
        </w:tblCellMar>
        <w:tblLook w:val="0000" w:firstRow="0" w:lastRow="0" w:firstColumn="0" w:lastColumn="0" w:noHBand="0" w:noVBand="0"/>
      </w:tblPr>
      <w:tblGrid>
        <w:gridCol w:w="1418"/>
        <w:gridCol w:w="8222"/>
      </w:tblGrid>
      <w:tr w:rsidR="00DB4DCF" w:rsidRPr="0059228A" w14:paraId="0AEE90C2" w14:textId="77777777" w:rsidTr="00693BC7">
        <w:trPr>
          <w:cantSplit/>
        </w:trPr>
        <w:tc>
          <w:tcPr>
            <w:tcW w:w="1418" w:type="dxa"/>
          </w:tcPr>
          <w:p w14:paraId="4EE3C0AC" w14:textId="77777777" w:rsidR="00DB4DCF" w:rsidRPr="0059228A" w:rsidRDefault="00DB4DCF" w:rsidP="003820DE">
            <w:pPr>
              <w:spacing w:before="120" w:after="0" w:line="240" w:lineRule="auto"/>
              <w:rPr>
                <w:rFonts w:ascii="Times New Roman" w:eastAsia="DengXian" w:hAnsi="Times New Roman" w:cs="Times New Roman"/>
                <w:b/>
                <w:bCs/>
                <w:kern w:val="0"/>
                <w:sz w:val="24"/>
                <w:szCs w:val="24"/>
                <w:lang w:eastAsia="en-GB"/>
                <w14:ligatures w14:val="none"/>
              </w:rPr>
            </w:pPr>
            <w:r w:rsidRPr="0059228A">
              <w:rPr>
                <w:rFonts w:ascii="Times New Roman" w:eastAsia="DengXian" w:hAnsi="Times New Roman" w:cs="Times New Roman"/>
                <w:b/>
                <w:bCs/>
                <w:kern w:val="0"/>
                <w:sz w:val="24"/>
                <w:szCs w:val="24"/>
                <w:lang w:eastAsia="en-GB"/>
                <w14:ligatures w14:val="none"/>
              </w:rPr>
              <w:t>Abstract:</w:t>
            </w:r>
          </w:p>
        </w:tc>
        <w:sdt>
          <w:sdtPr>
            <w:rPr>
              <w:rFonts w:ascii="Times New Roman" w:eastAsia="Yu Mincho" w:hAnsi="Times New Roman" w:cs="Times New Roman"/>
              <w:kern w:val="0"/>
              <w:sz w:val="24"/>
              <w:szCs w:val="24"/>
              <w:lang w:eastAsia="ja-JP"/>
              <w14:ligatures w14:val="none"/>
            </w:rPr>
            <w:alias w:val="Abstract"/>
            <w:tag w:val="Abstract"/>
            <w:id w:val="1707609662"/>
            <w:placeholder>
              <w:docPart w:val="ED684377B4164D32AED89BB8AEB6939C"/>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222" w:type="dxa"/>
              </w:tcPr>
              <w:p w14:paraId="12636A38" w14:textId="56BD1218" w:rsidR="00DB4DCF" w:rsidRPr="0059228A" w:rsidRDefault="00AF2AC2" w:rsidP="003820DE">
                <w:pPr>
                  <w:spacing w:before="120" w:after="0" w:line="240" w:lineRule="auto"/>
                  <w:rPr>
                    <w:rFonts w:ascii="Times New Roman" w:eastAsia="DengXian" w:hAnsi="Times New Roman" w:cs="Times New Roman"/>
                    <w:kern w:val="0"/>
                    <w:sz w:val="24"/>
                    <w:szCs w:val="24"/>
                    <w:highlight w:val="yellow"/>
                    <w:lang w:eastAsia="en-GB"/>
                    <w14:ligatures w14:val="none"/>
                  </w:rPr>
                </w:pPr>
                <w:r w:rsidRPr="0059228A">
                  <w:rPr>
                    <w:rFonts w:ascii="Times New Roman" w:eastAsia="Yu Mincho" w:hAnsi="Times New Roman" w:cs="Times New Roman"/>
                    <w:kern w:val="0"/>
                    <w:sz w:val="24"/>
                    <w:szCs w:val="24"/>
                    <w:lang w:eastAsia="ja-JP"/>
                    <w14:ligatures w14:val="none"/>
                  </w:rPr>
                  <w:t>This liaison statement contains the response of ITU-T Study Group 20 to TSAG on lead study group concept.</w:t>
                </w:r>
              </w:p>
            </w:tc>
          </w:sdtContent>
        </w:sdt>
      </w:tr>
    </w:tbl>
    <w:p w14:paraId="32DA1EF9" w14:textId="1F2D5EB1" w:rsidR="00DB4DCF" w:rsidRPr="0059228A" w:rsidRDefault="00DB4DCF" w:rsidP="003820DE">
      <w:pPr>
        <w:spacing w:before="120" w:after="0"/>
        <w:rPr>
          <w:rFonts w:ascii="Times New Roman" w:hAnsi="Times New Roman" w:cs="Times New Roman"/>
          <w:sz w:val="24"/>
          <w:szCs w:val="24"/>
        </w:rPr>
      </w:pPr>
      <w:r w:rsidRPr="0059228A">
        <w:rPr>
          <w:rFonts w:ascii="Times New Roman" w:hAnsi="Times New Roman" w:cs="Times New Roman"/>
          <w:sz w:val="24"/>
          <w:szCs w:val="24"/>
        </w:rPr>
        <w:t xml:space="preserve">This liaison statement answers </w:t>
      </w:r>
      <w:hyperlink r:id="rId13" w:tooltip="ITU-T ftp file restricted to TIES access only" w:history="1">
        <w:r w:rsidR="00797234" w:rsidRPr="0059228A">
          <w:rPr>
            <w:rStyle w:val="Hyperlink"/>
            <w:rFonts w:ascii="Times New Roman" w:hAnsi="Times New Roman" w:cs="Times New Roman"/>
            <w:sz w:val="24"/>
            <w:szCs w:val="24"/>
          </w:rPr>
          <w:t>TSAG-LS4</w:t>
        </w:r>
      </w:hyperlink>
      <w:r w:rsidRPr="0059228A">
        <w:rPr>
          <w:rFonts w:ascii="Times New Roman" w:hAnsi="Times New Roman" w:cs="Times New Roman"/>
          <w:sz w:val="24"/>
          <w:szCs w:val="24"/>
        </w:rPr>
        <w:t>.</w:t>
      </w:r>
    </w:p>
    <w:p w14:paraId="6D91B759" w14:textId="1067E965"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sz w:val="24"/>
          <w:szCs w:val="24"/>
        </w:rPr>
        <w:t xml:space="preserve">ITU-T Study Group 20 (SG20) thanks TSAG for its </w:t>
      </w:r>
      <w:r w:rsidR="00AF2AC2">
        <w:rPr>
          <w:rFonts w:ascii="Times New Roman" w:hAnsi="Times New Roman" w:cs="Times New Roman"/>
          <w:sz w:val="24"/>
          <w:szCs w:val="24"/>
        </w:rPr>
        <w:t>l</w:t>
      </w:r>
      <w:r w:rsidRPr="0059228A">
        <w:rPr>
          <w:rFonts w:ascii="Times New Roman" w:hAnsi="Times New Roman" w:cs="Times New Roman"/>
          <w:sz w:val="24"/>
          <w:szCs w:val="24"/>
        </w:rPr>
        <w:t xml:space="preserve">iaison </w:t>
      </w:r>
      <w:r w:rsidR="00AF2AC2">
        <w:rPr>
          <w:rFonts w:ascii="Times New Roman" w:hAnsi="Times New Roman" w:cs="Times New Roman"/>
          <w:sz w:val="24"/>
          <w:szCs w:val="24"/>
        </w:rPr>
        <w:t>s</w:t>
      </w:r>
      <w:r w:rsidRPr="0059228A">
        <w:rPr>
          <w:rFonts w:ascii="Times New Roman" w:hAnsi="Times New Roman" w:cs="Times New Roman"/>
          <w:sz w:val="24"/>
          <w:szCs w:val="24"/>
        </w:rPr>
        <w:t>tatement requesting input on the review of the Lead Study Group (LSG) mechanism as instructed by WTSA-24 Action Plan items 22–29.</w:t>
      </w:r>
    </w:p>
    <w:p w14:paraId="3D6501E5" w14:textId="5CDC7C47" w:rsidR="00FC76B3" w:rsidRPr="0059228A" w:rsidRDefault="003820DE" w:rsidP="003820DE">
      <w:pPr>
        <w:spacing w:before="120" w:after="0"/>
        <w:rPr>
          <w:rFonts w:ascii="Times New Roman" w:hAnsi="Times New Roman" w:cs="Times New Roman"/>
          <w:sz w:val="24"/>
          <w:szCs w:val="24"/>
        </w:rPr>
      </w:pPr>
      <w:r>
        <w:rPr>
          <w:rFonts w:ascii="Times New Roman" w:hAnsi="Times New Roman" w:cs="Times New Roman"/>
          <w:sz w:val="24"/>
          <w:szCs w:val="24"/>
        </w:rPr>
        <w:t xml:space="preserve">ITU-T </w:t>
      </w:r>
      <w:r w:rsidR="00FC76B3" w:rsidRPr="0059228A">
        <w:rPr>
          <w:rFonts w:ascii="Times New Roman" w:hAnsi="Times New Roman" w:cs="Times New Roman"/>
          <w:sz w:val="24"/>
          <w:szCs w:val="24"/>
        </w:rPr>
        <w:t xml:space="preserve">SG20 recognizes the importance of this review process and welcomes the opportunity to contribute its experience as: </w:t>
      </w:r>
    </w:p>
    <w:p w14:paraId="0172C484" w14:textId="7D718A13" w:rsidR="00FC76B3" w:rsidRPr="0059228A" w:rsidRDefault="00FC76B3" w:rsidP="003820DE">
      <w:pPr>
        <w:numPr>
          <w:ilvl w:val="0"/>
          <w:numId w:val="9"/>
        </w:numPr>
        <w:spacing w:before="120" w:after="0"/>
        <w:rPr>
          <w:rFonts w:ascii="Times New Roman" w:hAnsi="Times New Roman" w:cs="Times New Roman"/>
          <w:sz w:val="24"/>
          <w:szCs w:val="24"/>
        </w:rPr>
      </w:pPr>
      <w:r w:rsidRPr="0059228A">
        <w:rPr>
          <w:rFonts w:ascii="Times New Roman" w:hAnsi="Times New Roman" w:cs="Times New Roman"/>
          <w:sz w:val="24"/>
          <w:szCs w:val="24"/>
        </w:rPr>
        <w:t xml:space="preserve">Lead study group on the Internet of </w:t>
      </w:r>
      <w:r w:rsidR="00AF2AC2">
        <w:rPr>
          <w:rFonts w:ascii="Times New Roman" w:hAnsi="Times New Roman" w:cs="Times New Roman"/>
          <w:sz w:val="24"/>
          <w:szCs w:val="24"/>
        </w:rPr>
        <w:t>t</w:t>
      </w:r>
      <w:r w:rsidRPr="0059228A">
        <w:rPr>
          <w:rFonts w:ascii="Times New Roman" w:hAnsi="Times New Roman" w:cs="Times New Roman"/>
          <w:sz w:val="24"/>
          <w:szCs w:val="24"/>
        </w:rPr>
        <w:t>hings and its applications</w:t>
      </w:r>
    </w:p>
    <w:p w14:paraId="2AE9A265" w14:textId="77777777" w:rsidR="00FC76B3" w:rsidRPr="0059228A" w:rsidRDefault="00FC76B3" w:rsidP="003820DE">
      <w:pPr>
        <w:numPr>
          <w:ilvl w:val="0"/>
          <w:numId w:val="9"/>
        </w:numPr>
        <w:spacing w:before="120" w:after="0"/>
        <w:rPr>
          <w:rFonts w:ascii="Times New Roman" w:hAnsi="Times New Roman" w:cs="Times New Roman"/>
          <w:sz w:val="24"/>
          <w:szCs w:val="24"/>
        </w:rPr>
      </w:pPr>
      <w:r w:rsidRPr="0059228A">
        <w:rPr>
          <w:rFonts w:ascii="Times New Roman" w:hAnsi="Times New Roman" w:cs="Times New Roman"/>
          <w:sz w:val="24"/>
          <w:szCs w:val="24"/>
        </w:rPr>
        <w:t xml:space="preserve">Lead study group on smart sustainable cities and communities and related digital services, including effective energy management, digital twins and </w:t>
      </w:r>
      <w:proofErr w:type="spellStart"/>
      <w:r w:rsidRPr="0059228A">
        <w:rPr>
          <w:rFonts w:ascii="Times New Roman" w:hAnsi="Times New Roman" w:cs="Times New Roman"/>
          <w:sz w:val="24"/>
          <w:szCs w:val="24"/>
        </w:rPr>
        <w:t>citiverse</w:t>
      </w:r>
      <w:proofErr w:type="spellEnd"/>
    </w:p>
    <w:p w14:paraId="6007B723" w14:textId="07CAF890" w:rsidR="00FC76B3" w:rsidRPr="0059228A" w:rsidRDefault="00FC76B3" w:rsidP="003820DE">
      <w:pPr>
        <w:numPr>
          <w:ilvl w:val="0"/>
          <w:numId w:val="9"/>
        </w:numPr>
        <w:spacing w:before="120" w:after="0"/>
        <w:rPr>
          <w:rFonts w:ascii="Times New Roman" w:hAnsi="Times New Roman" w:cs="Times New Roman"/>
          <w:sz w:val="24"/>
          <w:szCs w:val="24"/>
        </w:rPr>
      </w:pPr>
      <w:r w:rsidRPr="0059228A">
        <w:rPr>
          <w:rFonts w:ascii="Times New Roman" w:hAnsi="Times New Roman" w:cs="Times New Roman"/>
          <w:sz w:val="24"/>
          <w:szCs w:val="24"/>
        </w:rPr>
        <w:t xml:space="preserve">Lead study group for Internet of </w:t>
      </w:r>
      <w:r w:rsidR="00AF2AC2">
        <w:rPr>
          <w:rFonts w:ascii="Times New Roman" w:hAnsi="Times New Roman" w:cs="Times New Roman"/>
          <w:sz w:val="24"/>
          <w:szCs w:val="24"/>
        </w:rPr>
        <w:t>t</w:t>
      </w:r>
      <w:r w:rsidRPr="0059228A">
        <w:rPr>
          <w:rFonts w:ascii="Times New Roman" w:hAnsi="Times New Roman" w:cs="Times New Roman"/>
          <w:sz w:val="24"/>
          <w:szCs w:val="24"/>
        </w:rPr>
        <w:t>hings identification</w:t>
      </w:r>
    </w:p>
    <w:p w14:paraId="230992C5" w14:textId="10AE50F5" w:rsidR="00FC76B3" w:rsidRPr="0059228A" w:rsidRDefault="00FC76B3" w:rsidP="003820DE">
      <w:pPr>
        <w:numPr>
          <w:ilvl w:val="0"/>
          <w:numId w:val="9"/>
        </w:numPr>
        <w:spacing w:before="120" w:after="0"/>
        <w:rPr>
          <w:rFonts w:ascii="Times New Roman" w:hAnsi="Times New Roman" w:cs="Times New Roman"/>
          <w:sz w:val="24"/>
          <w:szCs w:val="24"/>
        </w:rPr>
      </w:pPr>
      <w:r w:rsidRPr="0059228A">
        <w:rPr>
          <w:rFonts w:ascii="Times New Roman" w:hAnsi="Times New Roman" w:cs="Times New Roman"/>
          <w:sz w:val="24"/>
          <w:szCs w:val="24"/>
        </w:rPr>
        <w:t xml:space="preserve">Lead study group on digital health related to the Internet of </w:t>
      </w:r>
      <w:r w:rsidR="00AF2AC2">
        <w:rPr>
          <w:rFonts w:ascii="Times New Roman" w:hAnsi="Times New Roman" w:cs="Times New Roman"/>
          <w:sz w:val="24"/>
          <w:szCs w:val="24"/>
        </w:rPr>
        <w:t>t</w:t>
      </w:r>
      <w:r w:rsidRPr="0059228A">
        <w:rPr>
          <w:rFonts w:ascii="Times New Roman" w:hAnsi="Times New Roman" w:cs="Times New Roman"/>
          <w:sz w:val="24"/>
          <w:szCs w:val="24"/>
        </w:rPr>
        <w:t>hings and smart sustainable cities and communities</w:t>
      </w:r>
    </w:p>
    <w:p w14:paraId="0A33B5AA" w14:textId="39E4070A"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sz w:val="24"/>
          <w:szCs w:val="24"/>
        </w:rPr>
        <w:t>The LSG mechanism has been central to SG20’s ability to coordinate cross-cutting work, provide clear leadership, and strengthen ITU-T’s global visibility and collaboration with other study groups, UN agencies, and external partners.</w:t>
      </w:r>
    </w:p>
    <w:p w14:paraId="5E1E36FC" w14:textId="6FFEF4FC"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sz w:val="24"/>
          <w:szCs w:val="24"/>
        </w:rPr>
        <w:t>In response to the specific questions raised by TSAG, SG20 provides the following inputs:</w:t>
      </w:r>
    </w:p>
    <w:p w14:paraId="483039E3" w14:textId="0A6473AA"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b/>
          <w:bCs/>
          <w:sz w:val="24"/>
          <w:szCs w:val="24"/>
        </w:rPr>
        <w:t>1. How effective is the concept of Lead Study Group in your SG?</w:t>
      </w:r>
      <w:r w:rsidRPr="0059228A">
        <w:rPr>
          <w:rFonts w:ascii="Times New Roman" w:hAnsi="Times New Roman" w:cs="Times New Roman"/>
          <w:b/>
          <w:bCs/>
          <w:sz w:val="24"/>
          <w:szCs w:val="24"/>
        </w:rPr>
        <w:br/>
      </w:r>
      <w:r w:rsidRPr="0059228A">
        <w:rPr>
          <w:rFonts w:ascii="Times New Roman" w:hAnsi="Times New Roman" w:cs="Times New Roman"/>
          <w:sz w:val="24"/>
          <w:szCs w:val="24"/>
        </w:rPr>
        <w:t xml:space="preserve">The Lead Study Group (LSG) role has been highly effective in SG20. It provides clear direction, minimizes duplication, and ensures coherence across ITU-T study groups on cross-cutting areas such as the Internet of </w:t>
      </w:r>
      <w:r w:rsidR="00AF2AC2">
        <w:rPr>
          <w:rFonts w:ascii="Times New Roman" w:hAnsi="Times New Roman" w:cs="Times New Roman"/>
          <w:sz w:val="24"/>
          <w:szCs w:val="24"/>
        </w:rPr>
        <w:t>t</w:t>
      </w:r>
      <w:r w:rsidRPr="0059228A">
        <w:rPr>
          <w:rFonts w:ascii="Times New Roman" w:hAnsi="Times New Roman" w:cs="Times New Roman"/>
          <w:sz w:val="24"/>
          <w:szCs w:val="24"/>
        </w:rPr>
        <w:t xml:space="preserve">hings (IoT), smart sustainable cities and communities, digital twins, and virtual worlds. By fulfilling its LSG responsibilities, SG20 has enhanced ITU-T’s global visibility, </w:t>
      </w:r>
      <w:r w:rsidRPr="0059228A">
        <w:rPr>
          <w:rFonts w:ascii="Times New Roman" w:hAnsi="Times New Roman" w:cs="Times New Roman"/>
          <w:sz w:val="24"/>
          <w:szCs w:val="24"/>
        </w:rPr>
        <w:lastRenderedPageBreak/>
        <w:t>structured collaboration across SDOs and UN agencies, and consolidated ITU-T’s leadership in standardization for digital transformation of cities and communities.</w:t>
      </w:r>
    </w:p>
    <w:p w14:paraId="7D299938" w14:textId="4E9F6570"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b/>
          <w:bCs/>
          <w:sz w:val="24"/>
          <w:szCs w:val="24"/>
        </w:rPr>
        <w:t>2. Do “lead roles” support the progress of the work program</w:t>
      </w:r>
      <w:r w:rsidR="00AF2AC2">
        <w:rPr>
          <w:rFonts w:ascii="Times New Roman" w:hAnsi="Times New Roman" w:cs="Times New Roman"/>
          <w:b/>
          <w:bCs/>
          <w:sz w:val="24"/>
          <w:szCs w:val="24"/>
        </w:rPr>
        <w:t>me</w:t>
      </w:r>
      <w:r w:rsidRPr="0059228A">
        <w:rPr>
          <w:rFonts w:ascii="Times New Roman" w:hAnsi="Times New Roman" w:cs="Times New Roman"/>
          <w:b/>
          <w:bCs/>
          <w:sz w:val="24"/>
          <w:szCs w:val="24"/>
        </w:rPr>
        <w:t>?</w:t>
      </w:r>
      <w:r w:rsidRPr="0059228A">
        <w:rPr>
          <w:rFonts w:ascii="Times New Roman" w:hAnsi="Times New Roman" w:cs="Times New Roman"/>
          <w:b/>
          <w:bCs/>
          <w:sz w:val="24"/>
          <w:szCs w:val="24"/>
        </w:rPr>
        <w:br/>
      </w:r>
      <w:r w:rsidRPr="0059228A">
        <w:rPr>
          <w:rFonts w:ascii="Times New Roman" w:hAnsi="Times New Roman" w:cs="Times New Roman"/>
          <w:sz w:val="24"/>
          <w:szCs w:val="24"/>
        </w:rPr>
        <w:t>Yes. The LSG role has significantly advanced SG20’s work programme by:</w:t>
      </w:r>
    </w:p>
    <w:p w14:paraId="3FE7FECB" w14:textId="77777777" w:rsidR="00FC76B3" w:rsidRPr="0059228A" w:rsidRDefault="00FC76B3" w:rsidP="003820DE">
      <w:pPr>
        <w:numPr>
          <w:ilvl w:val="0"/>
          <w:numId w:val="5"/>
        </w:numPr>
        <w:spacing w:before="120" w:after="0"/>
        <w:rPr>
          <w:rFonts w:ascii="Times New Roman" w:hAnsi="Times New Roman" w:cs="Times New Roman"/>
          <w:sz w:val="24"/>
          <w:szCs w:val="24"/>
        </w:rPr>
      </w:pPr>
      <w:r w:rsidRPr="0059228A">
        <w:rPr>
          <w:rFonts w:ascii="Times New Roman" w:hAnsi="Times New Roman" w:cs="Times New Roman"/>
          <w:sz w:val="24"/>
          <w:szCs w:val="24"/>
        </w:rPr>
        <w:t>Accelerating the development and prioritization of Recommendations.</w:t>
      </w:r>
    </w:p>
    <w:p w14:paraId="4226788E" w14:textId="77777777" w:rsidR="00FC76B3" w:rsidRPr="0059228A" w:rsidRDefault="00FC76B3" w:rsidP="003820DE">
      <w:pPr>
        <w:numPr>
          <w:ilvl w:val="0"/>
          <w:numId w:val="5"/>
        </w:numPr>
        <w:spacing w:before="120" w:after="0"/>
        <w:rPr>
          <w:rFonts w:ascii="Times New Roman" w:hAnsi="Times New Roman" w:cs="Times New Roman"/>
          <w:sz w:val="24"/>
          <w:szCs w:val="24"/>
        </w:rPr>
      </w:pPr>
      <w:r w:rsidRPr="0059228A">
        <w:rPr>
          <w:rFonts w:ascii="Times New Roman" w:hAnsi="Times New Roman" w:cs="Times New Roman"/>
          <w:sz w:val="24"/>
          <w:szCs w:val="24"/>
        </w:rPr>
        <w:t>Coordinating contributions across study groups to maintain consistency.</w:t>
      </w:r>
    </w:p>
    <w:p w14:paraId="58EBAC03" w14:textId="77777777" w:rsidR="00FC76B3" w:rsidRPr="0059228A" w:rsidRDefault="00FC76B3" w:rsidP="003820DE">
      <w:pPr>
        <w:numPr>
          <w:ilvl w:val="0"/>
          <w:numId w:val="5"/>
        </w:numPr>
        <w:spacing w:before="120" w:after="0"/>
        <w:rPr>
          <w:rFonts w:ascii="Times New Roman" w:hAnsi="Times New Roman" w:cs="Times New Roman"/>
          <w:sz w:val="24"/>
          <w:szCs w:val="24"/>
        </w:rPr>
      </w:pPr>
      <w:r w:rsidRPr="0059228A">
        <w:rPr>
          <w:rFonts w:ascii="Times New Roman" w:hAnsi="Times New Roman" w:cs="Times New Roman"/>
          <w:sz w:val="24"/>
          <w:szCs w:val="24"/>
        </w:rPr>
        <w:t>Strengthening collaboration with external partners (e.g. UN-Habitat, OASC, LoRa Alliance, oneM2M).</w:t>
      </w:r>
    </w:p>
    <w:p w14:paraId="6432D36B" w14:textId="7EC47D46" w:rsidR="00FC76B3" w:rsidRPr="0059228A" w:rsidRDefault="00FC76B3" w:rsidP="003820DE">
      <w:pPr>
        <w:numPr>
          <w:ilvl w:val="0"/>
          <w:numId w:val="5"/>
        </w:numPr>
        <w:spacing w:before="120" w:after="0"/>
        <w:rPr>
          <w:rFonts w:ascii="Times New Roman" w:hAnsi="Times New Roman" w:cs="Times New Roman"/>
          <w:sz w:val="24"/>
          <w:szCs w:val="24"/>
        </w:rPr>
      </w:pPr>
      <w:r w:rsidRPr="0059228A">
        <w:rPr>
          <w:rFonts w:ascii="Times New Roman" w:hAnsi="Times New Roman" w:cs="Times New Roman"/>
          <w:sz w:val="24"/>
          <w:szCs w:val="24"/>
        </w:rPr>
        <w:t xml:space="preserve">Driving global adoption of ITU-T standards through flagship initiatives such as </w:t>
      </w:r>
      <w:r w:rsidR="00B66AFC" w:rsidRPr="0059228A">
        <w:rPr>
          <w:rFonts w:ascii="Times New Roman" w:hAnsi="Times New Roman" w:cs="Times New Roman"/>
          <w:sz w:val="24"/>
          <w:szCs w:val="24"/>
        </w:rPr>
        <w:t>United for Smart Sustainable Cities (</w:t>
      </w:r>
      <w:r w:rsidRPr="0059228A">
        <w:rPr>
          <w:rFonts w:ascii="Times New Roman" w:hAnsi="Times New Roman" w:cs="Times New Roman"/>
          <w:sz w:val="24"/>
          <w:szCs w:val="24"/>
        </w:rPr>
        <w:t>U4SSC</w:t>
      </w:r>
      <w:r w:rsidR="00B66AFC" w:rsidRPr="0059228A">
        <w:rPr>
          <w:rFonts w:ascii="Times New Roman" w:hAnsi="Times New Roman" w:cs="Times New Roman"/>
          <w:sz w:val="24"/>
          <w:szCs w:val="24"/>
        </w:rPr>
        <w:t>)</w:t>
      </w:r>
      <w:r w:rsidRPr="0059228A">
        <w:rPr>
          <w:rFonts w:ascii="Times New Roman" w:hAnsi="Times New Roman" w:cs="Times New Roman"/>
          <w:sz w:val="24"/>
          <w:szCs w:val="24"/>
        </w:rPr>
        <w:t>.</w:t>
      </w:r>
    </w:p>
    <w:p w14:paraId="0CE59208" w14:textId="77777777"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sz w:val="24"/>
          <w:szCs w:val="24"/>
        </w:rPr>
        <w:t>Without the LSG function, overlapping work and fragmentation would risk slowing progress and diminishing impact.</w:t>
      </w:r>
    </w:p>
    <w:p w14:paraId="5E1FEE6F" w14:textId="149D4093"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b/>
          <w:bCs/>
          <w:sz w:val="24"/>
          <w:szCs w:val="24"/>
        </w:rPr>
        <w:t>3. Are you aware of the criteria used for determination of lead roles?</w:t>
      </w:r>
      <w:r w:rsidRPr="0059228A">
        <w:rPr>
          <w:rFonts w:ascii="Times New Roman" w:hAnsi="Times New Roman" w:cs="Times New Roman"/>
          <w:b/>
          <w:bCs/>
          <w:sz w:val="24"/>
          <w:szCs w:val="24"/>
        </w:rPr>
        <w:br/>
      </w:r>
      <w:r w:rsidRPr="0059228A">
        <w:rPr>
          <w:rFonts w:ascii="Times New Roman" w:hAnsi="Times New Roman" w:cs="Times New Roman"/>
          <w:sz w:val="24"/>
          <w:szCs w:val="24"/>
        </w:rPr>
        <w:t>Yes, SG20 is aware of the criteria set in Resolution 1 §2.1.5. These could nonetheless be further clarified. In SG20’s view, the key criteria for assigning lead roles should include:</w:t>
      </w:r>
    </w:p>
    <w:p w14:paraId="0A0AF4A4" w14:textId="77777777" w:rsidR="00FC76B3" w:rsidRPr="0059228A" w:rsidRDefault="00FC76B3" w:rsidP="003820DE">
      <w:pPr>
        <w:numPr>
          <w:ilvl w:val="0"/>
          <w:numId w:val="6"/>
        </w:numPr>
        <w:spacing w:before="120" w:after="0"/>
        <w:rPr>
          <w:rFonts w:ascii="Times New Roman" w:hAnsi="Times New Roman" w:cs="Times New Roman"/>
          <w:sz w:val="24"/>
          <w:szCs w:val="24"/>
        </w:rPr>
      </w:pPr>
      <w:r w:rsidRPr="0059228A">
        <w:rPr>
          <w:rFonts w:ascii="Times New Roman" w:hAnsi="Times New Roman" w:cs="Times New Roman"/>
          <w:sz w:val="24"/>
          <w:szCs w:val="24"/>
        </w:rPr>
        <w:t>A cross-cutting mandate requiring coordination across multiple study groups.</w:t>
      </w:r>
    </w:p>
    <w:p w14:paraId="6157E2A9" w14:textId="77777777" w:rsidR="00FC76B3" w:rsidRPr="0059228A" w:rsidRDefault="00FC76B3" w:rsidP="003820DE">
      <w:pPr>
        <w:numPr>
          <w:ilvl w:val="0"/>
          <w:numId w:val="6"/>
        </w:numPr>
        <w:spacing w:before="120" w:after="0"/>
        <w:rPr>
          <w:rFonts w:ascii="Times New Roman" w:hAnsi="Times New Roman" w:cs="Times New Roman"/>
          <w:sz w:val="24"/>
          <w:szCs w:val="24"/>
        </w:rPr>
      </w:pPr>
      <w:r w:rsidRPr="0059228A">
        <w:rPr>
          <w:rFonts w:ascii="Times New Roman" w:hAnsi="Times New Roman" w:cs="Times New Roman"/>
          <w:sz w:val="24"/>
          <w:szCs w:val="24"/>
        </w:rPr>
        <w:t>Demonstrated global leadership and visibility in the subject matter.</w:t>
      </w:r>
    </w:p>
    <w:p w14:paraId="13091D1D" w14:textId="77777777"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b/>
          <w:bCs/>
          <w:sz w:val="24"/>
          <w:szCs w:val="24"/>
        </w:rPr>
        <w:t>4. Do you think the description of lead SGs should be harmonized?</w:t>
      </w:r>
      <w:r w:rsidRPr="0059228A">
        <w:rPr>
          <w:rFonts w:ascii="Times New Roman" w:hAnsi="Times New Roman" w:cs="Times New Roman"/>
          <w:b/>
          <w:bCs/>
          <w:sz w:val="24"/>
          <w:szCs w:val="24"/>
        </w:rPr>
        <w:br/>
      </w:r>
      <w:r w:rsidRPr="0059228A">
        <w:rPr>
          <w:rFonts w:ascii="Times New Roman" w:hAnsi="Times New Roman" w:cs="Times New Roman"/>
          <w:sz w:val="24"/>
          <w:szCs w:val="24"/>
        </w:rPr>
        <w:t>Yes. Harmonization would provide clarity and consistency across study groups and reduce differing interpretations. At the same time, flexibility should remain to allow SGs to address emerging technologies and evolving policy priorities. Harmonization should strengthen clarity around responsibilities without diminishing the authority or visibility of Lead Study Groups.</w:t>
      </w:r>
    </w:p>
    <w:p w14:paraId="5FAEAC2A" w14:textId="77777777"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b/>
          <w:bCs/>
          <w:sz w:val="24"/>
          <w:szCs w:val="24"/>
        </w:rPr>
        <w:t>5. How does this concept correlate with the SGs’ responsibilities and with other collaboration mechanisms such as the Liaison process and JCAs?</w:t>
      </w:r>
      <w:r w:rsidRPr="0059228A">
        <w:rPr>
          <w:rFonts w:ascii="Times New Roman" w:hAnsi="Times New Roman" w:cs="Times New Roman"/>
          <w:b/>
          <w:bCs/>
          <w:sz w:val="24"/>
          <w:szCs w:val="24"/>
        </w:rPr>
        <w:br/>
      </w:r>
      <w:r w:rsidRPr="0059228A">
        <w:rPr>
          <w:rFonts w:ascii="Times New Roman" w:hAnsi="Times New Roman" w:cs="Times New Roman"/>
          <w:sz w:val="24"/>
          <w:szCs w:val="24"/>
        </w:rPr>
        <w:t>The LSG role complements, rather than duplicates, existing mechanisms:</w:t>
      </w:r>
    </w:p>
    <w:p w14:paraId="4B0F9DCD" w14:textId="77777777" w:rsidR="00FC76B3" w:rsidRPr="0059228A" w:rsidRDefault="00FC76B3" w:rsidP="003820DE">
      <w:pPr>
        <w:numPr>
          <w:ilvl w:val="0"/>
          <w:numId w:val="7"/>
        </w:numPr>
        <w:spacing w:before="120" w:after="0"/>
        <w:rPr>
          <w:rFonts w:ascii="Times New Roman" w:hAnsi="Times New Roman" w:cs="Times New Roman"/>
          <w:sz w:val="24"/>
          <w:szCs w:val="24"/>
        </w:rPr>
      </w:pPr>
      <w:r w:rsidRPr="0059228A">
        <w:rPr>
          <w:rFonts w:ascii="Times New Roman" w:hAnsi="Times New Roman" w:cs="Times New Roman"/>
          <w:sz w:val="24"/>
          <w:szCs w:val="24"/>
        </w:rPr>
        <w:t>Liaisons are effective for document-level coordination but do not provide strategic direction.</w:t>
      </w:r>
    </w:p>
    <w:p w14:paraId="31259372" w14:textId="77777777" w:rsidR="00FC76B3" w:rsidRPr="0059228A" w:rsidRDefault="00FC76B3" w:rsidP="003820DE">
      <w:pPr>
        <w:numPr>
          <w:ilvl w:val="0"/>
          <w:numId w:val="7"/>
        </w:numPr>
        <w:spacing w:before="120" w:after="0"/>
        <w:rPr>
          <w:rFonts w:ascii="Times New Roman" w:hAnsi="Times New Roman" w:cs="Times New Roman"/>
          <w:sz w:val="24"/>
          <w:szCs w:val="24"/>
        </w:rPr>
      </w:pPr>
      <w:r w:rsidRPr="0059228A">
        <w:rPr>
          <w:rFonts w:ascii="Times New Roman" w:hAnsi="Times New Roman" w:cs="Times New Roman"/>
          <w:sz w:val="24"/>
          <w:szCs w:val="24"/>
        </w:rPr>
        <w:t>JCAs serve as valuable platforms for technical exchange but lack the mandate to lead on global priorities.</w:t>
      </w:r>
    </w:p>
    <w:p w14:paraId="09964B51" w14:textId="77777777" w:rsidR="00FC76B3" w:rsidRPr="0059228A" w:rsidRDefault="00FC76B3" w:rsidP="003820DE">
      <w:pPr>
        <w:numPr>
          <w:ilvl w:val="0"/>
          <w:numId w:val="7"/>
        </w:numPr>
        <w:spacing w:before="120" w:after="0"/>
        <w:rPr>
          <w:rFonts w:ascii="Times New Roman" w:hAnsi="Times New Roman" w:cs="Times New Roman"/>
          <w:sz w:val="24"/>
          <w:szCs w:val="24"/>
        </w:rPr>
      </w:pPr>
      <w:r w:rsidRPr="0059228A">
        <w:rPr>
          <w:rFonts w:ascii="Times New Roman" w:hAnsi="Times New Roman" w:cs="Times New Roman"/>
          <w:sz w:val="24"/>
          <w:szCs w:val="24"/>
        </w:rPr>
        <w:t>Lead SGs, by contrast, provide continuity, accountability, and authoritative leadership in complex, cross-cutting domains.</w:t>
      </w:r>
    </w:p>
    <w:p w14:paraId="65D4202A" w14:textId="77777777"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sz w:val="24"/>
          <w:szCs w:val="24"/>
        </w:rPr>
        <w:t>Together, these mechanisms create a layered and effective coordination framework that enables ITU-T to function efficiently while preserving each study group’s autonomy.</w:t>
      </w:r>
    </w:p>
    <w:p w14:paraId="15E2DEE0" w14:textId="37C1FAC5"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b/>
          <w:bCs/>
          <w:sz w:val="24"/>
          <w:szCs w:val="24"/>
        </w:rPr>
        <w:t>6. Can you provide an example of the use of this concept in the SGs that would not be possible with other mechanisms readily available?</w:t>
      </w:r>
      <w:r w:rsidRPr="0059228A">
        <w:rPr>
          <w:rFonts w:ascii="Times New Roman" w:hAnsi="Times New Roman" w:cs="Times New Roman"/>
          <w:b/>
          <w:bCs/>
          <w:sz w:val="24"/>
          <w:szCs w:val="24"/>
        </w:rPr>
        <w:br/>
      </w:r>
      <w:r w:rsidRPr="0059228A">
        <w:rPr>
          <w:rFonts w:ascii="Times New Roman" w:hAnsi="Times New Roman" w:cs="Times New Roman"/>
          <w:sz w:val="24"/>
          <w:szCs w:val="24"/>
        </w:rPr>
        <w:t>An illustrative example is SG20’s role as Lead Study Group for smart</w:t>
      </w:r>
      <w:r w:rsidR="0076697E" w:rsidRPr="0059228A">
        <w:rPr>
          <w:rFonts w:ascii="Times New Roman" w:hAnsi="Times New Roman" w:cs="Times New Roman"/>
          <w:sz w:val="24"/>
          <w:szCs w:val="24"/>
        </w:rPr>
        <w:t xml:space="preserve"> sustainable</w:t>
      </w:r>
      <w:r w:rsidRPr="0059228A">
        <w:rPr>
          <w:rFonts w:ascii="Times New Roman" w:hAnsi="Times New Roman" w:cs="Times New Roman"/>
          <w:sz w:val="24"/>
          <w:szCs w:val="24"/>
        </w:rPr>
        <w:t xml:space="preserve"> cities:</w:t>
      </w:r>
    </w:p>
    <w:p w14:paraId="3B8CF544" w14:textId="26DE9B3D" w:rsidR="00FC76B3" w:rsidRPr="0059228A" w:rsidRDefault="00FC76B3" w:rsidP="003820DE">
      <w:pPr>
        <w:numPr>
          <w:ilvl w:val="0"/>
          <w:numId w:val="8"/>
        </w:numPr>
        <w:spacing w:before="120" w:after="0"/>
        <w:rPr>
          <w:rFonts w:ascii="Times New Roman" w:hAnsi="Times New Roman" w:cs="Times New Roman"/>
          <w:sz w:val="24"/>
          <w:szCs w:val="24"/>
        </w:rPr>
      </w:pPr>
      <w:r w:rsidRPr="0059228A">
        <w:rPr>
          <w:rFonts w:ascii="Times New Roman" w:hAnsi="Times New Roman" w:cs="Times New Roman"/>
          <w:sz w:val="24"/>
          <w:szCs w:val="24"/>
        </w:rPr>
        <w:t>SG20 coordinated the development of ITU-T Recommendation Y.4903</w:t>
      </w:r>
      <w:r w:rsidR="00B66AFC" w:rsidRPr="0059228A">
        <w:rPr>
          <w:rFonts w:ascii="Times New Roman" w:hAnsi="Times New Roman" w:cs="Times New Roman"/>
          <w:sz w:val="24"/>
          <w:szCs w:val="24"/>
        </w:rPr>
        <w:t xml:space="preserve"> “</w:t>
      </w:r>
      <w:hyperlink r:id="rId14" w:tooltip="Key performance indicators for smart sustainable cities to assess the achievement of sustainable development goals" w:history="1">
        <w:r w:rsidR="00B66AFC" w:rsidRPr="0059228A">
          <w:rPr>
            <w:rStyle w:val="Hyperlink"/>
            <w:rFonts w:ascii="Times New Roman" w:hAnsi="Times New Roman" w:cs="Times New Roman"/>
            <w:sz w:val="24"/>
            <w:szCs w:val="24"/>
          </w:rPr>
          <w:t>Key performance indicators for smart sustainable cities to assess the achievement of sustainable development goals</w:t>
        </w:r>
      </w:hyperlink>
      <w:r w:rsidR="00B66AFC" w:rsidRPr="0059228A">
        <w:rPr>
          <w:rFonts w:ascii="Times New Roman" w:hAnsi="Times New Roman" w:cs="Times New Roman"/>
          <w:sz w:val="24"/>
          <w:szCs w:val="24"/>
        </w:rPr>
        <w:t>”</w:t>
      </w:r>
      <w:r w:rsidRPr="0059228A">
        <w:rPr>
          <w:rFonts w:ascii="Times New Roman" w:hAnsi="Times New Roman" w:cs="Times New Roman"/>
          <w:sz w:val="24"/>
          <w:szCs w:val="24"/>
        </w:rPr>
        <w:t>, which was</w:t>
      </w:r>
      <w:r w:rsidR="0076697E" w:rsidRPr="0059228A">
        <w:rPr>
          <w:rFonts w:ascii="Times New Roman" w:hAnsi="Times New Roman" w:cs="Times New Roman"/>
          <w:sz w:val="24"/>
          <w:szCs w:val="24"/>
        </w:rPr>
        <w:t xml:space="preserve"> then endorsed</w:t>
      </w:r>
      <w:r w:rsidRPr="0059228A">
        <w:rPr>
          <w:rFonts w:ascii="Times New Roman" w:hAnsi="Times New Roman" w:cs="Times New Roman"/>
          <w:sz w:val="24"/>
          <w:szCs w:val="24"/>
        </w:rPr>
        <w:t xml:space="preserve"> by 20 UN entities and has since been implemented in more than 250 cities worldwide through the U</w:t>
      </w:r>
      <w:r w:rsidR="0076697E" w:rsidRPr="0059228A">
        <w:rPr>
          <w:rFonts w:ascii="Times New Roman" w:hAnsi="Times New Roman" w:cs="Times New Roman"/>
          <w:sz w:val="24"/>
          <w:szCs w:val="24"/>
        </w:rPr>
        <w:t>nited for Smart Sustainable Cities (U</w:t>
      </w:r>
      <w:r w:rsidRPr="0059228A">
        <w:rPr>
          <w:rFonts w:ascii="Times New Roman" w:hAnsi="Times New Roman" w:cs="Times New Roman"/>
          <w:sz w:val="24"/>
          <w:szCs w:val="24"/>
        </w:rPr>
        <w:t>4SSC</w:t>
      </w:r>
      <w:r w:rsidR="0076697E" w:rsidRPr="0059228A">
        <w:rPr>
          <w:rFonts w:ascii="Times New Roman" w:hAnsi="Times New Roman" w:cs="Times New Roman"/>
          <w:sz w:val="24"/>
          <w:szCs w:val="24"/>
        </w:rPr>
        <w:t>)</w:t>
      </w:r>
      <w:r w:rsidRPr="0059228A">
        <w:rPr>
          <w:rFonts w:ascii="Times New Roman" w:hAnsi="Times New Roman" w:cs="Times New Roman"/>
          <w:sz w:val="24"/>
          <w:szCs w:val="24"/>
        </w:rPr>
        <w:t xml:space="preserve"> </w:t>
      </w:r>
      <w:r w:rsidR="0076697E" w:rsidRPr="0059228A">
        <w:rPr>
          <w:rFonts w:ascii="Times New Roman" w:hAnsi="Times New Roman" w:cs="Times New Roman"/>
          <w:sz w:val="24"/>
          <w:szCs w:val="24"/>
        </w:rPr>
        <w:t>I</w:t>
      </w:r>
      <w:r w:rsidRPr="0059228A">
        <w:rPr>
          <w:rFonts w:ascii="Times New Roman" w:hAnsi="Times New Roman" w:cs="Times New Roman"/>
          <w:sz w:val="24"/>
          <w:szCs w:val="24"/>
        </w:rPr>
        <w:t>nitiative.</w:t>
      </w:r>
    </w:p>
    <w:p w14:paraId="29AA0CE4" w14:textId="38496C7B" w:rsidR="00FC76B3" w:rsidRPr="0059228A" w:rsidRDefault="00FC76B3" w:rsidP="003820DE">
      <w:pPr>
        <w:numPr>
          <w:ilvl w:val="0"/>
          <w:numId w:val="8"/>
        </w:numPr>
        <w:spacing w:before="120" w:after="0"/>
        <w:rPr>
          <w:rFonts w:ascii="Times New Roman" w:hAnsi="Times New Roman" w:cs="Times New Roman"/>
          <w:sz w:val="24"/>
          <w:szCs w:val="24"/>
        </w:rPr>
      </w:pPr>
      <w:r w:rsidRPr="0059228A">
        <w:rPr>
          <w:rFonts w:ascii="Times New Roman" w:hAnsi="Times New Roman" w:cs="Times New Roman"/>
          <w:sz w:val="24"/>
          <w:szCs w:val="24"/>
        </w:rPr>
        <w:lastRenderedPageBreak/>
        <w:t xml:space="preserve">This leadership role also enabled closer collaboration with industry fora such as the LoRa Alliance and </w:t>
      </w:r>
      <w:r w:rsidR="0076697E" w:rsidRPr="0059228A">
        <w:rPr>
          <w:rFonts w:ascii="Times New Roman" w:hAnsi="Times New Roman" w:cs="Times New Roman"/>
          <w:sz w:val="24"/>
          <w:szCs w:val="24"/>
        </w:rPr>
        <w:t>OneM2M</w:t>
      </w:r>
      <w:r w:rsidRPr="0059228A">
        <w:rPr>
          <w:rFonts w:ascii="Times New Roman" w:hAnsi="Times New Roman" w:cs="Times New Roman"/>
          <w:sz w:val="24"/>
          <w:szCs w:val="24"/>
        </w:rPr>
        <w:t>, ensuring alignment of ITU-T Y-series Recommendations with global industry practices.</w:t>
      </w:r>
    </w:p>
    <w:p w14:paraId="7BBD62D6" w14:textId="77777777" w:rsidR="00FC76B3" w:rsidRPr="0059228A" w:rsidRDefault="00FC76B3" w:rsidP="003820DE">
      <w:pPr>
        <w:spacing w:before="120" w:after="0"/>
        <w:rPr>
          <w:rFonts w:ascii="Times New Roman" w:hAnsi="Times New Roman" w:cs="Times New Roman"/>
          <w:sz w:val="24"/>
          <w:szCs w:val="24"/>
        </w:rPr>
      </w:pPr>
      <w:r w:rsidRPr="0059228A">
        <w:rPr>
          <w:rFonts w:ascii="Times New Roman" w:hAnsi="Times New Roman" w:cs="Times New Roman"/>
          <w:sz w:val="24"/>
          <w:szCs w:val="24"/>
        </w:rPr>
        <w:t>Such strategic, coordinated, and globally visible outcomes could not have been achieved through JCAs or liaison mechanisms alone.</w:t>
      </w:r>
    </w:p>
    <w:p w14:paraId="7CCB6561" w14:textId="496A00BF" w:rsidR="00571C16" w:rsidRPr="0059228A" w:rsidRDefault="00DB4DCF" w:rsidP="003820DE">
      <w:pPr>
        <w:spacing w:before="120" w:after="0"/>
        <w:jc w:val="center"/>
        <w:rPr>
          <w:rFonts w:ascii="Times New Roman" w:hAnsi="Times New Roman" w:cs="Times New Roman"/>
          <w:sz w:val="24"/>
          <w:szCs w:val="24"/>
        </w:rPr>
      </w:pPr>
      <w:r w:rsidRPr="0059228A">
        <w:rPr>
          <w:rFonts w:ascii="Times New Roman" w:hAnsi="Times New Roman" w:cs="Times New Roman"/>
          <w:sz w:val="24"/>
          <w:szCs w:val="24"/>
        </w:rPr>
        <w:t>___________</w:t>
      </w:r>
    </w:p>
    <w:sectPr w:rsidR="00571C16" w:rsidRPr="0059228A" w:rsidSect="000F0F27">
      <w:headerReference w:type="default" r:id="rId15"/>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8AB4" w14:textId="77777777" w:rsidR="009A7443" w:rsidRDefault="009A7443" w:rsidP="00111E3E">
      <w:pPr>
        <w:spacing w:after="0" w:line="240" w:lineRule="auto"/>
      </w:pPr>
      <w:r>
        <w:separator/>
      </w:r>
    </w:p>
  </w:endnote>
  <w:endnote w:type="continuationSeparator" w:id="0">
    <w:p w14:paraId="676AC50F" w14:textId="77777777" w:rsidR="009A7443" w:rsidRDefault="009A7443" w:rsidP="0011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0E02" w14:textId="77777777" w:rsidR="009A7443" w:rsidRDefault="009A7443" w:rsidP="00111E3E">
      <w:pPr>
        <w:spacing w:after="0" w:line="240" w:lineRule="auto"/>
      </w:pPr>
      <w:r>
        <w:separator/>
      </w:r>
    </w:p>
  </w:footnote>
  <w:footnote w:type="continuationSeparator" w:id="0">
    <w:p w14:paraId="71ACBAEF" w14:textId="77777777" w:rsidR="009A7443" w:rsidRDefault="009A7443" w:rsidP="00111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2375" w14:textId="5BD902F7" w:rsidR="003820DE" w:rsidRPr="000F0F27" w:rsidRDefault="000F0F27" w:rsidP="000F0F27">
    <w:pPr>
      <w:pStyle w:val="Header"/>
      <w:jc w:val="center"/>
      <w:rPr>
        <w:rFonts w:ascii="Times New Roman" w:hAnsi="Times New Roman" w:cs="Times New Roman"/>
        <w:sz w:val="18"/>
      </w:rPr>
    </w:pPr>
    <w:r w:rsidRPr="000F0F27">
      <w:rPr>
        <w:rFonts w:ascii="Times New Roman" w:hAnsi="Times New Roman" w:cs="Times New Roman"/>
        <w:sz w:val="18"/>
      </w:rPr>
      <w:t xml:space="preserve">- </w:t>
    </w:r>
    <w:r w:rsidRPr="000F0F27">
      <w:rPr>
        <w:rFonts w:ascii="Times New Roman" w:hAnsi="Times New Roman" w:cs="Times New Roman"/>
        <w:sz w:val="18"/>
      </w:rPr>
      <w:fldChar w:fldCharType="begin"/>
    </w:r>
    <w:r w:rsidRPr="000F0F27">
      <w:rPr>
        <w:rFonts w:ascii="Times New Roman" w:hAnsi="Times New Roman" w:cs="Times New Roman"/>
        <w:sz w:val="18"/>
      </w:rPr>
      <w:instrText xml:space="preserve"> PAGE  \* MERGEFORMAT </w:instrText>
    </w:r>
    <w:r w:rsidRPr="000F0F27">
      <w:rPr>
        <w:rFonts w:ascii="Times New Roman" w:hAnsi="Times New Roman" w:cs="Times New Roman"/>
        <w:sz w:val="18"/>
      </w:rPr>
      <w:fldChar w:fldCharType="separate"/>
    </w:r>
    <w:r w:rsidRPr="000F0F27">
      <w:rPr>
        <w:rFonts w:ascii="Times New Roman" w:hAnsi="Times New Roman" w:cs="Times New Roman"/>
        <w:noProof/>
        <w:sz w:val="18"/>
      </w:rPr>
      <w:t>1</w:t>
    </w:r>
    <w:r w:rsidRPr="000F0F27">
      <w:rPr>
        <w:rFonts w:ascii="Times New Roman" w:hAnsi="Times New Roman" w:cs="Times New Roman"/>
        <w:sz w:val="18"/>
      </w:rPr>
      <w:fldChar w:fldCharType="end"/>
    </w:r>
    <w:r w:rsidRPr="000F0F27">
      <w:rPr>
        <w:rFonts w:ascii="Times New Roman" w:hAnsi="Times New Roman" w:cs="Times New Roman"/>
        <w:sz w:val="18"/>
      </w:rPr>
      <w:t xml:space="preserve"> -</w:t>
    </w:r>
  </w:p>
  <w:p w14:paraId="3768B100" w14:textId="558E3F78" w:rsidR="000F0F27" w:rsidRPr="000F0F27" w:rsidRDefault="000F0F27" w:rsidP="000F0F27">
    <w:pPr>
      <w:pStyle w:val="Header"/>
      <w:spacing w:after="240"/>
      <w:jc w:val="center"/>
      <w:rPr>
        <w:rFonts w:ascii="Times New Roman" w:hAnsi="Times New Roman" w:cs="Times New Roman"/>
        <w:sz w:val="18"/>
      </w:rPr>
    </w:pPr>
    <w:r w:rsidRPr="000F0F27">
      <w:rPr>
        <w:rFonts w:ascii="Times New Roman" w:hAnsi="Times New Roman" w:cs="Times New Roman"/>
        <w:sz w:val="18"/>
      </w:rPr>
      <w:fldChar w:fldCharType="begin"/>
    </w:r>
    <w:r w:rsidRPr="000F0F27">
      <w:rPr>
        <w:rFonts w:ascii="Times New Roman" w:hAnsi="Times New Roman" w:cs="Times New Roman"/>
        <w:sz w:val="18"/>
      </w:rPr>
      <w:instrText xml:space="preserve"> STYLEREF  Docnumber  </w:instrText>
    </w:r>
    <w:r>
      <w:rPr>
        <w:rFonts w:ascii="Times New Roman" w:hAnsi="Times New Roman" w:cs="Times New Roman"/>
        <w:sz w:val="18"/>
      </w:rPr>
      <w:fldChar w:fldCharType="separate"/>
    </w:r>
    <w:r w:rsidR="00AC0B75">
      <w:rPr>
        <w:rFonts w:ascii="Times New Roman" w:hAnsi="Times New Roman" w:cs="Times New Roman"/>
        <w:noProof/>
        <w:sz w:val="18"/>
      </w:rPr>
      <w:t>TSAG-TD241</w:t>
    </w:r>
    <w:r w:rsidRPr="000F0F27">
      <w:rPr>
        <w:rFonts w:ascii="Times New Roman" w:hAnsi="Times New Roman" w:cs="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3A1B"/>
    <w:multiLevelType w:val="multilevel"/>
    <w:tmpl w:val="95E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63EB0"/>
    <w:multiLevelType w:val="multilevel"/>
    <w:tmpl w:val="512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44EA7"/>
    <w:multiLevelType w:val="multilevel"/>
    <w:tmpl w:val="4F60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B6AC2"/>
    <w:multiLevelType w:val="multilevel"/>
    <w:tmpl w:val="B02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24AEB"/>
    <w:multiLevelType w:val="multilevel"/>
    <w:tmpl w:val="C154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8627C"/>
    <w:multiLevelType w:val="multilevel"/>
    <w:tmpl w:val="D63E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41DB7"/>
    <w:multiLevelType w:val="multilevel"/>
    <w:tmpl w:val="5A04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666DB"/>
    <w:multiLevelType w:val="multilevel"/>
    <w:tmpl w:val="5A8C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9228B"/>
    <w:multiLevelType w:val="multilevel"/>
    <w:tmpl w:val="AC7A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524627">
    <w:abstractNumId w:val="8"/>
  </w:num>
  <w:num w:numId="2" w16cid:durableId="1511408357">
    <w:abstractNumId w:val="7"/>
  </w:num>
  <w:num w:numId="3" w16cid:durableId="531503590">
    <w:abstractNumId w:val="3"/>
  </w:num>
  <w:num w:numId="4" w16cid:durableId="1109661052">
    <w:abstractNumId w:val="2"/>
  </w:num>
  <w:num w:numId="5" w16cid:durableId="2127117967">
    <w:abstractNumId w:val="1"/>
  </w:num>
  <w:num w:numId="6" w16cid:durableId="736056465">
    <w:abstractNumId w:val="5"/>
  </w:num>
  <w:num w:numId="7" w16cid:durableId="403334861">
    <w:abstractNumId w:val="6"/>
  </w:num>
  <w:num w:numId="8" w16cid:durableId="139082731">
    <w:abstractNumId w:val="0"/>
  </w:num>
  <w:num w:numId="9" w16cid:durableId="184366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B3"/>
    <w:rsid w:val="000F0F27"/>
    <w:rsid w:val="00111E3E"/>
    <w:rsid w:val="001E0156"/>
    <w:rsid w:val="0022071A"/>
    <w:rsid w:val="003011DC"/>
    <w:rsid w:val="003820DE"/>
    <w:rsid w:val="004038BB"/>
    <w:rsid w:val="00460F8F"/>
    <w:rsid w:val="004C7FEE"/>
    <w:rsid w:val="00537BC1"/>
    <w:rsid w:val="00543774"/>
    <w:rsid w:val="00571C16"/>
    <w:rsid w:val="0059228A"/>
    <w:rsid w:val="00752DC1"/>
    <w:rsid w:val="0076697E"/>
    <w:rsid w:val="00797234"/>
    <w:rsid w:val="00965053"/>
    <w:rsid w:val="009A7443"/>
    <w:rsid w:val="00A3400F"/>
    <w:rsid w:val="00AC0B75"/>
    <w:rsid w:val="00AF2AC2"/>
    <w:rsid w:val="00B66AFC"/>
    <w:rsid w:val="00C6385A"/>
    <w:rsid w:val="00C97F65"/>
    <w:rsid w:val="00D66112"/>
    <w:rsid w:val="00DB4DCF"/>
    <w:rsid w:val="00E22375"/>
    <w:rsid w:val="00E22775"/>
    <w:rsid w:val="00FC76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3C12"/>
  <w15:docId w15:val="{448849CD-E09E-465F-ABC7-2D6C6B81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6B3"/>
    <w:rPr>
      <w:rFonts w:eastAsiaTheme="majorEastAsia" w:cstheme="majorBidi"/>
      <w:color w:val="272727" w:themeColor="text1" w:themeTint="D8"/>
    </w:rPr>
  </w:style>
  <w:style w:type="paragraph" w:styleId="Title">
    <w:name w:val="Title"/>
    <w:basedOn w:val="Normal"/>
    <w:next w:val="Normal"/>
    <w:link w:val="TitleChar"/>
    <w:uiPriority w:val="10"/>
    <w:qFormat/>
    <w:rsid w:val="00FC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6B3"/>
    <w:pPr>
      <w:spacing w:before="160"/>
      <w:jc w:val="center"/>
    </w:pPr>
    <w:rPr>
      <w:i/>
      <w:iCs/>
      <w:color w:val="404040" w:themeColor="text1" w:themeTint="BF"/>
    </w:rPr>
  </w:style>
  <w:style w:type="character" w:customStyle="1" w:styleId="QuoteChar">
    <w:name w:val="Quote Char"/>
    <w:basedOn w:val="DefaultParagraphFont"/>
    <w:link w:val="Quote"/>
    <w:uiPriority w:val="29"/>
    <w:rsid w:val="00FC76B3"/>
    <w:rPr>
      <w:i/>
      <w:iCs/>
      <w:color w:val="404040" w:themeColor="text1" w:themeTint="BF"/>
    </w:rPr>
  </w:style>
  <w:style w:type="paragraph" w:styleId="ListParagraph">
    <w:name w:val="List Paragraph"/>
    <w:basedOn w:val="Normal"/>
    <w:uiPriority w:val="34"/>
    <w:qFormat/>
    <w:rsid w:val="00FC76B3"/>
    <w:pPr>
      <w:ind w:left="720"/>
      <w:contextualSpacing/>
    </w:pPr>
  </w:style>
  <w:style w:type="character" w:styleId="IntenseEmphasis">
    <w:name w:val="Intense Emphasis"/>
    <w:basedOn w:val="DefaultParagraphFont"/>
    <w:uiPriority w:val="21"/>
    <w:qFormat/>
    <w:rsid w:val="00FC76B3"/>
    <w:rPr>
      <w:i/>
      <w:iCs/>
      <w:color w:val="2F5496" w:themeColor="accent1" w:themeShade="BF"/>
    </w:rPr>
  </w:style>
  <w:style w:type="paragraph" w:styleId="IntenseQuote">
    <w:name w:val="Intense Quote"/>
    <w:basedOn w:val="Normal"/>
    <w:next w:val="Normal"/>
    <w:link w:val="IntenseQuoteChar"/>
    <w:uiPriority w:val="30"/>
    <w:qFormat/>
    <w:rsid w:val="00FC7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6B3"/>
    <w:rPr>
      <w:i/>
      <w:iCs/>
      <w:color w:val="2F5496" w:themeColor="accent1" w:themeShade="BF"/>
    </w:rPr>
  </w:style>
  <w:style w:type="character" w:styleId="IntenseReference">
    <w:name w:val="Intense Reference"/>
    <w:basedOn w:val="DefaultParagraphFont"/>
    <w:uiPriority w:val="32"/>
    <w:qFormat/>
    <w:rsid w:val="00FC76B3"/>
    <w:rPr>
      <w:b/>
      <w:bCs/>
      <w:smallCaps/>
      <w:color w:val="2F5496" w:themeColor="accent1" w:themeShade="BF"/>
      <w:spacing w:val="5"/>
    </w:rPr>
  </w:style>
  <w:style w:type="character" w:styleId="Hyperlink">
    <w:name w:val="Hyperlink"/>
    <w:basedOn w:val="DefaultParagraphFont"/>
    <w:uiPriority w:val="99"/>
    <w:unhideWhenUsed/>
    <w:rsid w:val="00DB4DCF"/>
    <w:rPr>
      <w:color w:val="0563C1" w:themeColor="hyperlink"/>
      <w:u w:val="single"/>
    </w:rPr>
  </w:style>
  <w:style w:type="character" w:customStyle="1" w:styleId="UnresolvedMention1">
    <w:name w:val="Unresolved Mention1"/>
    <w:basedOn w:val="DefaultParagraphFont"/>
    <w:uiPriority w:val="99"/>
    <w:semiHidden/>
    <w:unhideWhenUsed/>
    <w:rsid w:val="00DB4DCF"/>
    <w:rPr>
      <w:color w:val="605E5C"/>
      <w:shd w:val="clear" w:color="auto" w:fill="E1DFDD"/>
    </w:rPr>
  </w:style>
  <w:style w:type="paragraph" w:styleId="Header">
    <w:name w:val="header"/>
    <w:basedOn w:val="Normal"/>
    <w:link w:val="HeaderChar"/>
    <w:uiPriority w:val="99"/>
    <w:unhideWhenUsed/>
    <w:rsid w:val="00111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E3E"/>
  </w:style>
  <w:style w:type="paragraph" w:styleId="Footer">
    <w:name w:val="footer"/>
    <w:basedOn w:val="Normal"/>
    <w:link w:val="FooterChar"/>
    <w:uiPriority w:val="99"/>
    <w:unhideWhenUsed/>
    <w:rsid w:val="00111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E3E"/>
  </w:style>
  <w:style w:type="paragraph" w:styleId="Revision">
    <w:name w:val="Revision"/>
    <w:hidden/>
    <w:uiPriority w:val="99"/>
    <w:semiHidden/>
    <w:rsid w:val="00B66AFC"/>
    <w:pPr>
      <w:spacing w:after="0" w:line="240" w:lineRule="auto"/>
    </w:pPr>
  </w:style>
  <w:style w:type="paragraph" w:styleId="BalloonText">
    <w:name w:val="Balloon Text"/>
    <w:basedOn w:val="Normal"/>
    <w:link w:val="BalloonTextChar"/>
    <w:uiPriority w:val="99"/>
    <w:semiHidden/>
    <w:unhideWhenUsed/>
    <w:rsid w:val="0096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053"/>
    <w:rPr>
      <w:rFonts w:ascii="Tahoma" w:hAnsi="Tahoma" w:cs="Tahoma"/>
      <w:sz w:val="16"/>
      <w:szCs w:val="16"/>
    </w:rPr>
  </w:style>
  <w:style w:type="paragraph" w:customStyle="1" w:styleId="Docnumber">
    <w:name w:val="Docnumber"/>
    <w:basedOn w:val="Normal"/>
    <w:link w:val="DocnumberChar"/>
    <w:qFormat/>
    <w:rsid w:val="003820D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kern w:val="0"/>
      <w:sz w:val="32"/>
      <w:szCs w:val="20"/>
      <w14:ligatures w14:val="none"/>
    </w:rPr>
  </w:style>
  <w:style w:type="character" w:customStyle="1" w:styleId="DocnumberChar">
    <w:name w:val="Docnumber Char"/>
    <w:link w:val="Docnumber"/>
    <w:rsid w:val="003820DE"/>
    <w:rPr>
      <w:rFonts w:ascii="Times New Roman" w:eastAsia="SimSun" w:hAnsi="Times New Roman" w:cs="Times New Roman"/>
      <w:b/>
      <w:kern w:val="0"/>
      <w:sz w:val="32"/>
      <w:szCs w:val="20"/>
      <w14:ligatures w14:val="none"/>
    </w:rPr>
  </w:style>
  <w:style w:type="character" w:styleId="UnresolvedMention">
    <w:name w:val="Unresolved Mention"/>
    <w:basedOn w:val="DefaultParagraphFont"/>
    <w:uiPriority w:val="99"/>
    <w:semiHidden/>
    <w:unhideWhenUsed/>
    <w:rsid w:val="004038BB"/>
    <w:rPr>
      <w:color w:val="605E5C"/>
      <w:shd w:val="clear" w:color="auto" w:fill="E1DFDD"/>
    </w:rPr>
  </w:style>
  <w:style w:type="paragraph" w:customStyle="1" w:styleId="TSBHeaderQuestion">
    <w:name w:val="TSBHeaderQuestion"/>
    <w:basedOn w:val="Normal"/>
    <w:qFormat/>
    <w:rsid w:val="000F0F27"/>
    <w:pPr>
      <w:spacing w:before="120" w:after="0" w:line="240" w:lineRule="auto"/>
    </w:pPr>
    <w:rPr>
      <w:rFonts w:ascii="Times New Roman" w:eastAsiaTheme="minorEastAsia" w:hAnsi="Times New Roman" w:cs="Times New Roman"/>
      <w:kern w:val="0"/>
      <w:sz w:val="24"/>
      <w:szCs w:val="24"/>
      <w:lang w:eastAsia="ja-JP"/>
      <w14:ligatures w14:val="none"/>
    </w:rPr>
  </w:style>
  <w:style w:type="paragraph" w:customStyle="1" w:styleId="TSBHeaderSource">
    <w:name w:val="TSBHeaderSource"/>
    <w:basedOn w:val="Normal"/>
    <w:qFormat/>
    <w:rsid w:val="000F0F27"/>
    <w:pPr>
      <w:spacing w:before="120" w:after="0" w:line="240" w:lineRule="auto"/>
    </w:pPr>
    <w:rPr>
      <w:rFonts w:ascii="Times New Roman" w:eastAsiaTheme="minorEastAsia" w:hAnsi="Times New Roman" w:cs="Times New Roman"/>
      <w:kern w:val="0"/>
      <w:sz w:val="24"/>
      <w:szCs w:val="24"/>
      <w:lang w:eastAsia="ja-JP"/>
      <w14:ligatures w14:val="none"/>
    </w:rPr>
  </w:style>
  <w:style w:type="paragraph" w:customStyle="1" w:styleId="TSBHeaderTitle">
    <w:name w:val="TSBHeaderTitle"/>
    <w:basedOn w:val="Normal"/>
    <w:qFormat/>
    <w:rsid w:val="000F0F27"/>
    <w:pPr>
      <w:spacing w:before="120" w:after="0" w:line="240" w:lineRule="auto"/>
    </w:pPr>
    <w:rPr>
      <w:rFonts w:ascii="Times New Roman" w:eastAsiaTheme="minorEastAsia" w:hAnsi="Times New Roman" w:cs="Times New Roman"/>
      <w:kern w:val="0"/>
      <w:sz w:val="24"/>
      <w:szCs w:val="24"/>
      <w:lang w:eastAsia="ja-JP"/>
      <w14:ligatures w14:val="none"/>
    </w:rPr>
  </w:style>
  <w:style w:type="paragraph" w:customStyle="1" w:styleId="TSBHeaderRight14">
    <w:name w:val="TSBHeaderRight14"/>
    <w:basedOn w:val="Normal"/>
    <w:qFormat/>
    <w:rsid w:val="000F0F27"/>
    <w:pPr>
      <w:spacing w:before="120" w:after="0" w:line="240" w:lineRule="auto"/>
      <w:jc w:val="right"/>
    </w:pPr>
    <w:rPr>
      <w:rFonts w:ascii="Times New Roman" w:eastAsiaTheme="minorEastAsia" w:hAnsi="Times New Roman" w:cs="Times New Roman"/>
      <w:b/>
      <w:bCs/>
      <w:kern w:val="0"/>
      <w:sz w:val="28"/>
      <w:szCs w:val="28"/>
      <w:lang w:eastAsia="ja-JP"/>
      <w14:ligatures w14:val="none"/>
    </w:rPr>
  </w:style>
  <w:style w:type="paragraph" w:customStyle="1" w:styleId="VenueDate">
    <w:name w:val="VenueDate"/>
    <w:basedOn w:val="Normal"/>
    <w:qFormat/>
    <w:rsid w:val="000F0F27"/>
    <w:pPr>
      <w:spacing w:before="120" w:after="0" w:line="240" w:lineRule="auto"/>
      <w:jc w:val="right"/>
    </w:pPr>
    <w:rPr>
      <w:rFonts w:ascii="Times New Roman" w:eastAsiaTheme="minorEastAsia"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21235">
      <w:bodyDiv w:val="1"/>
      <w:marLeft w:val="0"/>
      <w:marRight w:val="0"/>
      <w:marTop w:val="0"/>
      <w:marBottom w:val="0"/>
      <w:divBdr>
        <w:top w:val="none" w:sz="0" w:space="0" w:color="auto"/>
        <w:left w:val="none" w:sz="0" w:space="0" w:color="auto"/>
        <w:bottom w:val="none" w:sz="0" w:space="0" w:color="auto"/>
        <w:right w:val="none" w:sz="0" w:space="0" w:color="auto"/>
      </w:divBdr>
    </w:div>
    <w:div w:id="1110777355">
      <w:bodyDiv w:val="1"/>
      <w:marLeft w:val="0"/>
      <w:marRight w:val="0"/>
      <w:marTop w:val="0"/>
      <w:marBottom w:val="0"/>
      <w:divBdr>
        <w:top w:val="none" w:sz="0" w:space="0" w:color="auto"/>
        <w:left w:val="none" w:sz="0" w:space="0" w:color="auto"/>
        <w:bottom w:val="none" w:sz="0" w:space="0" w:color="auto"/>
        <w:right w:val="none" w:sz="0" w:space="0" w:color="auto"/>
      </w:divBdr>
    </w:div>
    <w:div w:id="1434322305">
      <w:bodyDiv w:val="1"/>
      <w:marLeft w:val="0"/>
      <w:marRight w:val="0"/>
      <w:marTop w:val="0"/>
      <w:marBottom w:val="0"/>
      <w:divBdr>
        <w:top w:val="none" w:sz="0" w:space="0" w:color="auto"/>
        <w:left w:val="none" w:sz="0" w:space="0" w:color="auto"/>
        <w:bottom w:val="none" w:sz="0" w:space="0" w:color="auto"/>
        <w:right w:val="none" w:sz="0" w:space="0" w:color="auto"/>
      </w:divBdr>
    </w:div>
    <w:div w:id="1457331600">
      <w:bodyDiv w:val="1"/>
      <w:marLeft w:val="0"/>
      <w:marRight w:val="0"/>
      <w:marTop w:val="0"/>
      <w:marBottom w:val="0"/>
      <w:divBdr>
        <w:top w:val="none" w:sz="0" w:space="0" w:color="auto"/>
        <w:left w:val="none" w:sz="0" w:space="0" w:color="auto"/>
        <w:bottom w:val="none" w:sz="0" w:space="0" w:color="auto"/>
        <w:right w:val="none" w:sz="0" w:space="0" w:color="auto"/>
      </w:divBdr>
    </w:div>
    <w:div w:id="1646813968">
      <w:bodyDiv w:val="1"/>
      <w:marLeft w:val="0"/>
      <w:marRight w:val="0"/>
      <w:marTop w:val="0"/>
      <w:marBottom w:val="0"/>
      <w:divBdr>
        <w:top w:val="none" w:sz="0" w:space="0" w:color="auto"/>
        <w:left w:val="none" w:sz="0" w:space="0" w:color="auto"/>
        <w:bottom w:val="none" w:sz="0" w:space="0" w:color="auto"/>
        <w:right w:val="none" w:sz="0" w:space="0" w:color="auto"/>
      </w:divBdr>
    </w:div>
    <w:div w:id="16921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andle.itu.int/11.1002/ls/sp18-tsag-oLS-0000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hj@etri.re.k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5/ls/sg20/sp18-sg20-00109.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ITU-T/recommendations/rec.aspx?rec=1417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84377B4164D32AED89BB8AEB6939C"/>
        <w:category>
          <w:name w:val="General"/>
          <w:gallery w:val="placeholder"/>
        </w:category>
        <w:types>
          <w:type w:val="bbPlcHdr"/>
        </w:types>
        <w:behaviors>
          <w:behavior w:val="content"/>
        </w:behaviors>
        <w:guid w:val="{57D7E574-74D2-4C09-8ECF-8FF6B193C275}"/>
      </w:docPartPr>
      <w:docPartBody>
        <w:p w:rsidR="00861B3C" w:rsidRDefault="00C44C01" w:rsidP="00C44C01">
          <w:pPr>
            <w:pStyle w:val="ED684377B4164D32AED89BB8AEB6939C"/>
          </w:pPr>
          <w:r w:rsidRPr="00136DDD">
            <w:rPr>
              <w:rStyle w:val="PlaceholderText"/>
            </w:rPr>
            <w:t>Insert an abstract under 200 words that describes the content of the document, including a clear description of any proposals it may contain.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C01"/>
    <w:rsid w:val="00085ACE"/>
    <w:rsid w:val="003011DC"/>
    <w:rsid w:val="00460F8F"/>
    <w:rsid w:val="00543774"/>
    <w:rsid w:val="00752DC1"/>
    <w:rsid w:val="00861B3C"/>
    <w:rsid w:val="00912C90"/>
    <w:rsid w:val="009502C2"/>
    <w:rsid w:val="00B75721"/>
    <w:rsid w:val="00BC5C33"/>
    <w:rsid w:val="00C44C01"/>
    <w:rsid w:val="00CD6489"/>
    <w:rsid w:val="00FC5C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75721"/>
  </w:style>
  <w:style w:type="paragraph" w:customStyle="1" w:styleId="ED684377B4164D32AED89BB8AEB6939C">
    <w:name w:val="ED684377B4164D32AED89BB8AEB6939C"/>
    <w:rsid w:val="00C44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EFBE6-D8AF-4F09-873D-C0211724D371}">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2.xml><?xml version="1.0" encoding="utf-8"?>
<ds:datastoreItem xmlns:ds="http://schemas.openxmlformats.org/officeDocument/2006/customXml" ds:itemID="{8FFC16C0-7E29-4B2B-8341-6F723934EA36}">
  <ds:schemaRefs>
    <ds:schemaRef ds:uri="http://schemas.microsoft.com/sharepoint/v3/contenttype/forms"/>
  </ds:schemaRefs>
</ds:datastoreItem>
</file>

<file path=customXml/itemProps3.xml><?xml version="1.0" encoding="utf-8"?>
<ds:datastoreItem xmlns:ds="http://schemas.openxmlformats.org/officeDocument/2006/customXml" ds:itemID="{F9716FCA-1EA0-4DB2-A71D-5E21F4062455}"/>
</file>

<file path=docProps/app.xml><?xml version="1.0" encoding="utf-8"?>
<Properties xmlns="http://schemas.openxmlformats.org/officeDocument/2006/extended-properties" xmlns:vt="http://schemas.openxmlformats.org/officeDocument/2006/docPropsVTypes">
  <Template>Normal.dotm</Template>
  <TotalTime>2</TotalTime>
  <Pages>3</Pages>
  <Words>838</Words>
  <Characters>5029</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lead study group concept (reply to TSAG-LS4)</dc:title>
  <dc:creator>ITU-T Study Group 20</dc:creator>
  <dc:description>TSAG-TD241  For: Geneva, 26-30 January 2026_x000d_Document date: _x000d_Saved by ITU51017913 at 3:55:43 PM on 11/18/2025</dc:description>
  <cp:lastModifiedBy>TSB</cp:lastModifiedBy>
  <cp:revision>4</cp:revision>
  <dcterms:created xsi:type="dcterms:W3CDTF">2025-11-18T14:55:00Z</dcterms:created>
  <dcterms:modified xsi:type="dcterms:W3CDTF">2025-11-18T14:56:00Z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TSAG-TD241</vt:lpwstr>
  </property>
  <property fmtid="{D5CDD505-2E9C-101B-9397-08002B2CF9AE}" pid="3" name="Docdate">
    <vt:lpwstr/>
  </property>
  <property fmtid="{D5CDD505-2E9C-101B-9397-08002B2CF9AE}" pid="4" name="Docorlang">
    <vt:lpwstr/>
  </property>
  <property fmtid="{D5CDD505-2E9C-101B-9397-08002B2CF9AE}" pid="5" name="Docbluepink">
    <vt:lpwstr>All/20</vt:lpwstr>
  </property>
  <property fmtid="{D5CDD505-2E9C-101B-9397-08002B2CF9AE}" pid="6" name="Docdest">
    <vt:lpwstr>Geneva, 26-30 January 2026</vt:lpwstr>
  </property>
  <property fmtid="{D5CDD505-2E9C-101B-9397-08002B2CF9AE}" pid="7" name="Docauthor">
    <vt:lpwstr>ITU-T Study Group 20</vt:lpwstr>
  </property>
  <property fmtid="{D5CDD505-2E9C-101B-9397-08002B2CF9AE}" pid="8" name="ContentTypeId">
    <vt:lpwstr>0x010100A77651819BF4BD4A99FFF36FD7E4E96D</vt:lpwstr>
  </property>
  <property fmtid="{D5CDD505-2E9C-101B-9397-08002B2CF9AE}" pid="9" name="docLang">
    <vt:lpwstr>en</vt:lpwstr>
  </property>
  <property fmtid="{D5CDD505-2E9C-101B-9397-08002B2CF9AE}" pid="10" name="MediaServiceImageTags">
    <vt:lpwstr/>
  </property>
</Properties>
</file>