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13"/>
        <w:gridCol w:w="42"/>
        <w:gridCol w:w="618"/>
        <w:gridCol w:w="3251"/>
        <w:gridCol w:w="157"/>
        <w:gridCol w:w="4026"/>
      </w:tblGrid>
      <w:tr w:rsidR="009A0760" w:rsidRPr="009A0760" w14:paraId="388083F5" w14:textId="77777777" w:rsidTr="009A0760">
        <w:trPr>
          <w:cantSplit/>
        </w:trPr>
        <w:tc>
          <w:tcPr>
            <w:tcW w:w="1132" w:type="dxa"/>
            <w:vMerge w:val="restart"/>
            <w:vAlign w:val="center"/>
          </w:tcPr>
          <w:p w14:paraId="47C36595" w14:textId="77777777" w:rsidR="009A0760" w:rsidRPr="009A0760" w:rsidRDefault="009A0760" w:rsidP="009A0760">
            <w:pPr>
              <w:spacing w:before="0"/>
              <w:jc w:val="center"/>
              <w:rPr>
                <w:sz w:val="20"/>
                <w:szCs w:val="20"/>
              </w:rPr>
            </w:pPr>
            <w:bookmarkStart w:id="0" w:name="dnum" w:colFirst="2" w:colLast="2"/>
            <w:bookmarkStart w:id="1" w:name="dtableau"/>
            <w:r w:rsidRPr="009A0760">
              <w:rPr>
                <w:noProof/>
              </w:rPr>
              <w:drawing>
                <wp:inline distT="0" distB="0" distL="0" distR="0" wp14:anchorId="0C872D1C" wp14:editId="38DA331C">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2E1CCE43" w14:textId="77777777" w:rsidR="009A0760" w:rsidRPr="009A0760" w:rsidRDefault="009A0760" w:rsidP="009A0760">
            <w:pPr>
              <w:rPr>
                <w:sz w:val="16"/>
                <w:szCs w:val="16"/>
              </w:rPr>
            </w:pPr>
            <w:r w:rsidRPr="009A0760">
              <w:rPr>
                <w:sz w:val="16"/>
                <w:szCs w:val="16"/>
              </w:rPr>
              <w:t>INTERNATIONAL TELECOMMUNICATION UNION</w:t>
            </w:r>
          </w:p>
          <w:p w14:paraId="22219E9B" w14:textId="77777777" w:rsidR="009A0760" w:rsidRPr="009A0760" w:rsidRDefault="009A0760" w:rsidP="009A0760">
            <w:pPr>
              <w:rPr>
                <w:b/>
                <w:bCs/>
                <w:sz w:val="26"/>
                <w:szCs w:val="26"/>
              </w:rPr>
            </w:pPr>
            <w:r w:rsidRPr="009A0760">
              <w:rPr>
                <w:b/>
                <w:bCs/>
                <w:sz w:val="26"/>
                <w:szCs w:val="26"/>
              </w:rPr>
              <w:t>TELECOMMUNICATION</w:t>
            </w:r>
            <w:r w:rsidRPr="009A0760">
              <w:rPr>
                <w:b/>
                <w:bCs/>
                <w:sz w:val="26"/>
                <w:szCs w:val="26"/>
              </w:rPr>
              <w:br/>
              <w:t>STANDARDIZATION SECTOR</w:t>
            </w:r>
          </w:p>
          <w:p w14:paraId="7ECE77F9" w14:textId="4162DC1E" w:rsidR="009A0760" w:rsidRPr="009A0760" w:rsidRDefault="009A0760" w:rsidP="009A0760">
            <w:pPr>
              <w:rPr>
                <w:sz w:val="20"/>
                <w:szCs w:val="20"/>
              </w:rPr>
            </w:pPr>
            <w:r w:rsidRPr="009A0760">
              <w:rPr>
                <w:sz w:val="20"/>
                <w:szCs w:val="20"/>
              </w:rPr>
              <w:t xml:space="preserve">STUDY PERIOD </w:t>
            </w:r>
            <w:r>
              <w:rPr>
                <w:sz w:val="20"/>
              </w:rPr>
              <w:t>2025-2028</w:t>
            </w:r>
          </w:p>
        </w:tc>
        <w:tc>
          <w:tcPr>
            <w:tcW w:w="4026" w:type="dxa"/>
            <w:vAlign w:val="center"/>
          </w:tcPr>
          <w:p w14:paraId="51DD793A" w14:textId="01C45DC8" w:rsidR="009A0760" w:rsidRPr="009A0760" w:rsidRDefault="009A0760" w:rsidP="009A0760">
            <w:pPr>
              <w:pStyle w:val="Docnumber"/>
            </w:pPr>
            <w:r>
              <w:t>TSAG-TD238</w:t>
            </w:r>
          </w:p>
        </w:tc>
      </w:tr>
      <w:tr w:rsidR="009A0760" w:rsidRPr="009A0760" w14:paraId="2440E8D9" w14:textId="77777777" w:rsidTr="009A0760">
        <w:trPr>
          <w:cantSplit/>
        </w:trPr>
        <w:tc>
          <w:tcPr>
            <w:tcW w:w="1132" w:type="dxa"/>
            <w:vMerge/>
          </w:tcPr>
          <w:p w14:paraId="35531855" w14:textId="77777777" w:rsidR="009A0760" w:rsidRPr="009A0760" w:rsidRDefault="009A0760" w:rsidP="009A0760">
            <w:pPr>
              <w:rPr>
                <w:smallCaps/>
                <w:sz w:val="20"/>
              </w:rPr>
            </w:pPr>
            <w:bookmarkStart w:id="2" w:name="dsg" w:colFirst="2" w:colLast="2"/>
            <w:bookmarkEnd w:id="0"/>
          </w:p>
        </w:tc>
        <w:tc>
          <w:tcPr>
            <w:tcW w:w="4481" w:type="dxa"/>
            <w:gridSpan w:val="5"/>
            <w:vMerge/>
          </w:tcPr>
          <w:p w14:paraId="4FD955E9" w14:textId="77777777" w:rsidR="009A0760" w:rsidRPr="009A0760" w:rsidRDefault="009A0760" w:rsidP="009A0760">
            <w:pPr>
              <w:rPr>
                <w:smallCaps/>
                <w:sz w:val="20"/>
              </w:rPr>
            </w:pPr>
          </w:p>
        </w:tc>
        <w:tc>
          <w:tcPr>
            <w:tcW w:w="4026" w:type="dxa"/>
          </w:tcPr>
          <w:p w14:paraId="5FC1AE19" w14:textId="7AAE0A0C" w:rsidR="009A0760" w:rsidRPr="009A0760" w:rsidRDefault="009A0760" w:rsidP="009A0760">
            <w:pPr>
              <w:pStyle w:val="TSBHeaderRight14"/>
              <w:rPr>
                <w:smallCaps/>
              </w:rPr>
            </w:pPr>
            <w:r>
              <w:rPr>
                <w:smallCaps/>
              </w:rPr>
              <w:t>TSAG</w:t>
            </w:r>
          </w:p>
        </w:tc>
      </w:tr>
      <w:bookmarkEnd w:id="2"/>
      <w:tr w:rsidR="009A0760" w:rsidRPr="009A0760" w14:paraId="3561470B" w14:textId="77777777" w:rsidTr="009A0760">
        <w:trPr>
          <w:cantSplit/>
        </w:trPr>
        <w:tc>
          <w:tcPr>
            <w:tcW w:w="1132" w:type="dxa"/>
            <w:vMerge/>
            <w:tcBorders>
              <w:bottom w:val="single" w:sz="12" w:space="0" w:color="auto"/>
            </w:tcBorders>
          </w:tcPr>
          <w:p w14:paraId="693198A8" w14:textId="77777777" w:rsidR="009A0760" w:rsidRPr="009A0760" w:rsidRDefault="009A0760" w:rsidP="009A0760">
            <w:pPr>
              <w:rPr>
                <w:b/>
                <w:bCs/>
                <w:sz w:val="26"/>
              </w:rPr>
            </w:pPr>
          </w:p>
        </w:tc>
        <w:tc>
          <w:tcPr>
            <w:tcW w:w="4481" w:type="dxa"/>
            <w:gridSpan w:val="5"/>
            <w:vMerge/>
            <w:tcBorders>
              <w:bottom w:val="single" w:sz="12" w:space="0" w:color="auto"/>
            </w:tcBorders>
          </w:tcPr>
          <w:p w14:paraId="2EBA5E57" w14:textId="77777777" w:rsidR="009A0760" w:rsidRPr="009A0760" w:rsidRDefault="009A0760" w:rsidP="009A0760">
            <w:pPr>
              <w:rPr>
                <w:b/>
                <w:bCs/>
                <w:sz w:val="26"/>
              </w:rPr>
            </w:pPr>
          </w:p>
        </w:tc>
        <w:tc>
          <w:tcPr>
            <w:tcW w:w="4026" w:type="dxa"/>
            <w:tcBorders>
              <w:bottom w:val="single" w:sz="12" w:space="0" w:color="auto"/>
            </w:tcBorders>
            <w:vAlign w:val="center"/>
          </w:tcPr>
          <w:p w14:paraId="3EC20C5E" w14:textId="77777777" w:rsidR="009A0760" w:rsidRPr="009A0760" w:rsidRDefault="009A0760" w:rsidP="009A0760">
            <w:pPr>
              <w:pStyle w:val="TSBHeaderRight14"/>
            </w:pPr>
            <w:r w:rsidRPr="009A0760">
              <w:t>Original: English</w:t>
            </w:r>
          </w:p>
        </w:tc>
      </w:tr>
      <w:tr w:rsidR="009A0760" w:rsidRPr="009A0760" w14:paraId="5B017CC4" w14:textId="77777777" w:rsidTr="009A0760">
        <w:trPr>
          <w:cantSplit/>
        </w:trPr>
        <w:tc>
          <w:tcPr>
            <w:tcW w:w="1587" w:type="dxa"/>
            <w:gridSpan w:val="3"/>
          </w:tcPr>
          <w:p w14:paraId="6FEF431D" w14:textId="0756F8E6" w:rsidR="009A0760" w:rsidRPr="009A0760" w:rsidRDefault="009A0760" w:rsidP="009A0760">
            <w:pPr>
              <w:rPr>
                <w:b/>
                <w:bCs/>
              </w:rPr>
            </w:pPr>
            <w:bookmarkStart w:id="3" w:name="dbluepink" w:colFirst="1" w:colLast="1"/>
            <w:bookmarkStart w:id="4" w:name="dmeeting" w:colFirst="2" w:colLast="2"/>
          </w:p>
        </w:tc>
        <w:tc>
          <w:tcPr>
            <w:tcW w:w="4026" w:type="dxa"/>
            <w:gridSpan w:val="3"/>
          </w:tcPr>
          <w:p w14:paraId="48EEB2BC" w14:textId="340D8FEB" w:rsidR="009A0760" w:rsidRPr="009A0760" w:rsidRDefault="009A0760" w:rsidP="009A0760">
            <w:pPr>
              <w:pStyle w:val="TSBHeaderQuestion"/>
            </w:pPr>
          </w:p>
        </w:tc>
        <w:tc>
          <w:tcPr>
            <w:tcW w:w="4026" w:type="dxa"/>
          </w:tcPr>
          <w:p w14:paraId="084BB23D" w14:textId="0E85E44E" w:rsidR="009A0760" w:rsidRPr="009A0760" w:rsidRDefault="009A0760" w:rsidP="009A0760">
            <w:pPr>
              <w:pStyle w:val="VenueDate"/>
            </w:pPr>
            <w:r w:rsidRPr="009A0760">
              <w:t>Geneva, 26-30 January 2026</w:t>
            </w:r>
          </w:p>
        </w:tc>
      </w:tr>
      <w:tr w:rsidR="009A0760" w:rsidRPr="009A0760" w14:paraId="4E74C9F6" w14:textId="77777777" w:rsidTr="005F7827">
        <w:trPr>
          <w:cantSplit/>
        </w:trPr>
        <w:tc>
          <w:tcPr>
            <w:tcW w:w="9639" w:type="dxa"/>
            <w:gridSpan w:val="7"/>
          </w:tcPr>
          <w:p w14:paraId="2D692304" w14:textId="77777777" w:rsidR="009A0760" w:rsidRPr="009A0760" w:rsidRDefault="009A0760" w:rsidP="009A0760">
            <w:pPr>
              <w:jc w:val="center"/>
              <w:rPr>
                <w:b/>
                <w:bCs/>
              </w:rPr>
            </w:pPr>
            <w:bookmarkStart w:id="5" w:name="ddoctype"/>
            <w:bookmarkEnd w:id="3"/>
            <w:bookmarkEnd w:id="4"/>
            <w:r w:rsidRPr="009A0760">
              <w:rPr>
                <w:b/>
                <w:bCs/>
              </w:rPr>
              <w:t>TD</w:t>
            </w:r>
          </w:p>
          <w:p w14:paraId="631C444B" w14:textId="6315183B" w:rsidR="009A0760" w:rsidRPr="009A0760" w:rsidRDefault="009A0760" w:rsidP="00FD1021">
            <w:pPr>
              <w:spacing w:before="0"/>
              <w:jc w:val="center"/>
              <w:rPr>
                <w:b/>
                <w:bCs/>
              </w:rPr>
            </w:pPr>
            <w:r w:rsidRPr="009A0760">
              <w:rPr>
                <w:b/>
                <w:bCs/>
              </w:rPr>
              <w:t xml:space="preserve">(Ref.: </w:t>
            </w:r>
            <w:hyperlink r:id="rId11" w:history="1">
              <w:r w:rsidR="00FD1021" w:rsidRPr="00FD1021">
                <w:rPr>
                  <w:rStyle w:val="Hyperlink"/>
                  <w:b/>
                  <w:bCs/>
                </w:rPr>
                <w:t>SG20-LS80</w:t>
              </w:r>
            </w:hyperlink>
            <w:r w:rsidRPr="009A0760">
              <w:rPr>
                <w:b/>
                <w:bCs/>
              </w:rPr>
              <w:t>)</w:t>
            </w:r>
          </w:p>
        </w:tc>
      </w:tr>
      <w:tr w:rsidR="009A0760" w:rsidRPr="009A0760" w14:paraId="56C7B023" w14:textId="77777777" w:rsidTr="009A0760">
        <w:trPr>
          <w:cantSplit/>
        </w:trPr>
        <w:tc>
          <w:tcPr>
            <w:tcW w:w="1587" w:type="dxa"/>
            <w:gridSpan w:val="3"/>
          </w:tcPr>
          <w:p w14:paraId="7174BE9A" w14:textId="77777777" w:rsidR="009A0760" w:rsidRPr="009A0760" w:rsidRDefault="009A0760" w:rsidP="009A0760">
            <w:pPr>
              <w:rPr>
                <w:b/>
                <w:bCs/>
              </w:rPr>
            </w:pPr>
            <w:bookmarkStart w:id="6" w:name="dsource" w:colFirst="1" w:colLast="1"/>
            <w:bookmarkEnd w:id="5"/>
            <w:r w:rsidRPr="009A0760">
              <w:rPr>
                <w:b/>
                <w:bCs/>
              </w:rPr>
              <w:t>Source:</w:t>
            </w:r>
          </w:p>
        </w:tc>
        <w:tc>
          <w:tcPr>
            <w:tcW w:w="8052" w:type="dxa"/>
            <w:gridSpan w:val="4"/>
          </w:tcPr>
          <w:p w14:paraId="26C10ACA" w14:textId="419437E3" w:rsidR="009A0760" w:rsidRPr="009A0760" w:rsidRDefault="009A0760" w:rsidP="009A0760">
            <w:pPr>
              <w:pStyle w:val="TSBHeaderSource"/>
            </w:pPr>
            <w:r w:rsidRPr="009A0760">
              <w:t>ITU-T Study Group 20</w:t>
            </w:r>
          </w:p>
        </w:tc>
      </w:tr>
      <w:tr w:rsidR="009A0760" w:rsidRPr="009A0760" w14:paraId="150C1B7C" w14:textId="77777777" w:rsidTr="009A0760">
        <w:trPr>
          <w:cantSplit/>
        </w:trPr>
        <w:tc>
          <w:tcPr>
            <w:tcW w:w="1587" w:type="dxa"/>
            <w:gridSpan w:val="3"/>
            <w:tcBorders>
              <w:bottom w:val="single" w:sz="8" w:space="0" w:color="auto"/>
            </w:tcBorders>
          </w:tcPr>
          <w:p w14:paraId="45BD16DD" w14:textId="77777777" w:rsidR="009A0760" w:rsidRPr="009A0760" w:rsidRDefault="009A0760" w:rsidP="009A0760">
            <w:pPr>
              <w:rPr>
                <w:b/>
                <w:bCs/>
              </w:rPr>
            </w:pPr>
            <w:bookmarkStart w:id="7" w:name="dtitle1" w:colFirst="1" w:colLast="1"/>
            <w:bookmarkEnd w:id="6"/>
            <w:r w:rsidRPr="009A0760">
              <w:rPr>
                <w:b/>
                <w:bCs/>
              </w:rPr>
              <w:t>Title:</w:t>
            </w:r>
          </w:p>
        </w:tc>
        <w:tc>
          <w:tcPr>
            <w:tcW w:w="8052" w:type="dxa"/>
            <w:gridSpan w:val="4"/>
            <w:tcBorders>
              <w:bottom w:val="single" w:sz="8" w:space="0" w:color="auto"/>
            </w:tcBorders>
          </w:tcPr>
          <w:p w14:paraId="02230890" w14:textId="58BE20DC" w:rsidR="009A0760" w:rsidRPr="009A0760" w:rsidRDefault="009A0760" w:rsidP="009A0760">
            <w:pPr>
              <w:pStyle w:val="TSBHeaderTitle"/>
            </w:pPr>
            <w:r w:rsidRPr="009A0760">
              <w:t>LS/</w:t>
            </w:r>
            <w:proofErr w:type="spellStart"/>
            <w:r>
              <w:t>i</w:t>
            </w:r>
            <w:proofErr w:type="spellEnd"/>
            <w:r>
              <w:t>/</w:t>
            </w:r>
            <w:r w:rsidRPr="009A0760">
              <w:t>r on the activities and studies on sustainable digital transformation (reply to TSAG-LS7)</w:t>
            </w:r>
            <w:r>
              <w:t xml:space="preserve"> [from ITU-T SG20]</w:t>
            </w:r>
          </w:p>
        </w:tc>
      </w:tr>
      <w:bookmarkEnd w:id="1"/>
      <w:bookmarkEnd w:id="7"/>
      <w:tr w:rsidR="00CD6848" w:rsidRPr="00D34B68" w14:paraId="3F865ECE" w14:textId="77777777" w:rsidTr="009F2C64">
        <w:trPr>
          <w:cantSplit/>
          <w:trHeight w:val="357"/>
        </w:trPr>
        <w:tc>
          <w:tcPr>
            <w:tcW w:w="9639" w:type="dxa"/>
            <w:gridSpan w:val="7"/>
            <w:tcBorders>
              <w:top w:val="single" w:sz="12" w:space="0" w:color="auto"/>
            </w:tcBorders>
          </w:tcPr>
          <w:p w14:paraId="63CCB69C" w14:textId="77777777" w:rsidR="00CD6848" w:rsidRPr="00D34B68" w:rsidRDefault="00CD6848">
            <w:pPr>
              <w:jc w:val="center"/>
              <w:rPr>
                <w:b/>
              </w:rPr>
            </w:pPr>
            <w:r w:rsidRPr="00D34B68">
              <w:rPr>
                <w:b/>
              </w:rPr>
              <w:t>LIAISON STATEMENT</w:t>
            </w:r>
          </w:p>
        </w:tc>
      </w:tr>
      <w:tr w:rsidR="00CD6848" w:rsidRPr="00D34B68" w14:paraId="35F69F31" w14:textId="77777777" w:rsidTr="009F2C64">
        <w:trPr>
          <w:cantSplit/>
          <w:trHeight w:val="357"/>
        </w:trPr>
        <w:tc>
          <w:tcPr>
            <w:tcW w:w="2205" w:type="dxa"/>
            <w:gridSpan w:val="4"/>
          </w:tcPr>
          <w:p w14:paraId="20EFE067" w14:textId="77777777" w:rsidR="00CD6848" w:rsidRPr="00D34B68" w:rsidRDefault="00CD6848">
            <w:pPr>
              <w:rPr>
                <w:b/>
                <w:bCs/>
              </w:rPr>
            </w:pPr>
            <w:r w:rsidRPr="00D34B68">
              <w:rPr>
                <w:b/>
                <w:bCs/>
              </w:rPr>
              <w:t>For action to:</w:t>
            </w:r>
          </w:p>
        </w:tc>
        <w:tc>
          <w:tcPr>
            <w:tcW w:w="7434" w:type="dxa"/>
            <w:gridSpan w:val="3"/>
          </w:tcPr>
          <w:p w14:paraId="2D80818C" w14:textId="6CA09970" w:rsidR="00CD6848" w:rsidRPr="00D34B68" w:rsidRDefault="00335D50">
            <w:pPr>
              <w:pStyle w:val="LSForAction"/>
              <w:rPr>
                <w:rFonts w:eastAsia="Malgun Gothic"/>
                <w:lang w:eastAsia="ko-KR"/>
              </w:rPr>
            </w:pPr>
            <w:r w:rsidRPr="00D34B68">
              <w:rPr>
                <w:rFonts w:eastAsia="Malgun Gothic"/>
                <w:lang w:eastAsia="ko-KR"/>
              </w:rPr>
              <w:t>TSAG RG-DT</w:t>
            </w:r>
          </w:p>
        </w:tc>
      </w:tr>
      <w:tr w:rsidR="00CD6848" w:rsidRPr="00D34B68" w14:paraId="4ABA2A03" w14:textId="77777777" w:rsidTr="009F2C64">
        <w:trPr>
          <w:cantSplit/>
          <w:trHeight w:val="357"/>
        </w:trPr>
        <w:tc>
          <w:tcPr>
            <w:tcW w:w="2205" w:type="dxa"/>
            <w:gridSpan w:val="4"/>
          </w:tcPr>
          <w:p w14:paraId="5145F1A4" w14:textId="77777777" w:rsidR="00CD6848" w:rsidRPr="00D34B68" w:rsidRDefault="00CD6848">
            <w:pPr>
              <w:rPr>
                <w:b/>
                <w:bCs/>
              </w:rPr>
            </w:pPr>
            <w:r w:rsidRPr="00D34B68">
              <w:rPr>
                <w:b/>
                <w:bCs/>
              </w:rPr>
              <w:t>For information to:</w:t>
            </w:r>
          </w:p>
        </w:tc>
        <w:tc>
          <w:tcPr>
            <w:tcW w:w="7434" w:type="dxa"/>
            <w:gridSpan w:val="3"/>
          </w:tcPr>
          <w:p w14:paraId="03540E6D" w14:textId="77777777" w:rsidR="00CD6848" w:rsidRPr="00D34B68" w:rsidRDefault="00CD6848">
            <w:pPr>
              <w:pStyle w:val="LSForInfo"/>
            </w:pPr>
          </w:p>
        </w:tc>
      </w:tr>
      <w:tr w:rsidR="00CD6848" w:rsidRPr="00D34B68" w14:paraId="19B7E4E0" w14:textId="77777777" w:rsidTr="009F2C64">
        <w:trPr>
          <w:cantSplit/>
          <w:trHeight w:val="357"/>
        </w:trPr>
        <w:tc>
          <w:tcPr>
            <w:tcW w:w="2205" w:type="dxa"/>
            <w:gridSpan w:val="4"/>
          </w:tcPr>
          <w:p w14:paraId="62EA9AB1" w14:textId="77777777" w:rsidR="00CD6848" w:rsidRPr="00D34B68" w:rsidRDefault="00CD6848">
            <w:pPr>
              <w:rPr>
                <w:b/>
                <w:bCs/>
              </w:rPr>
            </w:pPr>
            <w:r w:rsidRPr="00D34B68">
              <w:rPr>
                <w:b/>
                <w:bCs/>
              </w:rPr>
              <w:t>Approval:</w:t>
            </w:r>
          </w:p>
        </w:tc>
        <w:tc>
          <w:tcPr>
            <w:tcW w:w="7434" w:type="dxa"/>
            <w:gridSpan w:val="3"/>
          </w:tcPr>
          <w:p w14:paraId="5D3D74D5" w14:textId="2B7B771B" w:rsidR="00CD6848" w:rsidRPr="009A0760" w:rsidRDefault="00335D50" w:rsidP="00695FC2">
            <w:pPr>
              <w:pStyle w:val="LSApproval"/>
              <w:rPr>
                <w:rFonts w:eastAsia="Malgun Gothic"/>
                <w:lang w:eastAsia="ko-KR"/>
              </w:rPr>
            </w:pPr>
            <w:r w:rsidRPr="009A0760">
              <w:rPr>
                <w:rFonts w:eastAsia="Malgun Gothic"/>
                <w:lang w:eastAsia="ko-KR"/>
              </w:rPr>
              <w:t>ITU-T S</w:t>
            </w:r>
            <w:r w:rsidR="00FE1AF2" w:rsidRPr="009A0760">
              <w:rPr>
                <w:rFonts w:eastAsia="Malgun Gothic"/>
                <w:lang w:eastAsia="ko-KR"/>
              </w:rPr>
              <w:t xml:space="preserve">tudy </w:t>
            </w:r>
            <w:r w:rsidRPr="009A0760">
              <w:rPr>
                <w:rFonts w:eastAsia="Malgun Gothic"/>
                <w:lang w:eastAsia="ko-KR"/>
              </w:rPr>
              <w:t>G</w:t>
            </w:r>
            <w:r w:rsidR="00FE1AF2" w:rsidRPr="009A0760">
              <w:rPr>
                <w:rFonts w:eastAsia="Malgun Gothic"/>
                <w:lang w:eastAsia="ko-KR"/>
              </w:rPr>
              <w:t xml:space="preserve">roup </w:t>
            </w:r>
            <w:r w:rsidRPr="009A0760">
              <w:rPr>
                <w:rFonts w:eastAsia="Malgun Gothic"/>
                <w:lang w:eastAsia="ko-KR"/>
              </w:rPr>
              <w:t>20</w:t>
            </w:r>
            <w:r w:rsidR="00FE1AF2" w:rsidRPr="009A0760">
              <w:rPr>
                <w:rFonts w:eastAsia="Malgun Gothic"/>
                <w:lang w:eastAsia="ko-KR"/>
              </w:rPr>
              <w:t xml:space="preserve"> meeting</w:t>
            </w:r>
            <w:r w:rsidRPr="009A0760">
              <w:rPr>
                <w:rFonts w:eastAsia="Malgun Gothic"/>
                <w:lang w:eastAsia="ko-KR"/>
              </w:rPr>
              <w:t xml:space="preserve"> (Geneva, 25 September 2025)</w:t>
            </w:r>
          </w:p>
        </w:tc>
      </w:tr>
      <w:tr w:rsidR="00CD6848" w:rsidRPr="00D34B68" w14:paraId="1ED65DF0" w14:textId="77777777" w:rsidTr="009F2C64">
        <w:trPr>
          <w:cantSplit/>
          <w:trHeight w:val="357"/>
        </w:trPr>
        <w:tc>
          <w:tcPr>
            <w:tcW w:w="2205" w:type="dxa"/>
            <w:gridSpan w:val="4"/>
            <w:tcBorders>
              <w:bottom w:val="single" w:sz="12" w:space="0" w:color="auto"/>
            </w:tcBorders>
          </w:tcPr>
          <w:p w14:paraId="3ED42284" w14:textId="77777777" w:rsidR="00CD6848" w:rsidRPr="00D34B68" w:rsidRDefault="00CD6848">
            <w:pPr>
              <w:rPr>
                <w:b/>
                <w:bCs/>
              </w:rPr>
            </w:pPr>
            <w:r w:rsidRPr="00D34B68">
              <w:rPr>
                <w:b/>
                <w:bCs/>
              </w:rPr>
              <w:t>Deadline:</w:t>
            </w:r>
          </w:p>
        </w:tc>
        <w:tc>
          <w:tcPr>
            <w:tcW w:w="7434" w:type="dxa"/>
            <w:gridSpan w:val="3"/>
            <w:tcBorders>
              <w:bottom w:val="single" w:sz="12" w:space="0" w:color="auto"/>
            </w:tcBorders>
          </w:tcPr>
          <w:p w14:paraId="6B3D042F" w14:textId="0764C921" w:rsidR="00CD6848" w:rsidRPr="00D34B68" w:rsidRDefault="009A0760">
            <w:pPr>
              <w:pStyle w:val="LSDeadline"/>
              <w:rPr>
                <w:rFonts w:eastAsia="Malgun Gothic"/>
                <w:lang w:eastAsia="ko-KR"/>
              </w:rPr>
            </w:pPr>
            <w:r>
              <w:rPr>
                <w:rFonts w:eastAsia="Malgun Gothic"/>
                <w:lang w:eastAsia="ko-KR"/>
              </w:rPr>
              <w:t>-</w:t>
            </w:r>
          </w:p>
        </w:tc>
      </w:tr>
      <w:tr w:rsidR="00C62BE6" w:rsidRPr="00D34B68" w14:paraId="500A09DD" w14:textId="77777777" w:rsidTr="009A0760">
        <w:trPr>
          <w:cantSplit/>
        </w:trPr>
        <w:tc>
          <w:tcPr>
            <w:tcW w:w="1545" w:type="dxa"/>
            <w:gridSpan w:val="2"/>
            <w:tcBorders>
              <w:top w:val="single" w:sz="8" w:space="0" w:color="auto"/>
              <w:bottom w:val="single" w:sz="8" w:space="0" w:color="auto"/>
            </w:tcBorders>
          </w:tcPr>
          <w:p w14:paraId="20DE722B" w14:textId="77777777" w:rsidR="00C62BE6" w:rsidRPr="00D34B68" w:rsidRDefault="00C62BE6" w:rsidP="00C62BE6">
            <w:pPr>
              <w:rPr>
                <w:b/>
                <w:bCs/>
              </w:rPr>
            </w:pPr>
            <w:r w:rsidRPr="00D34B68">
              <w:rPr>
                <w:b/>
                <w:bCs/>
              </w:rPr>
              <w:t>Contact:</w:t>
            </w:r>
          </w:p>
        </w:tc>
        <w:tc>
          <w:tcPr>
            <w:tcW w:w="3911" w:type="dxa"/>
            <w:gridSpan w:val="3"/>
            <w:tcBorders>
              <w:top w:val="single" w:sz="8" w:space="0" w:color="auto"/>
              <w:bottom w:val="single" w:sz="8" w:space="0" w:color="auto"/>
            </w:tcBorders>
          </w:tcPr>
          <w:p w14:paraId="10CE9505" w14:textId="1C7992C6" w:rsidR="00C62BE6" w:rsidRPr="00D34B68" w:rsidRDefault="0022276B" w:rsidP="00C62BE6">
            <w:r w:rsidRPr="00D34B68">
              <w:t>Hyoung Jun Kim</w:t>
            </w:r>
            <w:r w:rsidR="00C62BE6" w:rsidRPr="00D34B68">
              <w:rPr>
                <w:highlight w:val="yellow"/>
              </w:rPr>
              <w:br/>
            </w:r>
            <w:r w:rsidR="00FE1AF2" w:rsidRPr="00D34B68">
              <w:t xml:space="preserve">ITU-T </w:t>
            </w:r>
            <w:r w:rsidRPr="00D34B68">
              <w:t>S</w:t>
            </w:r>
            <w:r w:rsidR="00FE1AF2" w:rsidRPr="00D34B68">
              <w:t xml:space="preserve">tudy </w:t>
            </w:r>
            <w:r w:rsidRPr="00D34B68">
              <w:t>G</w:t>
            </w:r>
            <w:r w:rsidR="00FE1AF2" w:rsidRPr="00D34B68">
              <w:t xml:space="preserve">roup </w:t>
            </w:r>
            <w:r w:rsidRPr="00D34B68">
              <w:t>20 Chair</w:t>
            </w:r>
          </w:p>
        </w:tc>
        <w:tc>
          <w:tcPr>
            <w:tcW w:w="4183" w:type="dxa"/>
            <w:gridSpan w:val="2"/>
            <w:tcBorders>
              <w:top w:val="single" w:sz="8" w:space="0" w:color="auto"/>
              <w:bottom w:val="single" w:sz="8" w:space="0" w:color="auto"/>
            </w:tcBorders>
          </w:tcPr>
          <w:p w14:paraId="60379989" w14:textId="6459E77C" w:rsidR="00C62BE6" w:rsidRPr="00D34B68" w:rsidRDefault="00C62BE6" w:rsidP="00C62BE6">
            <w:pPr>
              <w:tabs>
                <w:tab w:val="left" w:pos="794"/>
              </w:tabs>
            </w:pPr>
            <w:r w:rsidRPr="00D34B68">
              <w:t>E-mail:</w:t>
            </w:r>
            <w:r w:rsidRPr="00D34B68">
              <w:tab/>
            </w:r>
            <w:hyperlink r:id="rId12" w:history="1">
              <w:r w:rsidR="0022276B" w:rsidRPr="00D34B68">
                <w:rPr>
                  <w:rStyle w:val="Hyperlink"/>
                </w:rPr>
                <w:t>khj@etri.re.kr</w:t>
              </w:r>
            </w:hyperlink>
          </w:p>
        </w:tc>
      </w:tr>
      <w:tr w:rsidR="009F2C64" w:rsidRPr="00D34B68" w14:paraId="3060FE62" w14:textId="77777777" w:rsidTr="009A0760">
        <w:trPr>
          <w:cantSplit/>
        </w:trPr>
        <w:tc>
          <w:tcPr>
            <w:tcW w:w="1545" w:type="dxa"/>
            <w:gridSpan w:val="2"/>
            <w:tcBorders>
              <w:top w:val="single" w:sz="8" w:space="0" w:color="auto"/>
              <w:bottom w:val="single" w:sz="8" w:space="0" w:color="auto"/>
            </w:tcBorders>
          </w:tcPr>
          <w:p w14:paraId="2C294F1C" w14:textId="77777777" w:rsidR="009F2C64" w:rsidRPr="00D34B68" w:rsidRDefault="009F2C64" w:rsidP="009F2C64">
            <w:pPr>
              <w:rPr>
                <w:b/>
                <w:bCs/>
              </w:rPr>
            </w:pPr>
            <w:r w:rsidRPr="00D34B68">
              <w:rPr>
                <w:b/>
                <w:bCs/>
              </w:rPr>
              <w:t>Contact:</w:t>
            </w:r>
          </w:p>
        </w:tc>
        <w:tc>
          <w:tcPr>
            <w:tcW w:w="3911" w:type="dxa"/>
            <w:gridSpan w:val="3"/>
            <w:tcBorders>
              <w:top w:val="single" w:sz="8" w:space="0" w:color="auto"/>
              <w:bottom w:val="single" w:sz="8" w:space="0" w:color="auto"/>
            </w:tcBorders>
          </w:tcPr>
          <w:p w14:paraId="113970C3" w14:textId="38492630" w:rsidR="009F2C64" w:rsidRPr="00D34B68" w:rsidRDefault="00FD1021" w:rsidP="009F2C64">
            <w:sdt>
              <w:sdtPr>
                <w:alias w:val="ContactNameOrgCountry"/>
                <w:tag w:val="ContactNameOrgCountry"/>
                <w:id w:val="-130639986"/>
                <w:placeholder>
                  <w:docPart w:val="774CDE41495441EEA81F4E237D1416D9"/>
                </w:placeholder>
                <w:text w:multiLine="1"/>
              </w:sdtPr>
              <w:sdtEndPr/>
              <w:sdtContent>
                <w:r w:rsidR="0022276B" w:rsidRPr="00D34B68">
                  <w:t xml:space="preserve">Jun </w:t>
                </w:r>
                <w:proofErr w:type="spellStart"/>
                <w:r w:rsidR="0022276B" w:rsidRPr="00D34B68">
                  <w:t>Seob</w:t>
                </w:r>
                <w:proofErr w:type="spellEnd"/>
                <w:r w:rsidR="0022276B" w:rsidRPr="00D34B68">
                  <w:t xml:space="preserve"> Lee</w:t>
                </w:r>
                <w:r w:rsidR="0022276B" w:rsidRPr="00D34B68">
                  <w:br/>
                  <w:t>WP2/20 Chair</w:t>
                </w:r>
              </w:sdtContent>
            </w:sdt>
          </w:p>
        </w:tc>
        <w:tc>
          <w:tcPr>
            <w:tcW w:w="4183" w:type="dxa"/>
            <w:gridSpan w:val="2"/>
            <w:tcBorders>
              <w:top w:val="single" w:sz="8" w:space="0" w:color="auto"/>
              <w:bottom w:val="single" w:sz="8" w:space="0" w:color="auto"/>
            </w:tcBorders>
          </w:tcPr>
          <w:p w14:paraId="63A79DE3" w14:textId="1E3B15C5" w:rsidR="009F2C64" w:rsidRPr="00D34B68" w:rsidRDefault="009F2C64" w:rsidP="009F2C64">
            <w:pPr>
              <w:tabs>
                <w:tab w:val="left" w:pos="794"/>
              </w:tabs>
            </w:pPr>
            <w:r w:rsidRPr="00D34B68">
              <w:t>E-mail:</w:t>
            </w:r>
            <w:r w:rsidRPr="00D34B68">
              <w:tab/>
            </w:r>
            <w:hyperlink r:id="rId13" w:history="1">
              <w:r w:rsidR="0022276B" w:rsidRPr="00D34B68">
                <w:rPr>
                  <w:rStyle w:val="Hyperlink"/>
                </w:rPr>
                <w:t>juns@etri.re.kr</w:t>
              </w:r>
            </w:hyperlink>
          </w:p>
        </w:tc>
      </w:tr>
    </w:tbl>
    <w:p w14:paraId="140BC52E" w14:textId="77777777" w:rsidR="000C397B" w:rsidRPr="00D34B68" w:rsidRDefault="000C397B"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695FC2" w:rsidRPr="00D34B68" w14:paraId="76C4A506" w14:textId="77777777" w:rsidTr="001410FD">
        <w:trPr>
          <w:cantSplit/>
        </w:trPr>
        <w:tc>
          <w:tcPr>
            <w:tcW w:w="1588" w:type="dxa"/>
          </w:tcPr>
          <w:p w14:paraId="22982571" w14:textId="77777777" w:rsidR="00695FC2" w:rsidRPr="00D34B68" w:rsidRDefault="00695FC2">
            <w:pPr>
              <w:rPr>
                <w:b/>
                <w:bCs/>
              </w:rPr>
            </w:pPr>
            <w:r w:rsidRPr="00D34B68">
              <w:rPr>
                <w:b/>
                <w:bCs/>
              </w:rPr>
              <w:t>Abstract:</w:t>
            </w:r>
          </w:p>
        </w:tc>
        <w:tc>
          <w:tcPr>
            <w:tcW w:w="8051" w:type="dxa"/>
          </w:tcPr>
          <w:p w14:paraId="41E12E93" w14:textId="3491F26A" w:rsidR="00695FC2" w:rsidRPr="00D34B68" w:rsidRDefault="0022276B">
            <w:pPr>
              <w:pStyle w:val="TSBHeaderSummary"/>
              <w:rPr>
                <w:rFonts w:eastAsia="Malgun Gothic"/>
                <w:highlight w:val="yellow"/>
                <w:lang w:eastAsia="ko-KR"/>
              </w:rPr>
            </w:pPr>
            <w:r w:rsidRPr="00D34B68">
              <w:t xml:space="preserve">This Liaison Statement contains the response of ITU-T Study Group 20 to ITU-T </w:t>
            </w:r>
            <w:r w:rsidRPr="00D34B68">
              <w:rPr>
                <w:rFonts w:eastAsia="Malgun Gothic"/>
                <w:lang w:eastAsia="ko-KR"/>
              </w:rPr>
              <w:t>TSAG RG-DT</w:t>
            </w:r>
            <w:r w:rsidRPr="00D34B68">
              <w:t xml:space="preserve"> on </w:t>
            </w:r>
            <w:r w:rsidRPr="00D34B68">
              <w:rPr>
                <w:rFonts w:eastAsia="Malgun Gothic"/>
                <w:lang w:eastAsia="ko-KR"/>
              </w:rPr>
              <w:t xml:space="preserve">the </w:t>
            </w:r>
            <w:r w:rsidRPr="00D34B68">
              <w:rPr>
                <w:iCs/>
                <w:lang w:val="en-US"/>
              </w:rPr>
              <w:t>activities and studies on sustainable digital transformation</w:t>
            </w:r>
            <w:r w:rsidRPr="00D34B68">
              <w:t>.</w:t>
            </w:r>
          </w:p>
        </w:tc>
      </w:tr>
    </w:tbl>
    <w:p w14:paraId="70FBDF66" w14:textId="243A97A2" w:rsidR="003B4CF8" w:rsidRPr="00D34B68" w:rsidRDefault="00335D50" w:rsidP="00FE1AF2">
      <w:pPr>
        <w:spacing w:before="240"/>
        <w:rPr>
          <w:highlight w:val="yellow"/>
        </w:rPr>
      </w:pPr>
      <w:r w:rsidRPr="00D34B68">
        <w:t xml:space="preserve">This liaison statement answers </w:t>
      </w:r>
      <w:hyperlink r:id="rId14" w:tooltip="ITU-T ftp file restricted to TIES access only" w:history="1">
        <w:r w:rsidRPr="00D34B68">
          <w:rPr>
            <w:rStyle w:val="Hyperlink"/>
          </w:rPr>
          <w:t>TSAG-LS7</w:t>
        </w:r>
      </w:hyperlink>
      <w:r w:rsidRPr="00D34B68">
        <w:t>.</w:t>
      </w:r>
    </w:p>
    <w:p w14:paraId="4DE086D3" w14:textId="528023BB" w:rsidR="00B41907" w:rsidRPr="00D34B68" w:rsidRDefault="00B41907" w:rsidP="00B41907">
      <w:pPr>
        <w:rPr>
          <w:rFonts w:eastAsia="Malgun Gothic"/>
          <w:lang w:eastAsia="ko-KR"/>
        </w:rPr>
      </w:pPr>
      <w:r w:rsidRPr="00D34B68">
        <w:rPr>
          <w:rFonts w:eastAsia="Malgun Gothic"/>
          <w:lang w:eastAsia="ko-KR"/>
        </w:rPr>
        <w:t xml:space="preserve">ITU-T Study Group 20 thanks </w:t>
      </w:r>
      <w:r w:rsidR="007A2632" w:rsidRPr="00D34B68">
        <w:rPr>
          <w:rFonts w:eastAsia="Malgun Gothic"/>
          <w:lang w:eastAsia="ko-KR"/>
        </w:rPr>
        <w:t xml:space="preserve">the </w:t>
      </w:r>
      <w:r w:rsidRPr="00D34B68">
        <w:rPr>
          <w:rFonts w:eastAsia="Malgun Gothic"/>
          <w:lang w:eastAsia="ko-KR"/>
        </w:rPr>
        <w:t>TSAG Rapporteur Group on Sustainable Digital Transformation (RG-DT) for the invitation to share our activities and studies in this important area.</w:t>
      </w:r>
    </w:p>
    <w:p w14:paraId="39A13E8B" w14:textId="2C2158D2" w:rsidR="00B41907" w:rsidRPr="00D34B68" w:rsidRDefault="00B41907" w:rsidP="00B41907">
      <w:pPr>
        <w:rPr>
          <w:rFonts w:eastAsia="Malgun Gothic"/>
          <w:lang w:eastAsia="ko-KR"/>
        </w:rPr>
      </w:pPr>
      <w:r w:rsidRPr="00D34B68">
        <w:rPr>
          <w:rFonts w:eastAsia="Malgun Gothic"/>
          <w:lang w:eastAsia="ko-KR"/>
        </w:rPr>
        <w:t xml:space="preserve">ITU-T Study Group 20 “Internet of Things, digital twins and smart sustainable cities and communities” is at the forefront of ITU’s work on sustainable digital transformation. </w:t>
      </w:r>
      <w:r w:rsidR="00EC1525" w:rsidRPr="00D34B68">
        <w:rPr>
          <w:rFonts w:eastAsia="Malgun Gothic"/>
          <w:lang w:eastAsia="ko-KR"/>
        </w:rPr>
        <w:t>All ongoing and approved deliverables of SG20 contribute directly to this goal.</w:t>
      </w:r>
    </w:p>
    <w:p w14:paraId="10E4C7AA" w14:textId="0095D407" w:rsidR="00702484" w:rsidRPr="00D34B68" w:rsidRDefault="00702484" w:rsidP="00736515">
      <w:pPr>
        <w:rPr>
          <w:rFonts w:eastAsia="Malgun Gothic"/>
          <w:lang w:eastAsia="ko-KR"/>
        </w:rPr>
      </w:pPr>
      <w:r w:rsidRPr="00D34B68">
        <w:rPr>
          <w:rFonts w:eastAsia="Malgun Gothic"/>
          <w:lang w:eastAsia="ko-KR"/>
        </w:rPr>
        <w:t xml:space="preserve">In addition to Recommendations, technical reports, and guidelines, </w:t>
      </w:r>
      <w:r w:rsidR="00384367" w:rsidRPr="00D34B68">
        <w:rPr>
          <w:rFonts w:eastAsia="Malgun Gothic"/>
          <w:lang w:eastAsia="ko-KR"/>
        </w:rPr>
        <w:t>SG20 guides and oversees a series of global initiatives, forums, webinars and projects, which are conducted in close collaboration with the TSB Secretariat</w:t>
      </w:r>
      <w:r w:rsidRPr="00D34B68">
        <w:rPr>
          <w:rFonts w:eastAsia="Malgun Gothic"/>
          <w:lang w:eastAsia="ko-KR"/>
        </w:rPr>
        <w:t>. These activities raise awareness, foster collaboration, and support the implementation of ITU-T standards worldwide.</w:t>
      </w:r>
    </w:p>
    <w:p w14:paraId="0EBC2E49" w14:textId="756A601D" w:rsidR="00B41907" w:rsidRPr="00D34B68" w:rsidRDefault="00F8453A" w:rsidP="00736515">
      <w:pPr>
        <w:rPr>
          <w:rFonts w:eastAsia="Malgun Gothic"/>
          <w:lang w:eastAsia="ko-KR"/>
        </w:rPr>
      </w:pPr>
      <w:r w:rsidRPr="00D34B68">
        <w:rPr>
          <w:rFonts w:eastAsia="Malgun Gothic"/>
          <w:lang w:eastAsia="ko-KR"/>
        </w:rPr>
        <w:t>To assist TSAG RG-DT in its gap analysis, SG20 has prepared the table in Annex A, following the template provided, which presents a representative sample of approved Recommendations, Supplements, technical reports, ongoing work items, and related initiatives</w:t>
      </w:r>
      <w:r w:rsidR="00B41907" w:rsidRPr="00D34B68">
        <w:rPr>
          <w:rFonts w:eastAsia="Malgun Gothic"/>
          <w:lang w:eastAsia="ko-KR"/>
        </w:rPr>
        <w:t>.</w:t>
      </w:r>
    </w:p>
    <w:p w14:paraId="21810B69" w14:textId="77777777" w:rsidR="00344E57" w:rsidRDefault="00736515" w:rsidP="00925F81">
      <w:pPr>
        <w:spacing w:before="240" w:after="240"/>
        <w:rPr>
          <w:rFonts w:eastAsia="Malgun Gothic"/>
          <w:lang w:eastAsia="ko-KR"/>
        </w:rPr>
        <w:sectPr w:rsidR="00344E57" w:rsidSect="009A0760">
          <w:headerReference w:type="default" r:id="rId15"/>
          <w:pgSz w:w="11907" w:h="16840" w:code="9"/>
          <w:pgMar w:top="1134" w:right="1134" w:bottom="1134" w:left="1134" w:header="720" w:footer="720" w:gutter="0"/>
          <w:cols w:space="720"/>
          <w:titlePg/>
          <w:docGrid w:linePitch="360"/>
        </w:sectPr>
      </w:pPr>
      <w:r w:rsidRPr="00D34B68">
        <w:rPr>
          <w:rFonts w:eastAsia="Malgun Gothic"/>
          <w:lang w:eastAsia="ko-KR"/>
        </w:rPr>
        <w:t xml:space="preserve">We look forward to collaborating closely with TSAG RG-DT and to contributing </w:t>
      </w:r>
      <w:r w:rsidR="009A1EB7" w:rsidRPr="00D34B68">
        <w:rPr>
          <w:rFonts w:eastAsia="Malgun Gothic"/>
          <w:lang w:eastAsia="ko-KR"/>
        </w:rPr>
        <w:t xml:space="preserve">actively to its important work in advancing sustainable digital transformation. </w:t>
      </w:r>
    </w:p>
    <w:p w14:paraId="5D0283F9" w14:textId="06128E71" w:rsidR="00335D50" w:rsidRPr="001F6577" w:rsidRDefault="00DE3BF8" w:rsidP="00335D50">
      <w:pPr>
        <w:spacing w:before="240" w:after="240"/>
        <w:jc w:val="center"/>
        <w:rPr>
          <w:rFonts w:cstheme="minorHAnsi"/>
          <w:b/>
          <w:bCs/>
        </w:rPr>
      </w:pPr>
      <w:r w:rsidRPr="00DE3BF8">
        <w:rPr>
          <w:rFonts w:cstheme="minorHAnsi"/>
          <w:b/>
          <w:bCs/>
        </w:rPr>
        <w:lastRenderedPageBreak/>
        <w:t>Annex A</w:t>
      </w:r>
      <w:r>
        <w:rPr>
          <w:rFonts w:cstheme="minorHAnsi"/>
          <w:b/>
          <w:bCs/>
        </w:rPr>
        <w:t xml:space="preserve">: </w:t>
      </w:r>
      <w:r w:rsidR="00335D50">
        <w:rPr>
          <w:rFonts w:cstheme="minorHAnsi"/>
          <w:b/>
          <w:bCs/>
        </w:rPr>
        <w:t>A</w:t>
      </w:r>
      <w:r w:rsidR="00335D50" w:rsidRPr="00CC7C2F">
        <w:rPr>
          <w:rFonts w:cstheme="minorHAnsi"/>
          <w:b/>
          <w:bCs/>
        </w:rPr>
        <w:t xml:space="preserve">ctivities and studies </w:t>
      </w:r>
      <w:r w:rsidR="00335D50">
        <w:rPr>
          <w:rFonts w:cstheme="minorHAnsi"/>
          <w:b/>
          <w:bCs/>
        </w:rPr>
        <w:t>related to s</w:t>
      </w:r>
      <w:r w:rsidR="00335D50" w:rsidRPr="00CC7C2F">
        <w:rPr>
          <w:rFonts w:cstheme="minorHAnsi"/>
          <w:b/>
          <w:bCs/>
        </w:rPr>
        <w:t xml:space="preserve">ustainable </w:t>
      </w:r>
      <w:r w:rsidR="00335D50">
        <w:rPr>
          <w:rFonts w:cstheme="minorHAnsi"/>
          <w:b/>
          <w:bCs/>
        </w:rPr>
        <w:t>d</w:t>
      </w:r>
      <w:r w:rsidR="00335D50" w:rsidRPr="00CC7C2F">
        <w:rPr>
          <w:rFonts w:cstheme="minorHAnsi"/>
          <w:b/>
          <w:bCs/>
        </w:rPr>
        <w:t xml:space="preserve">igital </w:t>
      </w:r>
      <w:r w:rsidR="00335D50">
        <w:rPr>
          <w:rFonts w:cstheme="minorHAnsi"/>
          <w:b/>
          <w:bCs/>
        </w:rPr>
        <w:t>t</w:t>
      </w:r>
      <w:r w:rsidR="00335D50" w:rsidRPr="00CC7C2F">
        <w:rPr>
          <w:rFonts w:cstheme="minorHAnsi"/>
          <w:b/>
          <w:bCs/>
        </w:rPr>
        <w:t>ransformation</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571"/>
        <w:gridCol w:w="2341"/>
        <w:gridCol w:w="3645"/>
        <w:gridCol w:w="2880"/>
        <w:gridCol w:w="1171"/>
        <w:gridCol w:w="1229"/>
      </w:tblGrid>
      <w:tr w:rsidR="00925F81" w14:paraId="5E74E108" w14:textId="77777777" w:rsidTr="00667EA3">
        <w:trPr>
          <w:tblHeader/>
        </w:trPr>
        <w:tc>
          <w:tcPr>
            <w:tcW w:w="561" w:type="pct"/>
            <w:shd w:val="clear" w:color="auto" w:fill="D5DCE4" w:themeFill="text2" w:themeFillTint="33"/>
          </w:tcPr>
          <w:p w14:paraId="448DCB09" w14:textId="77777777" w:rsidR="00335D50" w:rsidRDefault="00335D50">
            <w:pPr>
              <w:jc w:val="center"/>
              <w:rPr>
                <w:b/>
                <w:sz w:val="22"/>
                <w:szCs w:val="22"/>
              </w:rPr>
            </w:pPr>
            <w:r>
              <w:rPr>
                <w:b/>
                <w:sz w:val="22"/>
                <w:szCs w:val="22"/>
              </w:rPr>
              <w:t>Sector/Domain</w:t>
            </w:r>
          </w:p>
        </w:tc>
        <w:tc>
          <w:tcPr>
            <w:tcW w:w="543" w:type="pct"/>
            <w:shd w:val="clear" w:color="auto" w:fill="D5DCE4" w:themeFill="text2" w:themeFillTint="33"/>
          </w:tcPr>
          <w:p w14:paraId="0EB30179" w14:textId="77777777" w:rsidR="00335D50" w:rsidRDefault="00335D50">
            <w:pPr>
              <w:jc w:val="center"/>
              <w:rPr>
                <w:b/>
                <w:sz w:val="22"/>
                <w:szCs w:val="22"/>
              </w:rPr>
            </w:pPr>
            <w:r>
              <w:rPr>
                <w:b/>
                <w:sz w:val="22"/>
                <w:szCs w:val="22"/>
              </w:rPr>
              <w:t>Study group or</w:t>
            </w:r>
          </w:p>
          <w:p w14:paraId="044C3356" w14:textId="77777777" w:rsidR="00335D50" w:rsidRDefault="00335D50">
            <w:pPr>
              <w:jc w:val="center"/>
              <w:rPr>
                <w:b/>
                <w:sz w:val="22"/>
                <w:szCs w:val="22"/>
              </w:rPr>
            </w:pPr>
            <w:r>
              <w:rPr>
                <w:b/>
                <w:sz w:val="22"/>
                <w:szCs w:val="22"/>
              </w:rPr>
              <w:t>SDO</w:t>
            </w:r>
          </w:p>
        </w:tc>
        <w:tc>
          <w:tcPr>
            <w:tcW w:w="809" w:type="pct"/>
            <w:shd w:val="clear" w:color="auto" w:fill="D5DCE4" w:themeFill="text2" w:themeFillTint="33"/>
          </w:tcPr>
          <w:p w14:paraId="7A5A1C71" w14:textId="77777777" w:rsidR="00335D50" w:rsidRDefault="00335D50">
            <w:pPr>
              <w:jc w:val="center"/>
              <w:rPr>
                <w:b/>
                <w:sz w:val="22"/>
                <w:szCs w:val="22"/>
              </w:rPr>
            </w:pPr>
            <w:r>
              <w:rPr>
                <w:b/>
                <w:sz w:val="22"/>
                <w:szCs w:val="22"/>
              </w:rPr>
              <w:t>Title of deliverable</w:t>
            </w:r>
          </w:p>
        </w:tc>
        <w:tc>
          <w:tcPr>
            <w:tcW w:w="1260" w:type="pct"/>
            <w:shd w:val="clear" w:color="auto" w:fill="D5DCE4" w:themeFill="text2" w:themeFillTint="33"/>
          </w:tcPr>
          <w:p w14:paraId="6E020FB6" w14:textId="77777777" w:rsidR="00335D50" w:rsidRDefault="00335D50">
            <w:pPr>
              <w:jc w:val="center"/>
              <w:rPr>
                <w:b/>
                <w:sz w:val="22"/>
                <w:szCs w:val="22"/>
              </w:rPr>
            </w:pPr>
            <w:r>
              <w:rPr>
                <w:b/>
                <w:sz w:val="22"/>
                <w:szCs w:val="22"/>
              </w:rPr>
              <w:t>Scope of deliverable</w:t>
            </w:r>
          </w:p>
        </w:tc>
        <w:tc>
          <w:tcPr>
            <w:tcW w:w="996" w:type="pct"/>
            <w:shd w:val="clear" w:color="auto" w:fill="D5DCE4" w:themeFill="text2" w:themeFillTint="33"/>
          </w:tcPr>
          <w:p w14:paraId="6021B246" w14:textId="77777777" w:rsidR="00335D50" w:rsidRDefault="00335D50">
            <w:pPr>
              <w:jc w:val="center"/>
              <w:rPr>
                <w:b/>
                <w:sz w:val="22"/>
                <w:szCs w:val="22"/>
              </w:rPr>
            </w:pPr>
            <w:r>
              <w:rPr>
                <w:b/>
                <w:sz w:val="22"/>
                <w:szCs w:val="22"/>
              </w:rPr>
              <w:t>Link to sustainable digital transformation</w:t>
            </w:r>
          </w:p>
        </w:tc>
        <w:tc>
          <w:tcPr>
            <w:tcW w:w="405" w:type="pct"/>
            <w:shd w:val="clear" w:color="auto" w:fill="D5DCE4" w:themeFill="text2" w:themeFillTint="33"/>
          </w:tcPr>
          <w:p w14:paraId="07C11CB2" w14:textId="77777777" w:rsidR="00335D50" w:rsidRDefault="00335D50">
            <w:pPr>
              <w:jc w:val="center"/>
              <w:rPr>
                <w:b/>
                <w:sz w:val="22"/>
                <w:szCs w:val="22"/>
              </w:rPr>
            </w:pPr>
            <w:r>
              <w:rPr>
                <w:b/>
                <w:sz w:val="22"/>
                <w:szCs w:val="22"/>
              </w:rPr>
              <w:t>Current status</w:t>
            </w:r>
          </w:p>
        </w:tc>
        <w:tc>
          <w:tcPr>
            <w:tcW w:w="425" w:type="pct"/>
            <w:shd w:val="clear" w:color="auto" w:fill="D5DCE4" w:themeFill="text2" w:themeFillTint="33"/>
          </w:tcPr>
          <w:p w14:paraId="16769668" w14:textId="437DCF17" w:rsidR="00335D50" w:rsidRDefault="00335D50">
            <w:pPr>
              <w:jc w:val="center"/>
              <w:rPr>
                <w:b/>
                <w:sz w:val="22"/>
                <w:szCs w:val="22"/>
              </w:rPr>
            </w:pPr>
            <w:r>
              <w:rPr>
                <w:b/>
                <w:sz w:val="22"/>
                <w:szCs w:val="22"/>
              </w:rPr>
              <w:t>Reference/</w:t>
            </w:r>
            <w:r w:rsidR="00474AE0">
              <w:rPr>
                <w:b/>
                <w:sz w:val="22"/>
                <w:szCs w:val="22"/>
              </w:rPr>
              <w:t xml:space="preserve"> </w:t>
            </w:r>
            <w:r>
              <w:rPr>
                <w:b/>
                <w:sz w:val="22"/>
                <w:szCs w:val="22"/>
              </w:rPr>
              <w:t>URI</w:t>
            </w:r>
          </w:p>
        </w:tc>
      </w:tr>
      <w:tr w:rsidR="00925F81" w14:paraId="06239373" w14:textId="77777777" w:rsidTr="00667EA3">
        <w:trPr>
          <w:trHeight w:val="2483"/>
        </w:trPr>
        <w:tc>
          <w:tcPr>
            <w:tcW w:w="561" w:type="pct"/>
          </w:tcPr>
          <w:p w14:paraId="5CEF79FB" w14:textId="48D677BA" w:rsidR="00BA64E5" w:rsidRDefault="00BA64E5">
            <w:pPr>
              <w:jc w:val="center"/>
              <w:rPr>
                <w:rFonts w:eastAsia="Malgun Gothic"/>
                <w:i/>
                <w:iCs/>
                <w:sz w:val="22"/>
                <w:szCs w:val="22"/>
                <w:lang w:val="en-US" w:eastAsia="ko-KR"/>
              </w:rPr>
            </w:pPr>
            <w:r w:rsidRPr="00BA64E5">
              <w:rPr>
                <w:rFonts w:eastAsia="Malgun Gothic"/>
                <w:i/>
                <w:iCs/>
                <w:sz w:val="22"/>
                <w:szCs w:val="22"/>
                <w:lang w:val="en-US" w:eastAsia="ko-KR"/>
              </w:rPr>
              <w:t xml:space="preserve">Enterprises </w:t>
            </w:r>
            <w:r>
              <w:rPr>
                <w:rFonts w:eastAsia="Malgun Gothic"/>
                <w:i/>
                <w:iCs/>
                <w:sz w:val="22"/>
                <w:szCs w:val="22"/>
                <w:lang w:val="en-US" w:eastAsia="ko-KR"/>
              </w:rPr>
              <w:t>d</w:t>
            </w:r>
            <w:r w:rsidRPr="00BA64E5">
              <w:rPr>
                <w:rFonts w:eastAsia="Malgun Gothic"/>
                <w:i/>
                <w:iCs/>
                <w:sz w:val="22"/>
                <w:szCs w:val="22"/>
                <w:lang w:val="en-US" w:eastAsia="ko-KR"/>
              </w:rPr>
              <w:t>igital transformation</w:t>
            </w:r>
          </w:p>
          <w:p w14:paraId="597D0415" w14:textId="1DE75B67" w:rsidR="00335D50" w:rsidRPr="0022276B" w:rsidRDefault="00335D50">
            <w:pPr>
              <w:jc w:val="center"/>
              <w:rPr>
                <w:rFonts w:eastAsia="Malgun Gothic"/>
                <w:i/>
                <w:iCs/>
                <w:sz w:val="22"/>
                <w:szCs w:val="22"/>
                <w:lang w:val="en-US" w:eastAsia="ko-KR"/>
              </w:rPr>
            </w:pPr>
          </w:p>
        </w:tc>
        <w:tc>
          <w:tcPr>
            <w:tcW w:w="543" w:type="pct"/>
          </w:tcPr>
          <w:p w14:paraId="2C1275A4" w14:textId="78E6A78E" w:rsidR="00335D50" w:rsidRPr="0022276B" w:rsidRDefault="0022276B">
            <w:pPr>
              <w:jc w:val="center"/>
              <w:rPr>
                <w:rFonts w:eastAsia="Malgun Gothic"/>
                <w:i/>
                <w:iCs/>
                <w:sz w:val="22"/>
                <w:szCs w:val="22"/>
                <w:lang w:val="en-US" w:eastAsia="ko-KR"/>
              </w:rPr>
            </w:pPr>
            <w:r>
              <w:rPr>
                <w:rFonts w:eastAsia="Malgun Gothic" w:hint="eastAsia"/>
                <w:i/>
                <w:iCs/>
                <w:sz w:val="22"/>
                <w:szCs w:val="22"/>
                <w:lang w:val="en-US" w:eastAsia="ko-KR"/>
              </w:rPr>
              <w:t>ITU-T</w:t>
            </w:r>
            <w:r w:rsidR="00553512">
              <w:rPr>
                <w:rFonts w:eastAsia="Malgun Gothic"/>
                <w:i/>
                <w:iCs/>
                <w:sz w:val="22"/>
                <w:szCs w:val="22"/>
                <w:lang w:val="en-US" w:eastAsia="ko-KR"/>
              </w:rPr>
              <w:t xml:space="preserve"> Study Group 20</w:t>
            </w:r>
          </w:p>
        </w:tc>
        <w:tc>
          <w:tcPr>
            <w:tcW w:w="809" w:type="pct"/>
          </w:tcPr>
          <w:p w14:paraId="5B37F084" w14:textId="1104EA97" w:rsidR="00335D50" w:rsidRPr="000118AA" w:rsidRDefault="000B1935">
            <w:pPr>
              <w:jc w:val="center"/>
              <w:rPr>
                <w:i/>
                <w:iCs/>
                <w:sz w:val="22"/>
                <w:szCs w:val="22"/>
                <w:lang w:val="en-US" w:eastAsia="zh-CN"/>
              </w:rPr>
            </w:pPr>
            <w:r>
              <w:rPr>
                <w:i/>
                <w:iCs/>
                <w:sz w:val="22"/>
                <w:szCs w:val="22"/>
                <w:lang w:eastAsia="zh-CN"/>
              </w:rPr>
              <w:t xml:space="preserve">Supplement </w:t>
            </w:r>
            <w:r w:rsidR="00A47442">
              <w:rPr>
                <w:i/>
                <w:iCs/>
                <w:sz w:val="22"/>
                <w:szCs w:val="22"/>
                <w:lang w:eastAsia="zh-CN"/>
              </w:rPr>
              <w:t xml:space="preserve">ITU-T </w:t>
            </w:r>
            <w:r w:rsidRPr="000B1935">
              <w:rPr>
                <w:i/>
                <w:iCs/>
                <w:sz w:val="22"/>
                <w:szCs w:val="22"/>
                <w:lang w:eastAsia="zh-CN"/>
              </w:rPr>
              <w:t xml:space="preserve">Y.Sup52: </w:t>
            </w:r>
            <w:r w:rsidR="0022276B" w:rsidRPr="0022276B">
              <w:rPr>
                <w:i/>
                <w:iCs/>
                <w:sz w:val="22"/>
                <w:szCs w:val="22"/>
                <w:lang w:eastAsia="zh-CN"/>
              </w:rPr>
              <w:t>Methodology for building digital capabilities during enterprises' digital transformation</w:t>
            </w:r>
          </w:p>
        </w:tc>
        <w:tc>
          <w:tcPr>
            <w:tcW w:w="1260" w:type="pct"/>
          </w:tcPr>
          <w:p w14:paraId="0C12CCED" w14:textId="44F88F73" w:rsidR="00335D50" w:rsidRPr="000118AA" w:rsidRDefault="00DE0509">
            <w:pPr>
              <w:rPr>
                <w:i/>
                <w:iCs/>
                <w:sz w:val="22"/>
                <w:szCs w:val="22"/>
                <w:lang w:val="en-US"/>
              </w:rPr>
            </w:pPr>
            <w:r w:rsidRPr="00DE0509">
              <w:rPr>
                <w:i/>
                <w:iCs/>
                <w:sz w:val="22"/>
                <w:szCs w:val="22"/>
              </w:rPr>
              <w:t>This Supplement provides a methodology to guide enterprises to adopt digital transformation and build digital capabilities through ICT applications. The Supplement intends to help enterprises to integrate ICT applications into business activities, thus building digital capabilities. Furthermore, this Supplement will provide a methodology for enterprises to build digital capabilities in a systematic manner.</w:t>
            </w:r>
          </w:p>
        </w:tc>
        <w:tc>
          <w:tcPr>
            <w:tcW w:w="996" w:type="pct"/>
          </w:tcPr>
          <w:p w14:paraId="484C52D3" w14:textId="6E2628D9" w:rsidR="00335D50" w:rsidRPr="000118AA" w:rsidRDefault="00AA443B">
            <w:pPr>
              <w:jc w:val="center"/>
              <w:rPr>
                <w:i/>
                <w:iCs/>
                <w:sz w:val="22"/>
                <w:szCs w:val="22"/>
                <w:lang w:val="en-US"/>
              </w:rPr>
            </w:pPr>
            <w:r w:rsidRPr="00AA443B">
              <w:rPr>
                <w:i/>
                <w:iCs/>
                <w:sz w:val="22"/>
                <w:szCs w:val="22"/>
                <w:lang w:val="en-US"/>
              </w:rPr>
              <w:t xml:space="preserve">Enables enterprises to adopt ICT systematically, supporting resilient and sustainable </w:t>
            </w:r>
            <w:r>
              <w:rPr>
                <w:i/>
                <w:iCs/>
                <w:sz w:val="22"/>
                <w:szCs w:val="22"/>
                <w:lang w:val="en-US"/>
              </w:rPr>
              <w:t>digital</w:t>
            </w:r>
            <w:r w:rsidRPr="00AA443B">
              <w:rPr>
                <w:i/>
                <w:iCs/>
                <w:sz w:val="22"/>
                <w:szCs w:val="22"/>
                <w:lang w:val="en-US"/>
              </w:rPr>
              <w:t xml:space="preserve"> transformation.</w:t>
            </w:r>
          </w:p>
        </w:tc>
        <w:tc>
          <w:tcPr>
            <w:tcW w:w="405" w:type="pct"/>
          </w:tcPr>
          <w:p w14:paraId="3312415E" w14:textId="61258442" w:rsidR="00335D50" w:rsidRPr="0022276B" w:rsidRDefault="0022276B">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5E628F62" w14:textId="4FC44CD6" w:rsidR="00DE0509" w:rsidRPr="00DE0509" w:rsidRDefault="00474AE0" w:rsidP="00DE0509">
            <w:pPr>
              <w:jc w:val="center"/>
              <w:rPr>
                <w:rFonts w:eastAsia="Malgun Gothic"/>
                <w:i/>
                <w:iCs/>
                <w:lang w:eastAsia="ko-KR"/>
              </w:rPr>
            </w:pPr>
            <w:hyperlink r:id="rId16" w:history="1">
              <w:r w:rsidRPr="00474AE0">
                <w:rPr>
                  <w:rStyle w:val="Hyperlink"/>
                  <w:rFonts w:eastAsia="Malgun Gothic"/>
                  <w:i/>
                  <w:iCs/>
                  <w:lang w:eastAsia="ko-KR"/>
                </w:rPr>
                <w:t>Here</w:t>
              </w:r>
            </w:hyperlink>
          </w:p>
        </w:tc>
      </w:tr>
      <w:tr w:rsidR="00925F81" w14:paraId="5398EAE4" w14:textId="77777777" w:rsidTr="00667EA3">
        <w:trPr>
          <w:trHeight w:val="2483"/>
        </w:trPr>
        <w:tc>
          <w:tcPr>
            <w:tcW w:w="561" w:type="pct"/>
          </w:tcPr>
          <w:p w14:paraId="4788BDA8" w14:textId="6C4FD29F" w:rsidR="0022276B" w:rsidRPr="000118AA" w:rsidRDefault="0022276B">
            <w:pPr>
              <w:jc w:val="center"/>
              <w:rPr>
                <w:i/>
                <w:iCs/>
                <w:sz w:val="22"/>
                <w:szCs w:val="22"/>
                <w:lang w:val="en-US"/>
              </w:rPr>
            </w:pPr>
            <w:r>
              <w:rPr>
                <w:rFonts w:eastAsia="Malgun Gothic" w:hint="eastAsia"/>
                <w:i/>
                <w:iCs/>
                <w:sz w:val="22"/>
                <w:szCs w:val="22"/>
                <w:lang w:val="en-US" w:eastAsia="ko-KR"/>
              </w:rPr>
              <w:t xml:space="preserve">Smart </w:t>
            </w:r>
            <w:r>
              <w:rPr>
                <w:rFonts w:eastAsia="Malgun Gothic"/>
                <w:i/>
                <w:iCs/>
                <w:sz w:val="22"/>
                <w:szCs w:val="22"/>
                <w:lang w:val="en-US" w:eastAsia="ko-KR"/>
              </w:rPr>
              <w:t>sustainable</w:t>
            </w:r>
            <w:r>
              <w:rPr>
                <w:rFonts w:eastAsia="Malgun Gothic" w:hint="eastAsia"/>
                <w:i/>
                <w:iCs/>
                <w:sz w:val="22"/>
                <w:szCs w:val="22"/>
                <w:lang w:val="en-US" w:eastAsia="ko-KR"/>
              </w:rPr>
              <w:t xml:space="preserve"> cities</w:t>
            </w:r>
          </w:p>
        </w:tc>
        <w:tc>
          <w:tcPr>
            <w:tcW w:w="543" w:type="pct"/>
          </w:tcPr>
          <w:p w14:paraId="63E0B2B7" w14:textId="73760054" w:rsidR="0022276B" w:rsidRDefault="0022276B">
            <w:pPr>
              <w:jc w:val="center"/>
              <w:rPr>
                <w:rFonts w:eastAsia="Malgun Gothic"/>
                <w:i/>
                <w:iCs/>
                <w:sz w:val="22"/>
                <w:szCs w:val="22"/>
                <w:lang w:val="en-US" w:eastAsia="ko-KR"/>
              </w:rPr>
            </w:pPr>
            <w:r>
              <w:rPr>
                <w:rFonts w:eastAsia="Malgun Gothic" w:hint="eastAsia"/>
                <w:i/>
                <w:iCs/>
                <w:sz w:val="22"/>
                <w:szCs w:val="22"/>
                <w:lang w:val="en-US" w:eastAsia="ko-KR"/>
              </w:rPr>
              <w:t>ITU-T</w:t>
            </w:r>
            <w:r w:rsidR="005658B1">
              <w:rPr>
                <w:rFonts w:eastAsia="Malgun Gothic"/>
                <w:i/>
                <w:iCs/>
                <w:sz w:val="22"/>
                <w:szCs w:val="22"/>
                <w:lang w:val="en-US" w:eastAsia="ko-KR"/>
              </w:rPr>
              <w:t xml:space="preserve"> Study Group 20</w:t>
            </w:r>
          </w:p>
        </w:tc>
        <w:tc>
          <w:tcPr>
            <w:tcW w:w="809" w:type="pct"/>
          </w:tcPr>
          <w:p w14:paraId="3E350AC5" w14:textId="6DB203EF" w:rsidR="0022276B" w:rsidRPr="0022276B" w:rsidRDefault="0075202A">
            <w:pPr>
              <w:jc w:val="center"/>
              <w:rPr>
                <w:i/>
                <w:iCs/>
                <w:sz w:val="22"/>
                <w:szCs w:val="22"/>
                <w:lang w:eastAsia="zh-CN"/>
              </w:rPr>
            </w:pPr>
            <w:r>
              <w:rPr>
                <w:i/>
                <w:iCs/>
                <w:sz w:val="22"/>
                <w:szCs w:val="22"/>
                <w:lang w:eastAsia="zh-CN"/>
              </w:rPr>
              <w:t xml:space="preserve">Recommendation </w:t>
            </w:r>
            <w:r w:rsidR="00A47442">
              <w:rPr>
                <w:i/>
                <w:iCs/>
                <w:sz w:val="22"/>
                <w:szCs w:val="22"/>
                <w:lang w:eastAsia="zh-CN"/>
              </w:rPr>
              <w:t xml:space="preserve">ITU-T </w:t>
            </w:r>
            <w:r w:rsidRPr="0075202A">
              <w:rPr>
                <w:i/>
                <w:iCs/>
                <w:sz w:val="22"/>
                <w:szCs w:val="22"/>
                <w:lang w:eastAsia="zh-CN"/>
              </w:rPr>
              <w:t>Y.4906</w:t>
            </w:r>
            <w:r>
              <w:rPr>
                <w:i/>
                <w:iCs/>
                <w:sz w:val="22"/>
                <w:szCs w:val="22"/>
                <w:lang w:eastAsia="zh-CN"/>
              </w:rPr>
              <w:t>:</w:t>
            </w:r>
            <w:r w:rsidRPr="0075202A">
              <w:rPr>
                <w:i/>
                <w:iCs/>
                <w:sz w:val="22"/>
                <w:szCs w:val="22"/>
                <w:lang w:eastAsia="zh-CN"/>
              </w:rPr>
              <w:t xml:space="preserve"> </w:t>
            </w:r>
            <w:r w:rsidR="0022276B" w:rsidRPr="0022276B">
              <w:rPr>
                <w:i/>
                <w:iCs/>
                <w:sz w:val="22"/>
                <w:szCs w:val="22"/>
                <w:lang w:eastAsia="zh-CN"/>
              </w:rPr>
              <w:t>Assessment framework for digital transformation of sectors in smart cities</w:t>
            </w:r>
          </w:p>
        </w:tc>
        <w:tc>
          <w:tcPr>
            <w:tcW w:w="1260" w:type="pct"/>
          </w:tcPr>
          <w:p w14:paraId="13EAFDD0" w14:textId="146E3607" w:rsidR="0022276B" w:rsidRPr="000118AA" w:rsidRDefault="00DE0509">
            <w:pPr>
              <w:rPr>
                <w:i/>
                <w:iCs/>
                <w:sz w:val="22"/>
                <w:szCs w:val="22"/>
                <w:lang w:val="en-US"/>
              </w:rPr>
            </w:pPr>
            <w:r w:rsidRPr="00DE0509">
              <w:rPr>
                <w:i/>
                <w:iCs/>
                <w:sz w:val="22"/>
                <w:szCs w:val="22"/>
              </w:rPr>
              <w:t>This Recommendation formulates an assessment framework for digital transformation of sectors in smart sustainable cities (SSCs). This assessment framework specifically provides the assessment indicator system, assessment indicator set and assessment method. Assessments based on this framework can help SSCs as well as their stakeholders to identify the priorities of sectors' digital transformation, investigate the current states of selected sectors' digital transformation, and then explore the suitable paths and measures to promote the digital transformation in these sectors.</w:t>
            </w:r>
          </w:p>
        </w:tc>
        <w:tc>
          <w:tcPr>
            <w:tcW w:w="996" w:type="pct"/>
          </w:tcPr>
          <w:p w14:paraId="3917CAA9" w14:textId="7D070654" w:rsidR="0022276B" w:rsidRPr="000118AA" w:rsidRDefault="008A7E30">
            <w:pPr>
              <w:jc w:val="center"/>
              <w:rPr>
                <w:i/>
                <w:iCs/>
                <w:sz w:val="22"/>
                <w:szCs w:val="22"/>
                <w:lang w:val="en-US"/>
              </w:rPr>
            </w:pPr>
            <w:r w:rsidRPr="008A7E30">
              <w:rPr>
                <w:i/>
                <w:iCs/>
                <w:sz w:val="22"/>
                <w:szCs w:val="22"/>
                <w:lang w:val="en-US"/>
              </w:rPr>
              <w:t xml:space="preserve">Helps cities assess and guide sectoral </w:t>
            </w:r>
            <w:r>
              <w:rPr>
                <w:i/>
                <w:iCs/>
                <w:sz w:val="22"/>
                <w:szCs w:val="22"/>
                <w:lang w:val="en-US"/>
              </w:rPr>
              <w:t xml:space="preserve">digital </w:t>
            </w:r>
            <w:r w:rsidRPr="008A7E30">
              <w:rPr>
                <w:i/>
                <w:iCs/>
                <w:sz w:val="22"/>
                <w:szCs w:val="22"/>
                <w:lang w:val="en-US"/>
              </w:rPr>
              <w:t xml:space="preserve">transformation </w:t>
            </w:r>
            <w:r w:rsidR="006C76A0">
              <w:rPr>
                <w:i/>
                <w:iCs/>
                <w:sz w:val="22"/>
                <w:szCs w:val="22"/>
                <w:lang w:val="en-US"/>
              </w:rPr>
              <w:t>towards smart sustainable cities</w:t>
            </w:r>
            <w:r w:rsidR="00807EE8">
              <w:rPr>
                <w:i/>
                <w:iCs/>
                <w:sz w:val="22"/>
                <w:szCs w:val="22"/>
                <w:lang w:val="en-US"/>
              </w:rPr>
              <w:t>.</w:t>
            </w:r>
          </w:p>
        </w:tc>
        <w:tc>
          <w:tcPr>
            <w:tcW w:w="405" w:type="pct"/>
          </w:tcPr>
          <w:p w14:paraId="60C694C7" w14:textId="1602F384" w:rsidR="0022276B" w:rsidRDefault="0022276B">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3D4678E6" w14:textId="1725342E" w:rsidR="00DE0509" w:rsidRPr="00DE0509" w:rsidRDefault="00474AE0" w:rsidP="00DE0509">
            <w:pPr>
              <w:jc w:val="center"/>
              <w:rPr>
                <w:rFonts w:eastAsia="Malgun Gothic"/>
                <w:i/>
                <w:iCs/>
                <w:lang w:eastAsia="ko-KR"/>
              </w:rPr>
            </w:pPr>
            <w:hyperlink r:id="rId17" w:history="1">
              <w:r w:rsidRPr="00474AE0">
                <w:rPr>
                  <w:rStyle w:val="Hyperlink"/>
                  <w:rFonts w:eastAsia="Malgun Gothic"/>
                  <w:i/>
                  <w:iCs/>
                  <w:lang w:eastAsia="ko-KR"/>
                </w:rPr>
                <w:t>Here</w:t>
              </w:r>
            </w:hyperlink>
          </w:p>
        </w:tc>
      </w:tr>
      <w:tr w:rsidR="00925F81" w14:paraId="10658E60" w14:textId="77777777" w:rsidTr="00667EA3">
        <w:trPr>
          <w:trHeight w:val="44"/>
        </w:trPr>
        <w:tc>
          <w:tcPr>
            <w:tcW w:w="561" w:type="pct"/>
          </w:tcPr>
          <w:p w14:paraId="2CE81DE6" w14:textId="4D5015E9" w:rsidR="0022276B" w:rsidRPr="000118AA" w:rsidRDefault="0022276B">
            <w:pPr>
              <w:jc w:val="center"/>
              <w:rPr>
                <w:i/>
                <w:iCs/>
                <w:sz w:val="22"/>
                <w:szCs w:val="22"/>
                <w:lang w:val="en-US"/>
              </w:rPr>
            </w:pPr>
            <w:r>
              <w:rPr>
                <w:rFonts w:eastAsia="Malgun Gothic" w:hint="eastAsia"/>
                <w:i/>
                <w:iCs/>
                <w:sz w:val="22"/>
                <w:szCs w:val="22"/>
                <w:lang w:val="en-US" w:eastAsia="ko-KR"/>
              </w:rPr>
              <w:lastRenderedPageBreak/>
              <w:t xml:space="preserve">Smart </w:t>
            </w:r>
            <w:r>
              <w:rPr>
                <w:rFonts w:eastAsia="Malgun Gothic"/>
                <w:i/>
                <w:iCs/>
                <w:sz w:val="22"/>
                <w:szCs w:val="22"/>
                <w:lang w:val="en-US" w:eastAsia="ko-KR"/>
              </w:rPr>
              <w:t>sustainable</w:t>
            </w:r>
            <w:r>
              <w:rPr>
                <w:rFonts w:eastAsia="Malgun Gothic" w:hint="eastAsia"/>
                <w:i/>
                <w:iCs/>
                <w:sz w:val="22"/>
                <w:szCs w:val="22"/>
                <w:lang w:val="en-US" w:eastAsia="ko-KR"/>
              </w:rPr>
              <w:t xml:space="preserve"> cities</w:t>
            </w:r>
          </w:p>
        </w:tc>
        <w:tc>
          <w:tcPr>
            <w:tcW w:w="543" w:type="pct"/>
          </w:tcPr>
          <w:p w14:paraId="5FCFCBEE" w14:textId="2761228A" w:rsidR="0022276B" w:rsidRDefault="0022276B">
            <w:pPr>
              <w:jc w:val="center"/>
              <w:rPr>
                <w:rFonts w:eastAsia="Malgun Gothic"/>
                <w:i/>
                <w:iCs/>
                <w:sz w:val="22"/>
                <w:szCs w:val="22"/>
                <w:lang w:val="en-US" w:eastAsia="ko-KR"/>
              </w:rPr>
            </w:pPr>
            <w:r>
              <w:rPr>
                <w:rFonts w:eastAsia="Malgun Gothic" w:hint="eastAsia"/>
                <w:i/>
                <w:iCs/>
                <w:sz w:val="22"/>
                <w:szCs w:val="22"/>
                <w:lang w:val="en-US" w:eastAsia="ko-KR"/>
              </w:rPr>
              <w:t>ITU-T</w:t>
            </w:r>
            <w:r w:rsidR="005658B1">
              <w:rPr>
                <w:rFonts w:eastAsia="Malgun Gothic"/>
                <w:i/>
                <w:iCs/>
                <w:sz w:val="22"/>
                <w:szCs w:val="22"/>
                <w:lang w:val="en-US" w:eastAsia="ko-KR"/>
              </w:rPr>
              <w:t xml:space="preserve"> Study Group 20</w:t>
            </w:r>
          </w:p>
        </w:tc>
        <w:tc>
          <w:tcPr>
            <w:tcW w:w="809" w:type="pct"/>
          </w:tcPr>
          <w:p w14:paraId="41CF5F53" w14:textId="14810D73" w:rsidR="0022276B" w:rsidRPr="0022276B" w:rsidRDefault="0075202A">
            <w:pPr>
              <w:jc w:val="center"/>
              <w:rPr>
                <w:i/>
                <w:iCs/>
                <w:sz w:val="22"/>
                <w:szCs w:val="22"/>
                <w:lang w:eastAsia="zh-CN"/>
              </w:rPr>
            </w:pPr>
            <w:r>
              <w:rPr>
                <w:i/>
                <w:iCs/>
                <w:sz w:val="22"/>
                <w:szCs w:val="22"/>
                <w:lang w:eastAsia="zh-CN"/>
              </w:rPr>
              <w:t>Supplement</w:t>
            </w:r>
            <w:r w:rsidRPr="0075202A">
              <w:rPr>
                <w:i/>
                <w:iCs/>
                <w:sz w:val="22"/>
                <w:szCs w:val="22"/>
                <w:lang w:eastAsia="zh-CN"/>
              </w:rPr>
              <w:t xml:space="preserve"> </w:t>
            </w:r>
            <w:r w:rsidR="00A47442">
              <w:rPr>
                <w:i/>
                <w:iCs/>
                <w:sz w:val="22"/>
                <w:szCs w:val="22"/>
                <w:lang w:eastAsia="zh-CN"/>
              </w:rPr>
              <w:t xml:space="preserve">ITU-T </w:t>
            </w:r>
            <w:r w:rsidRPr="0075202A">
              <w:rPr>
                <w:i/>
                <w:iCs/>
                <w:sz w:val="22"/>
                <w:szCs w:val="22"/>
                <w:lang w:eastAsia="zh-CN"/>
              </w:rPr>
              <w:t>Y.Sup77</w:t>
            </w:r>
            <w:r>
              <w:rPr>
                <w:i/>
                <w:iCs/>
                <w:sz w:val="22"/>
                <w:szCs w:val="22"/>
                <w:lang w:eastAsia="zh-CN"/>
              </w:rPr>
              <w:t>:</w:t>
            </w:r>
            <w:r w:rsidRPr="0075202A">
              <w:rPr>
                <w:i/>
                <w:iCs/>
                <w:sz w:val="22"/>
                <w:szCs w:val="22"/>
                <w:lang w:eastAsia="zh-CN"/>
              </w:rPr>
              <w:t xml:space="preserve"> </w:t>
            </w:r>
            <w:r w:rsidR="0022276B" w:rsidRPr="0022276B">
              <w:rPr>
                <w:i/>
                <w:iCs/>
                <w:sz w:val="22"/>
                <w:szCs w:val="22"/>
                <w:lang w:eastAsia="zh-CN"/>
              </w:rPr>
              <w:t>Digital transformation for people-centred smart cities and communities: an analysis of definitions</w:t>
            </w:r>
          </w:p>
        </w:tc>
        <w:tc>
          <w:tcPr>
            <w:tcW w:w="1260" w:type="pct"/>
          </w:tcPr>
          <w:p w14:paraId="4B88C247" w14:textId="4FAA368A" w:rsidR="0022276B" w:rsidRPr="000118AA" w:rsidRDefault="00DE0509">
            <w:pPr>
              <w:rPr>
                <w:i/>
                <w:iCs/>
                <w:sz w:val="22"/>
                <w:szCs w:val="22"/>
                <w:lang w:val="en-US"/>
              </w:rPr>
            </w:pPr>
            <w:r w:rsidRPr="00DE0509">
              <w:rPr>
                <w:i/>
                <w:iCs/>
                <w:sz w:val="22"/>
                <w:szCs w:val="22"/>
              </w:rPr>
              <w:t>This Supplement</w:t>
            </w:r>
            <w:r w:rsidRPr="00DE0509" w:rsidDel="00FF5067">
              <w:rPr>
                <w:i/>
                <w:iCs/>
                <w:sz w:val="22"/>
                <w:szCs w:val="22"/>
              </w:rPr>
              <w:t xml:space="preserve"> </w:t>
            </w:r>
            <w:r w:rsidRPr="00DE0509">
              <w:rPr>
                <w:i/>
                <w:iCs/>
                <w:sz w:val="22"/>
                <w:szCs w:val="22"/>
              </w:rPr>
              <w:t>take</w:t>
            </w:r>
            <w:r w:rsidR="00FF5067">
              <w:rPr>
                <w:i/>
                <w:iCs/>
                <w:sz w:val="22"/>
                <w:szCs w:val="22"/>
              </w:rPr>
              <w:t>s</w:t>
            </w:r>
            <w:r w:rsidRPr="00DE0509">
              <w:rPr>
                <w:i/>
                <w:iCs/>
                <w:sz w:val="22"/>
                <w:szCs w:val="22"/>
              </w:rPr>
              <w:t xml:space="preserve"> as a start point four components of digital transformation for people-centred cities and communities: data, people, digital technologies and their interrelationships. It will then analyse different terminologies, concepts, keywords and attributes around the 'people-centred' concept. Such an analysis of the definition of digital transformation, is helpful not only for understanding the tasks of digital transformation, but also for carrying out concrete work in the aspects of information and communication technology (ICT) infrastructure, key performance indicators (KPIs), stakeholders and strategies, for what ITU considers as smart sustainable cities.</w:t>
            </w:r>
          </w:p>
        </w:tc>
        <w:tc>
          <w:tcPr>
            <w:tcW w:w="996" w:type="pct"/>
          </w:tcPr>
          <w:p w14:paraId="5891F070" w14:textId="0EF3C299" w:rsidR="0022276B" w:rsidRPr="000118AA" w:rsidRDefault="006C76A0">
            <w:pPr>
              <w:jc w:val="center"/>
              <w:rPr>
                <w:i/>
                <w:iCs/>
                <w:sz w:val="22"/>
                <w:szCs w:val="22"/>
                <w:lang w:val="en-US"/>
              </w:rPr>
            </w:pPr>
            <w:r>
              <w:rPr>
                <w:i/>
                <w:iCs/>
                <w:sz w:val="22"/>
                <w:szCs w:val="22"/>
                <w:lang w:val="en-US"/>
              </w:rPr>
              <w:t>Promote</w:t>
            </w:r>
            <w:r w:rsidR="00807EE8">
              <w:rPr>
                <w:i/>
                <w:iCs/>
                <w:sz w:val="22"/>
                <w:szCs w:val="22"/>
                <w:lang w:val="en-US"/>
              </w:rPr>
              <w:t xml:space="preserve"> and </w:t>
            </w:r>
            <w:proofErr w:type="spellStart"/>
            <w:r w:rsidR="00807EE8">
              <w:rPr>
                <w:i/>
                <w:iCs/>
                <w:sz w:val="22"/>
                <w:szCs w:val="22"/>
                <w:lang w:val="en-US"/>
              </w:rPr>
              <w:t>analy</w:t>
            </w:r>
            <w:r w:rsidR="00A01DED">
              <w:rPr>
                <w:i/>
                <w:iCs/>
                <w:sz w:val="22"/>
                <w:szCs w:val="22"/>
                <w:lang w:val="en-US"/>
              </w:rPr>
              <w:t>s</w:t>
            </w:r>
            <w:r w:rsidR="00807EE8">
              <w:rPr>
                <w:i/>
                <w:iCs/>
                <w:sz w:val="22"/>
                <w:szCs w:val="22"/>
                <w:lang w:val="en-US"/>
              </w:rPr>
              <w:t>e</w:t>
            </w:r>
            <w:proofErr w:type="spellEnd"/>
            <w:r>
              <w:rPr>
                <w:i/>
                <w:iCs/>
                <w:sz w:val="22"/>
                <w:szCs w:val="22"/>
                <w:lang w:val="en-US"/>
              </w:rPr>
              <w:t xml:space="preserve"> people-</w:t>
            </w:r>
            <w:proofErr w:type="spellStart"/>
            <w:r>
              <w:rPr>
                <w:i/>
                <w:iCs/>
                <w:sz w:val="22"/>
                <w:szCs w:val="22"/>
                <w:lang w:val="en-US"/>
              </w:rPr>
              <w:t>centred</w:t>
            </w:r>
            <w:proofErr w:type="spellEnd"/>
            <w:r>
              <w:rPr>
                <w:i/>
                <w:iCs/>
                <w:sz w:val="22"/>
                <w:szCs w:val="22"/>
                <w:lang w:val="en-US"/>
              </w:rPr>
              <w:t xml:space="preserve"> </w:t>
            </w:r>
            <w:r w:rsidR="00807EE8">
              <w:rPr>
                <w:i/>
                <w:iCs/>
                <w:sz w:val="22"/>
                <w:szCs w:val="22"/>
                <w:lang w:val="en-US"/>
              </w:rPr>
              <w:t xml:space="preserve">digital transformation </w:t>
            </w:r>
            <w:r>
              <w:rPr>
                <w:i/>
                <w:iCs/>
                <w:sz w:val="22"/>
                <w:szCs w:val="22"/>
                <w:lang w:val="en-US"/>
              </w:rPr>
              <w:t>approach</w:t>
            </w:r>
            <w:r w:rsidR="00807EE8">
              <w:rPr>
                <w:i/>
                <w:iCs/>
                <w:sz w:val="22"/>
                <w:szCs w:val="22"/>
                <w:lang w:val="en-US"/>
              </w:rPr>
              <w:t xml:space="preserve"> for cities and communities. </w:t>
            </w:r>
            <w:r>
              <w:rPr>
                <w:i/>
                <w:iCs/>
                <w:sz w:val="22"/>
                <w:szCs w:val="22"/>
                <w:lang w:val="en-US"/>
              </w:rPr>
              <w:t xml:space="preserve"> </w:t>
            </w:r>
          </w:p>
        </w:tc>
        <w:tc>
          <w:tcPr>
            <w:tcW w:w="405" w:type="pct"/>
          </w:tcPr>
          <w:p w14:paraId="71C1DFF0" w14:textId="4579CC74" w:rsidR="0022276B" w:rsidRDefault="00DE0509">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35B8DF91" w14:textId="38FABB3D" w:rsidR="00DE0509" w:rsidRPr="00DE0509" w:rsidRDefault="00474AE0" w:rsidP="00DE0509">
            <w:pPr>
              <w:jc w:val="center"/>
              <w:rPr>
                <w:rFonts w:eastAsia="Malgun Gothic"/>
                <w:i/>
                <w:iCs/>
                <w:lang w:eastAsia="ko-KR"/>
              </w:rPr>
            </w:pPr>
            <w:hyperlink r:id="rId18" w:history="1">
              <w:r w:rsidRPr="00474AE0">
                <w:rPr>
                  <w:rStyle w:val="Hyperlink"/>
                  <w:rFonts w:eastAsia="Malgun Gothic"/>
                  <w:i/>
                  <w:iCs/>
                  <w:lang w:eastAsia="ko-KR"/>
                </w:rPr>
                <w:t>Here</w:t>
              </w:r>
            </w:hyperlink>
          </w:p>
        </w:tc>
      </w:tr>
      <w:tr w:rsidR="00925F81" w14:paraId="57F49F78" w14:textId="77777777" w:rsidTr="00667EA3">
        <w:trPr>
          <w:trHeight w:val="44"/>
        </w:trPr>
        <w:tc>
          <w:tcPr>
            <w:tcW w:w="561" w:type="pct"/>
          </w:tcPr>
          <w:p w14:paraId="67244CF9" w14:textId="4B779EC9" w:rsidR="00BC16C0" w:rsidRDefault="005F384E">
            <w:pPr>
              <w:jc w:val="center"/>
              <w:rPr>
                <w:rFonts w:eastAsia="Malgun Gothic"/>
                <w:i/>
                <w:iCs/>
                <w:sz w:val="22"/>
                <w:szCs w:val="22"/>
                <w:lang w:val="en-US" w:eastAsia="ko-KR"/>
              </w:rPr>
            </w:pPr>
            <w:r>
              <w:rPr>
                <w:rFonts w:eastAsia="Malgun Gothic"/>
                <w:i/>
                <w:iCs/>
                <w:sz w:val="22"/>
                <w:szCs w:val="22"/>
                <w:lang w:val="en-US" w:eastAsia="ko-KR"/>
              </w:rPr>
              <w:t>Digital transformation for supply chain</w:t>
            </w:r>
          </w:p>
        </w:tc>
        <w:tc>
          <w:tcPr>
            <w:tcW w:w="543" w:type="pct"/>
          </w:tcPr>
          <w:p w14:paraId="76A9CDF0" w14:textId="5645FF0B" w:rsidR="00BC16C0" w:rsidRDefault="005F384E">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6B4E5616" w14:textId="0EB17A6D" w:rsidR="00BC16C0" w:rsidRDefault="005830CE">
            <w:pPr>
              <w:jc w:val="center"/>
              <w:rPr>
                <w:i/>
                <w:iCs/>
                <w:sz w:val="22"/>
                <w:szCs w:val="22"/>
                <w:lang w:eastAsia="zh-CN"/>
              </w:rPr>
            </w:pPr>
            <w:r w:rsidRPr="005830CE">
              <w:rPr>
                <w:i/>
                <w:iCs/>
                <w:sz w:val="22"/>
                <w:szCs w:val="22"/>
                <w:lang w:eastAsia="zh-CN"/>
              </w:rPr>
              <w:t>Recommendation ITU-T Y.4910</w:t>
            </w:r>
            <w:r>
              <w:rPr>
                <w:i/>
                <w:iCs/>
                <w:sz w:val="22"/>
                <w:szCs w:val="22"/>
                <w:lang w:eastAsia="zh-CN"/>
              </w:rPr>
              <w:t>:</w:t>
            </w:r>
            <w:r w:rsidRPr="005830CE">
              <w:rPr>
                <w:i/>
                <w:iCs/>
                <w:sz w:val="22"/>
                <w:szCs w:val="22"/>
                <w:lang w:eastAsia="zh-CN"/>
              </w:rPr>
              <w:t xml:space="preserve"> Maturity model of digital supply chain for smart sustainable cities</w:t>
            </w:r>
          </w:p>
        </w:tc>
        <w:tc>
          <w:tcPr>
            <w:tcW w:w="1260" w:type="pct"/>
          </w:tcPr>
          <w:p w14:paraId="37498B65" w14:textId="45544161" w:rsidR="00BC16C0" w:rsidRPr="00DE0509" w:rsidRDefault="00A63B5A">
            <w:pPr>
              <w:rPr>
                <w:i/>
                <w:iCs/>
                <w:sz w:val="22"/>
                <w:szCs w:val="22"/>
              </w:rPr>
            </w:pPr>
            <w:r w:rsidRPr="00A63B5A">
              <w:rPr>
                <w:i/>
                <w:iCs/>
                <w:sz w:val="22"/>
                <w:szCs w:val="22"/>
              </w:rPr>
              <w:t xml:space="preserve">This Recommendation presents </w:t>
            </w:r>
            <w:r w:rsidR="00204C01" w:rsidRPr="00204C01">
              <w:rPr>
                <w:i/>
                <w:iCs/>
                <w:sz w:val="22"/>
                <w:szCs w:val="22"/>
              </w:rPr>
              <w:t xml:space="preserve">a maturity model with levels, dimensions, guidelines, and assessment methods for the digital supply chain in </w:t>
            </w:r>
            <w:r w:rsidR="00204C01">
              <w:rPr>
                <w:i/>
                <w:iCs/>
                <w:sz w:val="22"/>
                <w:szCs w:val="22"/>
              </w:rPr>
              <w:t>smart sustainable citie</w:t>
            </w:r>
            <w:r w:rsidR="00204C01" w:rsidRPr="00204C01">
              <w:rPr>
                <w:i/>
                <w:iCs/>
                <w:sz w:val="22"/>
                <w:szCs w:val="22"/>
              </w:rPr>
              <w:t>s, aiming to support SDGs through advanced technologies.</w:t>
            </w:r>
          </w:p>
        </w:tc>
        <w:tc>
          <w:tcPr>
            <w:tcW w:w="996" w:type="pct"/>
          </w:tcPr>
          <w:p w14:paraId="1B756FD8" w14:textId="0E61A961" w:rsidR="00BC16C0" w:rsidRPr="0095797B" w:rsidRDefault="007A27C3">
            <w:pPr>
              <w:jc w:val="center"/>
              <w:rPr>
                <w:i/>
                <w:iCs/>
                <w:sz w:val="22"/>
                <w:szCs w:val="22"/>
                <w:lang w:val="en-US"/>
              </w:rPr>
            </w:pPr>
            <w:r w:rsidRPr="007A27C3">
              <w:rPr>
                <w:i/>
                <w:iCs/>
                <w:sz w:val="22"/>
                <w:szCs w:val="22"/>
                <w:lang w:val="en-US"/>
              </w:rPr>
              <w:t xml:space="preserve">Provides cities with tools to assess and enhance digital supply chains, fostering efficiency, resilience, and sustainability in urban </w:t>
            </w:r>
            <w:r>
              <w:rPr>
                <w:i/>
                <w:iCs/>
                <w:sz w:val="22"/>
                <w:szCs w:val="22"/>
                <w:lang w:val="en-US"/>
              </w:rPr>
              <w:t xml:space="preserve">digital </w:t>
            </w:r>
            <w:r w:rsidRPr="007A27C3">
              <w:rPr>
                <w:i/>
                <w:iCs/>
                <w:sz w:val="22"/>
                <w:szCs w:val="22"/>
                <w:lang w:val="en-US"/>
              </w:rPr>
              <w:t>transformation.</w:t>
            </w:r>
          </w:p>
        </w:tc>
        <w:tc>
          <w:tcPr>
            <w:tcW w:w="405" w:type="pct"/>
          </w:tcPr>
          <w:p w14:paraId="03507642" w14:textId="567C229C" w:rsidR="00BC16C0" w:rsidRDefault="00A9608A">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40D56BB6" w14:textId="0A0AD89B" w:rsidR="00BC16C0" w:rsidRPr="00BC16C0" w:rsidRDefault="00497A85" w:rsidP="00DE0509">
            <w:pPr>
              <w:jc w:val="center"/>
              <w:rPr>
                <w:i/>
                <w:iCs/>
              </w:rPr>
            </w:pPr>
            <w:hyperlink r:id="rId19" w:history="1">
              <w:r w:rsidRPr="00497A85">
                <w:rPr>
                  <w:rStyle w:val="Hyperlink"/>
                  <w:i/>
                  <w:iCs/>
                </w:rPr>
                <w:t>Here</w:t>
              </w:r>
            </w:hyperlink>
          </w:p>
        </w:tc>
      </w:tr>
      <w:tr w:rsidR="00925F81" w14:paraId="708EF5B7" w14:textId="77777777" w:rsidTr="00667EA3">
        <w:trPr>
          <w:trHeight w:val="44"/>
        </w:trPr>
        <w:tc>
          <w:tcPr>
            <w:tcW w:w="561" w:type="pct"/>
          </w:tcPr>
          <w:p w14:paraId="6DB1A6AC" w14:textId="7AB358AD" w:rsidR="00BC16C0" w:rsidRDefault="001F4128">
            <w:pPr>
              <w:jc w:val="center"/>
              <w:rPr>
                <w:rFonts w:eastAsia="Malgun Gothic"/>
                <w:i/>
                <w:iCs/>
                <w:sz w:val="22"/>
                <w:szCs w:val="22"/>
                <w:lang w:val="en-US" w:eastAsia="ko-KR"/>
              </w:rPr>
            </w:pPr>
            <w:r>
              <w:rPr>
                <w:rFonts w:eastAsia="Malgun Gothic"/>
                <w:i/>
                <w:iCs/>
                <w:sz w:val="22"/>
                <w:szCs w:val="22"/>
                <w:lang w:val="en-US" w:eastAsia="ko-KR"/>
              </w:rPr>
              <w:t>Digital transformation for manufacturing</w:t>
            </w:r>
          </w:p>
        </w:tc>
        <w:tc>
          <w:tcPr>
            <w:tcW w:w="543" w:type="pct"/>
          </w:tcPr>
          <w:p w14:paraId="53540CF8" w14:textId="0B340FC9" w:rsidR="00BC16C0" w:rsidRDefault="001F4128">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5A8262EE" w14:textId="1D7B764A" w:rsidR="00BC16C0" w:rsidRDefault="00935108">
            <w:pPr>
              <w:jc w:val="center"/>
              <w:rPr>
                <w:i/>
                <w:iCs/>
                <w:sz w:val="22"/>
                <w:szCs w:val="22"/>
                <w:lang w:eastAsia="zh-CN"/>
              </w:rPr>
            </w:pPr>
            <w:r w:rsidRPr="005830CE">
              <w:rPr>
                <w:i/>
                <w:iCs/>
                <w:sz w:val="22"/>
                <w:szCs w:val="22"/>
                <w:lang w:eastAsia="zh-CN"/>
              </w:rPr>
              <w:t>Recommendation ITU-T Y.4</w:t>
            </w:r>
            <w:r>
              <w:rPr>
                <w:i/>
                <w:iCs/>
                <w:sz w:val="22"/>
                <w:szCs w:val="22"/>
                <w:lang w:eastAsia="zh-CN"/>
              </w:rPr>
              <w:t>228:</w:t>
            </w:r>
            <w:r w:rsidRPr="005830CE">
              <w:rPr>
                <w:i/>
                <w:iCs/>
                <w:sz w:val="22"/>
                <w:szCs w:val="22"/>
                <w:lang w:eastAsia="zh-CN"/>
              </w:rPr>
              <w:t xml:space="preserve"> </w:t>
            </w:r>
            <w:r w:rsidRPr="00935108">
              <w:rPr>
                <w:i/>
                <w:iCs/>
                <w:sz w:val="22"/>
                <w:szCs w:val="22"/>
                <w:lang w:eastAsia="zh-CN"/>
              </w:rPr>
              <w:t xml:space="preserve">Requirements and framework of industrial </w:t>
            </w:r>
            <w:r w:rsidRPr="00935108">
              <w:rPr>
                <w:i/>
                <w:iCs/>
                <w:sz w:val="22"/>
                <w:szCs w:val="22"/>
                <w:lang w:eastAsia="zh-CN"/>
              </w:rPr>
              <w:lastRenderedPageBreak/>
              <w:t>IoT (</w:t>
            </w:r>
            <w:proofErr w:type="spellStart"/>
            <w:r w:rsidRPr="00935108">
              <w:rPr>
                <w:i/>
                <w:iCs/>
                <w:sz w:val="22"/>
                <w:szCs w:val="22"/>
                <w:lang w:eastAsia="zh-CN"/>
              </w:rPr>
              <w:t>IIoT</w:t>
            </w:r>
            <w:proofErr w:type="spellEnd"/>
            <w:r w:rsidRPr="00935108">
              <w:rPr>
                <w:i/>
                <w:iCs/>
                <w:sz w:val="22"/>
                <w:szCs w:val="22"/>
                <w:lang w:eastAsia="zh-CN"/>
              </w:rPr>
              <w:t>) infrastructure for smart manufacturing</w:t>
            </w:r>
          </w:p>
        </w:tc>
        <w:tc>
          <w:tcPr>
            <w:tcW w:w="1260" w:type="pct"/>
          </w:tcPr>
          <w:p w14:paraId="571A2052" w14:textId="3EBC6CA9" w:rsidR="00BC16C0" w:rsidRPr="00DE0509" w:rsidRDefault="00895935">
            <w:pPr>
              <w:rPr>
                <w:i/>
                <w:iCs/>
                <w:sz w:val="22"/>
                <w:szCs w:val="22"/>
              </w:rPr>
            </w:pPr>
            <w:r>
              <w:rPr>
                <w:i/>
                <w:iCs/>
                <w:sz w:val="22"/>
                <w:szCs w:val="22"/>
              </w:rPr>
              <w:lastRenderedPageBreak/>
              <w:t xml:space="preserve">This Recommendation </w:t>
            </w:r>
            <w:r w:rsidR="001F4128" w:rsidRPr="001F4128">
              <w:rPr>
                <w:i/>
                <w:iCs/>
                <w:sz w:val="22"/>
                <w:szCs w:val="22"/>
              </w:rPr>
              <w:t>provides requirements and reference framework of the industrial Internet of things (</w:t>
            </w:r>
            <w:proofErr w:type="spellStart"/>
            <w:r w:rsidR="001F4128" w:rsidRPr="001F4128">
              <w:rPr>
                <w:i/>
                <w:iCs/>
                <w:sz w:val="22"/>
                <w:szCs w:val="22"/>
              </w:rPr>
              <w:t>IIoT</w:t>
            </w:r>
            <w:proofErr w:type="spellEnd"/>
            <w:r w:rsidR="001F4128" w:rsidRPr="001F4128">
              <w:rPr>
                <w:i/>
                <w:iCs/>
                <w:sz w:val="22"/>
                <w:szCs w:val="22"/>
              </w:rPr>
              <w:t xml:space="preserve">) infrastructure </w:t>
            </w:r>
            <w:r w:rsidR="006536C6" w:rsidRPr="006536C6">
              <w:rPr>
                <w:i/>
                <w:iCs/>
                <w:sz w:val="22"/>
                <w:szCs w:val="22"/>
              </w:rPr>
              <w:t xml:space="preserve">to support </w:t>
            </w:r>
            <w:r w:rsidR="006536C6" w:rsidRPr="006536C6">
              <w:rPr>
                <w:i/>
                <w:iCs/>
                <w:sz w:val="22"/>
                <w:szCs w:val="22"/>
              </w:rPr>
              <w:lastRenderedPageBreak/>
              <w:t>smart manufacturing, guiding stakeholders in implementing systems and integrating new and existing infrastructure</w:t>
            </w:r>
            <w:r w:rsidR="001F4128" w:rsidRPr="001F4128">
              <w:rPr>
                <w:i/>
                <w:iCs/>
                <w:sz w:val="22"/>
                <w:szCs w:val="22"/>
              </w:rPr>
              <w:t>.</w:t>
            </w:r>
          </w:p>
        </w:tc>
        <w:tc>
          <w:tcPr>
            <w:tcW w:w="996" w:type="pct"/>
          </w:tcPr>
          <w:p w14:paraId="2056DE28" w14:textId="23D92ADC" w:rsidR="00BC16C0" w:rsidRPr="0095797B" w:rsidRDefault="00091E51">
            <w:pPr>
              <w:jc w:val="center"/>
              <w:rPr>
                <w:i/>
                <w:iCs/>
                <w:sz w:val="22"/>
                <w:szCs w:val="22"/>
                <w:lang w:val="en-US"/>
              </w:rPr>
            </w:pPr>
            <w:r w:rsidRPr="00091E51">
              <w:rPr>
                <w:i/>
                <w:iCs/>
                <w:sz w:val="22"/>
                <w:szCs w:val="22"/>
                <w:lang w:val="en-US"/>
              </w:rPr>
              <w:lastRenderedPageBreak/>
              <w:t xml:space="preserve">Enables smart manufacturing through </w:t>
            </w:r>
            <w:proofErr w:type="spellStart"/>
            <w:r w:rsidRPr="00091E51">
              <w:rPr>
                <w:i/>
                <w:iCs/>
                <w:sz w:val="22"/>
                <w:szCs w:val="22"/>
                <w:lang w:val="en-US"/>
              </w:rPr>
              <w:t>IIoT</w:t>
            </w:r>
            <w:proofErr w:type="spellEnd"/>
            <w:r w:rsidRPr="00091E51">
              <w:rPr>
                <w:i/>
                <w:iCs/>
                <w:sz w:val="22"/>
                <w:szCs w:val="22"/>
                <w:lang w:val="en-US"/>
              </w:rPr>
              <w:t xml:space="preserve"> infrastructure, improving efficiency, interoperability, and </w:t>
            </w:r>
            <w:r w:rsidRPr="00091E51">
              <w:rPr>
                <w:i/>
                <w:iCs/>
                <w:sz w:val="22"/>
                <w:szCs w:val="22"/>
                <w:lang w:val="en-US"/>
              </w:rPr>
              <w:lastRenderedPageBreak/>
              <w:t>sustainability in industrial digital transformation.</w:t>
            </w:r>
          </w:p>
        </w:tc>
        <w:tc>
          <w:tcPr>
            <w:tcW w:w="405" w:type="pct"/>
          </w:tcPr>
          <w:p w14:paraId="3F955B61" w14:textId="381D6243" w:rsidR="00BC16C0" w:rsidRDefault="001F4128">
            <w:pPr>
              <w:jc w:val="center"/>
              <w:rPr>
                <w:rFonts w:eastAsia="Malgun Gothic"/>
                <w:i/>
                <w:iCs/>
                <w:sz w:val="22"/>
                <w:szCs w:val="22"/>
                <w:lang w:val="en-US" w:eastAsia="ko-KR"/>
              </w:rPr>
            </w:pPr>
            <w:r>
              <w:rPr>
                <w:rFonts w:eastAsia="Malgun Gothic" w:hint="eastAsia"/>
                <w:i/>
                <w:iCs/>
                <w:sz w:val="22"/>
                <w:szCs w:val="22"/>
                <w:lang w:val="en-US" w:eastAsia="ko-KR"/>
              </w:rPr>
              <w:lastRenderedPageBreak/>
              <w:t>Approved</w:t>
            </w:r>
          </w:p>
        </w:tc>
        <w:tc>
          <w:tcPr>
            <w:tcW w:w="425" w:type="pct"/>
          </w:tcPr>
          <w:p w14:paraId="5FDF7094" w14:textId="5F75FBB7" w:rsidR="00BC16C0" w:rsidRPr="00BC16C0" w:rsidRDefault="00497A85" w:rsidP="00DE0509">
            <w:pPr>
              <w:jc w:val="center"/>
              <w:rPr>
                <w:i/>
                <w:iCs/>
              </w:rPr>
            </w:pPr>
            <w:hyperlink r:id="rId20" w:history="1">
              <w:r w:rsidRPr="00497A85">
                <w:rPr>
                  <w:rStyle w:val="Hyperlink"/>
                  <w:i/>
                  <w:iCs/>
                </w:rPr>
                <w:t>Here</w:t>
              </w:r>
            </w:hyperlink>
          </w:p>
        </w:tc>
      </w:tr>
      <w:tr w:rsidR="00474AE0" w14:paraId="0CFC54DA" w14:textId="77777777" w:rsidTr="00474AE0">
        <w:trPr>
          <w:trHeight w:val="44"/>
        </w:trPr>
        <w:tc>
          <w:tcPr>
            <w:tcW w:w="561" w:type="pct"/>
          </w:tcPr>
          <w:p w14:paraId="2169DFE0" w14:textId="5C41C3EF" w:rsidR="005658B1" w:rsidRDefault="005F384E">
            <w:pPr>
              <w:jc w:val="center"/>
              <w:rPr>
                <w:rFonts w:eastAsia="Malgun Gothic"/>
                <w:i/>
                <w:iCs/>
                <w:sz w:val="22"/>
                <w:szCs w:val="22"/>
                <w:lang w:val="en-US" w:eastAsia="ko-KR"/>
              </w:rPr>
            </w:pPr>
            <w:r>
              <w:rPr>
                <w:rFonts w:eastAsia="Malgun Gothic"/>
                <w:i/>
                <w:iCs/>
                <w:sz w:val="22"/>
                <w:szCs w:val="22"/>
                <w:lang w:val="en-US" w:eastAsia="ko-KR"/>
              </w:rPr>
              <w:t>Digital transformation for</w:t>
            </w:r>
            <w:r w:rsidR="00FB32B5">
              <w:rPr>
                <w:rFonts w:eastAsia="Malgun Gothic"/>
                <w:i/>
                <w:iCs/>
                <w:sz w:val="22"/>
                <w:szCs w:val="22"/>
                <w:lang w:val="en-US" w:eastAsia="ko-KR"/>
              </w:rPr>
              <w:t xml:space="preserve"> </w:t>
            </w:r>
            <w:r>
              <w:rPr>
                <w:rFonts w:eastAsia="Malgun Gothic"/>
                <w:i/>
                <w:iCs/>
                <w:sz w:val="22"/>
                <w:szCs w:val="22"/>
                <w:lang w:val="en-US" w:eastAsia="ko-KR"/>
              </w:rPr>
              <w:t>a</w:t>
            </w:r>
            <w:r w:rsidR="00113159">
              <w:rPr>
                <w:rFonts w:eastAsia="Malgun Gothic"/>
                <w:i/>
                <w:iCs/>
                <w:sz w:val="22"/>
                <w:szCs w:val="22"/>
                <w:lang w:val="en-US" w:eastAsia="ko-KR"/>
              </w:rPr>
              <w:t>griculture</w:t>
            </w:r>
          </w:p>
        </w:tc>
        <w:tc>
          <w:tcPr>
            <w:tcW w:w="543" w:type="pct"/>
          </w:tcPr>
          <w:p w14:paraId="75BE625F" w14:textId="5EA83380" w:rsidR="005658B1" w:rsidRDefault="00FB32B5">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23D0DA16" w14:textId="78566C60" w:rsidR="005658B1" w:rsidRPr="0022276B" w:rsidRDefault="00FB32B5">
            <w:pPr>
              <w:jc w:val="center"/>
              <w:rPr>
                <w:i/>
                <w:iCs/>
                <w:sz w:val="22"/>
                <w:szCs w:val="22"/>
                <w:lang w:eastAsia="zh-CN"/>
              </w:rPr>
            </w:pPr>
            <w:proofErr w:type="spellStart"/>
            <w:r w:rsidRPr="00667EA3">
              <w:rPr>
                <w:i/>
                <w:sz w:val="22"/>
                <w:szCs w:val="22"/>
                <w:lang w:val="fr-FR" w:eastAsia="zh-CN"/>
              </w:rPr>
              <w:t>Supplement</w:t>
            </w:r>
            <w:proofErr w:type="spellEnd"/>
            <w:r w:rsidRPr="00667EA3">
              <w:rPr>
                <w:i/>
                <w:sz w:val="22"/>
                <w:szCs w:val="22"/>
                <w:lang w:val="fr-FR" w:eastAsia="zh-CN"/>
              </w:rPr>
              <w:t xml:space="preserve"> </w:t>
            </w:r>
            <w:r w:rsidR="00A47442" w:rsidRPr="00667EA3">
              <w:rPr>
                <w:i/>
                <w:sz w:val="22"/>
                <w:szCs w:val="22"/>
                <w:lang w:val="fr-FR" w:eastAsia="zh-CN"/>
              </w:rPr>
              <w:t xml:space="preserve">ITU-T </w:t>
            </w:r>
            <w:r w:rsidRPr="00667EA3">
              <w:rPr>
                <w:i/>
                <w:sz w:val="22"/>
                <w:szCs w:val="22"/>
                <w:lang w:val="fr-FR" w:eastAsia="zh-CN"/>
              </w:rPr>
              <w:t xml:space="preserve">Y Suppl. </w:t>
            </w:r>
            <w:r w:rsidRPr="00FB32B5">
              <w:rPr>
                <w:i/>
                <w:iCs/>
                <w:sz w:val="22"/>
                <w:szCs w:val="22"/>
                <w:lang w:eastAsia="zh-CN"/>
              </w:rPr>
              <w:t>83</w:t>
            </w:r>
            <w:r>
              <w:rPr>
                <w:i/>
                <w:iCs/>
                <w:sz w:val="22"/>
                <w:szCs w:val="22"/>
                <w:lang w:eastAsia="zh-CN"/>
              </w:rPr>
              <w:t>:</w:t>
            </w:r>
            <w:r w:rsidRPr="00FB32B5">
              <w:rPr>
                <w:i/>
                <w:iCs/>
                <w:sz w:val="22"/>
                <w:szCs w:val="22"/>
                <w:lang w:eastAsia="zh-CN"/>
              </w:rPr>
              <w:t xml:space="preserve"> Optimizing digital agriculture with best practices for integrating artificial intelligence and Internet of things</w:t>
            </w:r>
          </w:p>
        </w:tc>
        <w:tc>
          <w:tcPr>
            <w:tcW w:w="1260" w:type="pct"/>
          </w:tcPr>
          <w:p w14:paraId="1E4B5656" w14:textId="2F490902" w:rsidR="005658B1" w:rsidRPr="00DE0509" w:rsidRDefault="00FF5067">
            <w:pPr>
              <w:rPr>
                <w:i/>
                <w:iCs/>
                <w:sz w:val="22"/>
                <w:szCs w:val="22"/>
              </w:rPr>
            </w:pPr>
            <w:r w:rsidRPr="00DE0509">
              <w:rPr>
                <w:i/>
                <w:iCs/>
                <w:sz w:val="22"/>
                <w:szCs w:val="22"/>
              </w:rPr>
              <w:t xml:space="preserve">This Supplement </w:t>
            </w:r>
            <w:r w:rsidRPr="00FF5067">
              <w:rPr>
                <w:i/>
                <w:iCs/>
                <w:sz w:val="22"/>
                <w:szCs w:val="22"/>
              </w:rPr>
              <w:t xml:space="preserve">provides </w:t>
            </w:r>
            <w:r w:rsidR="00674B97" w:rsidRPr="00674B97">
              <w:rPr>
                <w:i/>
                <w:iCs/>
                <w:sz w:val="22"/>
                <w:szCs w:val="22"/>
              </w:rPr>
              <w:t>a detailed analysis of how AI and IoT are revolutionizing digital agriculture, with use cases, deployment status, performance assessment, and environmental impact evaluation</w:t>
            </w:r>
            <w:r w:rsidRPr="00FF5067">
              <w:rPr>
                <w:i/>
                <w:iCs/>
                <w:sz w:val="22"/>
                <w:szCs w:val="22"/>
              </w:rPr>
              <w:t>.</w:t>
            </w:r>
          </w:p>
        </w:tc>
        <w:tc>
          <w:tcPr>
            <w:tcW w:w="996" w:type="pct"/>
          </w:tcPr>
          <w:p w14:paraId="4B3BDAA3" w14:textId="682CBE7C" w:rsidR="005658B1" w:rsidRDefault="0095797B">
            <w:pPr>
              <w:jc w:val="center"/>
              <w:rPr>
                <w:i/>
                <w:iCs/>
                <w:sz w:val="22"/>
                <w:szCs w:val="22"/>
                <w:lang w:val="en-US"/>
              </w:rPr>
            </w:pPr>
            <w:r w:rsidRPr="0095797B">
              <w:rPr>
                <w:i/>
                <w:iCs/>
                <w:sz w:val="22"/>
                <w:szCs w:val="22"/>
                <w:lang w:val="en-US"/>
              </w:rPr>
              <w:t xml:space="preserve">Demonstrates how AI and IoT enhance agricultural productivity, efficiency, and sustainability, supporting digital transformation of </w:t>
            </w:r>
            <w:r>
              <w:rPr>
                <w:i/>
                <w:iCs/>
                <w:sz w:val="22"/>
                <w:szCs w:val="22"/>
                <w:lang w:val="en-US"/>
              </w:rPr>
              <w:t xml:space="preserve">agricultural </w:t>
            </w:r>
            <w:r w:rsidRPr="0095797B">
              <w:rPr>
                <w:i/>
                <w:iCs/>
                <w:sz w:val="22"/>
                <w:szCs w:val="22"/>
                <w:lang w:val="en-US"/>
              </w:rPr>
              <w:t>systems.</w:t>
            </w:r>
          </w:p>
        </w:tc>
        <w:tc>
          <w:tcPr>
            <w:tcW w:w="405" w:type="pct"/>
          </w:tcPr>
          <w:p w14:paraId="523F7E4C" w14:textId="7EA052D1" w:rsidR="005658B1" w:rsidRDefault="00FF5067">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68DD16B4" w14:textId="56E9F901" w:rsidR="005658B1" w:rsidRPr="00667EA3" w:rsidRDefault="00497A85" w:rsidP="00DE0509">
            <w:pPr>
              <w:jc w:val="center"/>
              <w:rPr>
                <w:i/>
              </w:rPr>
            </w:pPr>
            <w:hyperlink r:id="rId21" w:history="1">
              <w:r w:rsidRPr="00497A85">
                <w:rPr>
                  <w:rStyle w:val="Hyperlink"/>
                  <w:i/>
                  <w:iCs/>
                </w:rPr>
                <w:t>Here</w:t>
              </w:r>
            </w:hyperlink>
          </w:p>
        </w:tc>
      </w:tr>
      <w:tr w:rsidR="00474AE0" w14:paraId="013A1DB2" w14:textId="77777777" w:rsidTr="00474AE0">
        <w:trPr>
          <w:trHeight w:val="44"/>
        </w:trPr>
        <w:tc>
          <w:tcPr>
            <w:tcW w:w="561" w:type="pct"/>
          </w:tcPr>
          <w:p w14:paraId="5D84DD63" w14:textId="4488DA41" w:rsidR="005658B1" w:rsidRDefault="00457F51">
            <w:pPr>
              <w:jc w:val="center"/>
              <w:rPr>
                <w:rFonts w:eastAsia="Malgun Gothic"/>
                <w:i/>
                <w:iCs/>
                <w:sz w:val="22"/>
                <w:szCs w:val="22"/>
                <w:lang w:val="en-US" w:eastAsia="ko-KR"/>
              </w:rPr>
            </w:pPr>
            <w:r>
              <w:rPr>
                <w:rFonts w:eastAsia="Malgun Gothic"/>
                <w:i/>
                <w:iCs/>
                <w:sz w:val="22"/>
                <w:szCs w:val="22"/>
                <w:lang w:val="en-US" w:eastAsia="ko-KR"/>
              </w:rPr>
              <w:t>Digital public infrastructure</w:t>
            </w:r>
          </w:p>
        </w:tc>
        <w:tc>
          <w:tcPr>
            <w:tcW w:w="543" w:type="pct"/>
          </w:tcPr>
          <w:p w14:paraId="4D2E0B89" w14:textId="5E98C185" w:rsidR="005658B1" w:rsidRDefault="00457F51">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7A7D682C" w14:textId="5A0C26B7" w:rsidR="005658B1" w:rsidRPr="0022276B" w:rsidRDefault="00F967ED">
            <w:pPr>
              <w:jc w:val="center"/>
              <w:rPr>
                <w:i/>
                <w:iCs/>
                <w:sz w:val="22"/>
                <w:szCs w:val="22"/>
                <w:lang w:eastAsia="zh-CN"/>
              </w:rPr>
            </w:pPr>
            <w:r w:rsidRPr="00F967ED">
              <w:rPr>
                <w:i/>
                <w:iCs/>
                <w:sz w:val="22"/>
                <w:szCs w:val="22"/>
                <w:lang w:eastAsia="zh-CN"/>
              </w:rPr>
              <w:t>YSTR.DPI-BP</w:t>
            </w:r>
            <w:r>
              <w:rPr>
                <w:i/>
                <w:iCs/>
                <w:sz w:val="22"/>
                <w:szCs w:val="22"/>
                <w:lang w:eastAsia="zh-CN"/>
              </w:rPr>
              <w:t xml:space="preserve">: </w:t>
            </w:r>
            <w:r w:rsidR="00457F51" w:rsidRPr="00457F51">
              <w:rPr>
                <w:i/>
                <w:iCs/>
                <w:sz w:val="22"/>
                <w:szCs w:val="22"/>
                <w:lang w:eastAsia="zh-CN"/>
              </w:rPr>
              <w:t>Best practices in Digital Public Infrastructure for Cities</w:t>
            </w:r>
          </w:p>
        </w:tc>
        <w:tc>
          <w:tcPr>
            <w:tcW w:w="1260" w:type="pct"/>
          </w:tcPr>
          <w:p w14:paraId="38126548" w14:textId="1289FFF9" w:rsidR="005658B1" w:rsidRPr="00DE0509" w:rsidRDefault="00062712">
            <w:pPr>
              <w:rPr>
                <w:i/>
                <w:iCs/>
                <w:sz w:val="22"/>
                <w:szCs w:val="22"/>
              </w:rPr>
            </w:pPr>
            <w:r>
              <w:rPr>
                <w:i/>
                <w:iCs/>
                <w:sz w:val="22"/>
                <w:szCs w:val="22"/>
              </w:rPr>
              <w:t xml:space="preserve">This draft Technical Report aims to analyse </w:t>
            </w:r>
            <w:r w:rsidRPr="00062712">
              <w:rPr>
                <w:i/>
                <w:iCs/>
                <w:sz w:val="22"/>
                <w:szCs w:val="22"/>
              </w:rPr>
              <w:t>best practices in the design and implementation of digital public infrastructure (DPI) as a critical enabler of digital transformation, interoperability, safeguards, and open-source solutions for improving public service delivery at scale.</w:t>
            </w:r>
          </w:p>
        </w:tc>
        <w:tc>
          <w:tcPr>
            <w:tcW w:w="996" w:type="pct"/>
          </w:tcPr>
          <w:p w14:paraId="34C45A64" w14:textId="0470323A" w:rsidR="005658B1" w:rsidRDefault="0079213E">
            <w:pPr>
              <w:jc w:val="center"/>
              <w:rPr>
                <w:i/>
                <w:iCs/>
                <w:sz w:val="22"/>
                <w:szCs w:val="22"/>
                <w:lang w:val="en-US"/>
              </w:rPr>
            </w:pPr>
            <w:r w:rsidRPr="0079213E">
              <w:rPr>
                <w:i/>
                <w:iCs/>
                <w:sz w:val="22"/>
                <w:szCs w:val="22"/>
                <w:lang w:val="en-US"/>
              </w:rPr>
              <w:t>Positions DPI as a foundation for inclusive, interoperable, and sustainable city-level digital transformation, accelerating achievement of the SDGs.</w:t>
            </w:r>
          </w:p>
        </w:tc>
        <w:tc>
          <w:tcPr>
            <w:tcW w:w="405" w:type="pct"/>
          </w:tcPr>
          <w:p w14:paraId="6BCC82FF" w14:textId="20725DE8" w:rsidR="005658B1" w:rsidRDefault="00457F51">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1FCA5438" w14:textId="10C3F982" w:rsidR="005658B1" w:rsidRPr="00667EA3" w:rsidRDefault="00497A85" w:rsidP="00DE0509">
            <w:pPr>
              <w:jc w:val="center"/>
              <w:rPr>
                <w:i/>
              </w:rPr>
            </w:pPr>
            <w:hyperlink r:id="rId22" w:anchor="/t-wp/item?isn=22093" w:history="1">
              <w:r w:rsidRPr="00497A85">
                <w:rPr>
                  <w:rStyle w:val="Hyperlink"/>
                  <w:i/>
                  <w:iCs/>
                </w:rPr>
                <w:t>Here</w:t>
              </w:r>
            </w:hyperlink>
          </w:p>
        </w:tc>
      </w:tr>
      <w:tr w:rsidR="00474AE0" w14:paraId="472DABCC" w14:textId="77777777" w:rsidTr="00474AE0">
        <w:trPr>
          <w:trHeight w:val="44"/>
        </w:trPr>
        <w:tc>
          <w:tcPr>
            <w:tcW w:w="561" w:type="pct"/>
          </w:tcPr>
          <w:p w14:paraId="5BE20C41" w14:textId="068012B8" w:rsidR="005658B1" w:rsidRDefault="00FD397A">
            <w:pPr>
              <w:jc w:val="center"/>
              <w:rPr>
                <w:rFonts w:eastAsia="Malgun Gothic"/>
                <w:i/>
                <w:iCs/>
                <w:sz w:val="22"/>
                <w:szCs w:val="22"/>
                <w:lang w:val="en-US" w:eastAsia="ko-KR"/>
              </w:rPr>
            </w:pPr>
            <w:r>
              <w:rPr>
                <w:rFonts w:eastAsia="Malgun Gothic"/>
                <w:i/>
                <w:iCs/>
                <w:sz w:val="22"/>
                <w:szCs w:val="22"/>
                <w:lang w:val="en-US" w:eastAsia="ko-KR"/>
              </w:rPr>
              <w:t>Industrial digital transformation</w:t>
            </w:r>
          </w:p>
        </w:tc>
        <w:tc>
          <w:tcPr>
            <w:tcW w:w="543" w:type="pct"/>
          </w:tcPr>
          <w:p w14:paraId="09FD03B7" w14:textId="2C4AFDC8" w:rsidR="005658B1" w:rsidRDefault="006E5729">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4A843EC0" w14:textId="2D2285BA" w:rsidR="005658B1" w:rsidRPr="0022276B" w:rsidRDefault="006E5729">
            <w:pPr>
              <w:jc w:val="center"/>
              <w:rPr>
                <w:i/>
                <w:iCs/>
                <w:sz w:val="22"/>
                <w:szCs w:val="22"/>
                <w:lang w:eastAsia="zh-CN"/>
              </w:rPr>
            </w:pPr>
            <w:r w:rsidRPr="006E5729">
              <w:rPr>
                <w:i/>
                <w:iCs/>
                <w:sz w:val="22"/>
                <w:szCs w:val="22"/>
                <w:lang w:eastAsia="zh-CN"/>
              </w:rPr>
              <w:t>Y.QE-DMI-SSC</w:t>
            </w:r>
            <w:r>
              <w:rPr>
                <w:i/>
                <w:iCs/>
                <w:sz w:val="22"/>
                <w:szCs w:val="22"/>
                <w:lang w:eastAsia="zh-CN"/>
              </w:rPr>
              <w:t xml:space="preserve">: </w:t>
            </w:r>
            <w:r w:rsidRPr="006E5729">
              <w:rPr>
                <w:i/>
                <w:iCs/>
                <w:sz w:val="22"/>
                <w:szCs w:val="22"/>
                <w:lang w:eastAsia="zh-CN"/>
              </w:rPr>
              <w:t>Quality evaluation of digital models in industry for smart sustainable cities</w:t>
            </w:r>
          </w:p>
        </w:tc>
        <w:tc>
          <w:tcPr>
            <w:tcW w:w="1260" w:type="pct"/>
          </w:tcPr>
          <w:p w14:paraId="4E68193A" w14:textId="72E246BF" w:rsidR="005658B1" w:rsidRPr="00DE0509" w:rsidRDefault="004A410E">
            <w:pPr>
              <w:rPr>
                <w:i/>
                <w:iCs/>
                <w:sz w:val="22"/>
                <w:szCs w:val="22"/>
              </w:rPr>
            </w:pPr>
            <w:r>
              <w:rPr>
                <w:i/>
                <w:iCs/>
                <w:sz w:val="22"/>
                <w:szCs w:val="22"/>
              </w:rPr>
              <w:t xml:space="preserve">This draft Recommendation aims to provide </w:t>
            </w:r>
            <w:r w:rsidR="00247183" w:rsidRPr="00247183">
              <w:rPr>
                <w:i/>
                <w:iCs/>
                <w:sz w:val="22"/>
                <w:szCs w:val="22"/>
              </w:rPr>
              <w:t>a framework for evaluating the quality of industrial digital models, which form the basis for industrial digital twins used in SSCs, covering construction quality, application quality, and cost-effectiveness.</w:t>
            </w:r>
          </w:p>
        </w:tc>
        <w:tc>
          <w:tcPr>
            <w:tcW w:w="996" w:type="pct"/>
          </w:tcPr>
          <w:p w14:paraId="0A9C98DF" w14:textId="4B9B24F4" w:rsidR="005658B1" w:rsidRDefault="00247183">
            <w:pPr>
              <w:jc w:val="center"/>
              <w:rPr>
                <w:i/>
                <w:iCs/>
                <w:sz w:val="22"/>
                <w:szCs w:val="22"/>
                <w:lang w:val="en-US"/>
              </w:rPr>
            </w:pPr>
            <w:r w:rsidRPr="00247183">
              <w:rPr>
                <w:i/>
                <w:iCs/>
                <w:sz w:val="22"/>
                <w:szCs w:val="22"/>
                <w:lang w:val="en-US"/>
              </w:rPr>
              <w:t xml:space="preserve">Enhances the reliability of industrial digital twins, supporting innovation, efficiency, and sustainable </w:t>
            </w:r>
            <w:r>
              <w:rPr>
                <w:i/>
                <w:iCs/>
                <w:sz w:val="22"/>
                <w:szCs w:val="22"/>
                <w:lang w:val="en-US"/>
              </w:rPr>
              <w:t>digital transformation.</w:t>
            </w:r>
          </w:p>
        </w:tc>
        <w:tc>
          <w:tcPr>
            <w:tcW w:w="405" w:type="pct"/>
          </w:tcPr>
          <w:p w14:paraId="34A14B79" w14:textId="6E5DFB4C" w:rsidR="005658B1" w:rsidRDefault="003D4C72">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2AD93E18" w14:textId="7A2F57F5" w:rsidR="005658B1" w:rsidRPr="00667EA3" w:rsidRDefault="00497A85" w:rsidP="00DE0509">
            <w:pPr>
              <w:jc w:val="center"/>
              <w:rPr>
                <w:i/>
              </w:rPr>
            </w:pPr>
            <w:hyperlink r:id="rId23" w:anchor="/t-wp/item?isn=22049" w:history="1">
              <w:r w:rsidRPr="00497A85">
                <w:rPr>
                  <w:rStyle w:val="Hyperlink"/>
                  <w:i/>
                  <w:iCs/>
                </w:rPr>
                <w:t>Here</w:t>
              </w:r>
            </w:hyperlink>
          </w:p>
        </w:tc>
      </w:tr>
      <w:tr w:rsidR="00474AE0" w14:paraId="263E82C3" w14:textId="77777777" w:rsidTr="00474AE0">
        <w:trPr>
          <w:trHeight w:val="44"/>
        </w:trPr>
        <w:tc>
          <w:tcPr>
            <w:tcW w:w="561" w:type="pct"/>
          </w:tcPr>
          <w:p w14:paraId="2DC5EBF6" w14:textId="131C61EC" w:rsidR="005658B1" w:rsidRDefault="00E33B8D">
            <w:pPr>
              <w:jc w:val="center"/>
              <w:rPr>
                <w:rFonts w:eastAsia="Malgun Gothic"/>
                <w:i/>
                <w:iCs/>
                <w:sz w:val="22"/>
                <w:szCs w:val="22"/>
                <w:lang w:val="en-US" w:eastAsia="ko-KR"/>
              </w:rPr>
            </w:pPr>
            <w:r w:rsidRPr="00E33B8D">
              <w:rPr>
                <w:rFonts w:eastAsia="Malgun Gothic"/>
                <w:i/>
                <w:iCs/>
                <w:sz w:val="22"/>
                <w:szCs w:val="22"/>
                <w:lang w:val="en-US" w:eastAsia="ko-KR"/>
              </w:rPr>
              <w:t>Cross-sectoral</w:t>
            </w:r>
          </w:p>
        </w:tc>
        <w:tc>
          <w:tcPr>
            <w:tcW w:w="543" w:type="pct"/>
          </w:tcPr>
          <w:p w14:paraId="1CFA129D" w14:textId="4C954F48" w:rsidR="005658B1" w:rsidRDefault="00B63AC1">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r w:rsidR="00E33B8D">
              <w:rPr>
                <w:rFonts w:eastAsia="Malgun Gothic"/>
                <w:i/>
                <w:iCs/>
                <w:sz w:val="22"/>
                <w:szCs w:val="22"/>
                <w:lang w:val="en-US" w:eastAsia="ko-KR"/>
              </w:rPr>
              <w:t xml:space="preserve"> with TSB</w:t>
            </w:r>
          </w:p>
        </w:tc>
        <w:tc>
          <w:tcPr>
            <w:tcW w:w="809" w:type="pct"/>
          </w:tcPr>
          <w:p w14:paraId="40A8C722" w14:textId="4A57E437" w:rsidR="005658B1" w:rsidRPr="0022276B" w:rsidRDefault="00B63AC1">
            <w:pPr>
              <w:jc w:val="center"/>
              <w:rPr>
                <w:i/>
                <w:iCs/>
                <w:sz w:val="22"/>
                <w:szCs w:val="22"/>
                <w:lang w:eastAsia="zh-CN"/>
              </w:rPr>
            </w:pPr>
            <w:r>
              <w:rPr>
                <w:i/>
                <w:iCs/>
                <w:sz w:val="22"/>
                <w:szCs w:val="22"/>
                <w:lang w:eastAsia="zh-CN"/>
              </w:rPr>
              <w:t>Digital Transformation Dialogues</w:t>
            </w:r>
            <w:r w:rsidR="00AB698A">
              <w:rPr>
                <w:i/>
                <w:iCs/>
                <w:sz w:val="22"/>
                <w:szCs w:val="22"/>
                <w:lang w:eastAsia="zh-CN"/>
              </w:rPr>
              <w:t xml:space="preserve"> (DTD)</w:t>
            </w:r>
          </w:p>
        </w:tc>
        <w:tc>
          <w:tcPr>
            <w:tcW w:w="1260" w:type="pct"/>
          </w:tcPr>
          <w:p w14:paraId="25EC42BD" w14:textId="3C816A75" w:rsidR="005658B1" w:rsidRPr="00DE0509" w:rsidRDefault="000C57B3">
            <w:pPr>
              <w:rPr>
                <w:i/>
                <w:iCs/>
                <w:sz w:val="22"/>
                <w:szCs w:val="22"/>
              </w:rPr>
            </w:pPr>
            <w:r w:rsidRPr="000C57B3">
              <w:rPr>
                <w:i/>
                <w:iCs/>
                <w:sz w:val="22"/>
                <w:szCs w:val="22"/>
              </w:rPr>
              <w:t xml:space="preserve">In close collaboration with the TSB Secretariat and under the guidance of SG20, a series of dialogues (webinars, fireside chats, Ask the Expert sessions) </w:t>
            </w:r>
            <w:r w:rsidRPr="000C57B3">
              <w:rPr>
                <w:i/>
                <w:iCs/>
                <w:sz w:val="22"/>
                <w:szCs w:val="22"/>
              </w:rPr>
              <w:lastRenderedPageBreak/>
              <w:t xml:space="preserve">have been organized to showcase emerging technologies (IoT, AI, digital twins, </w:t>
            </w:r>
            <w:r w:rsidR="008663DB">
              <w:rPr>
                <w:i/>
                <w:iCs/>
                <w:sz w:val="22"/>
                <w:szCs w:val="22"/>
              </w:rPr>
              <w:t>virtual worlds</w:t>
            </w:r>
            <w:r w:rsidRPr="000C57B3">
              <w:rPr>
                <w:i/>
                <w:iCs/>
                <w:sz w:val="22"/>
                <w:szCs w:val="22"/>
              </w:rPr>
              <w:t>, etc.) and their role in driving sustainable digital transformation.</w:t>
            </w:r>
          </w:p>
        </w:tc>
        <w:tc>
          <w:tcPr>
            <w:tcW w:w="996" w:type="pct"/>
          </w:tcPr>
          <w:p w14:paraId="73C908E6" w14:textId="759B83D7" w:rsidR="005658B1" w:rsidRDefault="008249EB">
            <w:pPr>
              <w:jc w:val="center"/>
              <w:rPr>
                <w:i/>
                <w:iCs/>
                <w:sz w:val="22"/>
                <w:szCs w:val="22"/>
                <w:lang w:val="en-US"/>
              </w:rPr>
            </w:pPr>
            <w:r w:rsidRPr="008249EB">
              <w:rPr>
                <w:i/>
                <w:iCs/>
                <w:sz w:val="22"/>
                <w:szCs w:val="22"/>
                <w:lang w:val="en-US"/>
              </w:rPr>
              <w:lastRenderedPageBreak/>
              <w:t xml:space="preserve">Provides a global platform to share knowledge, foster collaboration, and promote standards </w:t>
            </w:r>
            <w:r>
              <w:rPr>
                <w:i/>
                <w:iCs/>
                <w:sz w:val="22"/>
                <w:szCs w:val="22"/>
                <w:lang w:val="en-US"/>
              </w:rPr>
              <w:t>implementation</w:t>
            </w:r>
            <w:r w:rsidRPr="008249EB">
              <w:rPr>
                <w:i/>
                <w:iCs/>
                <w:sz w:val="22"/>
                <w:szCs w:val="22"/>
                <w:lang w:val="en-US"/>
              </w:rPr>
              <w:t xml:space="preserve"> for </w:t>
            </w:r>
            <w:r w:rsidRPr="008249EB">
              <w:rPr>
                <w:i/>
                <w:iCs/>
                <w:sz w:val="22"/>
                <w:szCs w:val="22"/>
                <w:lang w:val="en-US"/>
              </w:rPr>
              <w:lastRenderedPageBreak/>
              <w:t>sustainable digital transformation.</w:t>
            </w:r>
          </w:p>
        </w:tc>
        <w:tc>
          <w:tcPr>
            <w:tcW w:w="405" w:type="pct"/>
          </w:tcPr>
          <w:p w14:paraId="02676142" w14:textId="5D6C9932" w:rsidR="005658B1" w:rsidRDefault="008249EB">
            <w:pPr>
              <w:jc w:val="center"/>
              <w:rPr>
                <w:rFonts w:eastAsia="Malgun Gothic"/>
                <w:i/>
                <w:iCs/>
                <w:sz w:val="22"/>
                <w:szCs w:val="22"/>
                <w:lang w:val="en-US" w:eastAsia="ko-KR"/>
              </w:rPr>
            </w:pPr>
            <w:r>
              <w:rPr>
                <w:rFonts w:eastAsia="Malgun Gothic"/>
                <w:i/>
                <w:iCs/>
                <w:sz w:val="22"/>
                <w:szCs w:val="22"/>
                <w:lang w:val="en-US" w:eastAsia="ko-KR"/>
              </w:rPr>
              <w:lastRenderedPageBreak/>
              <w:t>Ongoing</w:t>
            </w:r>
          </w:p>
        </w:tc>
        <w:tc>
          <w:tcPr>
            <w:tcW w:w="425" w:type="pct"/>
          </w:tcPr>
          <w:p w14:paraId="530AE4A3" w14:textId="7A0203B5" w:rsidR="005658B1" w:rsidRPr="00667EA3" w:rsidRDefault="008D5D51" w:rsidP="00DE0509">
            <w:pPr>
              <w:jc w:val="center"/>
              <w:rPr>
                <w:i/>
              </w:rPr>
            </w:pPr>
            <w:hyperlink r:id="rId24" w:history="1">
              <w:r w:rsidRPr="008D5D51">
                <w:rPr>
                  <w:rStyle w:val="Hyperlink"/>
                  <w:i/>
                  <w:iCs/>
                </w:rPr>
                <w:t>Here</w:t>
              </w:r>
            </w:hyperlink>
          </w:p>
        </w:tc>
      </w:tr>
      <w:tr w:rsidR="00474AE0" w14:paraId="4178053D" w14:textId="77777777" w:rsidTr="00474AE0">
        <w:trPr>
          <w:trHeight w:val="44"/>
        </w:trPr>
        <w:tc>
          <w:tcPr>
            <w:tcW w:w="561" w:type="pct"/>
          </w:tcPr>
          <w:p w14:paraId="2077F401" w14:textId="06BC979E" w:rsidR="005658B1" w:rsidRDefault="00DF3D56">
            <w:pPr>
              <w:jc w:val="center"/>
              <w:rPr>
                <w:rFonts w:eastAsia="Malgun Gothic"/>
                <w:i/>
                <w:iCs/>
                <w:sz w:val="22"/>
                <w:szCs w:val="22"/>
                <w:lang w:val="en-US" w:eastAsia="ko-KR"/>
              </w:rPr>
            </w:pPr>
            <w:r w:rsidRPr="00DF3D56">
              <w:rPr>
                <w:rFonts w:eastAsia="Malgun Gothic"/>
                <w:i/>
                <w:iCs/>
                <w:sz w:val="22"/>
                <w:szCs w:val="22"/>
                <w:lang w:val="en-US" w:eastAsia="ko-KR"/>
              </w:rPr>
              <w:t>Cross-sectoral</w:t>
            </w:r>
          </w:p>
        </w:tc>
        <w:tc>
          <w:tcPr>
            <w:tcW w:w="543" w:type="pct"/>
          </w:tcPr>
          <w:p w14:paraId="34D89930" w14:textId="51A0B709" w:rsidR="005658B1" w:rsidRDefault="00DF3D56">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7479A392" w14:textId="3B039F03" w:rsidR="005658B1" w:rsidRPr="0022276B" w:rsidRDefault="0076561A">
            <w:pPr>
              <w:jc w:val="center"/>
              <w:rPr>
                <w:i/>
                <w:iCs/>
                <w:sz w:val="22"/>
                <w:szCs w:val="22"/>
                <w:lang w:eastAsia="zh-CN"/>
              </w:rPr>
            </w:pPr>
            <w:r w:rsidRPr="0076561A">
              <w:rPr>
                <w:i/>
                <w:iCs/>
                <w:sz w:val="22"/>
                <w:szCs w:val="22"/>
                <w:lang w:eastAsia="zh-CN"/>
              </w:rPr>
              <w:t>Digital Transformation Resource Hub</w:t>
            </w:r>
          </w:p>
        </w:tc>
        <w:tc>
          <w:tcPr>
            <w:tcW w:w="1260" w:type="pct"/>
          </w:tcPr>
          <w:p w14:paraId="79850FC5" w14:textId="09FC28CD" w:rsidR="005658B1" w:rsidRPr="00DE0509" w:rsidRDefault="0076561A">
            <w:pPr>
              <w:rPr>
                <w:i/>
                <w:iCs/>
                <w:sz w:val="22"/>
                <w:szCs w:val="22"/>
              </w:rPr>
            </w:pPr>
            <w:r w:rsidRPr="0076561A">
              <w:rPr>
                <w:i/>
                <w:iCs/>
                <w:sz w:val="22"/>
                <w:szCs w:val="22"/>
              </w:rPr>
              <w:t xml:space="preserve">In close collaboration with the TSB Secretariat and with input from SG20, an online hub has been established to collate publications and resources on smart </w:t>
            </w:r>
            <w:r>
              <w:rPr>
                <w:i/>
                <w:iCs/>
                <w:sz w:val="22"/>
                <w:szCs w:val="22"/>
              </w:rPr>
              <w:t xml:space="preserve">sustainable </w:t>
            </w:r>
            <w:r w:rsidRPr="0076561A">
              <w:rPr>
                <w:i/>
                <w:iCs/>
                <w:sz w:val="22"/>
                <w:szCs w:val="22"/>
              </w:rPr>
              <w:t xml:space="preserve">cities, IoT, AI, blockchain, </w:t>
            </w:r>
            <w:r>
              <w:rPr>
                <w:i/>
                <w:iCs/>
                <w:sz w:val="22"/>
                <w:szCs w:val="22"/>
              </w:rPr>
              <w:t>virtual worlds</w:t>
            </w:r>
            <w:r w:rsidRPr="0076561A">
              <w:rPr>
                <w:i/>
                <w:iCs/>
                <w:sz w:val="22"/>
                <w:szCs w:val="22"/>
              </w:rPr>
              <w:t>, and digital transformation.</w:t>
            </w:r>
          </w:p>
        </w:tc>
        <w:tc>
          <w:tcPr>
            <w:tcW w:w="996" w:type="pct"/>
          </w:tcPr>
          <w:p w14:paraId="00BB02F7" w14:textId="563E1F37" w:rsidR="005658B1" w:rsidRDefault="008D5D51">
            <w:pPr>
              <w:jc w:val="center"/>
              <w:rPr>
                <w:i/>
                <w:iCs/>
                <w:sz w:val="22"/>
                <w:szCs w:val="22"/>
                <w:lang w:val="en-US"/>
              </w:rPr>
            </w:pPr>
            <w:r w:rsidRPr="008D5D51">
              <w:rPr>
                <w:i/>
                <w:iCs/>
                <w:sz w:val="22"/>
                <w:szCs w:val="22"/>
                <w:lang w:val="en-US"/>
              </w:rPr>
              <w:t>Facilitates access to knowledge and best practices, enabling stakeholders to advance sustainable digital transformation.</w:t>
            </w:r>
          </w:p>
        </w:tc>
        <w:tc>
          <w:tcPr>
            <w:tcW w:w="405" w:type="pct"/>
          </w:tcPr>
          <w:p w14:paraId="216D5DBA" w14:textId="5D5E75CC" w:rsidR="005658B1" w:rsidRDefault="008D5D51">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7BB1718C" w14:textId="2FF9065A" w:rsidR="005658B1" w:rsidRPr="00667EA3" w:rsidRDefault="008D5D51" w:rsidP="00DE0509">
            <w:pPr>
              <w:jc w:val="center"/>
              <w:rPr>
                <w:i/>
              </w:rPr>
            </w:pPr>
            <w:hyperlink r:id="rId25" w:history="1">
              <w:r w:rsidRPr="00667EA3">
                <w:rPr>
                  <w:rStyle w:val="Hyperlink"/>
                  <w:i/>
                </w:rPr>
                <w:t>Here</w:t>
              </w:r>
            </w:hyperlink>
          </w:p>
        </w:tc>
      </w:tr>
      <w:tr w:rsidR="00474AE0" w14:paraId="03E16E8B" w14:textId="77777777" w:rsidTr="00474AE0">
        <w:trPr>
          <w:trHeight w:val="44"/>
        </w:trPr>
        <w:tc>
          <w:tcPr>
            <w:tcW w:w="561" w:type="pct"/>
          </w:tcPr>
          <w:p w14:paraId="5699254F" w14:textId="7184742A" w:rsidR="005658B1" w:rsidRDefault="00D04A9E">
            <w:pPr>
              <w:jc w:val="center"/>
              <w:rPr>
                <w:rFonts w:eastAsia="Malgun Gothic"/>
                <w:i/>
                <w:iCs/>
                <w:sz w:val="22"/>
                <w:szCs w:val="22"/>
                <w:lang w:val="en-US" w:eastAsia="ko-KR"/>
              </w:rPr>
            </w:pPr>
            <w:r>
              <w:rPr>
                <w:rFonts w:eastAsia="Malgun Gothic"/>
                <w:i/>
                <w:iCs/>
                <w:sz w:val="22"/>
                <w:szCs w:val="22"/>
                <w:lang w:val="en-US" w:eastAsia="ko-KR"/>
              </w:rPr>
              <w:t>Digital transformation for people-</w:t>
            </w:r>
            <w:proofErr w:type="spellStart"/>
            <w:r>
              <w:rPr>
                <w:rFonts w:eastAsia="Malgun Gothic"/>
                <w:i/>
                <w:iCs/>
                <w:sz w:val="22"/>
                <w:szCs w:val="22"/>
                <w:lang w:val="en-US" w:eastAsia="ko-KR"/>
              </w:rPr>
              <w:t>centred</w:t>
            </w:r>
            <w:proofErr w:type="spellEnd"/>
            <w:r>
              <w:rPr>
                <w:rFonts w:eastAsia="Malgun Gothic"/>
                <w:i/>
                <w:iCs/>
                <w:sz w:val="22"/>
                <w:szCs w:val="22"/>
                <w:lang w:val="en-US" w:eastAsia="ko-KR"/>
              </w:rPr>
              <w:t xml:space="preserve"> cities and communities</w:t>
            </w:r>
          </w:p>
        </w:tc>
        <w:tc>
          <w:tcPr>
            <w:tcW w:w="543" w:type="pct"/>
          </w:tcPr>
          <w:p w14:paraId="4C3918EC" w14:textId="02D46FE7" w:rsidR="005658B1" w:rsidRDefault="00955E1D">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457DEBAD" w14:textId="33B8DA21" w:rsidR="005658B1" w:rsidRPr="0022276B" w:rsidRDefault="00BF2FFB">
            <w:pPr>
              <w:jc w:val="center"/>
              <w:rPr>
                <w:i/>
                <w:iCs/>
                <w:sz w:val="22"/>
                <w:szCs w:val="22"/>
                <w:lang w:eastAsia="zh-CN"/>
              </w:rPr>
            </w:pPr>
            <w:r w:rsidRPr="00BF2FFB">
              <w:rPr>
                <w:i/>
                <w:iCs/>
                <w:sz w:val="22"/>
                <w:szCs w:val="22"/>
                <w:lang w:eastAsia="zh-CN"/>
              </w:rPr>
              <w:t>Publications on digital transformation and cities</w:t>
            </w:r>
          </w:p>
        </w:tc>
        <w:tc>
          <w:tcPr>
            <w:tcW w:w="1260" w:type="pct"/>
          </w:tcPr>
          <w:p w14:paraId="64839A57" w14:textId="657574E4" w:rsidR="005658B1" w:rsidRDefault="00807288">
            <w:pPr>
              <w:rPr>
                <w:i/>
                <w:iCs/>
                <w:sz w:val="22"/>
                <w:szCs w:val="22"/>
              </w:rPr>
            </w:pPr>
            <w:r w:rsidRPr="00807288">
              <w:rPr>
                <w:i/>
                <w:iCs/>
                <w:sz w:val="22"/>
                <w:szCs w:val="22"/>
              </w:rPr>
              <w:t>With the involvement of SG20 experts and in close collaboration with the TSB Secretariat</w:t>
            </w:r>
            <w:r w:rsidR="00BF2FFB" w:rsidRPr="00BF2FFB">
              <w:rPr>
                <w:i/>
                <w:iCs/>
                <w:sz w:val="22"/>
                <w:szCs w:val="22"/>
              </w:rPr>
              <w:t>,</w:t>
            </w:r>
            <w:r w:rsidR="00BF2FFB">
              <w:rPr>
                <w:i/>
                <w:iCs/>
                <w:sz w:val="22"/>
                <w:szCs w:val="22"/>
              </w:rPr>
              <w:t xml:space="preserve"> </w:t>
            </w:r>
            <w:r w:rsidR="00BF2FFB" w:rsidRPr="00BF2FFB">
              <w:rPr>
                <w:i/>
                <w:iCs/>
                <w:sz w:val="22"/>
                <w:szCs w:val="22"/>
              </w:rPr>
              <w:t>a series of key publications were developed</w:t>
            </w:r>
            <w:r w:rsidR="00BF2FFB">
              <w:rPr>
                <w:i/>
                <w:iCs/>
                <w:sz w:val="22"/>
                <w:szCs w:val="22"/>
              </w:rPr>
              <w:t>, including:</w:t>
            </w:r>
          </w:p>
          <w:p w14:paraId="020E6AE0" w14:textId="77777777" w:rsidR="00BF2FFB" w:rsidRPr="00667EA3" w:rsidRDefault="0051541E" w:rsidP="00667EA3">
            <w:pPr>
              <w:pStyle w:val="ListParagraph"/>
              <w:numPr>
                <w:ilvl w:val="0"/>
                <w:numId w:val="11"/>
              </w:numPr>
              <w:rPr>
                <w:i/>
                <w:sz w:val="22"/>
                <w:szCs w:val="22"/>
              </w:rPr>
            </w:pPr>
            <w:r w:rsidRPr="00667EA3">
              <w:rPr>
                <w:i/>
                <w:sz w:val="22"/>
                <w:szCs w:val="22"/>
              </w:rPr>
              <w:t>Future-Ready Cities and Communities</w:t>
            </w:r>
          </w:p>
          <w:p w14:paraId="1648888D" w14:textId="77777777" w:rsidR="0051541E" w:rsidRPr="00667EA3" w:rsidRDefault="00BA75DF" w:rsidP="00667EA3">
            <w:pPr>
              <w:pStyle w:val="ListParagraph"/>
              <w:numPr>
                <w:ilvl w:val="0"/>
                <w:numId w:val="11"/>
              </w:numPr>
              <w:rPr>
                <w:i/>
                <w:sz w:val="22"/>
                <w:szCs w:val="22"/>
              </w:rPr>
            </w:pPr>
            <w:r w:rsidRPr="00667EA3">
              <w:rPr>
                <w:i/>
                <w:sz w:val="22"/>
                <w:szCs w:val="22"/>
              </w:rPr>
              <w:t>A Year of Impact – 2024</w:t>
            </w:r>
          </w:p>
          <w:p w14:paraId="11A3E929" w14:textId="557766DD" w:rsidR="00BA75DF" w:rsidRPr="00667EA3" w:rsidRDefault="00BA75DF" w:rsidP="00667EA3">
            <w:pPr>
              <w:pStyle w:val="ListParagraph"/>
              <w:numPr>
                <w:ilvl w:val="0"/>
                <w:numId w:val="11"/>
              </w:numPr>
              <w:rPr>
                <w:i/>
                <w:sz w:val="22"/>
                <w:szCs w:val="22"/>
              </w:rPr>
            </w:pPr>
            <w:r w:rsidRPr="00667EA3">
              <w:rPr>
                <w:i/>
                <w:sz w:val="22"/>
                <w:szCs w:val="22"/>
              </w:rPr>
              <w:t>Guide for smart and sustainable city leaders</w:t>
            </w:r>
          </w:p>
          <w:p w14:paraId="01E704FE" w14:textId="77777777" w:rsidR="00BA75DF" w:rsidRPr="00667EA3" w:rsidRDefault="00BA75DF" w:rsidP="00667EA3">
            <w:pPr>
              <w:pStyle w:val="ListParagraph"/>
              <w:numPr>
                <w:ilvl w:val="0"/>
                <w:numId w:val="11"/>
              </w:numPr>
              <w:rPr>
                <w:i/>
                <w:sz w:val="22"/>
                <w:szCs w:val="22"/>
              </w:rPr>
            </w:pPr>
            <w:r w:rsidRPr="00667EA3">
              <w:rPr>
                <w:i/>
                <w:sz w:val="22"/>
                <w:szCs w:val="22"/>
              </w:rPr>
              <w:t>Enabling digital transformation in smart sustainable cities – Master plan</w:t>
            </w:r>
          </w:p>
          <w:p w14:paraId="0AC732CD" w14:textId="0E167F08" w:rsidR="00BA75DF" w:rsidRPr="00667EA3" w:rsidRDefault="00BA75DF" w:rsidP="00667EA3">
            <w:pPr>
              <w:pStyle w:val="ListParagraph"/>
              <w:numPr>
                <w:ilvl w:val="0"/>
                <w:numId w:val="11"/>
              </w:numPr>
              <w:rPr>
                <w:i/>
                <w:sz w:val="22"/>
                <w:szCs w:val="22"/>
              </w:rPr>
            </w:pPr>
            <w:r w:rsidRPr="00667EA3">
              <w:rPr>
                <w:i/>
                <w:sz w:val="22"/>
                <w:szCs w:val="22"/>
              </w:rPr>
              <w:t>And more</w:t>
            </w:r>
          </w:p>
        </w:tc>
        <w:tc>
          <w:tcPr>
            <w:tcW w:w="996" w:type="pct"/>
          </w:tcPr>
          <w:p w14:paraId="16F4ABFB" w14:textId="57A88F08" w:rsidR="005658B1" w:rsidRDefault="00D04A9E">
            <w:pPr>
              <w:jc w:val="center"/>
              <w:rPr>
                <w:i/>
                <w:iCs/>
                <w:sz w:val="22"/>
                <w:szCs w:val="22"/>
                <w:lang w:val="en-US"/>
              </w:rPr>
            </w:pPr>
            <w:r w:rsidRPr="00D04A9E">
              <w:rPr>
                <w:i/>
                <w:iCs/>
                <w:sz w:val="22"/>
                <w:szCs w:val="22"/>
                <w:lang w:val="en-US"/>
              </w:rPr>
              <w:t>Provides city leaders and stakeholders with standards-based guidance and benchmarks for implementing sustainable digital transformation.</w:t>
            </w:r>
          </w:p>
        </w:tc>
        <w:tc>
          <w:tcPr>
            <w:tcW w:w="405" w:type="pct"/>
          </w:tcPr>
          <w:p w14:paraId="437676ED" w14:textId="077B80C0" w:rsidR="005658B1" w:rsidRDefault="00D04A9E">
            <w:pPr>
              <w:jc w:val="center"/>
              <w:rPr>
                <w:rFonts w:eastAsia="Malgun Gothic"/>
                <w:i/>
                <w:iCs/>
                <w:sz w:val="22"/>
                <w:szCs w:val="22"/>
                <w:lang w:val="en-US" w:eastAsia="ko-KR"/>
              </w:rPr>
            </w:pPr>
            <w:r w:rsidRPr="00D04A9E">
              <w:rPr>
                <w:rFonts w:eastAsia="Malgun Gothic"/>
                <w:i/>
                <w:iCs/>
                <w:sz w:val="22"/>
                <w:szCs w:val="22"/>
                <w:lang w:val="en-US" w:eastAsia="ko-KR"/>
              </w:rPr>
              <w:t>Completed / ongoing</w:t>
            </w:r>
          </w:p>
        </w:tc>
        <w:tc>
          <w:tcPr>
            <w:tcW w:w="425" w:type="pct"/>
          </w:tcPr>
          <w:p w14:paraId="32BD4B86" w14:textId="7B6D7A29" w:rsidR="005658B1" w:rsidRPr="00667EA3" w:rsidRDefault="0051541E" w:rsidP="00DE0509">
            <w:pPr>
              <w:jc w:val="center"/>
              <w:rPr>
                <w:i/>
              </w:rPr>
            </w:pPr>
            <w:hyperlink r:id="rId26" w:history="1">
              <w:r w:rsidRPr="00667EA3">
                <w:rPr>
                  <w:rStyle w:val="Hyperlink"/>
                  <w:i/>
                </w:rPr>
                <w:t>Here</w:t>
              </w:r>
            </w:hyperlink>
          </w:p>
        </w:tc>
      </w:tr>
      <w:tr w:rsidR="00D04A9E" w14:paraId="14D6E4B8" w14:textId="77777777" w:rsidTr="00474AE0">
        <w:trPr>
          <w:trHeight w:val="44"/>
        </w:trPr>
        <w:tc>
          <w:tcPr>
            <w:tcW w:w="561" w:type="pct"/>
          </w:tcPr>
          <w:p w14:paraId="31509C7E" w14:textId="16419E66" w:rsidR="00D04A9E" w:rsidRPr="00955E1D" w:rsidRDefault="00D04A9E">
            <w:pPr>
              <w:jc w:val="center"/>
              <w:rPr>
                <w:rFonts w:eastAsia="Malgun Gothic"/>
                <w:i/>
                <w:iCs/>
                <w:sz w:val="22"/>
                <w:szCs w:val="22"/>
                <w:lang w:val="en-US" w:eastAsia="ko-KR"/>
              </w:rPr>
            </w:pPr>
            <w:r w:rsidRPr="00DF3D56">
              <w:rPr>
                <w:rFonts w:eastAsia="Malgun Gothic"/>
                <w:i/>
                <w:iCs/>
                <w:sz w:val="22"/>
                <w:szCs w:val="22"/>
                <w:lang w:val="en-US" w:eastAsia="ko-KR"/>
              </w:rPr>
              <w:t>Cross-sectoral</w:t>
            </w:r>
          </w:p>
        </w:tc>
        <w:tc>
          <w:tcPr>
            <w:tcW w:w="543" w:type="pct"/>
          </w:tcPr>
          <w:p w14:paraId="7C904A03" w14:textId="01A70504" w:rsidR="00D04A9E" w:rsidRDefault="00D04A9E">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467456CA" w14:textId="43F8C928" w:rsidR="00D04A9E" w:rsidRPr="00BF2FFB" w:rsidRDefault="002E6941">
            <w:pPr>
              <w:jc w:val="center"/>
              <w:rPr>
                <w:i/>
                <w:iCs/>
                <w:sz w:val="22"/>
                <w:szCs w:val="22"/>
                <w:lang w:eastAsia="zh-CN"/>
              </w:rPr>
            </w:pPr>
            <w:r w:rsidRPr="002E6941">
              <w:rPr>
                <w:i/>
                <w:iCs/>
                <w:sz w:val="22"/>
                <w:szCs w:val="22"/>
                <w:lang w:eastAsia="zh-CN"/>
              </w:rPr>
              <w:t>Digital Transformation and Cities Digest</w:t>
            </w:r>
          </w:p>
        </w:tc>
        <w:tc>
          <w:tcPr>
            <w:tcW w:w="1260" w:type="pct"/>
          </w:tcPr>
          <w:p w14:paraId="78326D67" w14:textId="2D40E252" w:rsidR="00D04A9E" w:rsidRPr="00BF2FFB" w:rsidRDefault="00AD4D64">
            <w:pPr>
              <w:rPr>
                <w:i/>
                <w:iCs/>
                <w:sz w:val="22"/>
                <w:szCs w:val="22"/>
              </w:rPr>
            </w:pPr>
            <w:r w:rsidRPr="00AD4D64">
              <w:rPr>
                <w:i/>
                <w:iCs/>
                <w:sz w:val="22"/>
                <w:szCs w:val="22"/>
              </w:rPr>
              <w:t>In collaboration with the TSB Secretariat and reflecting SG20’s work</w:t>
            </w:r>
            <w:r w:rsidR="002E6941" w:rsidRPr="002E6941">
              <w:rPr>
                <w:i/>
                <w:iCs/>
                <w:sz w:val="22"/>
                <w:szCs w:val="22"/>
              </w:rPr>
              <w:t xml:space="preserve">, a digest on digital </w:t>
            </w:r>
            <w:r w:rsidR="002E6941" w:rsidRPr="002E6941">
              <w:rPr>
                <w:i/>
                <w:iCs/>
                <w:sz w:val="22"/>
                <w:szCs w:val="22"/>
              </w:rPr>
              <w:lastRenderedPageBreak/>
              <w:t>transformation and cities has been regularly published (202</w:t>
            </w:r>
            <w:r w:rsidR="002E6941">
              <w:rPr>
                <w:i/>
                <w:iCs/>
                <w:sz w:val="22"/>
                <w:szCs w:val="22"/>
              </w:rPr>
              <w:t>3</w:t>
            </w:r>
            <w:r w:rsidR="002E6941" w:rsidRPr="002E6941">
              <w:rPr>
                <w:i/>
                <w:iCs/>
                <w:sz w:val="22"/>
                <w:szCs w:val="22"/>
              </w:rPr>
              <w:t xml:space="preserve">–2025) to highlight updates on smart cities, digital twins, </w:t>
            </w:r>
            <w:r w:rsidR="002A1D61">
              <w:rPr>
                <w:i/>
                <w:iCs/>
                <w:sz w:val="22"/>
                <w:szCs w:val="22"/>
              </w:rPr>
              <w:t>virtual worlds</w:t>
            </w:r>
            <w:r w:rsidR="002E6941" w:rsidRPr="002E6941">
              <w:rPr>
                <w:i/>
                <w:iCs/>
                <w:sz w:val="22"/>
                <w:szCs w:val="22"/>
              </w:rPr>
              <w:t>, and related developments.</w:t>
            </w:r>
          </w:p>
        </w:tc>
        <w:tc>
          <w:tcPr>
            <w:tcW w:w="996" w:type="pct"/>
          </w:tcPr>
          <w:p w14:paraId="419C0972" w14:textId="07EFC14C" w:rsidR="00D04A9E" w:rsidRPr="00D04A9E" w:rsidRDefault="002A1D61">
            <w:pPr>
              <w:jc w:val="center"/>
              <w:rPr>
                <w:i/>
                <w:iCs/>
                <w:sz w:val="22"/>
                <w:szCs w:val="22"/>
                <w:lang w:val="en-US"/>
              </w:rPr>
            </w:pPr>
            <w:r w:rsidRPr="002A1D61">
              <w:rPr>
                <w:i/>
                <w:iCs/>
                <w:sz w:val="22"/>
                <w:szCs w:val="22"/>
                <w:lang w:val="en-US"/>
              </w:rPr>
              <w:lastRenderedPageBreak/>
              <w:t xml:space="preserve">Supports continuous knowledge sharing and awareness-raising to </w:t>
            </w:r>
            <w:r w:rsidRPr="002A1D61">
              <w:rPr>
                <w:i/>
                <w:iCs/>
                <w:sz w:val="22"/>
                <w:szCs w:val="22"/>
                <w:lang w:val="en-US"/>
              </w:rPr>
              <w:lastRenderedPageBreak/>
              <w:t>accelerate sustainable digital transformation in cities.</w:t>
            </w:r>
          </w:p>
        </w:tc>
        <w:tc>
          <w:tcPr>
            <w:tcW w:w="405" w:type="pct"/>
          </w:tcPr>
          <w:p w14:paraId="1A232C2A" w14:textId="795EF1E1" w:rsidR="00D04A9E" w:rsidRPr="00D04A9E" w:rsidRDefault="002A1D61">
            <w:pPr>
              <w:jc w:val="center"/>
              <w:rPr>
                <w:rFonts w:eastAsia="Malgun Gothic"/>
                <w:i/>
                <w:iCs/>
                <w:sz w:val="22"/>
                <w:szCs w:val="22"/>
                <w:lang w:val="en-US" w:eastAsia="ko-KR"/>
              </w:rPr>
            </w:pPr>
            <w:r>
              <w:rPr>
                <w:rFonts w:eastAsia="Malgun Gothic"/>
                <w:i/>
                <w:iCs/>
                <w:sz w:val="22"/>
                <w:szCs w:val="22"/>
                <w:lang w:val="en-US" w:eastAsia="ko-KR"/>
              </w:rPr>
              <w:lastRenderedPageBreak/>
              <w:t>Ongoing</w:t>
            </w:r>
          </w:p>
        </w:tc>
        <w:tc>
          <w:tcPr>
            <w:tcW w:w="425" w:type="pct"/>
          </w:tcPr>
          <w:p w14:paraId="52620140" w14:textId="29FB579E" w:rsidR="00D04A9E" w:rsidRDefault="002A1D61" w:rsidP="00DE0509">
            <w:pPr>
              <w:jc w:val="center"/>
              <w:rPr>
                <w:i/>
                <w:iCs/>
              </w:rPr>
            </w:pPr>
            <w:hyperlink r:id="rId27" w:history="1">
              <w:r w:rsidRPr="00D754BF">
                <w:rPr>
                  <w:rStyle w:val="Hyperlink"/>
                  <w:i/>
                  <w:iCs/>
                </w:rPr>
                <w:t>Here</w:t>
              </w:r>
            </w:hyperlink>
          </w:p>
        </w:tc>
      </w:tr>
      <w:tr w:rsidR="00D754BF" w14:paraId="0B296DE8" w14:textId="77777777" w:rsidTr="00474AE0">
        <w:trPr>
          <w:trHeight w:val="44"/>
        </w:trPr>
        <w:tc>
          <w:tcPr>
            <w:tcW w:w="561" w:type="pct"/>
          </w:tcPr>
          <w:p w14:paraId="014FCB3C" w14:textId="233EF0DB" w:rsidR="00D754BF" w:rsidRPr="00DF3D56" w:rsidRDefault="00D754BF">
            <w:pPr>
              <w:jc w:val="center"/>
              <w:rPr>
                <w:rFonts w:eastAsia="Malgun Gothic"/>
                <w:i/>
                <w:iCs/>
                <w:sz w:val="22"/>
                <w:szCs w:val="22"/>
                <w:lang w:val="en-US" w:eastAsia="ko-KR"/>
              </w:rPr>
            </w:pPr>
            <w:r>
              <w:rPr>
                <w:rFonts w:eastAsia="Malgun Gothic"/>
                <w:i/>
                <w:iCs/>
                <w:sz w:val="22"/>
                <w:szCs w:val="22"/>
                <w:lang w:val="en-US" w:eastAsia="ko-KR"/>
              </w:rPr>
              <w:t>Digital transformation for people-</w:t>
            </w:r>
            <w:proofErr w:type="spellStart"/>
            <w:r>
              <w:rPr>
                <w:rFonts w:eastAsia="Malgun Gothic"/>
                <w:i/>
                <w:iCs/>
                <w:sz w:val="22"/>
                <w:szCs w:val="22"/>
                <w:lang w:val="en-US" w:eastAsia="ko-KR"/>
              </w:rPr>
              <w:t>centred</w:t>
            </w:r>
            <w:proofErr w:type="spellEnd"/>
            <w:r>
              <w:rPr>
                <w:rFonts w:eastAsia="Malgun Gothic"/>
                <w:i/>
                <w:iCs/>
                <w:sz w:val="22"/>
                <w:szCs w:val="22"/>
                <w:lang w:val="en-US" w:eastAsia="ko-KR"/>
              </w:rPr>
              <w:t xml:space="preserve"> cities and communities</w:t>
            </w:r>
          </w:p>
        </w:tc>
        <w:tc>
          <w:tcPr>
            <w:tcW w:w="543" w:type="pct"/>
          </w:tcPr>
          <w:p w14:paraId="6D347FDB" w14:textId="2B33A331" w:rsidR="00D754BF" w:rsidRDefault="00D754BF">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1219E435" w14:textId="3AFC773B" w:rsidR="00D754BF" w:rsidRPr="002E6941" w:rsidRDefault="006C2257">
            <w:pPr>
              <w:jc w:val="center"/>
              <w:rPr>
                <w:i/>
                <w:iCs/>
                <w:sz w:val="22"/>
                <w:szCs w:val="22"/>
                <w:lang w:eastAsia="zh-CN"/>
              </w:rPr>
            </w:pPr>
            <w:r w:rsidRPr="006C2257">
              <w:rPr>
                <w:i/>
                <w:iCs/>
                <w:sz w:val="22"/>
                <w:szCs w:val="22"/>
                <w:lang w:eastAsia="zh-CN"/>
              </w:rPr>
              <w:t>U4SSC Thematic Group: Enabling People-Centred Cities through Digital Transformation</w:t>
            </w:r>
          </w:p>
        </w:tc>
        <w:tc>
          <w:tcPr>
            <w:tcW w:w="1260" w:type="pct"/>
          </w:tcPr>
          <w:p w14:paraId="065476A3" w14:textId="34725561" w:rsidR="00C113D9" w:rsidRPr="00C113D9" w:rsidRDefault="00292B27">
            <w:pPr>
              <w:rPr>
                <w:i/>
                <w:iCs/>
                <w:sz w:val="22"/>
                <w:szCs w:val="22"/>
              </w:rPr>
            </w:pPr>
            <w:r w:rsidRPr="00292B27">
              <w:rPr>
                <w:i/>
                <w:iCs/>
                <w:sz w:val="22"/>
                <w:szCs w:val="22"/>
              </w:rPr>
              <w:t xml:space="preserve">In collaboration with the TSB Secretariat, and within the framework of the UN-led U4SSC initiative overseen by SG20, this thematic group was established with five working groups on policy benchmarks, assessments, </w:t>
            </w:r>
            <w:r w:rsidR="00A01DED">
              <w:rPr>
                <w:i/>
                <w:iCs/>
                <w:sz w:val="22"/>
                <w:szCs w:val="22"/>
              </w:rPr>
              <w:t>N</w:t>
            </w:r>
            <w:r w:rsidRPr="00292B27">
              <w:rPr>
                <w:i/>
                <w:iCs/>
                <w:sz w:val="22"/>
                <w:szCs w:val="22"/>
              </w:rPr>
              <w:t xml:space="preserve">et </w:t>
            </w:r>
            <w:r w:rsidR="00A01DED">
              <w:rPr>
                <w:i/>
                <w:iCs/>
                <w:sz w:val="22"/>
                <w:szCs w:val="22"/>
              </w:rPr>
              <w:t>Z</w:t>
            </w:r>
            <w:r w:rsidRPr="00292B27">
              <w:rPr>
                <w:i/>
                <w:iCs/>
                <w:sz w:val="22"/>
                <w:szCs w:val="22"/>
              </w:rPr>
              <w:t>ero guidelines, and intergenerational procurement. U4SSC is a UN platform supported by 20 UN entities.</w:t>
            </w:r>
          </w:p>
        </w:tc>
        <w:tc>
          <w:tcPr>
            <w:tcW w:w="996" w:type="pct"/>
          </w:tcPr>
          <w:p w14:paraId="7157F339" w14:textId="11F35109" w:rsidR="00D754BF" w:rsidRPr="002A1D61" w:rsidRDefault="006C2257">
            <w:pPr>
              <w:jc w:val="center"/>
              <w:rPr>
                <w:i/>
                <w:iCs/>
                <w:sz w:val="22"/>
                <w:szCs w:val="22"/>
                <w:lang w:val="en-US"/>
              </w:rPr>
            </w:pPr>
            <w:r w:rsidRPr="006C2257">
              <w:rPr>
                <w:i/>
                <w:iCs/>
                <w:sz w:val="22"/>
                <w:szCs w:val="22"/>
                <w:lang w:val="en-US"/>
              </w:rPr>
              <w:t>Advances people-</w:t>
            </w:r>
            <w:proofErr w:type="spellStart"/>
            <w:r w:rsidRPr="006C2257">
              <w:rPr>
                <w:i/>
                <w:iCs/>
                <w:sz w:val="22"/>
                <w:szCs w:val="22"/>
                <w:lang w:val="en-US"/>
              </w:rPr>
              <w:t>centred</w:t>
            </w:r>
            <w:proofErr w:type="spellEnd"/>
            <w:r w:rsidRPr="006C2257">
              <w:rPr>
                <w:i/>
                <w:iCs/>
                <w:sz w:val="22"/>
                <w:szCs w:val="22"/>
                <w:lang w:val="en-US"/>
              </w:rPr>
              <w:t>, sustainable digital transformation in cities through multistakeholder collaboration and concrete guidelines.</w:t>
            </w:r>
          </w:p>
        </w:tc>
        <w:tc>
          <w:tcPr>
            <w:tcW w:w="405" w:type="pct"/>
          </w:tcPr>
          <w:p w14:paraId="561AD1C2" w14:textId="2620B114" w:rsidR="00D754BF" w:rsidRDefault="00C113D9">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5DEDE9A6" w14:textId="55B2D71F" w:rsidR="00D754BF" w:rsidRDefault="00C113D9" w:rsidP="00DE0509">
            <w:pPr>
              <w:jc w:val="center"/>
              <w:rPr>
                <w:i/>
                <w:iCs/>
              </w:rPr>
            </w:pPr>
            <w:hyperlink r:id="rId28" w:history="1">
              <w:r w:rsidRPr="00444F98">
                <w:rPr>
                  <w:rStyle w:val="Hyperlink"/>
                  <w:i/>
                  <w:iCs/>
                </w:rPr>
                <w:t>Here</w:t>
              </w:r>
            </w:hyperlink>
          </w:p>
        </w:tc>
      </w:tr>
      <w:tr w:rsidR="000066FF" w14:paraId="0CC09353" w14:textId="77777777" w:rsidTr="00474AE0">
        <w:trPr>
          <w:trHeight w:val="44"/>
        </w:trPr>
        <w:tc>
          <w:tcPr>
            <w:tcW w:w="561" w:type="pct"/>
          </w:tcPr>
          <w:p w14:paraId="56923A27" w14:textId="7EB0E8DA" w:rsidR="000066FF" w:rsidRDefault="009D1FED">
            <w:pPr>
              <w:jc w:val="center"/>
              <w:rPr>
                <w:rFonts w:eastAsia="Malgun Gothic"/>
                <w:i/>
                <w:iCs/>
                <w:sz w:val="22"/>
                <w:szCs w:val="22"/>
                <w:lang w:val="en-US" w:eastAsia="ko-KR"/>
              </w:rPr>
            </w:pPr>
            <w:r w:rsidRPr="009D1FED">
              <w:rPr>
                <w:rFonts w:eastAsia="Malgun Gothic"/>
                <w:i/>
                <w:iCs/>
                <w:sz w:val="22"/>
                <w:szCs w:val="22"/>
                <w:lang w:val="en-US" w:eastAsia="ko-KR"/>
              </w:rPr>
              <w:t>Digital transformation for people-</w:t>
            </w:r>
            <w:proofErr w:type="spellStart"/>
            <w:r w:rsidRPr="009D1FED">
              <w:rPr>
                <w:rFonts w:eastAsia="Malgun Gothic"/>
                <w:i/>
                <w:iCs/>
                <w:sz w:val="22"/>
                <w:szCs w:val="22"/>
                <w:lang w:val="en-US" w:eastAsia="ko-KR"/>
              </w:rPr>
              <w:t>centred</w:t>
            </w:r>
            <w:proofErr w:type="spellEnd"/>
            <w:r w:rsidRPr="009D1FED">
              <w:rPr>
                <w:rFonts w:eastAsia="Malgun Gothic"/>
                <w:i/>
                <w:iCs/>
                <w:sz w:val="22"/>
                <w:szCs w:val="22"/>
                <w:lang w:val="en-US" w:eastAsia="ko-KR"/>
              </w:rPr>
              <w:t xml:space="preserve"> cities and communities</w:t>
            </w:r>
          </w:p>
        </w:tc>
        <w:tc>
          <w:tcPr>
            <w:tcW w:w="543" w:type="pct"/>
          </w:tcPr>
          <w:p w14:paraId="42CDD3BF" w14:textId="57968DB9" w:rsidR="000066FF" w:rsidRDefault="009D1FED">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6D410E3E" w14:textId="14B86CDA" w:rsidR="000066FF" w:rsidRPr="006C2257" w:rsidRDefault="009D1FED">
            <w:pPr>
              <w:jc w:val="center"/>
              <w:rPr>
                <w:i/>
                <w:iCs/>
                <w:sz w:val="22"/>
                <w:szCs w:val="22"/>
                <w:lang w:eastAsia="zh-CN"/>
              </w:rPr>
            </w:pPr>
            <w:r w:rsidRPr="009D1FED">
              <w:rPr>
                <w:i/>
                <w:iCs/>
                <w:sz w:val="22"/>
                <w:szCs w:val="22"/>
                <w:lang w:eastAsia="zh-CN"/>
              </w:rPr>
              <w:t>U4SSC Key Performance Indicators (KPIs) for Smart Sustainable Cities</w:t>
            </w:r>
          </w:p>
        </w:tc>
        <w:tc>
          <w:tcPr>
            <w:tcW w:w="1260" w:type="pct"/>
          </w:tcPr>
          <w:p w14:paraId="73CC41C7" w14:textId="4FAEA5E9" w:rsidR="000066FF" w:rsidRPr="006C2257" w:rsidRDefault="009E1258">
            <w:pPr>
              <w:rPr>
                <w:i/>
                <w:iCs/>
                <w:sz w:val="22"/>
                <w:szCs w:val="22"/>
              </w:rPr>
            </w:pPr>
            <w:r w:rsidRPr="009E1258">
              <w:rPr>
                <w:i/>
                <w:iCs/>
                <w:sz w:val="22"/>
                <w:szCs w:val="22"/>
              </w:rPr>
              <w:t>Implemented under U4SSC with the leadership of SG20 and in collaboration with the TSB Secretariat, the KPI framework provides standardized indicators, based on Recommendation ITU-T Y.4903, to measure progress on sustainability and digital transformation. More than 250 cities worldwide have applied these KPIs.</w:t>
            </w:r>
          </w:p>
        </w:tc>
        <w:tc>
          <w:tcPr>
            <w:tcW w:w="996" w:type="pct"/>
          </w:tcPr>
          <w:p w14:paraId="7E0466CD" w14:textId="0A6F3888" w:rsidR="000066FF" w:rsidRPr="006C2257" w:rsidRDefault="00B552B8">
            <w:pPr>
              <w:jc w:val="center"/>
              <w:rPr>
                <w:i/>
                <w:iCs/>
                <w:sz w:val="22"/>
                <w:szCs w:val="22"/>
                <w:lang w:val="en-US"/>
              </w:rPr>
            </w:pPr>
            <w:r w:rsidRPr="00B552B8">
              <w:rPr>
                <w:i/>
                <w:iCs/>
                <w:sz w:val="22"/>
                <w:szCs w:val="22"/>
                <w:lang w:val="en-US"/>
              </w:rPr>
              <w:t>Enables evidence-based decision-making for cities, supporting sustainable digital transformation and alignment with the SDGs.</w:t>
            </w:r>
          </w:p>
        </w:tc>
        <w:tc>
          <w:tcPr>
            <w:tcW w:w="405" w:type="pct"/>
          </w:tcPr>
          <w:p w14:paraId="09E8BBE4" w14:textId="5335689A" w:rsidR="000066FF" w:rsidRDefault="00B552B8">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407CBF38" w14:textId="5333996D" w:rsidR="000066FF" w:rsidRDefault="00B552B8" w:rsidP="00DE0509">
            <w:pPr>
              <w:jc w:val="center"/>
              <w:rPr>
                <w:i/>
                <w:iCs/>
              </w:rPr>
            </w:pPr>
            <w:hyperlink r:id="rId29" w:history="1">
              <w:r w:rsidRPr="00120351">
                <w:rPr>
                  <w:rStyle w:val="Hyperlink"/>
                  <w:i/>
                  <w:iCs/>
                </w:rPr>
                <w:t>Here</w:t>
              </w:r>
            </w:hyperlink>
          </w:p>
        </w:tc>
      </w:tr>
      <w:tr w:rsidR="00120351" w14:paraId="00FB319F" w14:textId="77777777" w:rsidTr="00474AE0">
        <w:trPr>
          <w:trHeight w:val="44"/>
        </w:trPr>
        <w:tc>
          <w:tcPr>
            <w:tcW w:w="561" w:type="pct"/>
          </w:tcPr>
          <w:p w14:paraId="19DB3721" w14:textId="5DBA91CC" w:rsidR="00120351" w:rsidRPr="009D1FED" w:rsidRDefault="00120351">
            <w:pPr>
              <w:jc w:val="center"/>
              <w:rPr>
                <w:rFonts w:eastAsia="Malgun Gothic"/>
                <w:i/>
                <w:iCs/>
                <w:sz w:val="22"/>
                <w:szCs w:val="22"/>
                <w:lang w:val="en-US" w:eastAsia="ko-KR"/>
              </w:rPr>
            </w:pPr>
            <w:r w:rsidRPr="009D1FED">
              <w:rPr>
                <w:rFonts w:eastAsia="Malgun Gothic"/>
                <w:i/>
                <w:iCs/>
                <w:sz w:val="22"/>
                <w:szCs w:val="22"/>
                <w:lang w:val="en-US" w:eastAsia="ko-KR"/>
              </w:rPr>
              <w:t>Digital transformation for people-</w:t>
            </w:r>
            <w:proofErr w:type="spellStart"/>
            <w:r w:rsidRPr="009D1FED">
              <w:rPr>
                <w:rFonts w:eastAsia="Malgun Gothic"/>
                <w:i/>
                <w:iCs/>
                <w:sz w:val="22"/>
                <w:szCs w:val="22"/>
                <w:lang w:val="en-US" w:eastAsia="ko-KR"/>
              </w:rPr>
              <w:t>centred</w:t>
            </w:r>
            <w:proofErr w:type="spellEnd"/>
            <w:r w:rsidRPr="009D1FED">
              <w:rPr>
                <w:rFonts w:eastAsia="Malgun Gothic"/>
                <w:i/>
                <w:iCs/>
                <w:sz w:val="22"/>
                <w:szCs w:val="22"/>
                <w:lang w:val="en-US" w:eastAsia="ko-KR"/>
              </w:rPr>
              <w:t xml:space="preserve"> cities and communities</w:t>
            </w:r>
          </w:p>
        </w:tc>
        <w:tc>
          <w:tcPr>
            <w:tcW w:w="543" w:type="pct"/>
          </w:tcPr>
          <w:p w14:paraId="09DEA723" w14:textId="03720A78" w:rsidR="00120351" w:rsidRDefault="00120351">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3DBE9B65" w14:textId="7CC4226E" w:rsidR="00120351" w:rsidRPr="009D1FED" w:rsidRDefault="0037689E">
            <w:pPr>
              <w:jc w:val="center"/>
              <w:rPr>
                <w:i/>
                <w:iCs/>
                <w:sz w:val="22"/>
                <w:szCs w:val="22"/>
                <w:lang w:eastAsia="zh-CN"/>
              </w:rPr>
            </w:pPr>
            <w:r w:rsidRPr="0037689E">
              <w:rPr>
                <w:i/>
                <w:iCs/>
                <w:sz w:val="22"/>
                <w:szCs w:val="22"/>
                <w:lang w:eastAsia="zh-CN"/>
              </w:rPr>
              <w:t>Toolkit on Digital Transformation for People-Oriented Cities and Communities</w:t>
            </w:r>
          </w:p>
        </w:tc>
        <w:tc>
          <w:tcPr>
            <w:tcW w:w="1260" w:type="pct"/>
          </w:tcPr>
          <w:p w14:paraId="545C3593" w14:textId="75A648D4" w:rsidR="00120351" w:rsidRPr="00B552B8" w:rsidRDefault="00CA0960">
            <w:pPr>
              <w:rPr>
                <w:i/>
                <w:iCs/>
                <w:sz w:val="22"/>
                <w:szCs w:val="22"/>
              </w:rPr>
            </w:pPr>
            <w:r w:rsidRPr="00CA0960">
              <w:rPr>
                <w:i/>
                <w:iCs/>
                <w:sz w:val="22"/>
                <w:szCs w:val="22"/>
              </w:rPr>
              <w:t>In close collaboration with the TSB Secretariat</w:t>
            </w:r>
            <w:r w:rsidR="006002EC">
              <w:rPr>
                <w:i/>
                <w:iCs/>
                <w:sz w:val="22"/>
                <w:szCs w:val="22"/>
              </w:rPr>
              <w:t xml:space="preserve"> and 14 UN partners</w:t>
            </w:r>
            <w:r w:rsidR="006308CE">
              <w:rPr>
                <w:i/>
                <w:iCs/>
                <w:sz w:val="22"/>
                <w:szCs w:val="22"/>
              </w:rPr>
              <w:t>,</w:t>
            </w:r>
            <w:r w:rsidRPr="00CA0960">
              <w:rPr>
                <w:i/>
                <w:iCs/>
                <w:sz w:val="22"/>
                <w:szCs w:val="22"/>
              </w:rPr>
              <w:t xml:space="preserve"> </w:t>
            </w:r>
            <w:r w:rsidR="006002EC">
              <w:rPr>
                <w:i/>
                <w:iCs/>
                <w:sz w:val="22"/>
                <w:szCs w:val="22"/>
              </w:rPr>
              <w:t>and with the inputs from</w:t>
            </w:r>
            <w:r w:rsidRPr="00CA0960">
              <w:rPr>
                <w:i/>
                <w:iCs/>
                <w:sz w:val="22"/>
                <w:szCs w:val="22"/>
              </w:rPr>
              <w:t xml:space="preserve"> SG20, this online toolkit was developed to support cities in planning and implementing their digital transformation. It provides </w:t>
            </w:r>
            <w:r w:rsidRPr="00CA0960">
              <w:rPr>
                <w:i/>
                <w:iCs/>
                <w:sz w:val="22"/>
                <w:szCs w:val="22"/>
              </w:rPr>
              <w:lastRenderedPageBreak/>
              <w:t>practical resources, methodologies, and case studies to help city leaders align digital initiatives with sustainability objectives.</w:t>
            </w:r>
          </w:p>
        </w:tc>
        <w:tc>
          <w:tcPr>
            <w:tcW w:w="996" w:type="pct"/>
          </w:tcPr>
          <w:p w14:paraId="708037F8" w14:textId="0207C6CC" w:rsidR="00120351" w:rsidRPr="00B552B8" w:rsidRDefault="0037689E">
            <w:pPr>
              <w:jc w:val="center"/>
              <w:rPr>
                <w:i/>
                <w:iCs/>
                <w:sz w:val="22"/>
                <w:szCs w:val="22"/>
                <w:lang w:val="en-US"/>
              </w:rPr>
            </w:pPr>
            <w:r w:rsidRPr="0037689E">
              <w:rPr>
                <w:i/>
                <w:iCs/>
                <w:sz w:val="22"/>
                <w:szCs w:val="22"/>
                <w:lang w:val="en-US"/>
              </w:rPr>
              <w:lastRenderedPageBreak/>
              <w:t>Equips cities with concrete tools and guidance to achieve people-</w:t>
            </w:r>
            <w:proofErr w:type="spellStart"/>
            <w:r w:rsidRPr="0037689E">
              <w:rPr>
                <w:i/>
                <w:iCs/>
                <w:sz w:val="22"/>
                <w:szCs w:val="22"/>
                <w:lang w:val="en-US"/>
              </w:rPr>
              <w:t>centred</w:t>
            </w:r>
            <w:proofErr w:type="spellEnd"/>
            <w:r>
              <w:rPr>
                <w:i/>
                <w:iCs/>
                <w:sz w:val="22"/>
                <w:szCs w:val="22"/>
                <w:lang w:val="en-US"/>
              </w:rPr>
              <w:t xml:space="preserve"> and </w:t>
            </w:r>
            <w:r w:rsidRPr="0037689E">
              <w:rPr>
                <w:i/>
                <w:iCs/>
                <w:sz w:val="22"/>
                <w:szCs w:val="22"/>
                <w:lang w:val="en-US"/>
              </w:rPr>
              <w:t>sustainable, digital transformation.</w:t>
            </w:r>
          </w:p>
        </w:tc>
        <w:tc>
          <w:tcPr>
            <w:tcW w:w="405" w:type="pct"/>
          </w:tcPr>
          <w:p w14:paraId="01F010B2" w14:textId="5064217C" w:rsidR="00120351" w:rsidRDefault="0037689E">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71BD29D8" w14:textId="1362EFB6" w:rsidR="00120351" w:rsidRDefault="0037689E" w:rsidP="00DE0509">
            <w:pPr>
              <w:jc w:val="center"/>
              <w:rPr>
                <w:i/>
                <w:iCs/>
              </w:rPr>
            </w:pPr>
            <w:hyperlink r:id="rId30" w:history="1">
              <w:r w:rsidRPr="0037689E">
                <w:rPr>
                  <w:rStyle w:val="Hyperlink"/>
                  <w:i/>
                  <w:iCs/>
                </w:rPr>
                <w:t>Here</w:t>
              </w:r>
            </w:hyperlink>
          </w:p>
        </w:tc>
      </w:tr>
      <w:tr w:rsidR="00D754BF" w14:paraId="56DEE088" w14:textId="77777777" w:rsidTr="00474AE0">
        <w:trPr>
          <w:trHeight w:val="44"/>
        </w:trPr>
        <w:tc>
          <w:tcPr>
            <w:tcW w:w="561" w:type="pct"/>
          </w:tcPr>
          <w:p w14:paraId="6F8DADCD" w14:textId="0E3EAAEE" w:rsidR="00D754BF" w:rsidRPr="00DF3D56" w:rsidRDefault="00F75AA5">
            <w:pPr>
              <w:jc w:val="center"/>
              <w:rPr>
                <w:rFonts w:eastAsia="Malgun Gothic"/>
                <w:i/>
                <w:iCs/>
                <w:sz w:val="22"/>
                <w:szCs w:val="22"/>
                <w:lang w:val="en-US" w:eastAsia="ko-KR"/>
              </w:rPr>
            </w:pPr>
            <w:r>
              <w:rPr>
                <w:rFonts w:eastAsia="Malgun Gothic"/>
                <w:i/>
                <w:iCs/>
                <w:sz w:val="22"/>
                <w:szCs w:val="22"/>
                <w:lang w:val="en-US" w:eastAsia="ko-KR"/>
              </w:rPr>
              <w:t>Virtual worlds and AI</w:t>
            </w:r>
          </w:p>
        </w:tc>
        <w:tc>
          <w:tcPr>
            <w:tcW w:w="543" w:type="pct"/>
          </w:tcPr>
          <w:p w14:paraId="29517833" w14:textId="7BAAC45A" w:rsidR="00D754BF" w:rsidRDefault="00F75AA5">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357D1791" w14:textId="203FA034" w:rsidR="00D754BF" w:rsidRPr="002E6941" w:rsidRDefault="00F75AA5">
            <w:pPr>
              <w:jc w:val="center"/>
              <w:rPr>
                <w:i/>
                <w:iCs/>
                <w:sz w:val="22"/>
                <w:szCs w:val="22"/>
                <w:lang w:eastAsia="zh-CN"/>
              </w:rPr>
            </w:pPr>
            <w:r>
              <w:rPr>
                <w:i/>
                <w:iCs/>
                <w:sz w:val="22"/>
                <w:szCs w:val="22"/>
                <w:lang w:eastAsia="zh-CN"/>
              </w:rPr>
              <w:t>Global Initiative on Virtual Worlds and AI</w:t>
            </w:r>
            <w:r w:rsidR="00A76235">
              <w:rPr>
                <w:i/>
                <w:iCs/>
                <w:sz w:val="22"/>
                <w:szCs w:val="22"/>
                <w:lang w:eastAsia="zh-CN"/>
              </w:rPr>
              <w:t xml:space="preserve"> -</w:t>
            </w:r>
            <w:r w:rsidR="00A76235" w:rsidRPr="00A76235">
              <w:rPr>
                <w:i/>
                <w:iCs/>
                <w:sz w:val="22"/>
                <w:szCs w:val="22"/>
                <w:lang w:eastAsia="zh-CN"/>
              </w:rPr>
              <w:t xml:space="preserve">Discovering the </w:t>
            </w:r>
            <w:proofErr w:type="spellStart"/>
            <w:r w:rsidR="00A76235" w:rsidRPr="00A76235">
              <w:rPr>
                <w:i/>
                <w:iCs/>
                <w:sz w:val="22"/>
                <w:szCs w:val="22"/>
                <w:lang w:eastAsia="zh-CN"/>
              </w:rPr>
              <w:t>Citiverse</w:t>
            </w:r>
            <w:proofErr w:type="spellEnd"/>
            <w:r w:rsidR="00A76235">
              <w:rPr>
                <w:i/>
                <w:iCs/>
                <w:sz w:val="22"/>
                <w:szCs w:val="22"/>
                <w:lang w:eastAsia="zh-CN"/>
              </w:rPr>
              <w:t xml:space="preserve"> </w:t>
            </w:r>
          </w:p>
        </w:tc>
        <w:tc>
          <w:tcPr>
            <w:tcW w:w="1260" w:type="pct"/>
          </w:tcPr>
          <w:p w14:paraId="1AFDE3C1" w14:textId="498B8181" w:rsidR="00D754BF" w:rsidRPr="002E6941" w:rsidRDefault="00977A80">
            <w:pPr>
              <w:rPr>
                <w:i/>
                <w:iCs/>
                <w:sz w:val="22"/>
                <w:szCs w:val="22"/>
              </w:rPr>
            </w:pPr>
            <w:r w:rsidRPr="00977A80">
              <w:rPr>
                <w:i/>
                <w:iCs/>
                <w:sz w:val="22"/>
                <w:szCs w:val="22"/>
              </w:rPr>
              <w:t xml:space="preserve">In close collaboration with the TSB Secretariat, </w:t>
            </w:r>
            <w:r w:rsidRPr="000C57B3">
              <w:rPr>
                <w:i/>
                <w:iCs/>
                <w:sz w:val="22"/>
                <w:szCs w:val="22"/>
              </w:rPr>
              <w:t>and under the guidance of SG20</w:t>
            </w:r>
            <w:r w:rsidRPr="00977A80">
              <w:rPr>
                <w:i/>
                <w:iCs/>
                <w:sz w:val="22"/>
                <w:szCs w:val="22"/>
              </w:rPr>
              <w:t xml:space="preserve">, this multistakeholder initiative was launched to explore how AI-powered virtual worlds can support cities, governments, and communities. It provides a neutral platform for cities, governments, UN agencies, industry, and academia </w:t>
            </w:r>
            <w:r w:rsidR="007557A1">
              <w:rPr>
                <w:i/>
                <w:iCs/>
                <w:sz w:val="22"/>
                <w:szCs w:val="22"/>
              </w:rPr>
              <w:t xml:space="preserve">and is now supported by more than 60 partners. </w:t>
            </w:r>
          </w:p>
        </w:tc>
        <w:tc>
          <w:tcPr>
            <w:tcW w:w="996" w:type="pct"/>
          </w:tcPr>
          <w:p w14:paraId="191720EF" w14:textId="616449DE" w:rsidR="00D754BF" w:rsidRPr="002A1D61" w:rsidRDefault="000066FF">
            <w:pPr>
              <w:jc w:val="center"/>
              <w:rPr>
                <w:i/>
                <w:iCs/>
                <w:sz w:val="22"/>
                <w:szCs w:val="22"/>
                <w:lang w:val="en-US"/>
              </w:rPr>
            </w:pPr>
            <w:r w:rsidRPr="000066FF">
              <w:rPr>
                <w:i/>
                <w:iCs/>
                <w:sz w:val="22"/>
                <w:szCs w:val="22"/>
                <w:lang w:val="en-US"/>
              </w:rPr>
              <w:t>Fosters sustainable, inclusive, and interoperable virtual worlds that enable cities and societies to harness AI and immersive technologies for long-term sustainable digital transformation.</w:t>
            </w:r>
          </w:p>
        </w:tc>
        <w:tc>
          <w:tcPr>
            <w:tcW w:w="405" w:type="pct"/>
          </w:tcPr>
          <w:p w14:paraId="27571EAF" w14:textId="3718DF07" w:rsidR="00D754BF" w:rsidRDefault="000066FF">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5440D958" w14:textId="1DB8D4DF" w:rsidR="00D754BF" w:rsidRDefault="000066FF" w:rsidP="00DE0509">
            <w:pPr>
              <w:jc w:val="center"/>
              <w:rPr>
                <w:i/>
                <w:iCs/>
              </w:rPr>
            </w:pPr>
            <w:hyperlink r:id="rId31" w:history="1">
              <w:r w:rsidRPr="000066FF">
                <w:rPr>
                  <w:rStyle w:val="Hyperlink"/>
                  <w:i/>
                  <w:iCs/>
                </w:rPr>
                <w:t>Here</w:t>
              </w:r>
            </w:hyperlink>
          </w:p>
        </w:tc>
      </w:tr>
      <w:tr w:rsidR="00D754BF" w14:paraId="28BB4C46" w14:textId="77777777" w:rsidTr="00474AE0">
        <w:trPr>
          <w:trHeight w:val="44"/>
        </w:trPr>
        <w:tc>
          <w:tcPr>
            <w:tcW w:w="561" w:type="pct"/>
          </w:tcPr>
          <w:p w14:paraId="2FE86C12" w14:textId="0F3D7A97" w:rsidR="00D754BF" w:rsidRPr="00DF3D56" w:rsidRDefault="006002EC">
            <w:pPr>
              <w:jc w:val="center"/>
              <w:rPr>
                <w:rFonts w:eastAsia="Malgun Gothic"/>
                <w:i/>
                <w:iCs/>
                <w:sz w:val="22"/>
                <w:szCs w:val="22"/>
                <w:lang w:val="en-US" w:eastAsia="ko-KR"/>
              </w:rPr>
            </w:pPr>
            <w:r w:rsidRPr="006002EC">
              <w:rPr>
                <w:rFonts w:eastAsia="Malgun Gothic"/>
                <w:i/>
                <w:iCs/>
                <w:sz w:val="22"/>
                <w:szCs w:val="22"/>
                <w:lang w:val="en-US" w:eastAsia="ko-KR"/>
              </w:rPr>
              <w:t>Virtual worlds and AI</w:t>
            </w:r>
          </w:p>
        </w:tc>
        <w:tc>
          <w:tcPr>
            <w:tcW w:w="543" w:type="pct"/>
          </w:tcPr>
          <w:p w14:paraId="0286B9FF" w14:textId="2A81AF71" w:rsidR="00D754BF" w:rsidRDefault="006002EC">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059A1BBF" w14:textId="20D86D2F" w:rsidR="00D754BF" w:rsidRPr="002E6941" w:rsidRDefault="006002EC">
            <w:pPr>
              <w:jc w:val="center"/>
              <w:rPr>
                <w:i/>
                <w:iCs/>
                <w:sz w:val="22"/>
                <w:szCs w:val="22"/>
                <w:lang w:eastAsia="zh-CN"/>
              </w:rPr>
            </w:pPr>
            <w:r w:rsidRPr="006002EC">
              <w:rPr>
                <w:i/>
                <w:iCs/>
                <w:sz w:val="22"/>
                <w:szCs w:val="22"/>
                <w:lang w:eastAsia="zh-CN"/>
              </w:rPr>
              <w:t>UN Virtual Worlds Day</w:t>
            </w:r>
          </w:p>
        </w:tc>
        <w:tc>
          <w:tcPr>
            <w:tcW w:w="1260" w:type="pct"/>
          </w:tcPr>
          <w:p w14:paraId="04271308" w14:textId="3A45AB95" w:rsidR="00D754BF" w:rsidRPr="002E6941" w:rsidRDefault="006002EC">
            <w:pPr>
              <w:rPr>
                <w:i/>
                <w:iCs/>
                <w:sz w:val="22"/>
                <w:szCs w:val="22"/>
              </w:rPr>
            </w:pPr>
            <w:r w:rsidRPr="006002EC">
              <w:rPr>
                <w:i/>
                <w:iCs/>
                <w:sz w:val="22"/>
                <w:szCs w:val="22"/>
              </w:rPr>
              <w:t>In close collaboration with the TSB Secretariat and UN partners, SG20 convenes the UN Virtual Worlds Day, a global platform bringing together cities, governments, UN agencies, industry, and academia to explore the potential of AI-powered virtual worlds for sustainability, inclusion, and digital transformation.</w:t>
            </w:r>
          </w:p>
        </w:tc>
        <w:tc>
          <w:tcPr>
            <w:tcW w:w="996" w:type="pct"/>
          </w:tcPr>
          <w:p w14:paraId="6A11DD8E" w14:textId="5E92EEE6" w:rsidR="00D754BF" w:rsidRPr="002A1D61" w:rsidRDefault="00E46F48">
            <w:pPr>
              <w:jc w:val="center"/>
              <w:rPr>
                <w:i/>
                <w:iCs/>
                <w:sz w:val="22"/>
                <w:szCs w:val="22"/>
                <w:lang w:val="en-US"/>
              </w:rPr>
            </w:pPr>
            <w:r w:rsidRPr="00E46F48">
              <w:rPr>
                <w:i/>
                <w:iCs/>
                <w:sz w:val="22"/>
                <w:szCs w:val="22"/>
                <w:lang w:val="en-US"/>
              </w:rPr>
              <w:t>Raises global awareness, fosters multistakeholder collaboration, and showcases practical pathways for leveraging virtual worlds to accelerate sustainable digital transformation.</w:t>
            </w:r>
          </w:p>
        </w:tc>
        <w:tc>
          <w:tcPr>
            <w:tcW w:w="405" w:type="pct"/>
          </w:tcPr>
          <w:p w14:paraId="4A6D825B" w14:textId="2AA71BBD" w:rsidR="00D754BF" w:rsidRDefault="00E46F48">
            <w:pPr>
              <w:jc w:val="center"/>
              <w:rPr>
                <w:rFonts w:eastAsia="Malgun Gothic"/>
                <w:i/>
                <w:iCs/>
                <w:sz w:val="22"/>
                <w:szCs w:val="22"/>
                <w:lang w:val="en-US" w:eastAsia="ko-KR"/>
              </w:rPr>
            </w:pPr>
            <w:r w:rsidRPr="00E46F48">
              <w:rPr>
                <w:rFonts w:eastAsia="Malgun Gothic"/>
                <w:i/>
                <w:iCs/>
                <w:sz w:val="22"/>
                <w:szCs w:val="22"/>
                <w:lang w:val="en-US" w:eastAsia="ko-KR"/>
              </w:rPr>
              <w:t>Annual / ongoing</w:t>
            </w:r>
          </w:p>
        </w:tc>
        <w:tc>
          <w:tcPr>
            <w:tcW w:w="425" w:type="pct"/>
          </w:tcPr>
          <w:p w14:paraId="662EB3F9" w14:textId="29F4427E" w:rsidR="00D754BF" w:rsidRDefault="00E46F48" w:rsidP="00DE0509">
            <w:pPr>
              <w:jc w:val="center"/>
              <w:rPr>
                <w:i/>
                <w:iCs/>
              </w:rPr>
            </w:pPr>
            <w:hyperlink r:id="rId32" w:history="1">
              <w:r w:rsidRPr="00E14BC9">
                <w:rPr>
                  <w:rStyle w:val="Hyperlink"/>
                  <w:i/>
                  <w:iCs/>
                </w:rPr>
                <w:t>Here</w:t>
              </w:r>
            </w:hyperlink>
          </w:p>
        </w:tc>
      </w:tr>
    </w:tbl>
    <w:p w14:paraId="2D2604F0" w14:textId="77777777" w:rsidR="00E71046" w:rsidRDefault="00E71046" w:rsidP="00E71046">
      <w:pPr>
        <w:jc w:val="center"/>
      </w:pPr>
      <w:r>
        <w:t>_______________________</w:t>
      </w:r>
    </w:p>
    <w:p w14:paraId="269839DD" w14:textId="77777777" w:rsidR="00BF1C1D" w:rsidRDefault="00BF1C1D" w:rsidP="00E71046">
      <w:pPr>
        <w:jc w:val="center"/>
      </w:pPr>
    </w:p>
    <w:sectPr w:rsidR="00BF1C1D" w:rsidSect="009A0760">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5C21" w14:textId="77777777" w:rsidR="00FE7BDD" w:rsidRDefault="00FE7BDD" w:rsidP="00C42125">
      <w:pPr>
        <w:spacing w:before="0"/>
      </w:pPr>
      <w:r>
        <w:separator/>
      </w:r>
    </w:p>
  </w:endnote>
  <w:endnote w:type="continuationSeparator" w:id="0">
    <w:p w14:paraId="5A60B5E6" w14:textId="77777777" w:rsidR="00FE7BDD" w:rsidRDefault="00FE7BDD"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427E" w14:textId="77777777" w:rsidR="00FE7BDD" w:rsidRDefault="00FE7BDD" w:rsidP="00C42125">
      <w:pPr>
        <w:spacing w:before="0"/>
      </w:pPr>
      <w:r>
        <w:separator/>
      </w:r>
    </w:p>
  </w:footnote>
  <w:footnote w:type="continuationSeparator" w:id="0">
    <w:p w14:paraId="438ECEFD" w14:textId="77777777" w:rsidR="00FE7BDD" w:rsidRDefault="00FE7BDD"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C02F" w14:textId="367F0E93" w:rsidR="00D34B68" w:rsidRPr="009A0760" w:rsidRDefault="009A0760" w:rsidP="009A0760">
    <w:pPr>
      <w:pStyle w:val="Header"/>
    </w:pPr>
    <w:r w:rsidRPr="009A0760">
      <w:t xml:space="preserve">- </w:t>
    </w:r>
    <w:r w:rsidRPr="009A0760">
      <w:fldChar w:fldCharType="begin"/>
    </w:r>
    <w:r w:rsidRPr="009A0760">
      <w:instrText xml:space="preserve"> PAGE  \* MERGEFORMAT </w:instrText>
    </w:r>
    <w:r w:rsidRPr="009A0760">
      <w:fldChar w:fldCharType="separate"/>
    </w:r>
    <w:r w:rsidRPr="009A0760">
      <w:rPr>
        <w:noProof/>
      </w:rPr>
      <w:t>1</w:t>
    </w:r>
    <w:r w:rsidRPr="009A0760">
      <w:fldChar w:fldCharType="end"/>
    </w:r>
    <w:r w:rsidRPr="009A0760">
      <w:t xml:space="preserve"> -</w:t>
    </w:r>
  </w:p>
  <w:p w14:paraId="293225E2" w14:textId="4DA8737B" w:rsidR="009A0760" w:rsidRPr="009A0760" w:rsidRDefault="009A0760" w:rsidP="009A0760">
    <w:pPr>
      <w:pStyle w:val="Header"/>
      <w:spacing w:after="240"/>
    </w:pPr>
    <w:r w:rsidRPr="009A0760">
      <w:fldChar w:fldCharType="begin"/>
    </w:r>
    <w:r w:rsidRPr="009A0760">
      <w:instrText xml:space="preserve"> STYLEREF  Docnumber  </w:instrText>
    </w:r>
    <w:r>
      <w:fldChar w:fldCharType="separate"/>
    </w:r>
    <w:r>
      <w:rPr>
        <w:noProof/>
      </w:rPr>
      <w:t>TSAG-TD238</w:t>
    </w:r>
    <w:r w:rsidRPr="009A076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B01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04B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83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86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7412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EE2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48D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9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A6D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DC62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867E59"/>
    <w:multiLevelType w:val="hybridMultilevel"/>
    <w:tmpl w:val="E152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809773">
    <w:abstractNumId w:val="9"/>
  </w:num>
  <w:num w:numId="2" w16cid:durableId="1230656129">
    <w:abstractNumId w:val="7"/>
  </w:num>
  <w:num w:numId="3" w16cid:durableId="670377804">
    <w:abstractNumId w:val="6"/>
  </w:num>
  <w:num w:numId="4" w16cid:durableId="1592201701">
    <w:abstractNumId w:val="5"/>
  </w:num>
  <w:num w:numId="5" w16cid:durableId="2063749271">
    <w:abstractNumId w:val="4"/>
  </w:num>
  <w:num w:numId="6" w16cid:durableId="1070618389">
    <w:abstractNumId w:val="8"/>
  </w:num>
  <w:num w:numId="7" w16cid:durableId="1362822602">
    <w:abstractNumId w:val="3"/>
  </w:num>
  <w:num w:numId="8" w16cid:durableId="102654320">
    <w:abstractNumId w:val="2"/>
  </w:num>
  <w:num w:numId="9" w16cid:durableId="1938320252">
    <w:abstractNumId w:val="1"/>
  </w:num>
  <w:num w:numId="10" w16cid:durableId="494733815">
    <w:abstractNumId w:val="0"/>
  </w:num>
  <w:num w:numId="11" w16cid:durableId="502361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1A"/>
    <w:rsid w:val="000066FF"/>
    <w:rsid w:val="00014F69"/>
    <w:rsid w:val="000171DB"/>
    <w:rsid w:val="00023D9A"/>
    <w:rsid w:val="0003582E"/>
    <w:rsid w:val="00043D75"/>
    <w:rsid w:val="00057000"/>
    <w:rsid w:val="00061268"/>
    <w:rsid w:val="00062712"/>
    <w:rsid w:val="000640E0"/>
    <w:rsid w:val="00091E51"/>
    <w:rsid w:val="000920CE"/>
    <w:rsid w:val="000966A8"/>
    <w:rsid w:val="000A5CA2"/>
    <w:rsid w:val="000B1935"/>
    <w:rsid w:val="000B739D"/>
    <w:rsid w:val="000C397B"/>
    <w:rsid w:val="000C57B3"/>
    <w:rsid w:val="000C7158"/>
    <w:rsid w:val="000E11E7"/>
    <w:rsid w:val="000E6125"/>
    <w:rsid w:val="0010360A"/>
    <w:rsid w:val="00113159"/>
    <w:rsid w:val="00113DBE"/>
    <w:rsid w:val="001200A6"/>
    <w:rsid w:val="00120351"/>
    <w:rsid w:val="00124A40"/>
    <w:rsid w:val="001251DA"/>
    <w:rsid w:val="00125432"/>
    <w:rsid w:val="001360AC"/>
    <w:rsid w:val="00136DDD"/>
    <w:rsid w:val="00137F40"/>
    <w:rsid w:val="001410FD"/>
    <w:rsid w:val="00144BDF"/>
    <w:rsid w:val="00155DDC"/>
    <w:rsid w:val="00161830"/>
    <w:rsid w:val="001871EC"/>
    <w:rsid w:val="0019435F"/>
    <w:rsid w:val="001A20C3"/>
    <w:rsid w:val="001A670F"/>
    <w:rsid w:val="001B6A45"/>
    <w:rsid w:val="001C62B8"/>
    <w:rsid w:val="001D22D8"/>
    <w:rsid w:val="001D4296"/>
    <w:rsid w:val="001E4348"/>
    <w:rsid w:val="001E7B0E"/>
    <w:rsid w:val="001F141D"/>
    <w:rsid w:val="001F2D56"/>
    <w:rsid w:val="001F4128"/>
    <w:rsid w:val="00200A06"/>
    <w:rsid w:val="00200A98"/>
    <w:rsid w:val="00201AFA"/>
    <w:rsid w:val="00204C01"/>
    <w:rsid w:val="0022071A"/>
    <w:rsid w:val="0022276B"/>
    <w:rsid w:val="002229F1"/>
    <w:rsid w:val="00233F75"/>
    <w:rsid w:val="00244020"/>
    <w:rsid w:val="00247183"/>
    <w:rsid w:val="00253DBE"/>
    <w:rsid w:val="00253DC6"/>
    <w:rsid w:val="0025489C"/>
    <w:rsid w:val="002622FA"/>
    <w:rsid w:val="00263518"/>
    <w:rsid w:val="00263B33"/>
    <w:rsid w:val="002759E7"/>
    <w:rsid w:val="00277326"/>
    <w:rsid w:val="00292B27"/>
    <w:rsid w:val="002A11C4"/>
    <w:rsid w:val="002A1D61"/>
    <w:rsid w:val="002A399B"/>
    <w:rsid w:val="002C26C0"/>
    <w:rsid w:val="002C2BC5"/>
    <w:rsid w:val="002C4727"/>
    <w:rsid w:val="002C502A"/>
    <w:rsid w:val="002D6447"/>
    <w:rsid w:val="002E0407"/>
    <w:rsid w:val="002E3C52"/>
    <w:rsid w:val="002E6941"/>
    <w:rsid w:val="002E79CB"/>
    <w:rsid w:val="002F5070"/>
    <w:rsid w:val="002F7F55"/>
    <w:rsid w:val="003011DC"/>
    <w:rsid w:val="00303EE8"/>
    <w:rsid w:val="00305CE4"/>
    <w:rsid w:val="0030745F"/>
    <w:rsid w:val="00314630"/>
    <w:rsid w:val="0032090A"/>
    <w:rsid w:val="00321CDE"/>
    <w:rsid w:val="00333E15"/>
    <w:rsid w:val="00335D50"/>
    <w:rsid w:val="00343BAF"/>
    <w:rsid w:val="003449F4"/>
    <w:rsid w:val="00344E57"/>
    <w:rsid w:val="00351E38"/>
    <w:rsid w:val="003571BC"/>
    <w:rsid w:val="0036090C"/>
    <w:rsid w:val="00361116"/>
    <w:rsid w:val="00362562"/>
    <w:rsid w:val="0037689E"/>
    <w:rsid w:val="00384367"/>
    <w:rsid w:val="00385FB5"/>
    <w:rsid w:val="0038715D"/>
    <w:rsid w:val="00394DBF"/>
    <w:rsid w:val="003957A6"/>
    <w:rsid w:val="003A43EF"/>
    <w:rsid w:val="003B4CF8"/>
    <w:rsid w:val="003C7445"/>
    <w:rsid w:val="003D0336"/>
    <w:rsid w:val="003D4C72"/>
    <w:rsid w:val="003E1F8C"/>
    <w:rsid w:val="003E39A2"/>
    <w:rsid w:val="003E57AB"/>
    <w:rsid w:val="003E7207"/>
    <w:rsid w:val="003F2BED"/>
    <w:rsid w:val="00400B49"/>
    <w:rsid w:val="00432EA8"/>
    <w:rsid w:val="00443878"/>
    <w:rsid w:val="00444F98"/>
    <w:rsid w:val="004539A8"/>
    <w:rsid w:val="00457F51"/>
    <w:rsid w:val="00460F8F"/>
    <w:rsid w:val="00463F98"/>
    <w:rsid w:val="004712CA"/>
    <w:rsid w:val="00473782"/>
    <w:rsid w:val="0047388F"/>
    <w:rsid w:val="0047422E"/>
    <w:rsid w:val="00474AE0"/>
    <w:rsid w:val="004835C8"/>
    <w:rsid w:val="00486D89"/>
    <w:rsid w:val="0049090D"/>
    <w:rsid w:val="0049674B"/>
    <w:rsid w:val="00497A85"/>
    <w:rsid w:val="004A410E"/>
    <w:rsid w:val="004C0673"/>
    <w:rsid w:val="004C4E4E"/>
    <w:rsid w:val="004F23BA"/>
    <w:rsid w:val="004F3816"/>
    <w:rsid w:val="0050586A"/>
    <w:rsid w:val="0051541E"/>
    <w:rsid w:val="00520DBF"/>
    <w:rsid w:val="0053731C"/>
    <w:rsid w:val="00543D41"/>
    <w:rsid w:val="00553512"/>
    <w:rsid w:val="00556A5B"/>
    <w:rsid w:val="005658B1"/>
    <w:rsid w:val="00566EDA"/>
    <w:rsid w:val="00567231"/>
    <w:rsid w:val="0057081A"/>
    <w:rsid w:val="00572654"/>
    <w:rsid w:val="005830CE"/>
    <w:rsid w:val="005976A1"/>
    <w:rsid w:val="005B5629"/>
    <w:rsid w:val="005B6B78"/>
    <w:rsid w:val="005C0300"/>
    <w:rsid w:val="005C27A2"/>
    <w:rsid w:val="005D4FEB"/>
    <w:rsid w:val="005F384E"/>
    <w:rsid w:val="005F4B6A"/>
    <w:rsid w:val="006002EC"/>
    <w:rsid w:val="006010F3"/>
    <w:rsid w:val="00606DB6"/>
    <w:rsid w:val="00615A0A"/>
    <w:rsid w:val="00626673"/>
    <w:rsid w:val="006308CE"/>
    <w:rsid w:val="006333D4"/>
    <w:rsid w:val="006369B2"/>
    <w:rsid w:val="0063718D"/>
    <w:rsid w:val="00647525"/>
    <w:rsid w:val="00647A71"/>
    <w:rsid w:val="00652D9F"/>
    <w:rsid w:val="006536C6"/>
    <w:rsid w:val="006570B0"/>
    <w:rsid w:val="0066022F"/>
    <w:rsid w:val="00667EA3"/>
    <w:rsid w:val="00674B97"/>
    <w:rsid w:val="00674F6E"/>
    <w:rsid w:val="006813BC"/>
    <w:rsid w:val="00681881"/>
    <w:rsid w:val="006823F3"/>
    <w:rsid w:val="0069210B"/>
    <w:rsid w:val="00692AB1"/>
    <w:rsid w:val="00695DD7"/>
    <w:rsid w:val="00695FC2"/>
    <w:rsid w:val="006A4055"/>
    <w:rsid w:val="006A6DA0"/>
    <w:rsid w:val="006A7C27"/>
    <w:rsid w:val="006B2FE4"/>
    <w:rsid w:val="006B37B0"/>
    <w:rsid w:val="006B63DA"/>
    <w:rsid w:val="006C2257"/>
    <w:rsid w:val="006C5641"/>
    <w:rsid w:val="006C76A0"/>
    <w:rsid w:val="006D1089"/>
    <w:rsid w:val="006D1B86"/>
    <w:rsid w:val="006D345A"/>
    <w:rsid w:val="006D7355"/>
    <w:rsid w:val="006E5729"/>
    <w:rsid w:val="006F7DEE"/>
    <w:rsid w:val="00702484"/>
    <w:rsid w:val="00715551"/>
    <w:rsid w:val="00715CA6"/>
    <w:rsid w:val="00731135"/>
    <w:rsid w:val="007324AF"/>
    <w:rsid w:val="00736515"/>
    <w:rsid w:val="00740128"/>
    <w:rsid w:val="007409B4"/>
    <w:rsid w:val="00741974"/>
    <w:rsid w:val="0075202A"/>
    <w:rsid w:val="00754192"/>
    <w:rsid w:val="0075525E"/>
    <w:rsid w:val="007557A1"/>
    <w:rsid w:val="00755A71"/>
    <w:rsid w:val="00756D3D"/>
    <w:rsid w:val="00764C00"/>
    <w:rsid w:val="0076561A"/>
    <w:rsid w:val="00770D9B"/>
    <w:rsid w:val="00772D3F"/>
    <w:rsid w:val="00777544"/>
    <w:rsid w:val="007806C2"/>
    <w:rsid w:val="00781FEE"/>
    <w:rsid w:val="007903F8"/>
    <w:rsid w:val="0079213E"/>
    <w:rsid w:val="00794F4F"/>
    <w:rsid w:val="007974BE"/>
    <w:rsid w:val="007A0916"/>
    <w:rsid w:val="007A0DFD"/>
    <w:rsid w:val="007A2632"/>
    <w:rsid w:val="007A27C3"/>
    <w:rsid w:val="007B2BC6"/>
    <w:rsid w:val="007B311A"/>
    <w:rsid w:val="007C7122"/>
    <w:rsid w:val="007D3F11"/>
    <w:rsid w:val="007D66E2"/>
    <w:rsid w:val="007E2C69"/>
    <w:rsid w:val="007E53E4"/>
    <w:rsid w:val="007E656A"/>
    <w:rsid w:val="007F3CAA"/>
    <w:rsid w:val="007F664D"/>
    <w:rsid w:val="00807288"/>
    <w:rsid w:val="00807EE8"/>
    <w:rsid w:val="00812E67"/>
    <w:rsid w:val="008249EB"/>
    <w:rsid w:val="00837203"/>
    <w:rsid w:val="00842137"/>
    <w:rsid w:val="00853F5F"/>
    <w:rsid w:val="008560AC"/>
    <w:rsid w:val="008623ED"/>
    <w:rsid w:val="00864B5A"/>
    <w:rsid w:val="008663DB"/>
    <w:rsid w:val="00872559"/>
    <w:rsid w:val="00874AA3"/>
    <w:rsid w:val="00875AA6"/>
    <w:rsid w:val="00880944"/>
    <w:rsid w:val="0089088E"/>
    <w:rsid w:val="00892297"/>
    <w:rsid w:val="0089275D"/>
    <w:rsid w:val="00895935"/>
    <w:rsid w:val="008964D6"/>
    <w:rsid w:val="008A7E30"/>
    <w:rsid w:val="008B5123"/>
    <w:rsid w:val="008D5D51"/>
    <w:rsid w:val="008E0172"/>
    <w:rsid w:val="00900EF1"/>
    <w:rsid w:val="00906CD2"/>
    <w:rsid w:val="00925F81"/>
    <w:rsid w:val="009302DE"/>
    <w:rsid w:val="00931596"/>
    <w:rsid w:val="00935108"/>
    <w:rsid w:val="00936852"/>
    <w:rsid w:val="0094045D"/>
    <w:rsid w:val="009406B5"/>
    <w:rsid w:val="00946166"/>
    <w:rsid w:val="009507EC"/>
    <w:rsid w:val="00955E1D"/>
    <w:rsid w:val="0095797B"/>
    <w:rsid w:val="00977A80"/>
    <w:rsid w:val="00983164"/>
    <w:rsid w:val="009972EF"/>
    <w:rsid w:val="009A0760"/>
    <w:rsid w:val="009A1EB7"/>
    <w:rsid w:val="009B5035"/>
    <w:rsid w:val="009C3160"/>
    <w:rsid w:val="009D1FED"/>
    <w:rsid w:val="009E1258"/>
    <w:rsid w:val="009E766E"/>
    <w:rsid w:val="009F1960"/>
    <w:rsid w:val="009F2C64"/>
    <w:rsid w:val="009F715E"/>
    <w:rsid w:val="00A01DED"/>
    <w:rsid w:val="00A10DBB"/>
    <w:rsid w:val="00A11720"/>
    <w:rsid w:val="00A13EF7"/>
    <w:rsid w:val="00A1616E"/>
    <w:rsid w:val="00A21247"/>
    <w:rsid w:val="00A248E5"/>
    <w:rsid w:val="00A31D47"/>
    <w:rsid w:val="00A4013E"/>
    <w:rsid w:val="00A4045F"/>
    <w:rsid w:val="00A427CD"/>
    <w:rsid w:val="00A45FEE"/>
    <w:rsid w:val="00A4600B"/>
    <w:rsid w:val="00A47442"/>
    <w:rsid w:val="00A50506"/>
    <w:rsid w:val="00A51EF0"/>
    <w:rsid w:val="00A631DC"/>
    <w:rsid w:val="00A63B5A"/>
    <w:rsid w:val="00A67804"/>
    <w:rsid w:val="00A67A81"/>
    <w:rsid w:val="00A730A6"/>
    <w:rsid w:val="00A760BF"/>
    <w:rsid w:val="00A76235"/>
    <w:rsid w:val="00A84724"/>
    <w:rsid w:val="00A907B3"/>
    <w:rsid w:val="00A9608A"/>
    <w:rsid w:val="00A971A0"/>
    <w:rsid w:val="00AA1F22"/>
    <w:rsid w:val="00AA443B"/>
    <w:rsid w:val="00AB698A"/>
    <w:rsid w:val="00AD4D64"/>
    <w:rsid w:val="00AF5A57"/>
    <w:rsid w:val="00AF735D"/>
    <w:rsid w:val="00B024D7"/>
    <w:rsid w:val="00B05821"/>
    <w:rsid w:val="00B100D6"/>
    <w:rsid w:val="00B164C9"/>
    <w:rsid w:val="00B26C28"/>
    <w:rsid w:val="00B30F21"/>
    <w:rsid w:val="00B376D2"/>
    <w:rsid w:val="00B4174C"/>
    <w:rsid w:val="00B41907"/>
    <w:rsid w:val="00B453F5"/>
    <w:rsid w:val="00B532CE"/>
    <w:rsid w:val="00B552B8"/>
    <w:rsid w:val="00B61624"/>
    <w:rsid w:val="00B63AC1"/>
    <w:rsid w:val="00B66481"/>
    <w:rsid w:val="00B7189C"/>
    <w:rsid w:val="00B718A5"/>
    <w:rsid w:val="00B90AD6"/>
    <w:rsid w:val="00BA469E"/>
    <w:rsid w:val="00BA64E5"/>
    <w:rsid w:val="00BA75DF"/>
    <w:rsid w:val="00BA788A"/>
    <w:rsid w:val="00BB4983"/>
    <w:rsid w:val="00BB7597"/>
    <w:rsid w:val="00BC16C0"/>
    <w:rsid w:val="00BC2AAB"/>
    <w:rsid w:val="00BC62E2"/>
    <w:rsid w:val="00BF02DC"/>
    <w:rsid w:val="00BF1C1D"/>
    <w:rsid w:val="00BF2FFB"/>
    <w:rsid w:val="00C113D9"/>
    <w:rsid w:val="00C37820"/>
    <w:rsid w:val="00C42125"/>
    <w:rsid w:val="00C62814"/>
    <w:rsid w:val="00C62BE6"/>
    <w:rsid w:val="00C64B81"/>
    <w:rsid w:val="00C67B25"/>
    <w:rsid w:val="00C748F7"/>
    <w:rsid w:val="00C74937"/>
    <w:rsid w:val="00CA0960"/>
    <w:rsid w:val="00CA6409"/>
    <w:rsid w:val="00CB2599"/>
    <w:rsid w:val="00CD2139"/>
    <w:rsid w:val="00CD2497"/>
    <w:rsid w:val="00CD6848"/>
    <w:rsid w:val="00CE1E6E"/>
    <w:rsid w:val="00CE5986"/>
    <w:rsid w:val="00CF2859"/>
    <w:rsid w:val="00CF34C4"/>
    <w:rsid w:val="00D04A9E"/>
    <w:rsid w:val="00D11885"/>
    <w:rsid w:val="00D34B68"/>
    <w:rsid w:val="00D647EF"/>
    <w:rsid w:val="00D73137"/>
    <w:rsid w:val="00D745B2"/>
    <w:rsid w:val="00D754BF"/>
    <w:rsid w:val="00D96472"/>
    <w:rsid w:val="00D977A2"/>
    <w:rsid w:val="00DA1D47"/>
    <w:rsid w:val="00DC774A"/>
    <w:rsid w:val="00DD50DE"/>
    <w:rsid w:val="00DE0509"/>
    <w:rsid w:val="00DE1FF7"/>
    <w:rsid w:val="00DE3062"/>
    <w:rsid w:val="00DE3BF8"/>
    <w:rsid w:val="00DF3D56"/>
    <w:rsid w:val="00E0581D"/>
    <w:rsid w:val="00E14BC9"/>
    <w:rsid w:val="00E204DD"/>
    <w:rsid w:val="00E33B8D"/>
    <w:rsid w:val="00E353EC"/>
    <w:rsid w:val="00E37F3B"/>
    <w:rsid w:val="00E46F48"/>
    <w:rsid w:val="00E51F61"/>
    <w:rsid w:val="00E53C24"/>
    <w:rsid w:val="00E56E77"/>
    <w:rsid w:val="00E61AEA"/>
    <w:rsid w:val="00E71046"/>
    <w:rsid w:val="00E72E36"/>
    <w:rsid w:val="00E87795"/>
    <w:rsid w:val="00EB444D"/>
    <w:rsid w:val="00EC13FF"/>
    <w:rsid w:val="00EC1525"/>
    <w:rsid w:val="00ED5B66"/>
    <w:rsid w:val="00EE5C0D"/>
    <w:rsid w:val="00EF478F"/>
    <w:rsid w:val="00EF4792"/>
    <w:rsid w:val="00F02294"/>
    <w:rsid w:val="00F30DE7"/>
    <w:rsid w:val="00F35F57"/>
    <w:rsid w:val="00F418F4"/>
    <w:rsid w:val="00F44D3D"/>
    <w:rsid w:val="00F50467"/>
    <w:rsid w:val="00F562A0"/>
    <w:rsid w:val="00F57FA4"/>
    <w:rsid w:val="00F75AA5"/>
    <w:rsid w:val="00F8453A"/>
    <w:rsid w:val="00F9052B"/>
    <w:rsid w:val="00F967ED"/>
    <w:rsid w:val="00FA02CB"/>
    <w:rsid w:val="00FA2177"/>
    <w:rsid w:val="00FB0783"/>
    <w:rsid w:val="00FB32B5"/>
    <w:rsid w:val="00FB7A8B"/>
    <w:rsid w:val="00FC071E"/>
    <w:rsid w:val="00FD1021"/>
    <w:rsid w:val="00FD1E48"/>
    <w:rsid w:val="00FD397A"/>
    <w:rsid w:val="00FD439E"/>
    <w:rsid w:val="00FD76CB"/>
    <w:rsid w:val="00FD7F0B"/>
    <w:rsid w:val="00FE152B"/>
    <w:rsid w:val="00FE1AF2"/>
    <w:rsid w:val="00FE239E"/>
    <w:rsid w:val="00FE3437"/>
    <w:rsid w:val="00FE7BDD"/>
    <w:rsid w:val="00FF4546"/>
    <w:rsid w:val="00FF5067"/>
    <w:rsid w:val="00FF538F"/>
    <w:rsid w:val="28EE24EE"/>
    <w:rsid w:val="3B7EA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3957"/>
  <w15:docId w15:val="{448849CD-E09E-465F-ABC7-2D6C6B81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2E67"/>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E87795"/>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812E67"/>
  </w:style>
  <w:style w:type="paragraph" w:customStyle="1" w:styleId="CorrectionSeparatorBegin">
    <w:name w:val="Correction Separator Begin"/>
    <w:basedOn w:val="Normal"/>
    <w:rsid w:val="00812E6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812E6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812E6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812E6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812E6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812E6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812E67"/>
    <w:rPr>
      <w:b/>
      <w:bCs/>
    </w:rPr>
  </w:style>
  <w:style w:type="paragraph" w:customStyle="1" w:styleId="Normalbeforetable">
    <w:name w:val="Normal before table"/>
    <w:basedOn w:val="Normal"/>
    <w:rsid w:val="00812E67"/>
    <w:pPr>
      <w:keepNext/>
      <w:spacing w:after="120"/>
    </w:pPr>
    <w:rPr>
      <w:rFonts w:eastAsia="????"/>
      <w:lang w:eastAsia="en-US"/>
    </w:rPr>
  </w:style>
  <w:style w:type="paragraph" w:customStyle="1" w:styleId="RecNo">
    <w:name w:val="Rec_No"/>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812E6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812E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812E6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812E67"/>
    <w:pPr>
      <w:tabs>
        <w:tab w:val="right" w:leader="dot" w:pos="9639"/>
      </w:tabs>
    </w:pPr>
    <w:rPr>
      <w:rFonts w:eastAsia="MS Mincho"/>
    </w:rPr>
  </w:style>
  <w:style w:type="paragraph" w:styleId="TOC1">
    <w:name w:val="toc 1"/>
    <w:basedOn w:val="Normal"/>
    <w:uiPriority w:val="39"/>
    <w:rsid w:val="00812E6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812E67"/>
    <w:pPr>
      <w:tabs>
        <w:tab w:val="clear" w:pos="964"/>
      </w:tabs>
      <w:spacing w:before="80"/>
      <w:ind w:left="1531" w:hanging="851"/>
    </w:pPr>
  </w:style>
  <w:style w:type="paragraph" w:styleId="TOC3">
    <w:name w:val="toc 3"/>
    <w:basedOn w:val="TOC2"/>
    <w:rsid w:val="00812E67"/>
    <w:pPr>
      <w:ind w:left="2269"/>
    </w:pPr>
  </w:style>
  <w:style w:type="character" w:styleId="Hyperlink">
    <w:name w:val="Hyperlink"/>
    <w:aliases w:val="超级链接,Style 58,超链接1,超?级链,CEO_Hyperlink,超????,하이퍼링크2,超??级链Ú,fL????,fL?级,超??级链,하이퍼링크21,超?级链Ú,’´?级链,’´????,’´??级链Ú,’´??级,超?级链?,Style?,S,ECC Hyperlink,超?级链ïÈ,õ±?级链,õ±链ïÈ1,õ±???,하이퍼링크1"/>
    <w:basedOn w:val="DefaultParagraphFont"/>
    <w:qFormat/>
    <w:rsid w:val="00812E67"/>
    <w:rPr>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rsid w:val="00812E6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812E67"/>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A907B3"/>
    <w:rPr>
      <w:bCs w:val="0"/>
    </w:rPr>
  </w:style>
  <w:style w:type="paragraph" w:customStyle="1" w:styleId="LSForAction">
    <w:name w:val="LSForAction"/>
    <w:basedOn w:val="Normal"/>
    <w:rsid w:val="00A907B3"/>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A907B3"/>
  </w:style>
  <w:style w:type="paragraph" w:customStyle="1" w:styleId="LSForComment">
    <w:name w:val="LSForComment"/>
    <w:basedOn w:val="LSForAction"/>
    <w:next w:val="Normal"/>
    <w:rsid w:val="00A907B3"/>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A907B3"/>
    <w:rPr>
      <w:rFonts w:eastAsiaTheme="minorHAnsi"/>
      <w:bCs w:val="0"/>
    </w:rPr>
  </w:style>
  <w:style w:type="paragraph" w:customStyle="1" w:styleId="LSTitle">
    <w:name w:val="LSTitle"/>
    <w:basedOn w:val="LSForAction"/>
    <w:next w:val="Normal"/>
    <w:rsid w:val="00A907B3"/>
    <w:rPr>
      <w:rFonts w:eastAsiaTheme="minorHAnsi"/>
      <w:bCs w:val="0"/>
    </w:rPr>
  </w:style>
  <w:style w:type="paragraph" w:styleId="Revision">
    <w:name w:val="Revision"/>
    <w:hidden/>
    <w:uiPriority w:val="99"/>
    <w:semiHidden/>
    <w:rsid w:val="00754192"/>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AF5A57"/>
    <w:pPr>
      <w:overflowPunct w:val="0"/>
      <w:autoSpaceDE w:val="0"/>
      <w:autoSpaceDN w:val="0"/>
      <w:adjustRightInd w:val="0"/>
      <w:jc w:val="right"/>
      <w:textAlignment w:val="baseline"/>
    </w:pPr>
    <w:rPr>
      <w:rFonts w:eastAsia="Times New Roman"/>
      <w:szCs w:val="20"/>
      <w:lang w:eastAsia="en-US"/>
    </w:rPr>
  </w:style>
  <w:style w:type="character" w:styleId="CommentReference">
    <w:name w:val="annotation reference"/>
    <w:basedOn w:val="DefaultParagraphFont"/>
    <w:uiPriority w:val="99"/>
    <w:semiHidden/>
    <w:unhideWhenUsed/>
    <w:rsid w:val="00740128"/>
    <w:rPr>
      <w:sz w:val="16"/>
      <w:szCs w:val="16"/>
    </w:rPr>
  </w:style>
  <w:style w:type="paragraph" w:styleId="CommentText">
    <w:name w:val="annotation text"/>
    <w:basedOn w:val="Normal"/>
    <w:link w:val="CommentTextChar"/>
    <w:uiPriority w:val="99"/>
    <w:semiHidden/>
    <w:unhideWhenUsed/>
    <w:rsid w:val="00740128"/>
    <w:rPr>
      <w:sz w:val="20"/>
      <w:szCs w:val="20"/>
    </w:rPr>
  </w:style>
  <w:style w:type="character" w:customStyle="1" w:styleId="CommentTextChar">
    <w:name w:val="Comment Text Char"/>
    <w:basedOn w:val="DefaultParagraphFont"/>
    <w:link w:val="CommentText"/>
    <w:uiPriority w:val="99"/>
    <w:semiHidden/>
    <w:rsid w:val="00740128"/>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40128"/>
    <w:rPr>
      <w:b/>
      <w:bCs/>
    </w:rPr>
  </w:style>
  <w:style w:type="character" w:customStyle="1" w:styleId="CommentSubjectChar">
    <w:name w:val="Comment Subject Char"/>
    <w:basedOn w:val="CommentTextChar"/>
    <w:link w:val="CommentSubject"/>
    <w:uiPriority w:val="99"/>
    <w:semiHidden/>
    <w:rsid w:val="00740128"/>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rsid w:val="00740128"/>
    <w:rPr>
      <w:color w:val="605E5C"/>
      <w:shd w:val="clear" w:color="auto" w:fill="E1DFDD"/>
    </w:rPr>
  </w:style>
  <w:style w:type="character" w:customStyle="1" w:styleId="Mention1">
    <w:name w:val="Mention1"/>
    <w:basedOn w:val="DefaultParagraphFont"/>
    <w:uiPriority w:val="99"/>
    <w:unhideWhenUsed/>
    <w:rsid w:val="00740128"/>
    <w:rPr>
      <w:color w:val="2B579A"/>
      <w:shd w:val="clear" w:color="auto" w:fill="E1DFDD"/>
    </w:rPr>
  </w:style>
  <w:style w:type="character" w:customStyle="1" w:styleId="ReftextArial9pt">
    <w:name w:val="Ref_text Arial 9 pt"/>
    <w:rsid w:val="00812E67"/>
    <w:rPr>
      <w:rFonts w:ascii="Arial" w:hAnsi="Arial" w:cs="Arial"/>
      <w:sz w:val="18"/>
      <w:szCs w:val="18"/>
    </w:rPr>
  </w:style>
  <w:style w:type="paragraph" w:customStyle="1" w:styleId="Title4">
    <w:name w:val="Title 4"/>
    <w:basedOn w:val="Normal"/>
    <w:next w:val="Heading1"/>
    <w:rsid w:val="00812E6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812E6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812E67"/>
    <w:pPr>
      <w:spacing w:before="0"/>
    </w:pPr>
    <w:rPr>
      <w:sz w:val="20"/>
      <w:szCs w:val="20"/>
    </w:rPr>
  </w:style>
  <w:style w:type="character" w:customStyle="1" w:styleId="FootnoteTextChar">
    <w:name w:val="Footnote Text Char"/>
    <w:basedOn w:val="DefaultParagraphFont"/>
    <w:link w:val="FootnoteText"/>
    <w:uiPriority w:val="99"/>
    <w:semiHidden/>
    <w:rsid w:val="00812E67"/>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812E67"/>
    <w:rPr>
      <w:vertAlign w:val="superscript"/>
    </w:rPr>
  </w:style>
  <w:style w:type="paragraph" w:styleId="Bibliography">
    <w:name w:val="Bibliography"/>
    <w:basedOn w:val="Normal"/>
    <w:next w:val="Normal"/>
    <w:uiPriority w:val="37"/>
    <w:semiHidden/>
    <w:unhideWhenUsed/>
    <w:rsid w:val="00812E67"/>
  </w:style>
  <w:style w:type="paragraph" w:styleId="BlockText">
    <w:name w:val="Block Text"/>
    <w:basedOn w:val="Normal"/>
    <w:uiPriority w:val="99"/>
    <w:semiHidden/>
    <w:unhideWhenUsed/>
    <w:rsid w:val="00812E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12E67"/>
    <w:pPr>
      <w:spacing w:after="120"/>
    </w:pPr>
  </w:style>
  <w:style w:type="character" w:customStyle="1" w:styleId="BodyTextChar">
    <w:name w:val="Body Text Char"/>
    <w:basedOn w:val="DefaultParagraphFont"/>
    <w:link w:val="BodyText"/>
    <w:uiPriority w:val="99"/>
    <w:semiHidden/>
    <w:rsid w:val="00812E67"/>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812E67"/>
    <w:pPr>
      <w:spacing w:after="120" w:line="480" w:lineRule="auto"/>
    </w:pPr>
  </w:style>
  <w:style w:type="character" w:customStyle="1" w:styleId="BodyText2Char">
    <w:name w:val="Body Text 2 Char"/>
    <w:basedOn w:val="DefaultParagraphFont"/>
    <w:link w:val="BodyText2"/>
    <w:uiPriority w:val="99"/>
    <w:semiHidden/>
    <w:rsid w:val="00812E67"/>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812E67"/>
    <w:pPr>
      <w:spacing w:after="120"/>
    </w:pPr>
    <w:rPr>
      <w:sz w:val="16"/>
      <w:szCs w:val="16"/>
    </w:rPr>
  </w:style>
  <w:style w:type="character" w:customStyle="1" w:styleId="BodyText3Char">
    <w:name w:val="Body Text 3 Char"/>
    <w:basedOn w:val="DefaultParagraphFont"/>
    <w:link w:val="BodyText3"/>
    <w:uiPriority w:val="99"/>
    <w:semiHidden/>
    <w:rsid w:val="00812E67"/>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812E67"/>
    <w:pPr>
      <w:spacing w:after="0"/>
      <w:ind w:firstLine="360"/>
    </w:pPr>
  </w:style>
  <w:style w:type="character" w:customStyle="1" w:styleId="BodyTextFirstIndentChar">
    <w:name w:val="Body Text First Indent Char"/>
    <w:basedOn w:val="BodyTextChar"/>
    <w:link w:val="BodyTextFirstIndent"/>
    <w:uiPriority w:val="99"/>
    <w:semiHidden/>
    <w:rsid w:val="00812E67"/>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812E67"/>
    <w:pPr>
      <w:spacing w:after="120"/>
      <w:ind w:left="360"/>
    </w:pPr>
  </w:style>
  <w:style w:type="character" w:customStyle="1" w:styleId="BodyTextIndentChar">
    <w:name w:val="Body Text Indent Char"/>
    <w:basedOn w:val="DefaultParagraphFont"/>
    <w:link w:val="BodyTextIndent"/>
    <w:uiPriority w:val="99"/>
    <w:semiHidden/>
    <w:rsid w:val="00812E67"/>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812E67"/>
    <w:pPr>
      <w:spacing w:after="0"/>
      <w:ind w:firstLine="360"/>
    </w:pPr>
  </w:style>
  <w:style w:type="character" w:customStyle="1" w:styleId="BodyTextFirstIndent2Char">
    <w:name w:val="Body Text First Indent 2 Char"/>
    <w:basedOn w:val="BodyTextIndentChar"/>
    <w:link w:val="BodyTextFirstIndent2"/>
    <w:uiPriority w:val="99"/>
    <w:semiHidden/>
    <w:rsid w:val="00812E67"/>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812E67"/>
    <w:pPr>
      <w:spacing w:after="120" w:line="480" w:lineRule="auto"/>
      <w:ind w:left="360"/>
    </w:pPr>
  </w:style>
  <w:style w:type="character" w:customStyle="1" w:styleId="BodyTextIndent2Char">
    <w:name w:val="Body Text Indent 2 Char"/>
    <w:basedOn w:val="DefaultParagraphFont"/>
    <w:link w:val="BodyTextIndent2"/>
    <w:uiPriority w:val="99"/>
    <w:semiHidden/>
    <w:rsid w:val="00812E67"/>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812E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E67"/>
    <w:rPr>
      <w:rFonts w:ascii="Times New Roman" w:hAnsi="Times New Roman" w:cs="Times New Roman"/>
      <w:sz w:val="16"/>
      <w:szCs w:val="16"/>
      <w:lang w:val="en-GB" w:eastAsia="ja-JP"/>
    </w:rPr>
  </w:style>
  <w:style w:type="character" w:styleId="BookTitle">
    <w:name w:val="Book Title"/>
    <w:basedOn w:val="DefaultParagraphFont"/>
    <w:uiPriority w:val="33"/>
    <w:rsid w:val="00812E67"/>
    <w:rPr>
      <w:b/>
      <w:bCs/>
      <w:i/>
      <w:iCs/>
      <w:spacing w:val="5"/>
    </w:rPr>
  </w:style>
  <w:style w:type="paragraph" w:styleId="Closing">
    <w:name w:val="Closing"/>
    <w:basedOn w:val="Normal"/>
    <w:link w:val="ClosingChar"/>
    <w:uiPriority w:val="99"/>
    <w:semiHidden/>
    <w:unhideWhenUsed/>
    <w:rsid w:val="00812E67"/>
    <w:pPr>
      <w:spacing w:before="0"/>
      <w:ind w:left="4320"/>
    </w:pPr>
  </w:style>
  <w:style w:type="character" w:customStyle="1" w:styleId="ClosingChar">
    <w:name w:val="Closing Char"/>
    <w:basedOn w:val="DefaultParagraphFont"/>
    <w:link w:val="Closing"/>
    <w:uiPriority w:val="99"/>
    <w:semiHidden/>
    <w:rsid w:val="00812E67"/>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812E67"/>
  </w:style>
  <w:style w:type="character" w:customStyle="1" w:styleId="DateChar">
    <w:name w:val="Date Char"/>
    <w:basedOn w:val="DefaultParagraphFont"/>
    <w:link w:val="Date"/>
    <w:uiPriority w:val="99"/>
    <w:semiHidden/>
    <w:rsid w:val="00812E67"/>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812E67"/>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2E67"/>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812E67"/>
    <w:pPr>
      <w:spacing w:before="0"/>
    </w:pPr>
  </w:style>
  <w:style w:type="character" w:customStyle="1" w:styleId="E-mailSignatureChar">
    <w:name w:val="E-mail Signature Char"/>
    <w:basedOn w:val="DefaultParagraphFont"/>
    <w:link w:val="E-mailSignature"/>
    <w:uiPriority w:val="99"/>
    <w:semiHidden/>
    <w:rsid w:val="00812E67"/>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812E67"/>
    <w:rPr>
      <w:vertAlign w:val="superscript"/>
    </w:rPr>
  </w:style>
  <w:style w:type="paragraph" w:styleId="EndnoteText">
    <w:name w:val="endnote text"/>
    <w:basedOn w:val="Normal"/>
    <w:link w:val="EndnoteTextChar"/>
    <w:uiPriority w:val="99"/>
    <w:semiHidden/>
    <w:unhideWhenUsed/>
    <w:rsid w:val="00812E67"/>
    <w:pPr>
      <w:spacing w:before="0"/>
    </w:pPr>
    <w:rPr>
      <w:sz w:val="20"/>
      <w:szCs w:val="20"/>
    </w:rPr>
  </w:style>
  <w:style w:type="character" w:customStyle="1" w:styleId="EndnoteTextChar">
    <w:name w:val="Endnote Text Char"/>
    <w:basedOn w:val="DefaultParagraphFont"/>
    <w:link w:val="EndnoteText"/>
    <w:uiPriority w:val="99"/>
    <w:semiHidden/>
    <w:rsid w:val="00812E67"/>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812E67"/>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12E67"/>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12E67"/>
    <w:rPr>
      <w:color w:val="954F72" w:themeColor="followedHyperlink"/>
      <w:u w:val="single"/>
    </w:rPr>
  </w:style>
  <w:style w:type="character" w:customStyle="1" w:styleId="Hashtag1">
    <w:name w:val="Hashtag1"/>
    <w:basedOn w:val="DefaultParagraphFont"/>
    <w:uiPriority w:val="99"/>
    <w:semiHidden/>
    <w:unhideWhenUsed/>
    <w:rsid w:val="00812E67"/>
    <w:rPr>
      <w:color w:val="2B579A"/>
      <w:shd w:val="clear" w:color="auto" w:fill="E1DFDD"/>
    </w:rPr>
  </w:style>
  <w:style w:type="character" w:styleId="HTMLAcronym">
    <w:name w:val="HTML Acronym"/>
    <w:basedOn w:val="DefaultParagraphFont"/>
    <w:uiPriority w:val="99"/>
    <w:semiHidden/>
    <w:unhideWhenUsed/>
    <w:rsid w:val="00812E67"/>
  </w:style>
  <w:style w:type="paragraph" w:styleId="HTMLAddress">
    <w:name w:val="HTML Address"/>
    <w:basedOn w:val="Normal"/>
    <w:link w:val="HTMLAddressChar"/>
    <w:uiPriority w:val="99"/>
    <w:semiHidden/>
    <w:unhideWhenUsed/>
    <w:rsid w:val="00812E67"/>
    <w:pPr>
      <w:spacing w:before="0"/>
    </w:pPr>
    <w:rPr>
      <w:i/>
      <w:iCs/>
    </w:rPr>
  </w:style>
  <w:style w:type="character" w:customStyle="1" w:styleId="HTMLAddressChar">
    <w:name w:val="HTML Address Char"/>
    <w:basedOn w:val="DefaultParagraphFont"/>
    <w:link w:val="HTMLAddress"/>
    <w:uiPriority w:val="99"/>
    <w:semiHidden/>
    <w:rsid w:val="00812E67"/>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812E67"/>
    <w:rPr>
      <w:i/>
      <w:iCs/>
    </w:rPr>
  </w:style>
  <w:style w:type="character" w:styleId="HTMLCode">
    <w:name w:val="HTML Code"/>
    <w:basedOn w:val="DefaultParagraphFont"/>
    <w:uiPriority w:val="99"/>
    <w:semiHidden/>
    <w:unhideWhenUsed/>
    <w:rsid w:val="00812E67"/>
    <w:rPr>
      <w:rFonts w:ascii="Consolas" w:hAnsi="Consolas"/>
      <w:sz w:val="20"/>
      <w:szCs w:val="20"/>
    </w:rPr>
  </w:style>
  <w:style w:type="character" w:styleId="HTMLDefinition">
    <w:name w:val="HTML Definition"/>
    <w:basedOn w:val="DefaultParagraphFont"/>
    <w:uiPriority w:val="99"/>
    <w:semiHidden/>
    <w:unhideWhenUsed/>
    <w:rsid w:val="00812E67"/>
    <w:rPr>
      <w:i/>
      <w:iCs/>
    </w:rPr>
  </w:style>
  <w:style w:type="character" w:styleId="HTMLKeyboard">
    <w:name w:val="HTML Keyboard"/>
    <w:basedOn w:val="DefaultParagraphFont"/>
    <w:uiPriority w:val="99"/>
    <w:semiHidden/>
    <w:unhideWhenUsed/>
    <w:rsid w:val="00812E67"/>
    <w:rPr>
      <w:rFonts w:ascii="Consolas" w:hAnsi="Consolas"/>
      <w:sz w:val="20"/>
      <w:szCs w:val="20"/>
    </w:rPr>
  </w:style>
  <w:style w:type="paragraph" w:styleId="HTMLPreformatted">
    <w:name w:val="HTML Preformatted"/>
    <w:basedOn w:val="Normal"/>
    <w:link w:val="HTMLPreformattedChar"/>
    <w:uiPriority w:val="99"/>
    <w:semiHidden/>
    <w:unhideWhenUsed/>
    <w:rsid w:val="00812E67"/>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2E67"/>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812E67"/>
    <w:rPr>
      <w:rFonts w:ascii="Consolas" w:hAnsi="Consolas"/>
      <w:sz w:val="24"/>
      <w:szCs w:val="24"/>
    </w:rPr>
  </w:style>
  <w:style w:type="character" w:styleId="HTMLTypewriter">
    <w:name w:val="HTML Typewriter"/>
    <w:basedOn w:val="DefaultParagraphFont"/>
    <w:uiPriority w:val="99"/>
    <w:semiHidden/>
    <w:unhideWhenUsed/>
    <w:rsid w:val="00812E67"/>
    <w:rPr>
      <w:rFonts w:ascii="Consolas" w:hAnsi="Consolas"/>
      <w:sz w:val="20"/>
      <w:szCs w:val="20"/>
    </w:rPr>
  </w:style>
  <w:style w:type="character" w:styleId="HTMLVariable">
    <w:name w:val="HTML Variable"/>
    <w:basedOn w:val="DefaultParagraphFont"/>
    <w:uiPriority w:val="99"/>
    <w:semiHidden/>
    <w:unhideWhenUsed/>
    <w:rsid w:val="00812E67"/>
    <w:rPr>
      <w:i/>
      <w:iCs/>
    </w:rPr>
  </w:style>
  <w:style w:type="paragraph" w:styleId="Index1">
    <w:name w:val="index 1"/>
    <w:basedOn w:val="Normal"/>
    <w:next w:val="Normal"/>
    <w:autoRedefine/>
    <w:uiPriority w:val="99"/>
    <w:semiHidden/>
    <w:unhideWhenUsed/>
    <w:rsid w:val="00812E67"/>
    <w:pPr>
      <w:spacing w:before="0"/>
      <w:ind w:left="240" w:hanging="240"/>
    </w:pPr>
  </w:style>
  <w:style w:type="paragraph" w:styleId="Index2">
    <w:name w:val="index 2"/>
    <w:basedOn w:val="Normal"/>
    <w:next w:val="Normal"/>
    <w:autoRedefine/>
    <w:uiPriority w:val="99"/>
    <w:semiHidden/>
    <w:unhideWhenUsed/>
    <w:rsid w:val="00812E67"/>
    <w:pPr>
      <w:spacing w:before="0"/>
      <w:ind w:left="480" w:hanging="240"/>
    </w:pPr>
  </w:style>
  <w:style w:type="paragraph" w:styleId="Index3">
    <w:name w:val="index 3"/>
    <w:basedOn w:val="Normal"/>
    <w:next w:val="Normal"/>
    <w:autoRedefine/>
    <w:uiPriority w:val="99"/>
    <w:semiHidden/>
    <w:unhideWhenUsed/>
    <w:rsid w:val="00812E67"/>
    <w:pPr>
      <w:spacing w:before="0"/>
      <w:ind w:left="720" w:hanging="240"/>
    </w:pPr>
  </w:style>
  <w:style w:type="paragraph" w:styleId="Index4">
    <w:name w:val="index 4"/>
    <w:basedOn w:val="Normal"/>
    <w:next w:val="Normal"/>
    <w:autoRedefine/>
    <w:uiPriority w:val="99"/>
    <w:semiHidden/>
    <w:unhideWhenUsed/>
    <w:rsid w:val="00812E67"/>
    <w:pPr>
      <w:spacing w:before="0"/>
      <w:ind w:left="960" w:hanging="240"/>
    </w:pPr>
  </w:style>
  <w:style w:type="paragraph" w:styleId="Index5">
    <w:name w:val="index 5"/>
    <w:basedOn w:val="Normal"/>
    <w:next w:val="Normal"/>
    <w:autoRedefine/>
    <w:uiPriority w:val="99"/>
    <w:semiHidden/>
    <w:unhideWhenUsed/>
    <w:rsid w:val="00812E67"/>
    <w:pPr>
      <w:spacing w:before="0"/>
      <w:ind w:left="1200" w:hanging="240"/>
    </w:pPr>
  </w:style>
  <w:style w:type="paragraph" w:styleId="Index6">
    <w:name w:val="index 6"/>
    <w:basedOn w:val="Normal"/>
    <w:next w:val="Normal"/>
    <w:autoRedefine/>
    <w:uiPriority w:val="99"/>
    <w:semiHidden/>
    <w:unhideWhenUsed/>
    <w:rsid w:val="00812E67"/>
    <w:pPr>
      <w:spacing w:before="0"/>
      <w:ind w:left="1440" w:hanging="240"/>
    </w:pPr>
  </w:style>
  <w:style w:type="paragraph" w:styleId="Index7">
    <w:name w:val="index 7"/>
    <w:basedOn w:val="Normal"/>
    <w:next w:val="Normal"/>
    <w:autoRedefine/>
    <w:uiPriority w:val="99"/>
    <w:semiHidden/>
    <w:unhideWhenUsed/>
    <w:rsid w:val="00812E67"/>
    <w:pPr>
      <w:spacing w:before="0"/>
      <w:ind w:left="1680" w:hanging="240"/>
    </w:pPr>
  </w:style>
  <w:style w:type="paragraph" w:styleId="Index8">
    <w:name w:val="index 8"/>
    <w:basedOn w:val="Normal"/>
    <w:next w:val="Normal"/>
    <w:autoRedefine/>
    <w:uiPriority w:val="99"/>
    <w:semiHidden/>
    <w:unhideWhenUsed/>
    <w:rsid w:val="00812E67"/>
    <w:pPr>
      <w:spacing w:before="0"/>
      <w:ind w:left="1920" w:hanging="240"/>
    </w:pPr>
  </w:style>
  <w:style w:type="paragraph" w:styleId="Index9">
    <w:name w:val="index 9"/>
    <w:basedOn w:val="Normal"/>
    <w:next w:val="Normal"/>
    <w:autoRedefine/>
    <w:uiPriority w:val="99"/>
    <w:semiHidden/>
    <w:unhideWhenUsed/>
    <w:rsid w:val="00812E67"/>
    <w:pPr>
      <w:spacing w:before="0"/>
      <w:ind w:left="2160" w:hanging="240"/>
    </w:pPr>
  </w:style>
  <w:style w:type="paragraph" w:styleId="IndexHeading">
    <w:name w:val="index heading"/>
    <w:basedOn w:val="Normal"/>
    <w:next w:val="Index1"/>
    <w:uiPriority w:val="99"/>
    <w:semiHidden/>
    <w:unhideWhenUsed/>
    <w:rsid w:val="00812E67"/>
    <w:rPr>
      <w:rFonts w:asciiTheme="majorHAnsi" w:eastAsiaTheme="majorEastAsia" w:hAnsiTheme="majorHAnsi" w:cstheme="majorBidi"/>
      <w:b/>
      <w:bCs/>
    </w:rPr>
  </w:style>
  <w:style w:type="character" w:styleId="IntenseEmphasis">
    <w:name w:val="Intense Emphasis"/>
    <w:basedOn w:val="DefaultParagraphFont"/>
    <w:uiPriority w:val="21"/>
    <w:rsid w:val="00812E67"/>
    <w:rPr>
      <w:i/>
      <w:iCs/>
      <w:color w:val="5B9BD5" w:themeColor="accent1"/>
    </w:rPr>
  </w:style>
  <w:style w:type="paragraph" w:styleId="IntenseQuote">
    <w:name w:val="Intense Quote"/>
    <w:basedOn w:val="Normal"/>
    <w:next w:val="Normal"/>
    <w:link w:val="IntenseQuoteChar"/>
    <w:uiPriority w:val="30"/>
    <w:rsid w:val="00812E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2E67"/>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812E67"/>
    <w:rPr>
      <w:b/>
      <w:bCs/>
      <w:smallCaps/>
      <w:color w:val="5B9BD5" w:themeColor="accent1"/>
      <w:spacing w:val="5"/>
    </w:rPr>
  </w:style>
  <w:style w:type="character" w:styleId="LineNumber">
    <w:name w:val="line number"/>
    <w:basedOn w:val="DefaultParagraphFont"/>
    <w:uiPriority w:val="99"/>
    <w:semiHidden/>
    <w:unhideWhenUsed/>
    <w:rsid w:val="00812E67"/>
  </w:style>
  <w:style w:type="paragraph" w:styleId="List">
    <w:name w:val="List"/>
    <w:basedOn w:val="Normal"/>
    <w:uiPriority w:val="99"/>
    <w:semiHidden/>
    <w:unhideWhenUsed/>
    <w:rsid w:val="00812E67"/>
    <w:pPr>
      <w:ind w:left="360" w:hanging="360"/>
      <w:contextualSpacing/>
    </w:pPr>
  </w:style>
  <w:style w:type="paragraph" w:styleId="List2">
    <w:name w:val="List 2"/>
    <w:basedOn w:val="Normal"/>
    <w:uiPriority w:val="99"/>
    <w:semiHidden/>
    <w:unhideWhenUsed/>
    <w:rsid w:val="00812E67"/>
    <w:pPr>
      <w:ind w:left="720" w:hanging="360"/>
      <w:contextualSpacing/>
    </w:pPr>
  </w:style>
  <w:style w:type="paragraph" w:styleId="List3">
    <w:name w:val="List 3"/>
    <w:basedOn w:val="Normal"/>
    <w:uiPriority w:val="99"/>
    <w:semiHidden/>
    <w:unhideWhenUsed/>
    <w:rsid w:val="00812E67"/>
    <w:pPr>
      <w:ind w:left="1080" w:hanging="360"/>
      <w:contextualSpacing/>
    </w:pPr>
  </w:style>
  <w:style w:type="paragraph" w:styleId="List4">
    <w:name w:val="List 4"/>
    <w:basedOn w:val="Normal"/>
    <w:uiPriority w:val="99"/>
    <w:semiHidden/>
    <w:unhideWhenUsed/>
    <w:rsid w:val="00812E67"/>
    <w:pPr>
      <w:ind w:left="1440" w:hanging="360"/>
      <w:contextualSpacing/>
    </w:pPr>
  </w:style>
  <w:style w:type="paragraph" w:styleId="List5">
    <w:name w:val="List 5"/>
    <w:basedOn w:val="Normal"/>
    <w:uiPriority w:val="99"/>
    <w:semiHidden/>
    <w:unhideWhenUsed/>
    <w:rsid w:val="00812E67"/>
    <w:pPr>
      <w:ind w:left="1800" w:hanging="360"/>
      <w:contextualSpacing/>
    </w:pPr>
  </w:style>
  <w:style w:type="paragraph" w:styleId="ListBullet">
    <w:name w:val="List Bullet"/>
    <w:basedOn w:val="Normal"/>
    <w:uiPriority w:val="99"/>
    <w:semiHidden/>
    <w:unhideWhenUsed/>
    <w:rsid w:val="00812E67"/>
    <w:pPr>
      <w:numPr>
        <w:numId w:val="1"/>
      </w:numPr>
      <w:contextualSpacing/>
    </w:pPr>
  </w:style>
  <w:style w:type="paragraph" w:styleId="ListBullet2">
    <w:name w:val="List Bullet 2"/>
    <w:basedOn w:val="Normal"/>
    <w:uiPriority w:val="99"/>
    <w:semiHidden/>
    <w:unhideWhenUsed/>
    <w:rsid w:val="00812E67"/>
    <w:pPr>
      <w:numPr>
        <w:numId w:val="2"/>
      </w:numPr>
      <w:contextualSpacing/>
    </w:pPr>
  </w:style>
  <w:style w:type="paragraph" w:styleId="ListBullet3">
    <w:name w:val="List Bullet 3"/>
    <w:basedOn w:val="Normal"/>
    <w:uiPriority w:val="99"/>
    <w:semiHidden/>
    <w:unhideWhenUsed/>
    <w:rsid w:val="00812E67"/>
    <w:pPr>
      <w:numPr>
        <w:numId w:val="3"/>
      </w:numPr>
      <w:contextualSpacing/>
    </w:pPr>
  </w:style>
  <w:style w:type="paragraph" w:styleId="ListBullet4">
    <w:name w:val="List Bullet 4"/>
    <w:basedOn w:val="Normal"/>
    <w:uiPriority w:val="99"/>
    <w:semiHidden/>
    <w:unhideWhenUsed/>
    <w:rsid w:val="00812E67"/>
    <w:pPr>
      <w:numPr>
        <w:numId w:val="4"/>
      </w:numPr>
      <w:contextualSpacing/>
    </w:pPr>
  </w:style>
  <w:style w:type="paragraph" w:styleId="ListBullet5">
    <w:name w:val="List Bullet 5"/>
    <w:basedOn w:val="Normal"/>
    <w:uiPriority w:val="99"/>
    <w:semiHidden/>
    <w:unhideWhenUsed/>
    <w:rsid w:val="00812E67"/>
    <w:pPr>
      <w:numPr>
        <w:numId w:val="5"/>
      </w:numPr>
      <w:contextualSpacing/>
    </w:pPr>
  </w:style>
  <w:style w:type="paragraph" w:styleId="ListContinue">
    <w:name w:val="List Continue"/>
    <w:basedOn w:val="Normal"/>
    <w:uiPriority w:val="99"/>
    <w:semiHidden/>
    <w:unhideWhenUsed/>
    <w:rsid w:val="00812E67"/>
    <w:pPr>
      <w:spacing w:after="120"/>
      <w:ind w:left="360"/>
      <w:contextualSpacing/>
    </w:pPr>
  </w:style>
  <w:style w:type="paragraph" w:styleId="ListContinue2">
    <w:name w:val="List Continue 2"/>
    <w:basedOn w:val="Normal"/>
    <w:uiPriority w:val="99"/>
    <w:semiHidden/>
    <w:unhideWhenUsed/>
    <w:rsid w:val="00812E67"/>
    <w:pPr>
      <w:spacing w:after="120"/>
      <w:ind w:left="720"/>
      <w:contextualSpacing/>
    </w:pPr>
  </w:style>
  <w:style w:type="paragraph" w:styleId="ListContinue3">
    <w:name w:val="List Continue 3"/>
    <w:basedOn w:val="Normal"/>
    <w:uiPriority w:val="99"/>
    <w:semiHidden/>
    <w:unhideWhenUsed/>
    <w:rsid w:val="00812E67"/>
    <w:pPr>
      <w:spacing w:after="120"/>
      <w:ind w:left="1080"/>
      <w:contextualSpacing/>
    </w:pPr>
  </w:style>
  <w:style w:type="paragraph" w:styleId="ListContinue4">
    <w:name w:val="List Continue 4"/>
    <w:basedOn w:val="Normal"/>
    <w:uiPriority w:val="99"/>
    <w:semiHidden/>
    <w:unhideWhenUsed/>
    <w:rsid w:val="00812E67"/>
    <w:pPr>
      <w:spacing w:after="120"/>
      <w:ind w:left="1440"/>
      <w:contextualSpacing/>
    </w:pPr>
  </w:style>
  <w:style w:type="paragraph" w:styleId="ListContinue5">
    <w:name w:val="List Continue 5"/>
    <w:basedOn w:val="Normal"/>
    <w:uiPriority w:val="99"/>
    <w:semiHidden/>
    <w:unhideWhenUsed/>
    <w:rsid w:val="00812E67"/>
    <w:pPr>
      <w:spacing w:after="120"/>
      <w:ind w:left="1800"/>
      <w:contextualSpacing/>
    </w:pPr>
  </w:style>
  <w:style w:type="paragraph" w:styleId="ListNumber">
    <w:name w:val="List Number"/>
    <w:basedOn w:val="Normal"/>
    <w:uiPriority w:val="99"/>
    <w:semiHidden/>
    <w:unhideWhenUsed/>
    <w:rsid w:val="00812E67"/>
    <w:pPr>
      <w:numPr>
        <w:numId w:val="6"/>
      </w:numPr>
      <w:contextualSpacing/>
    </w:pPr>
  </w:style>
  <w:style w:type="paragraph" w:styleId="ListNumber2">
    <w:name w:val="List Number 2"/>
    <w:basedOn w:val="Normal"/>
    <w:uiPriority w:val="99"/>
    <w:semiHidden/>
    <w:unhideWhenUsed/>
    <w:rsid w:val="00812E67"/>
    <w:pPr>
      <w:numPr>
        <w:numId w:val="7"/>
      </w:numPr>
      <w:contextualSpacing/>
    </w:pPr>
  </w:style>
  <w:style w:type="paragraph" w:styleId="ListNumber3">
    <w:name w:val="List Number 3"/>
    <w:basedOn w:val="Normal"/>
    <w:uiPriority w:val="99"/>
    <w:semiHidden/>
    <w:unhideWhenUsed/>
    <w:rsid w:val="00812E67"/>
    <w:pPr>
      <w:numPr>
        <w:numId w:val="8"/>
      </w:numPr>
      <w:contextualSpacing/>
    </w:pPr>
  </w:style>
  <w:style w:type="paragraph" w:styleId="ListNumber4">
    <w:name w:val="List Number 4"/>
    <w:basedOn w:val="Normal"/>
    <w:uiPriority w:val="99"/>
    <w:semiHidden/>
    <w:unhideWhenUsed/>
    <w:rsid w:val="00812E67"/>
    <w:pPr>
      <w:numPr>
        <w:numId w:val="9"/>
      </w:numPr>
      <w:contextualSpacing/>
    </w:pPr>
  </w:style>
  <w:style w:type="paragraph" w:styleId="ListNumber5">
    <w:name w:val="List Number 5"/>
    <w:basedOn w:val="Normal"/>
    <w:uiPriority w:val="99"/>
    <w:semiHidden/>
    <w:unhideWhenUsed/>
    <w:rsid w:val="00812E67"/>
    <w:pPr>
      <w:numPr>
        <w:numId w:val="10"/>
      </w:numPr>
      <w:contextualSpacing/>
    </w:pPr>
  </w:style>
  <w:style w:type="paragraph" w:styleId="ListParagraph">
    <w:name w:val="List Paragraph"/>
    <w:basedOn w:val="Normal"/>
    <w:uiPriority w:val="34"/>
    <w:rsid w:val="00812E67"/>
    <w:pPr>
      <w:ind w:left="720"/>
      <w:contextualSpacing/>
    </w:pPr>
  </w:style>
  <w:style w:type="paragraph" w:styleId="MacroText">
    <w:name w:val="macro"/>
    <w:link w:val="MacroTextChar"/>
    <w:uiPriority w:val="99"/>
    <w:semiHidden/>
    <w:unhideWhenUsed/>
    <w:rsid w:val="00812E67"/>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812E67"/>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812E67"/>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12E6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812E67"/>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812E67"/>
  </w:style>
  <w:style w:type="paragraph" w:styleId="NormalIndent">
    <w:name w:val="Normal Indent"/>
    <w:basedOn w:val="Normal"/>
    <w:uiPriority w:val="99"/>
    <w:semiHidden/>
    <w:unhideWhenUsed/>
    <w:rsid w:val="00812E67"/>
    <w:pPr>
      <w:ind w:left="720"/>
    </w:pPr>
  </w:style>
  <w:style w:type="paragraph" w:styleId="NoteHeading">
    <w:name w:val="Note Heading"/>
    <w:basedOn w:val="Normal"/>
    <w:next w:val="Normal"/>
    <w:link w:val="NoteHeadingChar"/>
    <w:uiPriority w:val="99"/>
    <w:semiHidden/>
    <w:unhideWhenUsed/>
    <w:rsid w:val="00812E67"/>
    <w:pPr>
      <w:spacing w:before="0"/>
    </w:pPr>
  </w:style>
  <w:style w:type="character" w:customStyle="1" w:styleId="NoteHeadingChar">
    <w:name w:val="Note Heading Char"/>
    <w:basedOn w:val="DefaultParagraphFont"/>
    <w:link w:val="NoteHeading"/>
    <w:uiPriority w:val="99"/>
    <w:semiHidden/>
    <w:rsid w:val="00812E67"/>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812E67"/>
  </w:style>
  <w:style w:type="paragraph" w:styleId="PlainText">
    <w:name w:val="Plain Text"/>
    <w:basedOn w:val="Normal"/>
    <w:link w:val="PlainTextChar"/>
    <w:uiPriority w:val="99"/>
    <w:semiHidden/>
    <w:unhideWhenUsed/>
    <w:rsid w:val="00812E67"/>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812E67"/>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812E67"/>
  </w:style>
  <w:style w:type="character" w:customStyle="1" w:styleId="SalutationChar">
    <w:name w:val="Salutation Char"/>
    <w:basedOn w:val="DefaultParagraphFont"/>
    <w:link w:val="Salutation"/>
    <w:uiPriority w:val="99"/>
    <w:semiHidden/>
    <w:rsid w:val="00812E67"/>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812E67"/>
    <w:pPr>
      <w:spacing w:before="0"/>
      <w:ind w:left="4320"/>
    </w:pPr>
  </w:style>
  <w:style w:type="character" w:customStyle="1" w:styleId="SignatureChar">
    <w:name w:val="Signature Char"/>
    <w:basedOn w:val="DefaultParagraphFont"/>
    <w:link w:val="Signature"/>
    <w:uiPriority w:val="99"/>
    <w:semiHidden/>
    <w:rsid w:val="00812E67"/>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812E67"/>
    <w:rPr>
      <w:u w:val="dotted"/>
    </w:rPr>
  </w:style>
  <w:style w:type="character" w:customStyle="1" w:styleId="SmartLink1">
    <w:name w:val="SmartLink1"/>
    <w:basedOn w:val="DefaultParagraphFont"/>
    <w:uiPriority w:val="99"/>
    <w:semiHidden/>
    <w:unhideWhenUsed/>
    <w:rsid w:val="00812E67"/>
    <w:rPr>
      <w:color w:val="0000FF"/>
      <w:u w:val="single"/>
      <w:shd w:val="clear" w:color="auto" w:fill="F3F2F1"/>
    </w:rPr>
  </w:style>
  <w:style w:type="character" w:styleId="SubtleEmphasis">
    <w:name w:val="Subtle Emphasis"/>
    <w:basedOn w:val="DefaultParagraphFont"/>
    <w:uiPriority w:val="19"/>
    <w:rsid w:val="00812E67"/>
    <w:rPr>
      <w:i/>
      <w:iCs/>
      <w:color w:val="404040" w:themeColor="text1" w:themeTint="BF"/>
    </w:rPr>
  </w:style>
  <w:style w:type="character" w:styleId="SubtleReference">
    <w:name w:val="Subtle Reference"/>
    <w:basedOn w:val="DefaultParagraphFont"/>
    <w:uiPriority w:val="31"/>
    <w:rsid w:val="00812E67"/>
    <w:rPr>
      <w:smallCaps/>
      <w:color w:val="5A5A5A" w:themeColor="text1" w:themeTint="A5"/>
    </w:rPr>
  </w:style>
  <w:style w:type="paragraph" w:styleId="TableofAuthorities">
    <w:name w:val="table of authorities"/>
    <w:basedOn w:val="Normal"/>
    <w:next w:val="Normal"/>
    <w:uiPriority w:val="99"/>
    <w:semiHidden/>
    <w:unhideWhenUsed/>
    <w:rsid w:val="00812E67"/>
    <w:pPr>
      <w:ind w:left="240" w:hanging="240"/>
    </w:pPr>
  </w:style>
  <w:style w:type="paragraph" w:styleId="Title">
    <w:name w:val="Title"/>
    <w:basedOn w:val="Normal"/>
    <w:next w:val="Normal"/>
    <w:link w:val="TitleChar"/>
    <w:uiPriority w:val="10"/>
    <w:rsid w:val="00812E6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6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812E67"/>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812E67"/>
    <w:pPr>
      <w:spacing w:after="100"/>
      <w:ind w:left="720"/>
    </w:pPr>
  </w:style>
  <w:style w:type="paragraph" w:styleId="TOC5">
    <w:name w:val="toc 5"/>
    <w:basedOn w:val="Normal"/>
    <w:next w:val="Normal"/>
    <w:autoRedefine/>
    <w:uiPriority w:val="39"/>
    <w:semiHidden/>
    <w:unhideWhenUsed/>
    <w:rsid w:val="00812E67"/>
    <w:pPr>
      <w:spacing w:after="100"/>
      <w:ind w:left="960"/>
    </w:pPr>
  </w:style>
  <w:style w:type="paragraph" w:styleId="TOC6">
    <w:name w:val="toc 6"/>
    <w:basedOn w:val="Normal"/>
    <w:next w:val="Normal"/>
    <w:autoRedefine/>
    <w:uiPriority w:val="39"/>
    <w:semiHidden/>
    <w:unhideWhenUsed/>
    <w:rsid w:val="00812E67"/>
    <w:pPr>
      <w:spacing w:after="100"/>
      <w:ind w:left="1200"/>
    </w:pPr>
  </w:style>
  <w:style w:type="paragraph" w:styleId="TOC7">
    <w:name w:val="toc 7"/>
    <w:basedOn w:val="Normal"/>
    <w:next w:val="Normal"/>
    <w:autoRedefine/>
    <w:uiPriority w:val="39"/>
    <w:semiHidden/>
    <w:unhideWhenUsed/>
    <w:rsid w:val="00812E67"/>
    <w:pPr>
      <w:spacing w:after="100"/>
      <w:ind w:left="1440"/>
    </w:pPr>
  </w:style>
  <w:style w:type="paragraph" w:styleId="TOC8">
    <w:name w:val="toc 8"/>
    <w:basedOn w:val="Normal"/>
    <w:next w:val="Normal"/>
    <w:autoRedefine/>
    <w:uiPriority w:val="39"/>
    <w:semiHidden/>
    <w:unhideWhenUsed/>
    <w:rsid w:val="00812E67"/>
    <w:pPr>
      <w:spacing w:after="100"/>
      <w:ind w:left="1680"/>
    </w:pPr>
  </w:style>
  <w:style w:type="paragraph" w:styleId="TOC9">
    <w:name w:val="toc 9"/>
    <w:basedOn w:val="Normal"/>
    <w:next w:val="Normal"/>
    <w:autoRedefine/>
    <w:uiPriority w:val="39"/>
    <w:semiHidden/>
    <w:unhideWhenUsed/>
    <w:rsid w:val="00812E67"/>
    <w:pPr>
      <w:spacing w:after="100"/>
      <w:ind w:left="1920"/>
    </w:pPr>
  </w:style>
  <w:style w:type="paragraph" w:styleId="TOCHeading">
    <w:name w:val="TOC Heading"/>
    <w:basedOn w:val="Heading1"/>
    <w:next w:val="Normal"/>
    <w:uiPriority w:val="39"/>
    <w:semiHidden/>
    <w:unhideWhenUsed/>
    <w:rsid w:val="00812E67"/>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qFormat/>
    <w:rsid w:val="00900EF1"/>
  </w:style>
  <w:style w:type="paragraph" w:customStyle="1" w:styleId="TSBHeaderSource">
    <w:name w:val="TSBHeaderSource"/>
    <w:basedOn w:val="Normal"/>
    <w:qFormat/>
    <w:rsid w:val="00900EF1"/>
  </w:style>
  <w:style w:type="paragraph" w:customStyle="1" w:styleId="TSBHeaderTitle">
    <w:name w:val="TSBHeaderTitle"/>
    <w:basedOn w:val="Normal"/>
    <w:qFormat/>
    <w:rsid w:val="00900EF1"/>
  </w:style>
  <w:style w:type="paragraph" w:customStyle="1" w:styleId="TSBHeaderSummary">
    <w:name w:val="TSBHeaderSummary"/>
    <w:basedOn w:val="Normal"/>
    <w:rsid w:val="00900EF1"/>
  </w:style>
  <w:style w:type="paragraph" w:customStyle="1" w:styleId="LSApproval">
    <w:name w:val="LSApproval"/>
    <w:basedOn w:val="Normal"/>
    <w:rsid w:val="00A907B3"/>
    <w:rPr>
      <w:bCs/>
    </w:rPr>
  </w:style>
  <w:style w:type="paragraph" w:customStyle="1" w:styleId="TSBHeaderRight14">
    <w:name w:val="TSBHeaderRight14"/>
    <w:basedOn w:val="Normal"/>
    <w:qFormat/>
    <w:rsid w:val="00FE1AF2"/>
    <w:pPr>
      <w:jc w:val="right"/>
    </w:pPr>
    <w:rPr>
      <w:b/>
      <w:bCs/>
      <w:sz w:val="28"/>
      <w:szCs w:val="28"/>
    </w:rPr>
  </w:style>
  <w:style w:type="character" w:styleId="UnresolvedMention">
    <w:name w:val="Unresolved Mention"/>
    <w:basedOn w:val="DefaultParagraphFont"/>
    <w:uiPriority w:val="99"/>
    <w:semiHidden/>
    <w:unhideWhenUsed/>
    <w:rsid w:val="00FD1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85452">
      <w:bodyDiv w:val="1"/>
      <w:marLeft w:val="0"/>
      <w:marRight w:val="0"/>
      <w:marTop w:val="0"/>
      <w:marBottom w:val="0"/>
      <w:divBdr>
        <w:top w:val="none" w:sz="0" w:space="0" w:color="auto"/>
        <w:left w:val="none" w:sz="0" w:space="0" w:color="auto"/>
        <w:bottom w:val="none" w:sz="0" w:space="0" w:color="auto"/>
        <w:right w:val="none" w:sz="0" w:space="0" w:color="auto"/>
      </w:divBdr>
    </w:div>
    <w:div w:id="777334892">
      <w:bodyDiv w:val="1"/>
      <w:marLeft w:val="0"/>
      <w:marRight w:val="0"/>
      <w:marTop w:val="0"/>
      <w:marBottom w:val="0"/>
      <w:divBdr>
        <w:top w:val="none" w:sz="0" w:space="0" w:color="auto"/>
        <w:left w:val="none" w:sz="0" w:space="0" w:color="auto"/>
        <w:bottom w:val="none" w:sz="0" w:space="0" w:color="auto"/>
        <w:right w:val="none" w:sz="0" w:space="0" w:color="auto"/>
      </w:divBdr>
    </w:div>
    <w:div w:id="15758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ns@etri.re.kr" TargetMode="External"/><Relationship Id="rId18" Type="http://schemas.openxmlformats.org/officeDocument/2006/relationships/hyperlink" Target="https://www.itu.int/rec/T-REC-Y.Sup77-202309-I" TargetMode="External"/><Relationship Id="rId26" Type="http://schemas.openxmlformats.org/officeDocument/2006/relationships/hyperlink" Target="https://www.itu.int/cities/publications/" TargetMode="External"/><Relationship Id="rId3" Type="http://schemas.openxmlformats.org/officeDocument/2006/relationships/customXml" Target="../customXml/item3.xml"/><Relationship Id="rId21" Type="http://schemas.openxmlformats.org/officeDocument/2006/relationships/hyperlink" Target="https://www.itu.int/rec/T-REC-Y.Sup83-202407-I"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khj@etri.re.kr" TargetMode="External"/><Relationship Id="rId17" Type="http://schemas.openxmlformats.org/officeDocument/2006/relationships/hyperlink" Target="https://www.itu.int/rec/T-REC-Y.4906-201907-I" TargetMode="External"/><Relationship Id="rId25" Type="http://schemas.openxmlformats.org/officeDocument/2006/relationships/hyperlink" Target="https://www.itu.int/cities/dt-resource-hu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rec/T-REC-Y.Sup52-201812-I" TargetMode="External"/><Relationship Id="rId20" Type="http://schemas.openxmlformats.org/officeDocument/2006/relationships/hyperlink" Target="https://www.itu.int/rec/T-REC-Y.4228" TargetMode="External"/><Relationship Id="rId29" Type="http://schemas.openxmlformats.org/officeDocument/2006/relationships/hyperlink" Target="https://u4ssc.itu.int/u4ssc-kp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fa/t/2025/ls/sg20/sp18-sg20-00080.docx" TargetMode="External"/><Relationship Id="rId24" Type="http://schemas.openxmlformats.org/officeDocument/2006/relationships/hyperlink" Target="https://www.itu.int/cities/digitaltransformationdialogues/" TargetMode="External"/><Relationship Id="rId32" Type="http://schemas.openxmlformats.org/officeDocument/2006/relationships/hyperlink" Target="https://www.itu.int/un-virtual-worlds-day/"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itu.int/myworkspace/" TargetMode="External"/><Relationship Id="rId28" Type="http://schemas.openxmlformats.org/officeDocument/2006/relationships/hyperlink" Target="https://u4ssc.itu.int/" TargetMode="External"/><Relationship Id="rId10" Type="http://schemas.openxmlformats.org/officeDocument/2006/relationships/image" Target="media/image1.png"/><Relationship Id="rId19" Type="http://schemas.openxmlformats.org/officeDocument/2006/relationships/hyperlink" Target="https://www.itu.int/rec/T-REC-Y.4910" TargetMode="External"/><Relationship Id="rId31" Type="http://schemas.openxmlformats.org/officeDocument/2006/relationships/hyperlink" Target="https://www.itu.int/metaverse/virtual-worl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andle.itu.int/11.1002/ls/sp18-tsag-oLS-00007.docx" TargetMode="External"/><Relationship Id="rId22" Type="http://schemas.openxmlformats.org/officeDocument/2006/relationships/hyperlink" Target="https://www.itu.int/myworkspace/" TargetMode="External"/><Relationship Id="rId27" Type="http://schemas.openxmlformats.org/officeDocument/2006/relationships/hyperlink" Target="https://www.itu.int/cities/dt-digest/" TargetMode="External"/><Relationship Id="rId30" Type="http://schemas.openxmlformats.org/officeDocument/2006/relationships/hyperlink" Target="https://toolkit-dt4c.itu.int/" TargetMode="Externa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Liaison_Stat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CDE41495441EEA81F4E237D1416D9"/>
        <w:category>
          <w:name w:val="일반"/>
          <w:gallery w:val="placeholder"/>
        </w:category>
        <w:types>
          <w:type w:val="bbPlcHdr"/>
        </w:types>
        <w:behaviors>
          <w:behavior w:val="content"/>
        </w:behaviors>
        <w:guid w:val="{0A47FA12-A5EB-40EE-A4C1-53FD24CCC594}"/>
      </w:docPartPr>
      <w:docPartBody>
        <w:p w:rsidR="006F5F20" w:rsidRDefault="00D41003" w:rsidP="00D41003">
          <w:pPr>
            <w:pStyle w:val="774CDE41495441EEA81F4E237D1416D9"/>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00"/>
  <w:hyphenationZone w:val="42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003"/>
    <w:rsid w:val="000E4756"/>
    <w:rsid w:val="0010360A"/>
    <w:rsid w:val="001C7DA6"/>
    <w:rsid w:val="001F1D31"/>
    <w:rsid w:val="0022071A"/>
    <w:rsid w:val="00230CC0"/>
    <w:rsid w:val="00244020"/>
    <w:rsid w:val="003011DC"/>
    <w:rsid w:val="00460F8F"/>
    <w:rsid w:val="00674F6E"/>
    <w:rsid w:val="006F5F20"/>
    <w:rsid w:val="007057E6"/>
    <w:rsid w:val="00764C00"/>
    <w:rsid w:val="00947E8F"/>
    <w:rsid w:val="00B02530"/>
    <w:rsid w:val="00D41003"/>
    <w:rsid w:val="00FC071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003"/>
  </w:style>
  <w:style w:type="paragraph" w:customStyle="1" w:styleId="774CDE41495441EEA81F4E237D1416D9">
    <w:name w:val="774CDE41495441EEA81F4E237D1416D9"/>
    <w:rsid w:val="00D41003"/>
    <w:pPr>
      <w:widowControl w:val="0"/>
      <w:wordWrap w:val="0"/>
      <w:autoSpaceDE w:val="0"/>
      <w:autoSpaceDN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6" ma:contentTypeDescription="Create a new document." ma:contentTypeScope="" ma:versionID="61203772e0e5def7977041631e408f5d">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d4beec131a71f89019342c34d48b34a6"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Props1.xml><?xml version="1.0" encoding="utf-8"?>
<ds:datastoreItem xmlns:ds="http://schemas.openxmlformats.org/officeDocument/2006/customXml" ds:itemID="{88BA40D2-BA2C-4BAE-A5C8-40089AF5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 ds:uri="ac5439de-9cc5-4e90-8e70-2953ebc9e111"/>
    <ds:schemaRef ds:uri="679e6f32-35e2-40a7-b746-37bf0ed22ca1"/>
  </ds:schemaRefs>
</ds:datastoreItem>
</file>

<file path=docProps/app.xml><?xml version="1.0" encoding="utf-8"?>
<Properties xmlns="http://schemas.openxmlformats.org/officeDocument/2006/extended-properties" xmlns:vt="http://schemas.openxmlformats.org/officeDocument/2006/docPropsVTypes">
  <Template>Basic_Liaison_Statement.dotx</Template>
  <TotalTime>2</TotalTime>
  <Pages>7</Pages>
  <Words>1883</Words>
  <Characters>12340</Characters>
  <Application>Microsoft Office Word</Application>
  <DocSecurity>0</DocSecurity>
  <Lines>617</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LS/o on the activities and studies on sustainable digital transformation</vt:lpstr>
      <vt:lpstr>Liaison Statement - Unformatted template (T21)</vt:lpstr>
    </vt:vector>
  </TitlesOfParts>
  <Manager>ITU-T</Manager>
  <Company>International Telecommunication Union (ITU)</Company>
  <LinksUpToDate>false</LinksUpToDate>
  <CharactersWithSpaces>14008</CharactersWithSpaces>
  <SharedDoc>false</SharedDoc>
  <HLinks>
    <vt:vector size="126" baseType="variant">
      <vt:variant>
        <vt:i4>2228261</vt:i4>
      </vt:variant>
      <vt:variant>
        <vt:i4>60</vt:i4>
      </vt:variant>
      <vt:variant>
        <vt:i4>0</vt:i4>
      </vt:variant>
      <vt:variant>
        <vt:i4>5</vt:i4>
      </vt:variant>
      <vt:variant>
        <vt:lpwstr>https://www.itu.int/un-virtual-worlds-day/</vt:lpwstr>
      </vt:variant>
      <vt:variant>
        <vt:lpwstr/>
      </vt:variant>
      <vt:variant>
        <vt:i4>5177413</vt:i4>
      </vt:variant>
      <vt:variant>
        <vt:i4>57</vt:i4>
      </vt:variant>
      <vt:variant>
        <vt:i4>0</vt:i4>
      </vt:variant>
      <vt:variant>
        <vt:i4>5</vt:i4>
      </vt:variant>
      <vt:variant>
        <vt:lpwstr>https://www.itu.int/metaverse/virtual-worlds/</vt:lpwstr>
      </vt:variant>
      <vt:variant>
        <vt:lpwstr/>
      </vt:variant>
      <vt:variant>
        <vt:i4>4194318</vt:i4>
      </vt:variant>
      <vt:variant>
        <vt:i4>54</vt:i4>
      </vt:variant>
      <vt:variant>
        <vt:i4>0</vt:i4>
      </vt:variant>
      <vt:variant>
        <vt:i4>5</vt:i4>
      </vt:variant>
      <vt:variant>
        <vt:lpwstr>https://toolkit-dt4c.itu.int/</vt:lpwstr>
      </vt:variant>
      <vt:variant>
        <vt:lpwstr/>
      </vt:variant>
      <vt:variant>
        <vt:i4>5636163</vt:i4>
      </vt:variant>
      <vt:variant>
        <vt:i4>51</vt:i4>
      </vt:variant>
      <vt:variant>
        <vt:i4>0</vt:i4>
      </vt:variant>
      <vt:variant>
        <vt:i4>5</vt:i4>
      </vt:variant>
      <vt:variant>
        <vt:lpwstr>https://u4ssc.itu.int/u4ssc-kpi/</vt:lpwstr>
      </vt:variant>
      <vt:variant>
        <vt:lpwstr/>
      </vt:variant>
      <vt:variant>
        <vt:i4>6488100</vt:i4>
      </vt:variant>
      <vt:variant>
        <vt:i4>48</vt:i4>
      </vt:variant>
      <vt:variant>
        <vt:i4>0</vt:i4>
      </vt:variant>
      <vt:variant>
        <vt:i4>5</vt:i4>
      </vt:variant>
      <vt:variant>
        <vt:lpwstr>https://u4ssc.itu.int/</vt:lpwstr>
      </vt:variant>
      <vt:variant>
        <vt:lpwstr/>
      </vt:variant>
      <vt:variant>
        <vt:i4>1114136</vt:i4>
      </vt:variant>
      <vt:variant>
        <vt:i4>45</vt:i4>
      </vt:variant>
      <vt:variant>
        <vt:i4>0</vt:i4>
      </vt:variant>
      <vt:variant>
        <vt:i4>5</vt:i4>
      </vt:variant>
      <vt:variant>
        <vt:lpwstr>https://www.itu.int/cities/dt-digest/</vt:lpwstr>
      </vt:variant>
      <vt:variant>
        <vt:lpwstr/>
      </vt:variant>
      <vt:variant>
        <vt:i4>1179662</vt:i4>
      </vt:variant>
      <vt:variant>
        <vt:i4>42</vt:i4>
      </vt:variant>
      <vt:variant>
        <vt:i4>0</vt:i4>
      </vt:variant>
      <vt:variant>
        <vt:i4>5</vt:i4>
      </vt:variant>
      <vt:variant>
        <vt:lpwstr>https://www.itu.int/cities/publications/</vt:lpwstr>
      </vt:variant>
      <vt:variant>
        <vt:lpwstr/>
      </vt:variant>
      <vt:variant>
        <vt:i4>8257575</vt:i4>
      </vt:variant>
      <vt:variant>
        <vt:i4>39</vt:i4>
      </vt:variant>
      <vt:variant>
        <vt:i4>0</vt:i4>
      </vt:variant>
      <vt:variant>
        <vt:i4>5</vt:i4>
      </vt:variant>
      <vt:variant>
        <vt:lpwstr>https://www.itu.int/cities/dt-resource-hub/</vt:lpwstr>
      </vt:variant>
      <vt:variant>
        <vt:lpwstr/>
      </vt:variant>
      <vt:variant>
        <vt:i4>8192110</vt:i4>
      </vt:variant>
      <vt:variant>
        <vt:i4>36</vt:i4>
      </vt:variant>
      <vt:variant>
        <vt:i4>0</vt:i4>
      </vt:variant>
      <vt:variant>
        <vt:i4>5</vt:i4>
      </vt:variant>
      <vt:variant>
        <vt:lpwstr>https://www.itu.int/cities/digitaltransformationdialogues/</vt:lpwstr>
      </vt:variant>
      <vt:variant>
        <vt:lpwstr/>
      </vt:variant>
      <vt:variant>
        <vt:i4>1769559</vt:i4>
      </vt:variant>
      <vt:variant>
        <vt:i4>33</vt:i4>
      </vt:variant>
      <vt:variant>
        <vt:i4>0</vt:i4>
      </vt:variant>
      <vt:variant>
        <vt:i4>5</vt:i4>
      </vt:variant>
      <vt:variant>
        <vt:lpwstr>https://www.itu.int/myworkspace/</vt:lpwstr>
      </vt:variant>
      <vt:variant>
        <vt:lpwstr>/t-wp/item?isn=22049</vt:lpwstr>
      </vt:variant>
      <vt:variant>
        <vt:i4>1114202</vt:i4>
      </vt:variant>
      <vt:variant>
        <vt:i4>30</vt:i4>
      </vt:variant>
      <vt:variant>
        <vt:i4>0</vt:i4>
      </vt:variant>
      <vt:variant>
        <vt:i4>5</vt:i4>
      </vt:variant>
      <vt:variant>
        <vt:lpwstr>https://www.itu.int/myworkspace/</vt:lpwstr>
      </vt:variant>
      <vt:variant>
        <vt:lpwstr>/t-wp/item?isn=22093</vt:lpwstr>
      </vt:variant>
      <vt:variant>
        <vt:i4>6815841</vt:i4>
      </vt:variant>
      <vt:variant>
        <vt:i4>27</vt:i4>
      </vt:variant>
      <vt:variant>
        <vt:i4>0</vt:i4>
      </vt:variant>
      <vt:variant>
        <vt:i4>5</vt:i4>
      </vt:variant>
      <vt:variant>
        <vt:lpwstr>https://www.itu.int/rec/T-REC-Y.Sup83-202407-I</vt:lpwstr>
      </vt:variant>
      <vt:variant>
        <vt:lpwstr/>
      </vt:variant>
      <vt:variant>
        <vt:i4>5767242</vt:i4>
      </vt:variant>
      <vt:variant>
        <vt:i4>24</vt:i4>
      </vt:variant>
      <vt:variant>
        <vt:i4>0</vt:i4>
      </vt:variant>
      <vt:variant>
        <vt:i4>5</vt:i4>
      </vt:variant>
      <vt:variant>
        <vt:lpwstr>https://www.itu.int/rec/T-REC-Y.4228</vt:lpwstr>
      </vt:variant>
      <vt:variant>
        <vt:lpwstr/>
      </vt:variant>
      <vt:variant>
        <vt:i4>5963849</vt:i4>
      </vt:variant>
      <vt:variant>
        <vt:i4>21</vt:i4>
      </vt:variant>
      <vt:variant>
        <vt:i4>0</vt:i4>
      </vt:variant>
      <vt:variant>
        <vt:i4>5</vt:i4>
      </vt:variant>
      <vt:variant>
        <vt:lpwstr>https://www.itu.int/rec/T-REC-Y.4910</vt:lpwstr>
      </vt:variant>
      <vt:variant>
        <vt:lpwstr/>
      </vt:variant>
      <vt:variant>
        <vt:i4>7209061</vt:i4>
      </vt:variant>
      <vt:variant>
        <vt:i4>18</vt:i4>
      </vt:variant>
      <vt:variant>
        <vt:i4>0</vt:i4>
      </vt:variant>
      <vt:variant>
        <vt:i4>5</vt:i4>
      </vt:variant>
      <vt:variant>
        <vt:lpwstr>https://www.itu.int/rec/T-REC-Y.Sup77-202309-I</vt:lpwstr>
      </vt:variant>
      <vt:variant>
        <vt:lpwstr/>
      </vt:variant>
      <vt:variant>
        <vt:i4>4391003</vt:i4>
      </vt:variant>
      <vt:variant>
        <vt:i4>15</vt:i4>
      </vt:variant>
      <vt:variant>
        <vt:i4>0</vt:i4>
      </vt:variant>
      <vt:variant>
        <vt:i4>5</vt:i4>
      </vt:variant>
      <vt:variant>
        <vt:lpwstr>https://www.itu.int/rec/T-REC-Y.4906-201907-I</vt:lpwstr>
      </vt:variant>
      <vt:variant>
        <vt:lpwstr/>
      </vt:variant>
      <vt:variant>
        <vt:i4>7077986</vt:i4>
      </vt:variant>
      <vt:variant>
        <vt:i4>12</vt:i4>
      </vt:variant>
      <vt:variant>
        <vt:i4>0</vt:i4>
      </vt:variant>
      <vt:variant>
        <vt:i4>5</vt:i4>
      </vt:variant>
      <vt:variant>
        <vt:lpwstr>https://www.itu.int/rec/T-REC-Y.Sup52-201812-I</vt:lpwstr>
      </vt:variant>
      <vt:variant>
        <vt:lpwstr/>
      </vt:variant>
      <vt:variant>
        <vt:i4>5177414</vt:i4>
      </vt:variant>
      <vt:variant>
        <vt:i4>9</vt:i4>
      </vt:variant>
      <vt:variant>
        <vt:i4>0</vt:i4>
      </vt:variant>
      <vt:variant>
        <vt:i4>5</vt:i4>
      </vt:variant>
      <vt:variant>
        <vt:lpwstr>http://handle.itu.int/11.1002/ls/sp18-tsag-oLS-00007.docx</vt:lpwstr>
      </vt:variant>
      <vt:variant>
        <vt:lpwstr/>
      </vt:variant>
      <vt:variant>
        <vt:i4>1376379</vt:i4>
      </vt:variant>
      <vt:variant>
        <vt:i4>6</vt:i4>
      </vt:variant>
      <vt:variant>
        <vt:i4>0</vt:i4>
      </vt:variant>
      <vt:variant>
        <vt:i4>5</vt:i4>
      </vt:variant>
      <vt:variant>
        <vt:lpwstr>mailto:juns@etri.re.kr</vt:lpwstr>
      </vt:variant>
      <vt:variant>
        <vt:lpwstr/>
      </vt:variant>
      <vt:variant>
        <vt:i4>5505059</vt:i4>
      </vt:variant>
      <vt:variant>
        <vt:i4>3</vt:i4>
      </vt:variant>
      <vt:variant>
        <vt:i4>0</vt:i4>
      </vt:variant>
      <vt:variant>
        <vt:i4>5</vt:i4>
      </vt:variant>
      <vt:variant>
        <vt:lpwstr>mailto:khj@etri.re.kr</vt:lpwstr>
      </vt:variant>
      <vt:variant>
        <vt:lpwstr/>
      </vt:variant>
      <vt:variant>
        <vt:i4>5177414</vt:i4>
      </vt:variant>
      <vt:variant>
        <vt:i4>0</vt:i4>
      </vt:variant>
      <vt:variant>
        <vt:i4>0</vt:i4>
      </vt:variant>
      <vt:variant>
        <vt:i4>5</vt:i4>
      </vt:variant>
      <vt:variant>
        <vt:lpwstr>http://handle.itu.int/11.1002/ls/sp18-tsag-oLS-00007.docx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the activities and studies on sustainable digital transformation (reply to TSAG-LS7)</dc:title>
  <dc:creator>ITU-T Study Group 20</dc:creator>
  <dc:description>TSAG-TD238  For: Geneva, 26-30 January 2026_x000d_Document date: _x000d_Saved by ITU51017913 at 3:45:40 PM on 11/18/2025</dc:description>
  <cp:lastModifiedBy>TSB</cp:lastModifiedBy>
  <cp:revision>4</cp:revision>
  <cp:lastPrinted>2016-12-23T21:52:00Z</cp:lastPrinted>
  <dcterms:created xsi:type="dcterms:W3CDTF">2025-11-18T14:45:00Z</dcterms:created>
  <dcterms:modified xsi:type="dcterms:W3CDTF">2025-11-18T14:46:00Z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Docnum">
    <vt:lpwstr>TSAG-TD238</vt:lpwstr>
  </property>
  <property fmtid="{D5CDD505-2E9C-101B-9397-08002B2CF9AE}" pid="4" name="Docdate">
    <vt:lpwstr/>
  </property>
  <property fmtid="{D5CDD505-2E9C-101B-9397-08002B2CF9AE}" pid="5" name="Docorlang">
    <vt:lpwstr/>
  </property>
  <property fmtid="{D5CDD505-2E9C-101B-9397-08002B2CF9AE}" pid="6" name="Docbluepink">
    <vt:lpwstr>5, All/20</vt:lpwstr>
  </property>
  <property fmtid="{D5CDD505-2E9C-101B-9397-08002B2CF9AE}" pid="7" name="Docdest">
    <vt:lpwstr>Geneva, 26-30 January 2026</vt:lpwstr>
  </property>
  <property fmtid="{D5CDD505-2E9C-101B-9397-08002B2CF9AE}" pid="8" name="Docauthor">
    <vt:lpwstr>ITU-T Study Group 20</vt:lpwstr>
  </property>
  <property fmtid="{D5CDD505-2E9C-101B-9397-08002B2CF9AE}" pid="9" name="docLang">
    <vt:lpwstr>en</vt:lpwstr>
  </property>
  <property fmtid="{D5CDD505-2E9C-101B-9397-08002B2CF9AE}" pid="10" name="MediaServiceImageTags">
    <vt:lpwstr/>
  </property>
</Properties>
</file>