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13"/>
        <w:gridCol w:w="42"/>
        <w:gridCol w:w="618"/>
        <w:gridCol w:w="3251"/>
        <w:gridCol w:w="157"/>
        <w:gridCol w:w="4026"/>
      </w:tblGrid>
      <w:tr w:rsidR="00246FF4" w:rsidRPr="00246FF4" w14:paraId="3535643C" w14:textId="77777777" w:rsidTr="00246FF4">
        <w:trPr>
          <w:cantSplit/>
        </w:trPr>
        <w:tc>
          <w:tcPr>
            <w:tcW w:w="1132" w:type="dxa"/>
            <w:vMerge w:val="restart"/>
            <w:vAlign w:val="center"/>
          </w:tcPr>
          <w:p w14:paraId="142F9F7D" w14:textId="77777777" w:rsidR="00246FF4" w:rsidRPr="00246FF4" w:rsidRDefault="00246FF4" w:rsidP="00246FF4">
            <w:pPr>
              <w:spacing w:before="0"/>
              <w:jc w:val="center"/>
              <w:rPr>
                <w:sz w:val="20"/>
              </w:rPr>
            </w:pPr>
            <w:bookmarkStart w:id="0" w:name="dnum" w:colFirst="2" w:colLast="2"/>
            <w:bookmarkStart w:id="1" w:name="dtableau"/>
            <w:r w:rsidRPr="00246FF4">
              <w:rPr>
                <w:noProof/>
              </w:rPr>
              <w:drawing>
                <wp:inline distT="0" distB="0" distL="0" distR="0" wp14:anchorId="5D341CC7" wp14:editId="3340F3B5">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6">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5"/>
            <w:vMerge w:val="restart"/>
          </w:tcPr>
          <w:p w14:paraId="02062A8C" w14:textId="77777777" w:rsidR="00246FF4" w:rsidRPr="00246FF4" w:rsidRDefault="00246FF4" w:rsidP="00246FF4">
            <w:pPr>
              <w:rPr>
                <w:sz w:val="16"/>
                <w:szCs w:val="16"/>
              </w:rPr>
            </w:pPr>
            <w:r w:rsidRPr="00246FF4">
              <w:rPr>
                <w:sz w:val="16"/>
                <w:szCs w:val="16"/>
              </w:rPr>
              <w:t>INTERNATIONAL TELECOMMUNICATION UNION</w:t>
            </w:r>
          </w:p>
          <w:p w14:paraId="419AEFD0" w14:textId="77777777" w:rsidR="00246FF4" w:rsidRPr="00246FF4" w:rsidRDefault="00246FF4" w:rsidP="00246FF4">
            <w:pPr>
              <w:rPr>
                <w:b/>
                <w:bCs/>
                <w:sz w:val="26"/>
                <w:szCs w:val="26"/>
              </w:rPr>
            </w:pPr>
            <w:r w:rsidRPr="00246FF4">
              <w:rPr>
                <w:b/>
                <w:bCs/>
                <w:sz w:val="26"/>
                <w:szCs w:val="26"/>
              </w:rPr>
              <w:t>TELECOMMUNICATION</w:t>
            </w:r>
            <w:r w:rsidRPr="00246FF4">
              <w:rPr>
                <w:b/>
                <w:bCs/>
                <w:sz w:val="26"/>
                <w:szCs w:val="26"/>
              </w:rPr>
              <w:br/>
              <w:t>STANDARDIZATION SECTOR</w:t>
            </w:r>
          </w:p>
          <w:p w14:paraId="6FEEC5D2" w14:textId="6302EC44" w:rsidR="00246FF4" w:rsidRPr="00246FF4" w:rsidRDefault="00246FF4" w:rsidP="00246FF4">
            <w:pPr>
              <w:rPr>
                <w:sz w:val="20"/>
              </w:rPr>
            </w:pPr>
            <w:r w:rsidRPr="00246FF4">
              <w:rPr>
                <w:sz w:val="20"/>
              </w:rPr>
              <w:t xml:space="preserve">STUDY PERIOD </w:t>
            </w:r>
            <w:r>
              <w:rPr>
                <w:sz w:val="20"/>
              </w:rPr>
              <w:t>2025-2028</w:t>
            </w:r>
          </w:p>
        </w:tc>
        <w:tc>
          <w:tcPr>
            <w:tcW w:w="4026" w:type="dxa"/>
            <w:vAlign w:val="center"/>
          </w:tcPr>
          <w:p w14:paraId="3627F02B" w14:textId="39C18D2F" w:rsidR="00246FF4" w:rsidRPr="00246FF4" w:rsidRDefault="00246FF4" w:rsidP="00246FF4">
            <w:pPr>
              <w:pStyle w:val="Docnumber"/>
            </w:pPr>
            <w:r>
              <w:t>TSAG-TD232</w:t>
            </w:r>
          </w:p>
        </w:tc>
      </w:tr>
      <w:tr w:rsidR="00246FF4" w:rsidRPr="00246FF4" w14:paraId="48A5C7CB" w14:textId="77777777" w:rsidTr="00246FF4">
        <w:trPr>
          <w:cantSplit/>
        </w:trPr>
        <w:tc>
          <w:tcPr>
            <w:tcW w:w="1132" w:type="dxa"/>
            <w:vMerge/>
          </w:tcPr>
          <w:p w14:paraId="5C5317A1" w14:textId="77777777" w:rsidR="00246FF4" w:rsidRPr="00246FF4" w:rsidRDefault="00246FF4" w:rsidP="00246FF4">
            <w:pPr>
              <w:rPr>
                <w:smallCaps/>
                <w:sz w:val="20"/>
              </w:rPr>
            </w:pPr>
            <w:bookmarkStart w:id="2" w:name="dsg" w:colFirst="2" w:colLast="2"/>
            <w:bookmarkEnd w:id="0"/>
          </w:p>
        </w:tc>
        <w:tc>
          <w:tcPr>
            <w:tcW w:w="4481" w:type="dxa"/>
            <w:gridSpan w:val="5"/>
            <w:vMerge/>
          </w:tcPr>
          <w:p w14:paraId="7ABE606A" w14:textId="77777777" w:rsidR="00246FF4" w:rsidRPr="00246FF4" w:rsidRDefault="00246FF4" w:rsidP="00246FF4">
            <w:pPr>
              <w:rPr>
                <w:smallCaps/>
                <w:sz w:val="20"/>
              </w:rPr>
            </w:pPr>
          </w:p>
        </w:tc>
        <w:tc>
          <w:tcPr>
            <w:tcW w:w="4026" w:type="dxa"/>
          </w:tcPr>
          <w:p w14:paraId="7485B60B" w14:textId="57C19D6F" w:rsidR="00246FF4" w:rsidRPr="00246FF4" w:rsidRDefault="00246FF4" w:rsidP="00246FF4">
            <w:pPr>
              <w:pStyle w:val="TSBHeaderRight14"/>
              <w:rPr>
                <w:smallCaps/>
              </w:rPr>
            </w:pPr>
            <w:r>
              <w:rPr>
                <w:smallCaps/>
              </w:rPr>
              <w:t>TSAG</w:t>
            </w:r>
          </w:p>
        </w:tc>
      </w:tr>
      <w:bookmarkEnd w:id="2"/>
      <w:tr w:rsidR="00246FF4" w:rsidRPr="00246FF4" w14:paraId="4AEEB340" w14:textId="77777777" w:rsidTr="00246FF4">
        <w:trPr>
          <w:cantSplit/>
        </w:trPr>
        <w:tc>
          <w:tcPr>
            <w:tcW w:w="1132" w:type="dxa"/>
            <w:vMerge/>
            <w:tcBorders>
              <w:bottom w:val="single" w:sz="12" w:space="0" w:color="auto"/>
            </w:tcBorders>
          </w:tcPr>
          <w:p w14:paraId="1AEEA412" w14:textId="77777777" w:rsidR="00246FF4" w:rsidRPr="00246FF4" w:rsidRDefault="00246FF4" w:rsidP="00246FF4">
            <w:pPr>
              <w:rPr>
                <w:b/>
                <w:bCs/>
                <w:sz w:val="26"/>
              </w:rPr>
            </w:pPr>
          </w:p>
        </w:tc>
        <w:tc>
          <w:tcPr>
            <w:tcW w:w="4481" w:type="dxa"/>
            <w:gridSpan w:val="5"/>
            <w:vMerge/>
            <w:tcBorders>
              <w:bottom w:val="single" w:sz="12" w:space="0" w:color="auto"/>
            </w:tcBorders>
          </w:tcPr>
          <w:p w14:paraId="5018FA8A" w14:textId="77777777" w:rsidR="00246FF4" w:rsidRPr="00246FF4" w:rsidRDefault="00246FF4" w:rsidP="00246FF4">
            <w:pPr>
              <w:rPr>
                <w:b/>
                <w:bCs/>
                <w:sz w:val="26"/>
              </w:rPr>
            </w:pPr>
          </w:p>
        </w:tc>
        <w:tc>
          <w:tcPr>
            <w:tcW w:w="4026" w:type="dxa"/>
            <w:tcBorders>
              <w:bottom w:val="single" w:sz="12" w:space="0" w:color="auto"/>
            </w:tcBorders>
            <w:vAlign w:val="center"/>
          </w:tcPr>
          <w:p w14:paraId="69505C38" w14:textId="77777777" w:rsidR="00246FF4" w:rsidRPr="00246FF4" w:rsidRDefault="00246FF4" w:rsidP="00246FF4">
            <w:pPr>
              <w:pStyle w:val="TSBHeaderRight14"/>
            </w:pPr>
            <w:r w:rsidRPr="00246FF4">
              <w:t>Original: English</w:t>
            </w:r>
          </w:p>
        </w:tc>
      </w:tr>
      <w:tr w:rsidR="00246FF4" w:rsidRPr="00246FF4" w14:paraId="3B0BF3B8" w14:textId="77777777" w:rsidTr="00246FF4">
        <w:trPr>
          <w:cantSplit/>
        </w:trPr>
        <w:tc>
          <w:tcPr>
            <w:tcW w:w="1587" w:type="dxa"/>
            <w:gridSpan w:val="3"/>
          </w:tcPr>
          <w:p w14:paraId="425F6F19" w14:textId="028B6F9A" w:rsidR="00246FF4" w:rsidRPr="00246FF4" w:rsidRDefault="00246FF4" w:rsidP="00246FF4">
            <w:pPr>
              <w:rPr>
                <w:b/>
                <w:bCs/>
                <w:szCs w:val="24"/>
              </w:rPr>
            </w:pPr>
            <w:bookmarkStart w:id="3" w:name="dbluepink" w:colFirst="1" w:colLast="1"/>
            <w:bookmarkStart w:id="4" w:name="dmeeting" w:colFirst="2" w:colLast="2"/>
          </w:p>
        </w:tc>
        <w:tc>
          <w:tcPr>
            <w:tcW w:w="4026" w:type="dxa"/>
            <w:gridSpan w:val="3"/>
          </w:tcPr>
          <w:p w14:paraId="6235EB8B" w14:textId="4569AFD6" w:rsidR="00246FF4" w:rsidRPr="00246FF4" w:rsidRDefault="00246FF4" w:rsidP="00246FF4">
            <w:pPr>
              <w:pStyle w:val="TSBHeaderQuestion"/>
            </w:pPr>
          </w:p>
        </w:tc>
        <w:tc>
          <w:tcPr>
            <w:tcW w:w="4026" w:type="dxa"/>
          </w:tcPr>
          <w:p w14:paraId="499A2F0D" w14:textId="554CD773" w:rsidR="00246FF4" w:rsidRPr="00246FF4" w:rsidRDefault="00246FF4" w:rsidP="00246FF4">
            <w:pPr>
              <w:pStyle w:val="VenueDate"/>
            </w:pPr>
            <w:r w:rsidRPr="00246FF4">
              <w:t>Geneva, 26-30 January 2026</w:t>
            </w:r>
          </w:p>
        </w:tc>
      </w:tr>
      <w:tr w:rsidR="00246FF4" w:rsidRPr="00246FF4" w14:paraId="72A1A986" w14:textId="77777777" w:rsidTr="005F7827">
        <w:trPr>
          <w:cantSplit/>
        </w:trPr>
        <w:tc>
          <w:tcPr>
            <w:tcW w:w="9639" w:type="dxa"/>
            <w:gridSpan w:val="7"/>
          </w:tcPr>
          <w:p w14:paraId="6F12DD77" w14:textId="77777777" w:rsidR="00246FF4" w:rsidRPr="00246FF4" w:rsidRDefault="00246FF4" w:rsidP="00246FF4">
            <w:pPr>
              <w:jc w:val="center"/>
              <w:rPr>
                <w:b/>
                <w:bCs/>
                <w:szCs w:val="24"/>
              </w:rPr>
            </w:pPr>
            <w:bookmarkStart w:id="5" w:name="ddoctype"/>
            <w:bookmarkEnd w:id="3"/>
            <w:bookmarkEnd w:id="4"/>
            <w:r w:rsidRPr="00246FF4">
              <w:rPr>
                <w:b/>
                <w:bCs/>
                <w:szCs w:val="24"/>
              </w:rPr>
              <w:t>TD</w:t>
            </w:r>
          </w:p>
          <w:p w14:paraId="5491A632" w14:textId="5FE61CD0" w:rsidR="00246FF4" w:rsidRPr="00246FF4" w:rsidRDefault="00246FF4" w:rsidP="00E707F0">
            <w:pPr>
              <w:spacing w:before="0"/>
              <w:jc w:val="center"/>
              <w:rPr>
                <w:b/>
                <w:bCs/>
                <w:szCs w:val="24"/>
              </w:rPr>
            </w:pPr>
            <w:r w:rsidRPr="00246FF4">
              <w:rPr>
                <w:b/>
                <w:bCs/>
                <w:szCs w:val="24"/>
              </w:rPr>
              <w:t xml:space="preserve">(Ref.: </w:t>
            </w:r>
            <w:hyperlink r:id="rId7" w:history="1">
              <w:r w:rsidR="00E707F0" w:rsidRPr="00E707F0">
                <w:rPr>
                  <w:rStyle w:val="Hyperlink"/>
                  <w:b/>
                  <w:bCs/>
                  <w:szCs w:val="24"/>
                </w:rPr>
                <w:t>SG15-LS83</w:t>
              </w:r>
            </w:hyperlink>
            <w:r w:rsidRPr="00246FF4">
              <w:rPr>
                <w:b/>
                <w:bCs/>
                <w:szCs w:val="24"/>
              </w:rPr>
              <w:t>)</w:t>
            </w:r>
          </w:p>
        </w:tc>
      </w:tr>
      <w:tr w:rsidR="00246FF4" w:rsidRPr="00246FF4" w14:paraId="56DEDB05" w14:textId="77777777" w:rsidTr="00246FF4">
        <w:trPr>
          <w:cantSplit/>
        </w:trPr>
        <w:tc>
          <w:tcPr>
            <w:tcW w:w="1587" w:type="dxa"/>
            <w:gridSpan w:val="3"/>
          </w:tcPr>
          <w:p w14:paraId="3EF15FF5" w14:textId="77777777" w:rsidR="00246FF4" w:rsidRPr="00246FF4" w:rsidRDefault="00246FF4" w:rsidP="00246FF4">
            <w:pPr>
              <w:rPr>
                <w:b/>
                <w:bCs/>
                <w:szCs w:val="24"/>
              </w:rPr>
            </w:pPr>
            <w:bookmarkStart w:id="6" w:name="dsource" w:colFirst="1" w:colLast="1"/>
            <w:bookmarkEnd w:id="5"/>
            <w:r w:rsidRPr="00246FF4">
              <w:rPr>
                <w:b/>
                <w:bCs/>
                <w:szCs w:val="24"/>
              </w:rPr>
              <w:t>Source:</w:t>
            </w:r>
          </w:p>
        </w:tc>
        <w:tc>
          <w:tcPr>
            <w:tcW w:w="8052" w:type="dxa"/>
            <w:gridSpan w:val="4"/>
          </w:tcPr>
          <w:p w14:paraId="4CFB1198" w14:textId="7FF2278C" w:rsidR="00246FF4" w:rsidRPr="00246FF4" w:rsidRDefault="00246FF4" w:rsidP="00246FF4">
            <w:pPr>
              <w:pStyle w:val="TSBHeaderSource"/>
            </w:pPr>
            <w:r w:rsidRPr="00246FF4">
              <w:t>ITU-T Study Group 15</w:t>
            </w:r>
          </w:p>
        </w:tc>
      </w:tr>
      <w:tr w:rsidR="00246FF4" w:rsidRPr="00246FF4" w14:paraId="5E722CF8" w14:textId="77777777" w:rsidTr="00246FF4">
        <w:trPr>
          <w:cantSplit/>
        </w:trPr>
        <w:tc>
          <w:tcPr>
            <w:tcW w:w="1587" w:type="dxa"/>
            <w:gridSpan w:val="3"/>
            <w:tcBorders>
              <w:bottom w:val="single" w:sz="8" w:space="0" w:color="auto"/>
            </w:tcBorders>
          </w:tcPr>
          <w:p w14:paraId="3E8530C0" w14:textId="77777777" w:rsidR="00246FF4" w:rsidRPr="00246FF4" w:rsidRDefault="00246FF4" w:rsidP="00246FF4">
            <w:pPr>
              <w:rPr>
                <w:b/>
                <w:bCs/>
                <w:szCs w:val="24"/>
              </w:rPr>
            </w:pPr>
            <w:bookmarkStart w:id="7" w:name="dtitle1" w:colFirst="1" w:colLast="1"/>
            <w:bookmarkEnd w:id="6"/>
            <w:r w:rsidRPr="00246FF4">
              <w:rPr>
                <w:b/>
                <w:bCs/>
                <w:szCs w:val="24"/>
              </w:rPr>
              <w:t>Title:</w:t>
            </w:r>
          </w:p>
        </w:tc>
        <w:tc>
          <w:tcPr>
            <w:tcW w:w="8052" w:type="dxa"/>
            <w:gridSpan w:val="4"/>
            <w:tcBorders>
              <w:bottom w:val="single" w:sz="8" w:space="0" w:color="auto"/>
            </w:tcBorders>
          </w:tcPr>
          <w:p w14:paraId="16ABF8BD" w14:textId="05D7BBE6" w:rsidR="00246FF4" w:rsidRPr="00246FF4" w:rsidRDefault="00246FF4" w:rsidP="00246FF4">
            <w:pPr>
              <w:pStyle w:val="TSBHeaderTitle"/>
            </w:pPr>
            <w:r w:rsidRPr="00246FF4">
              <w:t>LS</w:t>
            </w:r>
            <w:r>
              <w:t>/</w:t>
            </w:r>
            <w:proofErr w:type="spellStart"/>
            <w:r>
              <w:t>i</w:t>
            </w:r>
            <w:proofErr w:type="spellEnd"/>
            <w:r w:rsidRPr="00246FF4">
              <w:t xml:space="preserve"> on submission deadline for documents for determination, consent, or agreement in Rec. A.1</w:t>
            </w:r>
            <w:r>
              <w:t xml:space="preserve"> [from ITU-T SG15]</w:t>
            </w:r>
          </w:p>
        </w:tc>
      </w:tr>
      <w:bookmarkEnd w:id="1"/>
      <w:bookmarkEnd w:id="7"/>
      <w:tr w:rsidR="00702D3B" w14:paraId="62BD7CA1" w14:textId="77777777" w:rsidTr="00584DE7">
        <w:trPr>
          <w:cantSplit/>
          <w:trHeight w:val="357"/>
        </w:trPr>
        <w:tc>
          <w:tcPr>
            <w:tcW w:w="9639" w:type="dxa"/>
            <w:gridSpan w:val="7"/>
            <w:tcBorders>
              <w:top w:val="single" w:sz="12" w:space="0" w:color="auto"/>
            </w:tcBorders>
          </w:tcPr>
          <w:p w14:paraId="512A66FB" w14:textId="77777777" w:rsidR="00702D3B" w:rsidRDefault="00702D3B" w:rsidP="00584DE7">
            <w:pPr>
              <w:jc w:val="center"/>
              <w:rPr>
                <w:b/>
              </w:rPr>
            </w:pPr>
            <w:r>
              <w:rPr>
                <w:b/>
              </w:rPr>
              <w:t>LIAISON STATEMENT</w:t>
            </w:r>
          </w:p>
        </w:tc>
      </w:tr>
      <w:tr w:rsidR="00702D3B" w14:paraId="4E5C6E02" w14:textId="77777777" w:rsidTr="00584DE7">
        <w:trPr>
          <w:cantSplit/>
          <w:trHeight w:val="357"/>
        </w:trPr>
        <w:tc>
          <w:tcPr>
            <w:tcW w:w="2205" w:type="dxa"/>
            <w:gridSpan w:val="4"/>
          </w:tcPr>
          <w:p w14:paraId="1A631757" w14:textId="77777777" w:rsidR="00702D3B" w:rsidRPr="003869CD" w:rsidRDefault="00702D3B" w:rsidP="00584DE7">
            <w:pPr>
              <w:rPr>
                <w:b/>
                <w:bCs/>
              </w:rPr>
            </w:pPr>
            <w:r w:rsidRPr="003869CD">
              <w:rPr>
                <w:b/>
                <w:bCs/>
              </w:rPr>
              <w:t>For action to:</w:t>
            </w:r>
          </w:p>
        </w:tc>
        <w:tc>
          <w:tcPr>
            <w:tcW w:w="7434" w:type="dxa"/>
            <w:gridSpan w:val="3"/>
          </w:tcPr>
          <w:p w14:paraId="668318D4" w14:textId="77777777" w:rsidR="00702D3B" w:rsidRPr="00445438" w:rsidRDefault="00702D3B" w:rsidP="00584DE7">
            <w:pPr>
              <w:pStyle w:val="LSForAction"/>
              <w:rPr>
                <w:b w:val="0"/>
                <w:bCs w:val="0"/>
              </w:rPr>
            </w:pPr>
            <w:r w:rsidRPr="00445438">
              <w:rPr>
                <w:b w:val="0"/>
                <w:bCs w:val="0"/>
              </w:rPr>
              <w:t>TSAG</w:t>
            </w:r>
          </w:p>
        </w:tc>
      </w:tr>
      <w:tr w:rsidR="00702D3B" w14:paraId="5773D488" w14:textId="77777777" w:rsidTr="00584DE7">
        <w:trPr>
          <w:cantSplit/>
          <w:trHeight w:val="357"/>
        </w:trPr>
        <w:tc>
          <w:tcPr>
            <w:tcW w:w="2205" w:type="dxa"/>
            <w:gridSpan w:val="4"/>
          </w:tcPr>
          <w:p w14:paraId="4AF51945" w14:textId="77777777" w:rsidR="00702D3B" w:rsidRPr="003869CD" w:rsidRDefault="00702D3B" w:rsidP="00584DE7">
            <w:pPr>
              <w:rPr>
                <w:b/>
                <w:bCs/>
              </w:rPr>
            </w:pPr>
            <w:r w:rsidRPr="003869CD">
              <w:rPr>
                <w:b/>
                <w:bCs/>
              </w:rPr>
              <w:t>For information to:</w:t>
            </w:r>
          </w:p>
        </w:tc>
        <w:tc>
          <w:tcPr>
            <w:tcW w:w="7434" w:type="dxa"/>
            <w:gridSpan w:val="3"/>
          </w:tcPr>
          <w:p w14:paraId="37D73E0A" w14:textId="77777777" w:rsidR="00702D3B" w:rsidRPr="00445438" w:rsidRDefault="00702D3B" w:rsidP="00584DE7">
            <w:pPr>
              <w:pStyle w:val="LSForInfo"/>
              <w:rPr>
                <w:b w:val="0"/>
                <w:bCs w:val="0"/>
              </w:rPr>
            </w:pPr>
          </w:p>
        </w:tc>
      </w:tr>
      <w:tr w:rsidR="00702D3B" w14:paraId="0D3C635D" w14:textId="77777777" w:rsidTr="00584DE7">
        <w:trPr>
          <w:cantSplit/>
          <w:trHeight w:val="357"/>
        </w:trPr>
        <w:tc>
          <w:tcPr>
            <w:tcW w:w="2205" w:type="dxa"/>
            <w:gridSpan w:val="4"/>
          </w:tcPr>
          <w:p w14:paraId="11AD4983" w14:textId="77777777" w:rsidR="00702D3B" w:rsidRDefault="00702D3B" w:rsidP="00584DE7">
            <w:pPr>
              <w:rPr>
                <w:b/>
                <w:bCs/>
              </w:rPr>
            </w:pPr>
            <w:r>
              <w:rPr>
                <w:b/>
                <w:bCs/>
              </w:rPr>
              <w:t>Approval:</w:t>
            </w:r>
          </w:p>
        </w:tc>
        <w:tc>
          <w:tcPr>
            <w:tcW w:w="7434" w:type="dxa"/>
            <w:gridSpan w:val="3"/>
          </w:tcPr>
          <w:p w14:paraId="3FE9F3D7" w14:textId="3BD2D181" w:rsidR="00702D3B" w:rsidRPr="00445438" w:rsidRDefault="00445438" w:rsidP="00584DE7">
            <w:pPr>
              <w:pStyle w:val="LSApproval"/>
              <w:rPr>
                <w:b w:val="0"/>
                <w:bCs w:val="0"/>
              </w:rPr>
            </w:pPr>
            <w:r w:rsidRPr="00445438">
              <w:rPr>
                <w:b w:val="0"/>
                <w:bCs w:val="0"/>
              </w:rPr>
              <w:t>ITU-T SG15 meeting (Geneva, 24 October 2025)</w:t>
            </w:r>
          </w:p>
        </w:tc>
      </w:tr>
      <w:tr w:rsidR="00702D3B" w14:paraId="2FBD9483" w14:textId="77777777" w:rsidTr="00584DE7">
        <w:trPr>
          <w:cantSplit/>
          <w:trHeight w:val="357"/>
        </w:trPr>
        <w:tc>
          <w:tcPr>
            <w:tcW w:w="2205" w:type="dxa"/>
            <w:gridSpan w:val="4"/>
            <w:tcBorders>
              <w:bottom w:val="single" w:sz="12" w:space="0" w:color="auto"/>
            </w:tcBorders>
          </w:tcPr>
          <w:p w14:paraId="60BC9B9C" w14:textId="77777777" w:rsidR="00702D3B" w:rsidRDefault="00702D3B" w:rsidP="00584DE7">
            <w:pPr>
              <w:rPr>
                <w:b/>
                <w:bCs/>
              </w:rPr>
            </w:pPr>
            <w:r>
              <w:rPr>
                <w:b/>
                <w:bCs/>
              </w:rPr>
              <w:t>Deadline:</w:t>
            </w:r>
          </w:p>
        </w:tc>
        <w:tc>
          <w:tcPr>
            <w:tcW w:w="7434" w:type="dxa"/>
            <w:gridSpan w:val="3"/>
            <w:tcBorders>
              <w:bottom w:val="single" w:sz="12" w:space="0" w:color="auto"/>
            </w:tcBorders>
          </w:tcPr>
          <w:p w14:paraId="3EAA8BAF" w14:textId="77777777" w:rsidR="00702D3B" w:rsidRPr="00445438" w:rsidRDefault="00702D3B" w:rsidP="00584DE7">
            <w:pPr>
              <w:pStyle w:val="LSDeadline"/>
              <w:rPr>
                <w:b w:val="0"/>
                <w:bCs w:val="0"/>
              </w:rPr>
            </w:pPr>
            <w:r w:rsidRPr="00445438">
              <w:rPr>
                <w:b w:val="0"/>
                <w:bCs w:val="0"/>
              </w:rPr>
              <w:t>15 June 2026</w:t>
            </w:r>
          </w:p>
        </w:tc>
      </w:tr>
      <w:tr w:rsidR="00702D3B" w:rsidRPr="006E511F" w14:paraId="0BD90B93" w14:textId="77777777" w:rsidTr="00246FF4">
        <w:trPr>
          <w:cantSplit/>
        </w:trPr>
        <w:tc>
          <w:tcPr>
            <w:tcW w:w="1545" w:type="dxa"/>
            <w:gridSpan w:val="2"/>
            <w:tcBorders>
              <w:top w:val="single" w:sz="8" w:space="0" w:color="auto"/>
              <w:bottom w:val="single" w:sz="8" w:space="0" w:color="auto"/>
            </w:tcBorders>
          </w:tcPr>
          <w:p w14:paraId="16F73A90" w14:textId="77777777" w:rsidR="00702D3B" w:rsidRPr="00136DDD" w:rsidRDefault="00702D3B" w:rsidP="00584DE7">
            <w:pPr>
              <w:rPr>
                <w:b/>
                <w:bCs/>
              </w:rPr>
            </w:pPr>
            <w:r w:rsidRPr="00136DDD">
              <w:rPr>
                <w:b/>
                <w:bCs/>
              </w:rPr>
              <w:t>Contact:</w:t>
            </w:r>
          </w:p>
        </w:tc>
        <w:tc>
          <w:tcPr>
            <w:tcW w:w="3911" w:type="dxa"/>
            <w:gridSpan w:val="3"/>
            <w:tcBorders>
              <w:top w:val="single" w:sz="8" w:space="0" w:color="auto"/>
              <w:bottom w:val="single" w:sz="8" w:space="0" w:color="auto"/>
            </w:tcBorders>
          </w:tcPr>
          <w:p w14:paraId="258E590A" w14:textId="77777777" w:rsidR="00702D3B" w:rsidRPr="007C59BF" w:rsidRDefault="00702D3B" w:rsidP="00584DE7">
            <w:pPr>
              <w:rPr>
                <w:lang w:val="fr-FR"/>
              </w:rPr>
            </w:pPr>
            <w:r w:rsidRPr="007C59BF">
              <w:rPr>
                <w:lang w:val="fr-FR"/>
              </w:rPr>
              <w:t>Glenn Parsons</w:t>
            </w:r>
            <w:r w:rsidRPr="007C59BF">
              <w:rPr>
                <w:lang w:val="fr-FR"/>
              </w:rPr>
              <w:br/>
              <w:t>Chair, ITU-T SG15</w:t>
            </w:r>
          </w:p>
        </w:tc>
        <w:tc>
          <w:tcPr>
            <w:tcW w:w="4183" w:type="dxa"/>
            <w:gridSpan w:val="2"/>
            <w:tcBorders>
              <w:top w:val="single" w:sz="8" w:space="0" w:color="auto"/>
              <w:bottom w:val="single" w:sz="8" w:space="0" w:color="auto"/>
            </w:tcBorders>
          </w:tcPr>
          <w:p w14:paraId="60FAAD59" w14:textId="7E375BE4" w:rsidR="00702D3B" w:rsidRPr="00702D3B" w:rsidRDefault="00702D3B" w:rsidP="00584DE7">
            <w:pPr>
              <w:rPr>
                <w:lang w:val="de-CH"/>
              </w:rPr>
            </w:pPr>
            <w:r w:rsidRPr="00702D3B">
              <w:rPr>
                <w:lang w:val="de-CH"/>
              </w:rPr>
              <w:t>Tel:</w:t>
            </w:r>
            <w:r w:rsidRPr="00702D3B">
              <w:rPr>
                <w:lang w:val="de-CH"/>
              </w:rPr>
              <w:tab/>
              <w:t>+1 514 379 9037</w:t>
            </w:r>
            <w:r w:rsidRPr="00702D3B">
              <w:rPr>
                <w:lang w:val="de-CH"/>
              </w:rPr>
              <w:br/>
              <w:t>E-mail:</w:t>
            </w:r>
            <w:r w:rsidRPr="00702D3B">
              <w:rPr>
                <w:lang w:val="de-CH"/>
              </w:rPr>
              <w:tab/>
            </w:r>
            <w:hyperlink r:id="rId8" w:history="1">
              <w:r w:rsidR="00296C02" w:rsidRPr="00B16970">
                <w:rPr>
                  <w:rStyle w:val="Hyperlink"/>
                  <w:lang w:val="de-CH"/>
                </w:rPr>
                <w:t>glenn.parsons@ericsson.com</w:t>
              </w:r>
            </w:hyperlink>
            <w:r w:rsidR="00296C02">
              <w:rPr>
                <w:lang w:val="de-CH"/>
              </w:rPr>
              <w:t xml:space="preserve"> </w:t>
            </w:r>
          </w:p>
        </w:tc>
      </w:tr>
      <w:tr w:rsidR="00702D3B" w:rsidRPr="006E511F" w14:paraId="4ED06B6D" w14:textId="77777777" w:rsidTr="00246FF4">
        <w:trPr>
          <w:cantSplit/>
        </w:trPr>
        <w:tc>
          <w:tcPr>
            <w:tcW w:w="1545" w:type="dxa"/>
            <w:gridSpan w:val="2"/>
            <w:tcBorders>
              <w:top w:val="single" w:sz="8" w:space="0" w:color="auto"/>
              <w:bottom w:val="single" w:sz="8" w:space="0" w:color="auto"/>
            </w:tcBorders>
          </w:tcPr>
          <w:p w14:paraId="209DAA85" w14:textId="77777777" w:rsidR="00702D3B" w:rsidRPr="00136DDD" w:rsidRDefault="00702D3B" w:rsidP="00584DE7">
            <w:pPr>
              <w:rPr>
                <w:b/>
                <w:bCs/>
              </w:rPr>
            </w:pPr>
            <w:r w:rsidRPr="28EE24EE">
              <w:rPr>
                <w:b/>
                <w:bCs/>
              </w:rPr>
              <w:t>Contact:</w:t>
            </w:r>
          </w:p>
        </w:tc>
        <w:tc>
          <w:tcPr>
            <w:tcW w:w="3911" w:type="dxa"/>
            <w:gridSpan w:val="3"/>
            <w:tcBorders>
              <w:top w:val="single" w:sz="8" w:space="0" w:color="auto"/>
              <w:bottom w:val="single" w:sz="8" w:space="0" w:color="auto"/>
            </w:tcBorders>
          </w:tcPr>
          <w:p w14:paraId="5BA378EC" w14:textId="77777777" w:rsidR="00702D3B" w:rsidRPr="00AF5A57" w:rsidRDefault="00702D3B" w:rsidP="00584DE7">
            <w:r w:rsidRPr="005B6389">
              <w:t>Tom Huber</w:t>
            </w:r>
            <w:r w:rsidRPr="005B6389">
              <w:br/>
            </w:r>
            <w:r>
              <w:t>Vice chair, ITU-T SG15</w:t>
            </w:r>
          </w:p>
        </w:tc>
        <w:tc>
          <w:tcPr>
            <w:tcW w:w="4183" w:type="dxa"/>
            <w:gridSpan w:val="2"/>
            <w:tcBorders>
              <w:top w:val="single" w:sz="8" w:space="0" w:color="auto"/>
              <w:bottom w:val="single" w:sz="8" w:space="0" w:color="auto"/>
            </w:tcBorders>
          </w:tcPr>
          <w:p w14:paraId="2962CFF3" w14:textId="40DCBF86" w:rsidR="00702D3B" w:rsidRPr="00702D3B" w:rsidRDefault="00702D3B" w:rsidP="00584DE7">
            <w:pPr>
              <w:rPr>
                <w:lang w:val="de-CH"/>
              </w:rPr>
            </w:pPr>
            <w:r w:rsidRPr="00702D3B">
              <w:rPr>
                <w:lang w:val="de-CH"/>
              </w:rPr>
              <w:t>Tel:</w:t>
            </w:r>
            <w:r w:rsidRPr="00702D3B">
              <w:rPr>
                <w:lang w:val="de-CH"/>
              </w:rPr>
              <w:tab/>
              <w:t>+1 630 352 9005</w:t>
            </w:r>
            <w:r w:rsidRPr="00702D3B">
              <w:rPr>
                <w:lang w:val="de-CH"/>
              </w:rPr>
              <w:br/>
              <w:t>E-mail:</w:t>
            </w:r>
            <w:r w:rsidRPr="00702D3B">
              <w:rPr>
                <w:lang w:val="de-CH"/>
              </w:rPr>
              <w:tab/>
            </w:r>
            <w:hyperlink r:id="rId9" w:history="1">
              <w:r w:rsidR="00296C02" w:rsidRPr="00B16970">
                <w:rPr>
                  <w:rStyle w:val="Hyperlink"/>
                  <w:lang w:val="de-CH"/>
                </w:rPr>
                <w:t>tom.huber@nokia.com</w:t>
              </w:r>
            </w:hyperlink>
            <w:r w:rsidR="00296C02">
              <w:rPr>
                <w:lang w:val="de-CH"/>
              </w:rPr>
              <w:t xml:space="preserve"> </w:t>
            </w:r>
          </w:p>
        </w:tc>
      </w:tr>
    </w:tbl>
    <w:p w14:paraId="2CB61FBF" w14:textId="77777777" w:rsidR="00702D3B" w:rsidRPr="00702D3B" w:rsidRDefault="00702D3B" w:rsidP="00702D3B">
      <w:pPr>
        <w:rPr>
          <w:lang w:val="de-CH"/>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702D3B" w:rsidRPr="00136DDD" w14:paraId="112F62A1" w14:textId="77777777" w:rsidTr="00584DE7">
        <w:trPr>
          <w:cantSplit/>
        </w:trPr>
        <w:tc>
          <w:tcPr>
            <w:tcW w:w="1588" w:type="dxa"/>
          </w:tcPr>
          <w:p w14:paraId="61ECB27C" w14:textId="77777777" w:rsidR="00702D3B" w:rsidRPr="00136DDD" w:rsidRDefault="00702D3B" w:rsidP="00584DE7">
            <w:pPr>
              <w:rPr>
                <w:b/>
                <w:bCs/>
              </w:rPr>
            </w:pPr>
            <w:r w:rsidRPr="00136DDD">
              <w:rPr>
                <w:b/>
                <w:bCs/>
              </w:rPr>
              <w:t>Abstract:</w:t>
            </w:r>
          </w:p>
        </w:tc>
        <w:tc>
          <w:tcPr>
            <w:tcW w:w="8051" w:type="dxa"/>
          </w:tcPr>
          <w:p w14:paraId="50881F8E" w14:textId="77777777" w:rsidR="00702D3B" w:rsidRPr="008249A7" w:rsidRDefault="00702D3B" w:rsidP="00584DE7">
            <w:pPr>
              <w:pStyle w:val="TSBHeaderSummary"/>
              <w:rPr>
                <w:highlight w:val="yellow"/>
              </w:rPr>
            </w:pPr>
            <w:r w:rsidRPr="00104550">
              <w:t xml:space="preserve">This liaison provides </w:t>
            </w:r>
            <w:r>
              <w:t>input</w:t>
            </w:r>
            <w:r w:rsidRPr="00104550">
              <w:t xml:space="preserve"> from ITU-T SG15 regarding the deadline</w:t>
            </w:r>
            <w:r>
              <w:t>s</w:t>
            </w:r>
            <w:r w:rsidRPr="00104550">
              <w:t xml:space="preserve"> for submitting documents </w:t>
            </w:r>
            <w:r>
              <w:t>as described in draft revised Recommendation A.1</w:t>
            </w:r>
          </w:p>
        </w:tc>
      </w:tr>
    </w:tbl>
    <w:p w14:paraId="08E7F215" w14:textId="77777777" w:rsidR="00702D3B" w:rsidRDefault="00702D3B" w:rsidP="00702D3B"/>
    <w:p w14:paraId="453ED4DD" w14:textId="77777777" w:rsidR="00702D3B" w:rsidRPr="007B5D00" w:rsidRDefault="00702D3B" w:rsidP="00702D3B">
      <w:pPr>
        <w:rPr>
          <w:b/>
          <w:bCs/>
        </w:rPr>
      </w:pPr>
      <w:r w:rsidRPr="007B5D00">
        <w:rPr>
          <w:b/>
          <w:bCs/>
        </w:rPr>
        <w:t>Deadlines for TDs for consent, determination, or agreement</w:t>
      </w:r>
    </w:p>
    <w:p w14:paraId="1678F5D5" w14:textId="77777777" w:rsidR="00702D3B" w:rsidRDefault="00702D3B" w:rsidP="00702D3B">
      <w:r>
        <w:t>There is conflicting information regarding the deadline for submitting TDs for consent, determination, or agreement in the current draft revised A.1 (</w:t>
      </w:r>
      <w:hyperlink r:id="rId10" w:history="1">
        <w:r>
          <w:rPr>
            <w:rStyle w:val="Hyperlink"/>
          </w:rPr>
          <w:t>RGWM-DOC5</w:t>
        </w:r>
      </w:hyperlink>
      <w:r>
        <w:t>).</w:t>
      </w:r>
    </w:p>
    <w:p w14:paraId="397BB429" w14:textId="77777777" w:rsidR="00702D3B" w:rsidRDefault="00702D3B" w:rsidP="00702D3B">
      <w:r>
        <w:t>Clause 2.3.3.6 defines responsibilities of rapporteurs.  Item g in this clause discusses the time by which documents for consent, determination, or agreement must be submitted by the rapporteur (or, by extension, and editor that the rapporteur has appointed):</w:t>
      </w:r>
    </w:p>
    <w:p w14:paraId="59BB632F" w14:textId="77777777" w:rsidR="00702D3B" w:rsidRPr="00D74D85" w:rsidRDefault="00702D3B" w:rsidP="00702D3B">
      <w:pPr>
        <w:pStyle w:val="enumlev1"/>
        <w:ind w:left="1514"/>
      </w:pPr>
      <w:r>
        <w:rPr>
          <w:spacing w:val="5"/>
        </w:rPr>
        <w:t xml:space="preserve">g. </w:t>
      </w:r>
      <w:r w:rsidRPr="00D74D85">
        <w:rPr>
          <w:spacing w:val="5"/>
        </w:rPr>
        <w:t xml:space="preserve">to submit, where possible, as separate TDs each </w:t>
      </w:r>
      <w:r w:rsidRPr="00D74D85">
        <w:t>draft</w:t>
      </w:r>
      <w:r w:rsidRPr="00D74D85">
        <w:rPr>
          <w:spacing w:val="26"/>
        </w:rPr>
        <w:t xml:space="preserve"> </w:t>
      </w:r>
      <w:r w:rsidRPr="00D74D85">
        <w:t>new</w:t>
      </w:r>
      <w:r w:rsidRPr="00D74D85">
        <w:rPr>
          <w:spacing w:val="25"/>
        </w:rPr>
        <w:t xml:space="preserve"> </w:t>
      </w:r>
      <w:r w:rsidRPr="00D74D85">
        <w:t>or</w:t>
      </w:r>
      <w:r w:rsidRPr="00D74D85">
        <w:rPr>
          <w:spacing w:val="25"/>
        </w:rPr>
        <w:t xml:space="preserve"> </w:t>
      </w:r>
      <w:r w:rsidRPr="00D74D85">
        <w:t>revised</w:t>
      </w:r>
      <w:r>
        <w:rPr>
          <w:spacing w:val="25"/>
        </w:rPr>
        <w:t xml:space="preserve"> </w:t>
      </w:r>
      <w:r w:rsidRPr="00D74D85">
        <w:t>Recommendation planned for consent or determination (or draft document planned for agreement),</w:t>
      </w:r>
      <w:r w:rsidRPr="00D74D85">
        <w:rPr>
          <w:spacing w:val="26"/>
        </w:rPr>
        <w:t xml:space="preserve"> </w:t>
      </w:r>
      <w:r w:rsidRPr="00D74D85">
        <w:t>at least six</w:t>
      </w:r>
      <w:r w:rsidRPr="00D74D85">
        <w:rPr>
          <w:spacing w:val="2"/>
        </w:rPr>
        <w:t xml:space="preserve"> </w:t>
      </w:r>
      <w:r w:rsidRPr="00D74D85">
        <w:t>weeks prior to the parent</w:t>
      </w:r>
      <w:r w:rsidRPr="00D74D85">
        <w:rPr>
          <w:spacing w:val="2"/>
        </w:rPr>
        <w:t xml:space="preserve"> </w:t>
      </w:r>
      <w:r w:rsidRPr="00D74D85">
        <w:t>group's</w:t>
      </w:r>
      <w:r w:rsidRPr="00D74D85">
        <w:rPr>
          <w:spacing w:val="2"/>
        </w:rPr>
        <w:t xml:space="preserve"> </w:t>
      </w:r>
      <w:proofErr w:type="gramStart"/>
      <w:r w:rsidRPr="00D74D85">
        <w:t>meeting;</w:t>
      </w:r>
      <w:proofErr w:type="gramEnd"/>
    </w:p>
    <w:p w14:paraId="04D8D732" w14:textId="77777777" w:rsidR="00702D3B" w:rsidRDefault="00702D3B" w:rsidP="00702D3B">
      <w:r>
        <w:t xml:space="preserve">In earlier editions of A.1, this guidance was in reference to a progress report from the rapporteur that could include text for consent or determination.  The wording was revised to what is in the current draft in the 09/2019 edition to what is shown above.   </w:t>
      </w:r>
    </w:p>
    <w:p w14:paraId="0DC459D5" w14:textId="77777777" w:rsidR="00702D3B" w:rsidRDefault="00702D3B" w:rsidP="00702D3B">
      <w:r>
        <w:t>In contrast, 3.3.3 says:</w:t>
      </w:r>
    </w:p>
    <w:p w14:paraId="40B6EA7D" w14:textId="77777777" w:rsidR="00702D3B" w:rsidRDefault="00702D3B" w:rsidP="00E707F0">
      <w:pPr>
        <w:ind w:left="720"/>
        <w:jc w:val="both"/>
      </w:pPr>
      <w:r>
        <w:rPr>
          <w:b/>
          <w:bCs/>
        </w:rPr>
        <w:t>3.3.3</w:t>
      </w:r>
      <w:r>
        <w:tab/>
        <w:t>TDs input before the start of the study group or working party meeting, including documents from the ITU secretariat, should be posted on the relevant page of the website not later than three working days from the date on which they are received by the secretariat, to ensure their availability not later than seven calendar days before the start of the meeting.</w:t>
      </w:r>
    </w:p>
    <w:p w14:paraId="444E9A65" w14:textId="77777777" w:rsidR="00702D3B" w:rsidRDefault="00702D3B" w:rsidP="00702D3B">
      <w:pPr>
        <w:keepNext/>
        <w:ind w:left="720"/>
        <w:jc w:val="both"/>
      </w:pPr>
      <w:r>
        <w:lastRenderedPageBreak/>
        <w:t>This deadline shall not extend to administrative documents or reports on events that have taken place less than 21 calendar days before the start of the meeting, nor to proposals from chairs and convenors of ad hoc groups, compilations of proposals prepared by chairs or the secretariat, or documents specifically requested by the meeting. Reports on events that have taken place less than 21 calendar days before the start of the meeting should normally be posted on the relevant page of the website not later than two calendar days before the beginning of the discussion of the item in question at the meeting, unless otherwise agreed by the meeting.</w:t>
      </w:r>
    </w:p>
    <w:p w14:paraId="1685FE7E" w14:textId="77777777" w:rsidR="00702D3B" w:rsidRDefault="00702D3B" w:rsidP="00702D3B">
      <w:pPr>
        <w:ind w:left="720"/>
      </w:pPr>
      <w:r>
        <w:t>TDs containing material coming from external standards development organizations (including proposals to incorporate text according to [ITU</w:t>
      </w:r>
      <w:r>
        <w:noBreakHyphen/>
        <w:t>T A.25]) sho</w:t>
      </w:r>
      <w:r w:rsidRPr="00F72BEF">
        <w:t>uld normally</w:t>
      </w:r>
      <w:r>
        <w:t xml:space="preserve"> reach TSB at least 12 calendar days before the meeting.</w:t>
      </w:r>
    </w:p>
    <w:p w14:paraId="2D80ED88" w14:textId="77777777" w:rsidR="00702D3B" w:rsidRDefault="00702D3B" w:rsidP="00702D3B">
      <w:r>
        <w:t xml:space="preserve">The text in 3.3.3 appears to apply to all TDs for consent, determination, or agreement, and it can be inferred that the deadline to submit such TDs to the secretariat is 12 calendar days prior to the meeting (such that the secretariat can post it within 3 working days and meet the </w:t>
      </w:r>
      <w:proofErr w:type="gramStart"/>
      <w:r>
        <w:t>7 calendar</w:t>
      </w:r>
      <w:proofErr w:type="gramEnd"/>
      <w:r>
        <w:t xml:space="preserve"> day deadline for availability).  This aligns with the contribution deadline of 12 calendar days before the meeting (as described in clause 3.1.9 of A.1).  </w:t>
      </w:r>
    </w:p>
    <w:p w14:paraId="4625585E" w14:textId="77777777" w:rsidR="00702D3B" w:rsidRDefault="00702D3B" w:rsidP="00702D3B">
      <w:r>
        <w:t xml:space="preserve">On that basis, SG15 has had a </w:t>
      </w:r>
      <w:proofErr w:type="gramStart"/>
      <w:r>
        <w:t>long standing</w:t>
      </w:r>
      <w:proofErr w:type="gramEnd"/>
      <w:r>
        <w:t xml:space="preserve"> guideline that all TDs for consent, determination, or agreement should be available by the contribution deadline (with an exception in cases where a contribution to the meeting prompts the need to issue a corrigendum to correct errors in an in-force Recommendation).</w:t>
      </w:r>
    </w:p>
    <w:p w14:paraId="21BBDF73" w14:textId="77777777" w:rsidR="00702D3B" w:rsidRDefault="00702D3B" w:rsidP="00702D3B">
      <w:r>
        <w:t xml:space="preserve">As </w:t>
      </w:r>
      <w:proofErr w:type="gramStart"/>
      <w:r>
        <w:t>the vast majority of</w:t>
      </w:r>
      <w:proofErr w:type="gramEnd"/>
      <w:r>
        <w:t xml:space="preserve"> documents considered by SG15 do not have regulatory implications and therefore use the alternative approval process defined in Recommendation A.8, we have found the shorter deadline to be helpful in meeting the needs of industry.  As such, we would suggest that TSAG consider whether different deadlines for submitting documents for consent, determination, or agreement based on the approval process would be appropriate.  I.e., the </w:t>
      </w:r>
      <w:proofErr w:type="gramStart"/>
      <w:r>
        <w:t>six week</w:t>
      </w:r>
      <w:proofErr w:type="gramEnd"/>
      <w:r>
        <w:t xml:space="preserve"> deadline could be applied for Determination, and perhaps the shorter deadline of 12 calendar days would be reasonable for documents for Consent or Agreement. </w:t>
      </w:r>
    </w:p>
    <w:p w14:paraId="3F77F553" w14:textId="77777777" w:rsidR="00702D3B" w:rsidRDefault="00702D3B" w:rsidP="00702D3B">
      <w:r>
        <w:t>We would further suggest that the conflict between 2.3.3.6 item g) and clause 3.3.3 be resolved.</w:t>
      </w:r>
    </w:p>
    <w:p w14:paraId="780B53FB" w14:textId="77777777" w:rsidR="00702D3B" w:rsidRDefault="00702D3B" w:rsidP="00702D3B">
      <w:r>
        <w:t xml:space="preserve"> A potential way to do this would be to modify 2.3.3.6 item g) as shown:</w:t>
      </w:r>
    </w:p>
    <w:p w14:paraId="65A1B46D" w14:textId="25C61DFA" w:rsidR="00702D3B" w:rsidRDefault="00702D3B" w:rsidP="00702D3B">
      <w:pPr>
        <w:pStyle w:val="enumlev1"/>
        <w:ind w:left="1514"/>
      </w:pPr>
      <w:r>
        <w:rPr>
          <w:spacing w:val="5"/>
        </w:rPr>
        <w:t xml:space="preserve">g. </w:t>
      </w:r>
      <w:r w:rsidRPr="00D74D85">
        <w:rPr>
          <w:spacing w:val="5"/>
        </w:rPr>
        <w:t xml:space="preserve">to submit, where possible, as separate TDs each </w:t>
      </w:r>
      <w:r w:rsidRPr="00D74D85">
        <w:t>draft</w:t>
      </w:r>
      <w:r w:rsidRPr="00D74D85">
        <w:rPr>
          <w:spacing w:val="26"/>
        </w:rPr>
        <w:t xml:space="preserve"> </w:t>
      </w:r>
      <w:r w:rsidRPr="00D74D85">
        <w:t>new</w:t>
      </w:r>
      <w:r w:rsidRPr="00D74D85">
        <w:rPr>
          <w:spacing w:val="25"/>
        </w:rPr>
        <w:t xml:space="preserve"> </w:t>
      </w:r>
      <w:r w:rsidRPr="00D74D85">
        <w:t>or</w:t>
      </w:r>
      <w:r w:rsidRPr="00D74D85">
        <w:rPr>
          <w:spacing w:val="25"/>
        </w:rPr>
        <w:t xml:space="preserve"> </w:t>
      </w:r>
      <w:r w:rsidRPr="00D74D85">
        <w:t>revised</w:t>
      </w:r>
      <w:r>
        <w:rPr>
          <w:spacing w:val="25"/>
        </w:rPr>
        <w:t xml:space="preserve"> </w:t>
      </w:r>
      <w:r w:rsidRPr="00D74D85">
        <w:t>Recommendation planned for determination,</w:t>
      </w:r>
      <w:r w:rsidRPr="00D74D85">
        <w:rPr>
          <w:spacing w:val="26"/>
        </w:rPr>
        <w:t xml:space="preserve"> </w:t>
      </w:r>
      <w:r w:rsidRPr="00D74D85">
        <w:t>at least six</w:t>
      </w:r>
      <w:r w:rsidRPr="00D74D85">
        <w:rPr>
          <w:spacing w:val="2"/>
        </w:rPr>
        <w:t xml:space="preserve"> </w:t>
      </w:r>
      <w:r w:rsidRPr="00D74D85">
        <w:t>weeks prior to the parent</w:t>
      </w:r>
      <w:r w:rsidRPr="00D74D85">
        <w:rPr>
          <w:spacing w:val="2"/>
        </w:rPr>
        <w:t xml:space="preserve"> </w:t>
      </w:r>
      <w:r w:rsidRPr="00D74D85">
        <w:t>group's</w:t>
      </w:r>
      <w:r w:rsidRPr="00D74D85">
        <w:rPr>
          <w:spacing w:val="2"/>
        </w:rPr>
        <w:t xml:space="preserve"> </w:t>
      </w:r>
      <w:r w:rsidRPr="00D74D85">
        <w:t>meeting;</w:t>
      </w:r>
      <w:r>
        <w:t xml:space="preserve"> and to submit, as separate TDs each draft new or revised Recommendation planned for consent (or draft document planned for agreement) at least 12 calendar days before the parent group’s meeting.</w:t>
      </w:r>
    </w:p>
    <w:p w14:paraId="07939756" w14:textId="77777777" w:rsidR="00702D3B" w:rsidRDefault="00702D3B" w:rsidP="00702D3B">
      <w:pPr>
        <w:pStyle w:val="enumlev1"/>
        <w:ind w:left="0" w:firstLine="0"/>
        <w:rPr>
          <w:b/>
          <w:bCs/>
        </w:rPr>
      </w:pPr>
    </w:p>
    <w:p w14:paraId="44217AA2" w14:textId="77777777" w:rsidR="00702D3B" w:rsidRDefault="00702D3B" w:rsidP="00702D3B">
      <w:pPr>
        <w:pStyle w:val="enumlev1"/>
        <w:ind w:left="0" w:firstLine="0"/>
        <w:rPr>
          <w:b/>
          <w:bCs/>
        </w:rPr>
      </w:pPr>
      <w:r>
        <w:rPr>
          <w:b/>
          <w:bCs/>
        </w:rPr>
        <w:t>Deadline for submitting contributions to rapporteur group meetings</w:t>
      </w:r>
    </w:p>
    <w:p w14:paraId="536A8220" w14:textId="77777777" w:rsidR="00702D3B" w:rsidRDefault="00702D3B" w:rsidP="00702D3B">
      <w:pPr>
        <w:pStyle w:val="enumlev1"/>
        <w:ind w:left="0" w:firstLine="0"/>
      </w:pPr>
      <w:r>
        <w:t>Proposed new Clause 3.1.9 suggests extending the 12 calendar-day deadline to rapporteur group meetings:</w:t>
      </w:r>
    </w:p>
    <w:p w14:paraId="380EE755" w14:textId="77777777" w:rsidR="00702D3B" w:rsidRDefault="00702D3B" w:rsidP="00E707F0">
      <w:pPr>
        <w:pStyle w:val="enumlev1"/>
        <w:keepNext/>
        <w:keepLines/>
        <w:ind w:left="0" w:firstLine="0"/>
      </w:pPr>
      <w:r>
        <w:rPr>
          <w:noProof/>
          <w:lang w:val="en-CA"/>
        </w:rPr>
        <w:lastRenderedPageBreak/>
        <w:drawing>
          <wp:inline distT="0" distB="0" distL="0" distR="0" wp14:anchorId="7B0FAB58" wp14:editId="232D5B16">
            <wp:extent cx="6120765" cy="983615"/>
            <wp:effectExtent l="0" t="0" r="0" b="6985"/>
            <wp:docPr id="899459974" name="Picture 1" descr="A close-up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59974" name="Picture 1" descr="A close-up of a message&#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120765" cy="983615"/>
                    </a:xfrm>
                    <a:prstGeom prst="rect">
                      <a:avLst/>
                    </a:prstGeom>
                    <a:noFill/>
                    <a:ln>
                      <a:noFill/>
                    </a:ln>
                  </pic:spPr>
                </pic:pic>
              </a:graphicData>
            </a:graphic>
          </wp:inline>
        </w:drawing>
      </w:r>
    </w:p>
    <w:p w14:paraId="2ECD7C53" w14:textId="77777777" w:rsidR="00702D3B" w:rsidRDefault="00702D3B" w:rsidP="00E707F0">
      <w:pPr>
        <w:pStyle w:val="enumlev1"/>
        <w:keepNext/>
        <w:keepLines/>
        <w:ind w:left="0" w:firstLine="0"/>
      </w:pPr>
      <w:r>
        <w:t>SG15 does not support these changes regarding rapporteur group meetings. SG15 has had a long-standing guideline that the deadline for contributions to rapporteur group meetings are determined by the rapporteur (with a suggested deadline of one week before the meeting).  We think this gives the rapporteur the appropriate flexibility to conduct the business of the Question.</w:t>
      </w:r>
    </w:p>
    <w:p w14:paraId="1C274AD4" w14:textId="77777777" w:rsidR="00702D3B" w:rsidRPr="0035389A" w:rsidRDefault="00702D3B" w:rsidP="00702D3B">
      <w:pPr>
        <w:pStyle w:val="enumlev1"/>
        <w:ind w:left="0" w:firstLine="0"/>
      </w:pPr>
    </w:p>
    <w:p w14:paraId="2A6E7637" w14:textId="77777777" w:rsidR="00702D3B" w:rsidRPr="00CB6CA6" w:rsidRDefault="00702D3B" w:rsidP="00702D3B">
      <w:pPr>
        <w:pStyle w:val="enumlev1"/>
        <w:ind w:left="0" w:firstLine="0"/>
        <w:rPr>
          <w:rFonts w:eastAsia="Malgun Gothic"/>
          <w:lang w:eastAsia="ko-KR"/>
        </w:rPr>
      </w:pPr>
      <w:r>
        <w:rPr>
          <w:rFonts w:eastAsia="Malgun Gothic" w:hint="eastAsia"/>
          <w:lang w:eastAsia="ko-KR"/>
        </w:rPr>
        <w:t>I</w:t>
      </w:r>
      <w:r>
        <w:rPr>
          <w:rFonts w:eastAsia="Malgun Gothic"/>
          <w:lang w:eastAsia="ko-KR"/>
        </w:rPr>
        <w:t>TU-T SG15 looks forward to further cooperation with TSAG.</w:t>
      </w:r>
    </w:p>
    <w:p w14:paraId="6AB9F598" w14:textId="77777777" w:rsidR="00702D3B" w:rsidRDefault="00702D3B" w:rsidP="00702D3B">
      <w:pPr>
        <w:jc w:val="center"/>
      </w:pPr>
      <w:r>
        <w:t>_______________________</w:t>
      </w:r>
    </w:p>
    <w:p w14:paraId="1946E2A7" w14:textId="77777777" w:rsidR="00452673" w:rsidRPr="0036079B" w:rsidRDefault="00452673" w:rsidP="0036079B"/>
    <w:sectPr w:rsidR="00452673" w:rsidRPr="0036079B" w:rsidSect="00246FF4">
      <w:headerReference w:type="default" r:id="rId13"/>
      <w:pgSz w:w="11906" w:h="16838"/>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D963F" w14:textId="77777777" w:rsidR="006E511F" w:rsidRDefault="006E511F" w:rsidP="006E511F">
      <w:pPr>
        <w:spacing w:before="0"/>
      </w:pPr>
      <w:r>
        <w:separator/>
      </w:r>
    </w:p>
  </w:endnote>
  <w:endnote w:type="continuationSeparator" w:id="0">
    <w:p w14:paraId="20D678E5" w14:textId="77777777" w:rsidR="006E511F" w:rsidRDefault="006E511F" w:rsidP="006E511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3197" w14:textId="77777777" w:rsidR="006E511F" w:rsidRDefault="006E511F" w:rsidP="006E511F">
      <w:pPr>
        <w:spacing w:before="0"/>
      </w:pPr>
      <w:r>
        <w:separator/>
      </w:r>
    </w:p>
  </w:footnote>
  <w:footnote w:type="continuationSeparator" w:id="0">
    <w:p w14:paraId="119F3631" w14:textId="77777777" w:rsidR="006E511F" w:rsidRDefault="006E511F" w:rsidP="006E511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AD4D" w14:textId="02D65EF9" w:rsidR="006E511F" w:rsidRPr="00246FF4" w:rsidRDefault="00246FF4" w:rsidP="00246FF4">
    <w:pPr>
      <w:pStyle w:val="Header"/>
      <w:jc w:val="center"/>
      <w:rPr>
        <w:sz w:val="18"/>
      </w:rPr>
    </w:pPr>
    <w:r w:rsidRPr="00246FF4">
      <w:rPr>
        <w:sz w:val="18"/>
      </w:rPr>
      <w:t xml:space="preserve">- </w:t>
    </w:r>
    <w:r w:rsidRPr="00246FF4">
      <w:rPr>
        <w:sz w:val="18"/>
      </w:rPr>
      <w:fldChar w:fldCharType="begin"/>
    </w:r>
    <w:r w:rsidRPr="00246FF4">
      <w:rPr>
        <w:sz w:val="18"/>
      </w:rPr>
      <w:instrText xml:space="preserve"> PAGE  \* MERGEFORMAT </w:instrText>
    </w:r>
    <w:r w:rsidRPr="00246FF4">
      <w:rPr>
        <w:sz w:val="18"/>
      </w:rPr>
      <w:fldChar w:fldCharType="separate"/>
    </w:r>
    <w:r w:rsidRPr="00246FF4">
      <w:rPr>
        <w:noProof/>
        <w:sz w:val="18"/>
      </w:rPr>
      <w:t>1</w:t>
    </w:r>
    <w:r w:rsidRPr="00246FF4">
      <w:rPr>
        <w:sz w:val="18"/>
      </w:rPr>
      <w:fldChar w:fldCharType="end"/>
    </w:r>
    <w:r w:rsidRPr="00246FF4">
      <w:rPr>
        <w:sz w:val="18"/>
      </w:rPr>
      <w:t xml:space="preserve"> -</w:t>
    </w:r>
  </w:p>
  <w:p w14:paraId="07F3CDF8" w14:textId="3813FC79" w:rsidR="00246FF4" w:rsidRPr="00246FF4" w:rsidRDefault="00246FF4" w:rsidP="00246FF4">
    <w:pPr>
      <w:pStyle w:val="Header"/>
      <w:spacing w:after="240"/>
      <w:jc w:val="center"/>
      <w:rPr>
        <w:sz w:val="18"/>
      </w:rPr>
    </w:pPr>
    <w:r w:rsidRPr="00246FF4">
      <w:rPr>
        <w:sz w:val="18"/>
      </w:rPr>
      <w:fldChar w:fldCharType="begin"/>
    </w:r>
    <w:r w:rsidRPr="00246FF4">
      <w:rPr>
        <w:sz w:val="18"/>
      </w:rPr>
      <w:instrText xml:space="preserve"> STYLEREF  Docnumber  </w:instrText>
    </w:r>
    <w:r>
      <w:rPr>
        <w:sz w:val="18"/>
      </w:rPr>
      <w:fldChar w:fldCharType="separate"/>
    </w:r>
    <w:r w:rsidR="00E707F0">
      <w:rPr>
        <w:noProof/>
        <w:sz w:val="18"/>
      </w:rPr>
      <w:t>TSAG-TD232</w:t>
    </w:r>
    <w:r w:rsidRPr="00246FF4">
      <w:rPr>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3B"/>
    <w:rsid w:val="000653D2"/>
    <w:rsid w:val="00246FF4"/>
    <w:rsid w:val="00273DDB"/>
    <w:rsid w:val="00296C02"/>
    <w:rsid w:val="0036079B"/>
    <w:rsid w:val="00445438"/>
    <w:rsid w:val="00452673"/>
    <w:rsid w:val="006E511F"/>
    <w:rsid w:val="00702D3B"/>
    <w:rsid w:val="007D7FE3"/>
    <w:rsid w:val="008E783B"/>
    <w:rsid w:val="00A11C0D"/>
    <w:rsid w:val="00BD5528"/>
    <w:rsid w:val="00E707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E650"/>
  <w15:chartTrackingRefBased/>
  <w15:docId w15:val="{15BB7C87-6E44-46FE-BA24-2C7E928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D3B"/>
    <w:pPr>
      <w:tabs>
        <w:tab w:val="left" w:pos="794"/>
        <w:tab w:val="left" w:pos="1191"/>
        <w:tab w:val="left" w:pos="1588"/>
        <w:tab w:val="left" w:pos="1985"/>
      </w:tabs>
      <w:spacing w:before="120" w:after="0" w:line="240" w:lineRule="auto"/>
    </w:pPr>
    <w:rPr>
      <w:rFonts w:ascii="Times New Roman" w:eastAsiaTheme="minorEastAsia" w:hAnsi="Times New Roman" w:cs="Times New Roman"/>
      <w:kern w:val="0"/>
      <w:sz w:val="24"/>
      <w:szCs w:val="20"/>
      <w14:ligatures w14:val="none"/>
    </w:rPr>
  </w:style>
  <w:style w:type="paragraph" w:styleId="Heading1">
    <w:name w:val="heading 1"/>
    <w:basedOn w:val="Normal"/>
    <w:next w:val="Normal"/>
    <w:link w:val="Heading1Char"/>
    <w:qFormat/>
    <w:rsid w:val="00360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60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60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60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60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607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607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607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607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79B"/>
    <w:rPr>
      <w:rFonts w:eastAsiaTheme="majorEastAsia" w:cstheme="majorBidi"/>
      <w:color w:val="272727" w:themeColor="text1" w:themeTint="D8"/>
    </w:rPr>
  </w:style>
  <w:style w:type="paragraph" w:styleId="Title">
    <w:name w:val="Title"/>
    <w:basedOn w:val="Normal"/>
    <w:next w:val="Normal"/>
    <w:link w:val="TitleChar"/>
    <w:uiPriority w:val="10"/>
    <w:qFormat/>
    <w:rsid w:val="003607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79B"/>
    <w:pPr>
      <w:spacing w:before="160"/>
      <w:jc w:val="center"/>
    </w:pPr>
    <w:rPr>
      <w:i/>
      <w:iCs/>
      <w:color w:val="404040" w:themeColor="text1" w:themeTint="BF"/>
    </w:rPr>
  </w:style>
  <w:style w:type="character" w:customStyle="1" w:styleId="QuoteChar">
    <w:name w:val="Quote Char"/>
    <w:basedOn w:val="DefaultParagraphFont"/>
    <w:link w:val="Quote"/>
    <w:uiPriority w:val="29"/>
    <w:rsid w:val="0036079B"/>
    <w:rPr>
      <w:i/>
      <w:iCs/>
      <w:color w:val="404040" w:themeColor="text1" w:themeTint="BF"/>
    </w:rPr>
  </w:style>
  <w:style w:type="paragraph" w:styleId="ListParagraph">
    <w:name w:val="List Paragraph"/>
    <w:basedOn w:val="Normal"/>
    <w:uiPriority w:val="34"/>
    <w:qFormat/>
    <w:rsid w:val="0036079B"/>
    <w:pPr>
      <w:ind w:left="720"/>
      <w:contextualSpacing/>
    </w:pPr>
  </w:style>
  <w:style w:type="character" w:styleId="IntenseEmphasis">
    <w:name w:val="Intense Emphasis"/>
    <w:basedOn w:val="DefaultParagraphFont"/>
    <w:uiPriority w:val="21"/>
    <w:qFormat/>
    <w:rsid w:val="0036079B"/>
    <w:rPr>
      <w:i/>
      <w:iCs/>
      <w:color w:val="0F4761" w:themeColor="accent1" w:themeShade="BF"/>
    </w:rPr>
  </w:style>
  <w:style w:type="paragraph" w:styleId="IntenseQuote">
    <w:name w:val="Intense Quote"/>
    <w:basedOn w:val="Normal"/>
    <w:next w:val="Normal"/>
    <w:link w:val="IntenseQuoteChar"/>
    <w:uiPriority w:val="30"/>
    <w:qFormat/>
    <w:rsid w:val="00360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79B"/>
    <w:rPr>
      <w:i/>
      <w:iCs/>
      <w:color w:val="0F4761" w:themeColor="accent1" w:themeShade="BF"/>
    </w:rPr>
  </w:style>
  <w:style w:type="character" w:styleId="IntenseReference">
    <w:name w:val="Intense Reference"/>
    <w:basedOn w:val="DefaultParagraphFont"/>
    <w:uiPriority w:val="32"/>
    <w:qFormat/>
    <w:rsid w:val="0036079B"/>
    <w:rPr>
      <w:b/>
      <w:bCs/>
      <w:smallCaps/>
      <w:color w:val="0F4761" w:themeColor="accent1" w:themeShade="BF"/>
      <w:spacing w:val="5"/>
    </w:rPr>
  </w:style>
  <w:style w:type="paragraph" w:customStyle="1" w:styleId="enumlev1">
    <w:name w:val="enumlev1"/>
    <w:basedOn w:val="Normal"/>
    <w:rsid w:val="00702D3B"/>
    <w:pPr>
      <w:spacing w:before="80"/>
      <w:ind w:left="794" w:hanging="794"/>
    </w:pPr>
  </w:style>
  <w:style w:type="character" w:styleId="Hyperlink">
    <w:name w:val="Hyperlink"/>
    <w:aliases w:val="超级链接,超?级链,CEO_Hyperlink,Style 58,超????,하이퍼링크2,超链接1,하이퍼링크21,超??级链Ú,fL????,fL?级,超??级链,超?级链Ú,’´?级链,’´????,’´??级链Ú,’´??级,超?级链?,Style?,S,ECC Hyperlink,超?级链ïÈ,õ±?级链,õ±链ïÈ1,õ±???,하이퍼링크1"/>
    <w:qFormat/>
    <w:rsid w:val="00702D3B"/>
    <w:rPr>
      <w:color w:val="0000FF"/>
      <w:u w:val="single"/>
    </w:rPr>
  </w:style>
  <w:style w:type="paragraph" w:customStyle="1" w:styleId="LSDeadline">
    <w:name w:val="LSDeadline"/>
    <w:basedOn w:val="Normal"/>
    <w:rsid w:val="00702D3B"/>
    <w:rPr>
      <w:rFonts w:eastAsia="MS Mincho"/>
      <w:b/>
      <w:bCs/>
    </w:rPr>
  </w:style>
  <w:style w:type="paragraph" w:customStyle="1" w:styleId="LSForAction">
    <w:name w:val="LSForAction"/>
    <w:basedOn w:val="Normal"/>
    <w:rsid w:val="00702D3B"/>
    <w:rPr>
      <w:rFonts w:eastAsia="MS Mincho"/>
      <w:b/>
      <w:bCs/>
    </w:rPr>
  </w:style>
  <w:style w:type="paragraph" w:customStyle="1" w:styleId="LSForInfo">
    <w:name w:val="LSForInfo"/>
    <w:basedOn w:val="LSForAction"/>
    <w:rsid w:val="00702D3B"/>
  </w:style>
  <w:style w:type="paragraph" w:customStyle="1" w:styleId="Heading1Centered">
    <w:name w:val="Heading 1 Centered"/>
    <w:basedOn w:val="Heading1"/>
    <w:qFormat/>
    <w:rsid w:val="00702D3B"/>
    <w:pPr>
      <w:tabs>
        <w:tab w:val="left" w:pos="1134"/>
        <w:tab w:val="left" w:pos="1871"/>
        <w:tab w:val="left" w:pos="2268"/>
      </w:tabs>
      <w:spacing w:after="0"/>
      <w:ind w:left="432" w:hanging="432"/>
      <w:jc w:val="center"/>
    </w:pPr>
    <w:rPr>
      <w:rFonts w:ascii="Times New Roman" w:eastAsiaTheme="minorEastAsia" w:hAnsi="Times New Roman" w:cs="Times New Roman"/>
      <w:b/>
      <w:bCs/>
      <w:color w:val="auto"/>
      <w:sz w:val="24"/>
      <w:szCs w:val="20"/>
      <w:lang w:val="en-US"/>
    </w:rPr>
  </w:style>
  <w:style w:type="paragraph" w:customStyle="1" w:styleId="VenueDate">
    <w:name w:val="VenueDate"/>
    <w:basedOn w:val="Normal"/>
    <w:qFormat/>
    <w:rsid w:val="00702D3B"/>
    <w:pPr>
      <w:tabs>
        <w:tab w:val="clear" w:pos="794"/>
        <w:tab w:val="clear" w:pos="1191"/>
        <w:tab w:val="clear" w:pos="1588"/>
        <w:tab w:val="clear" w:pos="1985"/>
      </w:tabs>
      <w:overflowPunct w:val="0"/>
      <w:autoSpaceDE w:val="0"/>
      <w:autoSpaceDN w:val="0"/>
      <w:adjustRightInd w:val="0"/>
      <w:jc w:val="right"/>
      <w:textAlignment w:val="baseline"/>
    </w:pPr>
    <w:rPr>
      <w:rFonts w:eastAsia="Times New Roman"/>
    </w:rPr>
  </w:style>
  <w:style w:type="paragraph" w:customStyle="1" w:styleId="TSBHeaderQuestion">
    <w:name w:val="TSBHeaderQuestion"/>
    <w:basedOn w:val="Normal"/>
    <w:qFormat/>
    <w:rsid w:val="00702D3B"/>
    <w:pPr>
      <w:tabs>
        <w:tab w:val="clear" w:pos="794"/>
        <w:tab w:val="clear" w:pos="1191"/>
        <w:tab w:val="clear" w:pos="1588"/>
        <w:tab w:val="clear" w:pos="1985"/>
      </w:tabs>
    </w:pPr>
    <w:rPr>
      <w:szCs w:val="24"/>
      <w:lang w:eastAsia="ja-JP"/>
    </w:rPr>
  </w:style>
  <w:style w:type="paragraph" w:customStyle="1" w:styleId="TSBHeaderSource">
    <w:name w:val="TSBHeaderSource"/>
    <w:basedOn w:val="Normal"/>
    <w:qFormat/>
    <w:rsid w:val="00702D3B"/>
    <w:pPr>
      <w:tabs>
        <w:tab w:val="clear" w:pos="794"/>
        <w:tab w:val="clear" w:pos="1191"/>
        <w:tab w:val="clear" w:pos="1588"/>
        <w:tab w:val="clear" w:pos="1985"/>
      </w:tabs>
    </w:pPr>
    <w:rPr>
      <w:szCs w:val="24"/>
      <w:lang w:eastAsia="ja-JP"/>
    </w:rPr>
  </w:style>
  <w:style w:type="paragraph" w:customStyle="1" w:styleId="TSBHeaderTitle">
    <w:name w:val="TSBHeaderTitle"/>
    <w:basedOn w:val="Normal"/>
    <w:qFormat/>
    <w:rsid w:val="00702D3B"/>
    <w:pPr>
      <w:tabs>
        <w:tab w:val="clear" w:pos="794"/>
        <w:tab w:val="clear" w:pos="1191"/>
        <w:tab w:val="clear" w:pos="1588"/>
        <w:tab w:val="clear" w:pos="1985"/>
      </w:tabs>
    </w:pPr>
    <w:rPr>
      <w:szCs w:val="24"/>
      <w:lang w:eastAsia="ja-JP"/>
    </w:rPr>
  </w:style>
  <w:style w:type="paragraph" w:customStyle="1" w:styleId="TSBHeaderSummary">
    <w:name w:val="TSBHeaderSummary"/>
    <w:basedOn w:val="Normal"/>
    <w:rsid w:val="00702D3B"/>
    <w:pPr>
      <w:tabs>
        <w:tab w:val="clear" w:pos="794"/>
        <w:tab w:val="clear" w:pos="1191"/>
        <w:tab w:val="clear" w:pos="1588"/>
        <w:tab w:val="clear" w:pos="1985"/>
      </w:tabs>
    </w:pPr>
    <w:rPr>
      <w:szCs w:val="24"/>
      <w:lang w:eastAsia="ja-JP"/>
    </w:rPr>
  </w:style>
  <w:style w:type="paragraph" w:customStyle="1" w:styleId="LSApproval">
    <w:name w:val="LSApproval"/>
    <w:basedOn w:val="Normal"/>
    <w:rsid w:val="00702D3B"/>
    <w:pPr>
      <w:tabs>
        <w:tab w:val="clear" w:pos="794"/>
        <w:tab w:val="clear" w:pos="1191"/>
        <w:tab w:val="clear" w:pos="1588"/>
        <w:tab w:val="clear" w:pos="1985"/>
      </w:tabs>
    </w:pPr>
    <w:rPr>
      <w:b/>
      <w:bCs/>
      <w:szCs w:val="24"/>
      <w:lang w:eastAsia="ja-JP"/>
    </w:rPr>
  </w:style>
  <w:style w:type="paragraph" w:styleId="Header">
    <w:name w:val="header"/>
    <w:basedOn w:val="Normal"/>
    <w:link w:val="HeaderChar"/>
    <w:uiPriority w:val="99"/>
    <w:unhideWhenUsed/>
    <w:rsid w:val="006E511F"/>
    <w:pPr>
      <w:tabs>
        <w:tab w:val="clear" w:pos="794"/>
        <w:tab w:val="clear" w:pos="1191"/>
        <w:tab w:val="clear" w:pos="1588"/>
        <w:tab w:val="clear" w:pos="1985"/>
        <w:tab w:val="center" w:pos="4513"/>
        <w:tab w:val="right" w:pos="9026"/>
      </w:tabs>
      <w:spacing w:before="0"/>
    </w:pPr>
  </w:style>
  <w:style w:type="character" w:customStyle="1" w:styleId="HeaderChar">
    <w:name w:val="Header Char"/>
    <w:basedOn w:val="DefaultParagraphFont"/>
    <w:link w:val="Header"/>
    <w:uiPriority w:val="99"/>
    <w:rsid w:val="006E511F"/>
    <w:rPr>
      <w:rFonts w:ascii="Times New Roman" w:eastAsiaTheme="minorEastAsia" w:hAnsi="Times New Roman" w:cs="Times New Roman"/>
      <w:kern w:val="0"/>
      <w:sz w:val="24"/>
      <w:szCs w:val="20"/>
      <w14:ligatures w14:val="none"/>
    </w:rPr>
  </w:style>
  <w:style w:type="paragraph" w:styleId="Footer">
    <w:name w:val="footer"/>
    <w:basedOn w:val="Normal"/>
    <w:link w:val="FooterChar"/>
    <w:uiPriority w:val="99"/>
    <w:unhideWhenUsed/>
    <w:rsid w:val="006E511F"/>
    <w:pPr>
      <w:tabs>
        <w:tab w:val="clear" w:pos="794"/>
        <w:tab w:val="clear" w:pos="1191"/>
        <w:tab w:val="clear" w:pos="1588"/>
        <w:tab w:val="clear" w:pos="1985"/>
        <w:tab w:val="center" w:pos="4513"/>
        <w:tab w:val="right" w:pos="9026"/>
      </w:tabs>
      <w:spacing w:before="0"/>
    </w:pPr>
  </w:style>
  <w:style w:type="character" w:customStyle="1" w:styleId="FooterChar">
    <w:name w:val="Footer Char"/>
    <w:basedOn w:val="DefaultParagraphFont"/>
    <w:link w:val="Footer"/>
    <w:uiPriority w:val="99"/>
    <w:rsid w:val="006E511F"/>
    <w:rPr>
      <w:rFonts w:ascii="Times New Roman" w:eastAsiaTheme="minorEastAsia" w:hAnsi="Times New Roman" w:cs="Times New Roman"/>
      <w:kern w:val="0"/>
      <w:sz w:val="24"/>
      <w:szCs w:val="20"/>
      <w14:ligatures w14:val="none"/>
    </w:rPr>
  </w:style>
  <w:style w:type="paragraph" w:customStyle="1" w:styleId="Docnumber">
    <w:name w:val="Docnumber"/>
    <w:basedOn w:val="Normal"/>
    <w:link w:val="DocnumberChar"/>
    <w:qFormat/>
    <w:rsid w:val="006E511F"/>
    <w:pPr>
      <w:overflowPunct w:val="0"/>
      <w:autoSpaceDE w:val="0"/>
      <w:autoSpaceDN w:val="0"/>
      <w:adjustRightInd w:val="0"/>
      <w:jc w:val="right"/>
      <w:textAlignment w:val="baseline"/>
    </w:pPr>
    <w:rPr>
      <w:rFonts w:eastAsia="SimSun"/>
      <w:b/>
      <w:sz w:val="32"/>
    </w:rPr>
  </w:style>
  <w:style w:type="character" w:customStyle="1" w:styleId="DocnumberChar">
    <w:name w:val="Docnumber Char"/>
    <w:link w:val="Docnumber"/>
    <w:rsid w:val="006E511F"/>
    <w:rPr>
      <w:rFonts w:ascii="Times New Roman" w:eastAsia="SimSun" w:hAnsi="Times New Roman" w:cs="Times New Roman"/>
      <w:b/>
      <w:kern w:val="0"/>
      <w:sz w:val="32"/>
      <w:szCs w:val="20"/>
      <w14:ligatures w14:val="none"/>
    </w:rPr>
  </w:style>
  <w:style w:type="character" w:styleId="UnresolvedMention">
    <w:name w:val="Unresolved Mention"/>
    <w:basedOn w:val="DefaultParagraphFont"/>
    <w:uiPriority w:val="99"/>
    <w:semiHidden/>
    <w:unhideWhenUsed/>
    <w:rsid w:val="00296C02"/>
    <w:rPr>
      <w:color w:val="605E5C"/>
      <w:shd w:val="clear" w:color="auto" w:fill="E1DFDD"/>
    </w:rPr>
  </w:style>
  <w:style w:type="paragraph" w:customStyle="1" w:styleId="TSBHeaderRight14">
    <w:name w:val="TSBHeaderRight14"/>
    <w:basedOn w:val="Normal"/>
    <w:qFormat/>
    <w:rsid w:val="00246FF4"/>
    <w:pPr>
      <w:tabs>
        <w:tab w:val="clear" w:pos="794"/>
        <w:tab w:val="clear" w:pos="1191"/>
        <w:tab w:val="clear" w:pos="1588"/>
        <w:tab w:val="clear" w:pos="1985"/>
      </w:tabs>
      <w:jc w:val="right"/>
    </w:pPr>
    <w:rPr>
      <w:b/>
      <w:bCs/>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enn.parsons@ericsson.com"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itu.int/ifa/t/2025/ls/sg15/sp18-sg15-00083.docx" TargetMode="External"/><Relationship Id="rId12" Type="http://schemas.openxmlformats.org/officeDocument/2006/relationships/image" Target="cid:image002.png@01DC3E52.5A7AF440"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extranet.itu.int/meetings/ITU-T/T25-TSAGRGM/RGWM-250923/DOCs/T25-TSAGRGM-RGWM-250923-DOC-0005.docx" TargetMode="External"/><Relationship Id="rId4" Type="http://schemas.openxmlformats.org/officeDocument/2006/relationships/footnotes" Target="footnotes.xml"/><Relationship Id="rId9" Type="http://schemas.openxmlformats.org/officeDocument/2006/relationships/hyperlink" Target="mailto:tom.huber@noki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c26913cd499e69eb7eaa24e794ebf989">
  <xsd:schema xmlns:xsd="http://www.w3.org/2001/XMLSchema" xmlns:xs="http://www.w3.org/2001/XMLSchema" xmlns:p="http://schemas.microsoft.com/office/2006/metadata/properties" xmlns:ns2="81665285-f1bb-4675-b7f4-28c4ccc980a7" targetNamespace="http://schemas.microsoft.com/office/2006/metadata/properties" ma:root="true" ma:fieldsID="35be8555adb278486e95af341cc20b67"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184793-5611-4AAE-B7E8-CA4D73F91CF8}"/>
</file>

<file path=customXml/itemProps2.xml><?xml version="1.0" encoding="utf-8"?>
<ds:datastoreItem xmlns:ds="http://schemas.openxmlformats.org/officeDocument/2006/customXml" ds:itemID="{2B84AA18-0B19-49B8-891F-DBF61F0F2E70}"/>
</file>

<file path=customXml/itemProps3.xml><?xml version="1.0" encoding="utf-8"?>
<ds:datastoreItem xmlns:ds="http://schemas.openxmlformats.org/officeDocument/2006/customXml" ds:itemID="{1EBC7230-BB17-4EBC-847A-525BEA0A261F}"/>
</file>

<file path=docProps/app.xml><?xml version="1.0" encoding="utf-8"?>
<Properties xmlns="http://schemas.openxmlformats.org/officeDocument/2006/extended-properties" xmlns:vt="http://schemas.openxmlformats.org/officeDocument/2006/docPropsVTypes">
  <Template>Normal.dotm</Template>
  <TotalTime>2</TotalTime>
  <Pages>3</Pages>
  <Words>918</Words>
  <Characters>4994</Characters>
  <Application>Microsoft Office Word</Application>
  <DocSecurity>0</DocSecurity>
  <Lines>116</Lines>
  <Paragraphs>63</Paragraphs>
  <ScaleCrop>false</ScaleCrop>
  <Manager>ITU-T</Manager>
  <Company>International Telecommunication Union (ITU)</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on submission deadline for documents for determination, consent, or agreement in Rec. A.1</dc:title>
  <dc:subject/>
  <dc:creator>ITU-T Study Group 15</dc:creator>
  <cp:keywords/>
  <dc:description>TSAG-TD232  For: Geneva, 26-30 January 2026_x000d_Document date: _x000d_Saved by ITU51017913 at 1:48:41 PM on 11/13/2025</dc:description>
  <cp:lastModifiedBy>TSB</cp:lastModifiedBy>
  <cp:revision>4</cp:revision>
  <dcterms:created xsi:type="dcterms:W3CDTF">2025-11-13T12:48:00Z</dcterms:created>
  <dcterms:modified xsi:type="dcterms:W3CDTF">2025-11-13T12:49:00Z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TSAG-TD232</vt:lpwstr>
  </property>
  <property fmtid="{D5CDD505-2E9C-101B-9397-08002B2CF9AE}" pid="3" name="Docdate">
    <vt:lpwstr/>
  </property>
  <property fmtid="{D5CDD505-2E9C-101B-9397-08002B2CF9AE}" pid="4" name="Docorlang">
    <vt:lpwstr/>
  </property>
  <property fmtid="{D5CDD505-2E9C-101B-9397-08002B2CF9AE}" pid="5" name="Docbluepink">
    <vt:lpwstr>All/15</vt:lpwstr>
  </property>
  <property fmtid="{D5CDD505-2E9C-101B-9397-08002B2CF9AE}" pid="6" name="Docdest">
    <vt:lpwstr>Geneva, 26-30 January 2026</vt:lpwstr>
  </property>
  <property fmtid="{D5CDD505-2E9C-101B-9397-08002B2CF9AE}" pid="7" name="Docauthor">
    <vt:lpwstr>ITU-T Study Group 15</vt:lpwstr>
  </property>
  <property fmtid="{D5CDD505-2E9C-101B-9397-08002B2CF9AE}" pid="8" name="ContentTypeId">
    <vt:lpwstr>0x010100A77651819BF4BD4A99FFF36FD7E4E96D</vt:lpwstr>
  </property>
</Properties>
</file>