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13"/>
        <w:gridCol w:w="42"/>
        <w:gridCol w:w="618"/>
        <w:gridCol w:w="3251"/>
        <w:gridCol w:w="157"/>
        <w:gridCol w:w="4026"/>
      </w:tblGrid>
      <w:tr w:rsidR="00E37C01" w:rsidRPr="00E37C01" w14:paraId="77F84C9D" w14:textId="77777777" w:rsidTr="00E37C01">
        <w:trPr>
          <w:cantSplit/>
        </w:trPr>
        <w:tc>
          <w:tcPr>
            <w:tcW w:w="1132" w:type="dxa"/>
            <w:vMerge w:val="restart"/>
            <w:vAlign w:val="center"/>
          </w:tcPr>
          <w:p w14:paraId="5F5CDFEF" w14:textId="77777777" w:rsidR="00E37C01" w:rsidRPr="00E37C01" w:rsidRDefault="00E37C01" w:rsidP="00E37C01">
            <w:pPr>
              <w:spacing w:before="0"/>
              <w:jc w:val="center"/>
              <w:rPr>
                <w:sz w:val="20"/>
              </w:rPr>
            </w:pPr>
            <w:bookmarkStart w:id="0" w:name="dnum" w:colFirst="2" w:colLast="2"/>
            <w:bookmarkStart w:id="1" w:name="dtableau"/>
            <w:r w:rsidRPr="00E37C01">
              <w:rPr>
                <w:noProof/>
              </w:rPr>
              <w:drawing>
                <wp:inline distT="0" distB="0" distL="0" distR="0" wp14:anchorId="648E4AC0" wp14:editId="41D697EB">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9">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0907BEC0" w14:textId="77777777" w:rsidR="00E37C01" w:rsidRPr="00E37C01" w:rsidRDefault="00E37C01" w:rsidP="00E37C01">
            <w:pPr>
              <w:rPr>
                <w:sz w:val="16"/>
                <w:szCs w:val="16"/>
              </w:rPr>
            </w:pPr>
            <w:r w:rsidRPr="00E37C01">
              <w:rPr>
                <w:sz w:val="16"/>
                <w:szCs w:val="16"/>
              </w:rPr>
              <w:t>INTERNATIONAL TELECOMMUNICATION UNION</w:t>
            </w:r>
          </w:p>
          <w:p w14:paraId="092D86F2" w14:textId="77777777" w:rsidR="00E37C01" w:rsidRPr="00E37C01" w:rsidRDefault="00E37C01" w:rsidP="00E37C01">
            <w:pPr>
              <w:rPr>
                <w:b/>
                <w:bCs/>
                <w:sz w:val="26"/>
                <w:szCs w:val="26"/>
              </w:rPr>
            </w:pPr>
            <w:r w:rsidRPr="00E37C01">
              <w:rPr>
                <w:b/>
                <w:bCs/>
                <w:sz w:val="26"/>
                <w:szCs w:val="26"/>
              </w:rPr>
              <w:t>TELECOMMUNICATION</w:t>
            </w:r>
            <w:r w:rsidRPr="00E37C01">
              <w:rPr>
                <w:b/>
                <w:bCs/>
                <w:sz w:val="26"/>
                <w:szCs w:val="26"/>
              </w:rPr>
              <w:br/>
              <w:t>STANDARDIZATION SECTOR</w:t>
            </w:r>
          </w:p>
          <w:p w14:paraId="329EB86C" w14:textId="3BFCD8D9" w:rsidR="00E37C01" w:rsidRPr="00E37C01" w:rsidRDefault="00E37C01" w:rsidP="00E37C01">
            <w:pPr>
              <w:rPr>
                <w:sz w:val="20"/>
              </w:rPr>
            </w:pPr>
            <w:r w:rsidRPr="00E37C01">
              <w:rPr>
                <w:sz w:val="20"/>
              </w:rPr>
              <w:t xml:space="preserve">STUDY PERIOD </w:t>
            </w:r>
            <w:r>
              <w:rPr>
                <w:sz w:val="20"/>
              </w:rPr>
              <w:t>2025-2028</w:t>
            </w:r>
          </w:p>
        </w:tc>
        <w:tc>
          <w:tcPr>
            <w:tcW w:w="4026" w:type="dxa"/>
            <w:vAlign w:val="center"/>
          </w:tcPr>
          <w:p w14:paraId="0E15DE28" w14:textId="58A2C3D7" w:rsidR="00E37C01" w:rsidRPr="00E37C01" w:rsidRDefault="00E37C01" w:rsidP="00E37C01">
            <w:pPr>
              <w:pStyle w:val="Docnumber"/>
            </w:pPr>
            <w:r>
              <w:t>TSAG-TD230</w:t>
            </w:r>
          </w:p>
        </w:tc>
      </w:tr>
      <w:tr w:rsidR="00E37C01" w:rsidRPr="00E37C01" w14:paraId="1BC9EA07" w14:textId="77777777" w:rsidTr="00E37C01">
        <w:trPr>
          <w:cantSplit/>
        </w:trPr>
        <w:tc>
          <w:tcPr>
            <w:tcW w:w="1132" w:type="dxa"/>
            <w:vMerge/>
          </w:tcPr>
          <w:p w14:paraId="0BA02A0F" w14:textId="77777777" w:rsidR="00E37C01" w:rsidRPr="00E37C01" w:rsidRDefault="00E37C01" w:rsidP="00E37C01">
            <w:pPr>
              <w:rPr>
                <w:smallCaps/>
                <w:sz w:val="20"/>
              </w:rPr>
            </w:pPr>
            <w:bookmarkStart w:id="2" w:name="dsg" w:colFirst="2" w:colLast="2"/>
            <w:bookmarkEnd w:id="0"/>
          </w:p>
        </w:tc>
        <w:tc>
          <w:tcPr>
            <w:tcW w:w="4481" w:type="dxa"/>
            <w:gridSpan w:val="5"/>
            <w:vMerge/>
          </w:tcPr>
          <w:p w14:paraId="1A7A4137" w14:textId="77777777" w:rsidR="00E37C01" w:rsidRPr="00E37C01" w:rsidRDefault="00E37C01" w:rsidP="00E37C01">
            <w:pPr>
              <w:rPr>
                <w:smallCaps/>
                <w:sz w:val="20"/>
              </w:rPr>
            </w:pPr>
          </w:p>
        </w:tc>
        <w:tc>
          <w:tcPr>
            <w:tcW w:w="4026" w:type="dxa"/>
          </w:tcPr>
          <w:p w14:paraId="5F24A48F" w14:textId="66795AF1" w:rsidR="00E37C01" w:rsidRPr="00E37C01" w:rsidRDefault="00E37C01" w:rsidP="00E37C01">
            <w:pPr>
              <w:pStyle w:val="TSBHeaderRight14"/>
              <w:rPr>
                <w:smallCaps/>
              </w:rPr>
            </w:pPr>
            <w:r>
              <w:rPr>
                <w:smallCaps/>
              </w:rPr>
              <w:t>TSAG</w:t>
            </w:r>
          </w:p>
        </w:tc>
      </w:tr>
      <w:bookmarkEnd w:id="2"/>
      <w:tr w:rsidR="00E37C01" w:rsidRPr="00E37C01" w14:paraId="412EDCDF" w14:textId="77777777" w:rsidTr="00E37C01">
        <w:trPr>
          <w:cantSplit/>
        </w:trPr>
        <w:tc>
          <w:tcPr>
            <w:tcW w:w="1132" w:type="dxa"/>
            <w:vMerge/>
            <w:tcBorders>
              <w:bottom w:val="single" w:sz="12" w:space="0" w:color="auto"/>
            </w:tcBorders>
          </w:tcPr>
          <w:p w14:paraId="2C23CD7C" w14:textId="77777777" w:rsidR="00E37C01" w:rsidRPr="00E37C01" w:rsidRDefault="00E37C01" w:rsidP="00E37C01">
            <w:pPr>
              <w:rPr>
                <w:b/>
                <w:bCs/>
                <w:sz w:val="26"/>
              </w:rPr>
            </w:pPr>
          </w:p>
        </w:tc>
        <w:tc>
          <w:tcPr>
            <w:tcW w:w="4481" w:type="dxa"/>
            <w:gridSpan w:val="5"/>
            <w:vMerge/>
            <w:tcBorders>
              <w:bottom w:val="single" w:sz="12" w:space="0" w:color="auto"/>
            </w:tcBorders>
          </w:tcPr>
          <w:p w14:paraId="748ED7B3" w14:textId="77777777" w:rsidR="00E37C01" w:rsidRPr="00E37C01" w:rsidRDefault="00E37C01" w:rsidP="00E37C01">
            <w:pPr>
              <w:rPr>
                <w:b/>
                <w:bCs/>
                <w:sz w:val="26"/>
              </w:rPr>
            </w:pPr>
          </w:p>
        </w:tc>
        <w:tc>
          <w:tcPr>
            <w:tcW w:w="4026" w:type="dxa"/>
            <w:tcBorders>
              <w:bottom w:val="single" w:sz="12" w:space="0" w:color="auto"/>
            </w:tcBorders>
            <w:vAlign w:val="center"/>
          </w:tcPr>
          <w:p w14:paraId="26F5DD13" w14:textId="77777777" w:rsidR="00E37C01" w:rsidRPr="00E37C01" w:rsidRDefault="00E37C01" w:rsidP="00E37C01">
            <w:pPr>
              <w:pStyle w:val="TSBHeaderRight14"/>
            </w:pPr>
            <w:r w:rsidRPr="00E37C01">
              <w:t>Original: English</w:t>
            </w:r>
          </w:p>
        </w:tc>
      </w:tr>
      <w:tr w:rsidR="00E37C01" w:rsidRPr="00E37C01" w14:paraId="3ADEAACA" w14:textId="77777777" w:rsidTr="00E37C01">
        <w:trPr>
          <w:cantSplit/>
        </w:trPr>
        <w:tc>
          <w:tcPr>
            <w:tcW w:w="1587" w:type="dxa"/>
            <w:gridSpan w:val="3"/>
          </w:tcPr>
          <w:p w14:paraId="3DDC2EFA" w14:textId="78657920" w:rsidR="00E37C01" w:rsidRPr="00E37C01" w:rsidRDefault="00E37C01" w:rsidP="00E37C01">
            <w:pPr>
              <w:rPr>
                <w:b/>
                <w:bCs/>
                <w:szCs w:val="24"/>
              </w:rPr>
            </w:pPr>
            <w:bookmarkStart w:id="3" w:name="dbluepink" w:colFirst="1" w:colLast="1"/>
            <w:bookmarkStart w:id="4" w:name="dmeeting" w:colFirst="2" w:colLast="2"/>
          </w:p>
        </w:tc>
        <w:tc>
          <w:tcPr>
            <w:tcW w:w="4026" w:type="dxa"/>
            <w:gridSpan w:val="3"/>
          </w:tcPr>
          <w:p w14:paraId="4303101A" w14:textId="33D473A6" w:rsidR="00E37C01" w:rsidRPr="00E37C01" w:rsidRDefault="00E37C01" w:rsidP="00E37C01">
            <w:pPr>
              <w:pStyle w:val="TSBHeaderQuestion"/>
            </w:pPr>
          </w:p>
        </w:tc>
        <w:tc>
          <w:tcPr>
            <w:tcW w:w="4026" w:type="dxa"/>
          </w:tcPr>
          <w:p w14:paraId="678D82C5" w14:textId="694E63CB" w:rsidR="00E37C01" w:rsidRPr="00E37C01" w:rsidRDefault="00E37C01" w:rsidP="00E37C01">
            <w:pPr>
              <w:pStyle w:val="VenueDate"/>
            </w:pPr>
            <w:r w:rsidRPr="00E37C01">
              <w:t>Geneva, 26-30 January 2026</w:t>
            </w:r>
          </w:p>
        </w:tc>
      </w:tr>
      <w:tr w:rsidR="00E37C01" w:rsidRPr="00E37C01" w14:paraId="5244BE2A" w14:textId="77777777" w:rsidTr="005F7827">
        <w:trPr>
          <w:cantSplit/>
        </w:trPr>
        <w:tc>
          <w:tcPr>
            <w:tcW w:w="9639" w:type="dxa"/>
            <w:gridSpan w:val="7"/>
          </w:tcPr>
          <w:p w14:paraId="6C8629AE" w14:textId="77777777" w:rsidR="00E37C01" w:rsidRPr="00E37C01" w:rsidRDefault="00E37C01" w:rsidP="00E37C01">
            <w:pPr>
              <w:jc w:val="center"/>
              <w:rPr>
                <w:b/>
                <w:bCs/>
                <w:szCs w:val="24"/>
              </w:rPr>
            </w:pPr>
            <w:bookmarkStart w:id="5" w:name="ddoctype"/>
            <w:bookmarkEnd w:id="3"/>
            <w:bookmarkEnd w:id="4"/>
            <w:r w:rsidRPr="00E37C01">
              <w:rPr>
                <w:b/>
                <w:bCs/>
                <w:szCs w:val="24"/>
              </w:rPr>
              <w:t>TD</w:t>
            </w:r>
          </w:p>
          <w:p w14:paraId="0B4ADE74" w14:textId="6324F9A1" w:rsidR="00E37C01" w:rsidRPr="00E37C01" w:rsidRDefault="00E37C01" w:rsidP="00D732E4">
            <w:pPr>
              <w:spacing w:before="0"/>
              <w:jc w:val="center"/>
              <w:rPr>
                <w:b/>
                <w:bCs/>
                <w:szCs w:val="24"/>
              </w:rPr>
            </w:pPr>
            <w:r w:rsidRPr="00E37C01">
              <w:rPr>
                <w:b/>
                <w:bCs/>
                <w:szCs w:val="24"/>
              </w:rPr>
              <w:t xml:space="preserve">(Ref.: </w:t>
            </w:r>
            <w:hyperlink r:id="rId10" w:history="1">
              <w:r w:rsidR="00D732E4" w:rsidRPr="00D732E4">
                <w:rPr>
                  <w:rStyle w:val="Hyperlink"/>
                  <w:b/>
                  <w:bCs/>
                  <w:szCs w:val="24"/>
                </w:rPr>
                <w:t>SG15-LS82</w:t>
              </w:r>
            </w:hyperlink>
            <w:r w:rsidRPr="00E37C01">
              <w:rPr>
                <w:b/>
                <w:bCs/>
                <w:szCs w:val="24"/>
              </w:rPr>
              <w:t>)</w:t>
            </w:r>
          </w:p>
        </w:tc>
      </w:tr>
      <w:tr w:rsidR="00E37C01" w:rsidRPr="00E37C01" w14:paraId="1F74FC95" w14:textId="77777777" w:rsidTr="00E37C01">
        <w:trPr>
          <w:cantSplit/>
        </w:trPr>
        <w:tc>
          <w:tcPr>
            <w:tcW w:w="1587" w:type="dxa"/>
            <w:gridSpan w:val="3"/>
          </w:tcPr>
          <w:p w14:paraId="324029AD" w14:textId="77777777" w:rsidR="00E37C01" w:rsidRPr="00E37C01" w:rsidRDefault="00E37C01" w:rsidP="00E37C01">
            <w:pPr>
              <w:rPr>
                <w:b/>
                <w:bCs/>
                <w:szCs w:val="24"/>
              </w:rPr>
            </w:pPr>
            <w:bookmarkStart w:id="6" w:name="dsource" w:colFirst="1" w:colLast="1"/>
            <w:bookmarkEnd w:id="5"/>
            <w:r w:rsidRPr="00E37C01">
              <w:rPr>
                <w:b/>
                <w:bCs/>
                <w:szCs w:val="24"/>
              </w:rPr>
              <w:t>Source:</w:t>
            </w:r>
          </w:p>
        </w:tc>
        <w:tc>
          <w:tcPr>
            <w:tcW w:w="8052" w:type="dxa"/>
            <w:gridSpan w:val="4"/>
          </w:tcPr>
          <w:p w14:paraId="628B9236" w14:textId="7F574247" w:rsidR="00E37C01" w:rsidRPr="00E37C01" w:rsidRDefault="00E37C01" w:rsidP="00E37C01">
            <w:pPr>
              <w:pStyle w:val="TSBHeaderSource"/>
            </w:pPr>
            <w:r w:rsidRPr="00E37C01">
              <w:t>ITU-T Study Group 15</w:t>
            </w:r>
          </w:p>
        </w:tc>
      </w:tr>
      <w:tr w:rsidR="00E37C01" w:rsidRPr="00E37C01" w14:paraId="46D13FED" w14:textId="77777777" w:rsidTr="00E37C01">
        <w:trPr>
          <w:cantSplit/>
        </w:trPr>
        <w:tc>
          <w:tcPr>
            <w:tcW w:w="1587" w:type="dxa"/>
            <w:gridSpan w:val="3"/>
            <w:tcBorders>
              <w:bottom w:val="single" w:sz="8" w:space="0" w:color="auto"/>
            </w:tcBorders>
          </w:tcPr>
          <w:p w14:paraId="660AA73C" w14:textId="77777777" w:rsidR="00E37C01" w:rsidRPr="00E37C01" w:rsidRDefault="00E37C01" w:rsidP="00E37C01">
            <w:pPr>
              <w:rPr>
                <w:b/>
                <w:bCs/>
                <w:szCs w:val="24"/>
              </w:rPr>
            </w:pPr>
            <w:bookmarkStart w:id="7" w:name="dtitle1" w:colFirst="1" w:colLast="1"/>
            <w:bookmarkEnd w:id="6"/>
            <w:r w:rsidRPr="00E37C01">
              <w:rPr>
                <w:b/>
                <w:bCs/>
                <w:szCs w:val="24"/>
              </w:rPr>
              <w:t>Title:</w:t>
            </w:r>
          </w:p>
        </w:tc>
        <w:tc>
          <w:tcPr>
            <w:tcW w:w="8052" w:type="dxa"/>
            <w:gridSpan w:val="4"/>
            <w:tcBorders>
              <w:bottom w:val="single" w:sz="8" w:space="0" w:color="auto"/>
            </w:tcBorders>
          </w:tcPr>
          <w:p w14:paraId="41BE9119" w14:textId="55E5C53E" w:rsidR="00E37C01" w:rsidRPr="00E37C01" w:rsidRDefault="00E37C01" w:rsidP="00E37C01">
            <w:pPr>
              <w:pStyle w:val="TSBHeaderTitle"/>
            </w:pPr>
            <w:r w:rsidRPr="00E37C01">
              <w:t>LS/</w:t>
            </w:r>
            <w:proofErr w:type="spellStart"/>
            <w:r>
              <w:t>i</w:t>
            </w:r>
            <w:proofErr w:type="spellEnd"/>
            <w:r>
              <w:t>/</w:t>
            </w:r>
            <w:r w:rsidRPr="00E37C01">
              <w:t>r on the establishment of Joint Correspondence Groups (reply to TSAG-LS11 and TSAG-LS12)</w:t>
            </w:r>
            <w:r>
              <w:t xml:space="preserve"> [from ITU-T SG15]</w:t>
            </w:r>
          </w:p>
        </w:tc>
      </w:tr>
      <w:bookmarkEnd w:id="1"/>
      <w:bookmarkEnd w:id="7"/>
      <w:tr w:rsidR="00C41D15" w14:paraId="61B9BCA2" w14:textId="77777777" w:rsidTr="008846E4">
        <w:trPr>
          <w:cantSplit/>
          <w:trHeight w:val="357"/>
        </w:trPr>
        <w:tc>
          <w:tcPr>
            <w:tcW w:w="9639" w:type="dxa"/>
            <w:gridSpan w:val="7"/>
            <w:tcBorders>
              <w:top w:val="single" w:sz="12" w:space="0" w:color="auto"/>
            </w:tcBorders>
          </w:tcPr>
          <w:p w14:paraId="4A8EC21D" w14:textId="77777777" w:rsidR="00C41D15" w:rsidRDefault="00C41D15" w:rsidP="008846E4">
            <w:pPr>
              <w:jc w:val="center"/>
              <w:rPr>
                <w:b/>
              </w:rPr>
            </w:pPr>
            <w:r>
              <w:rPr>
                <w:b/>
              </w:rPr>
              <w:t>LIAISON STATEMENT</w:t>
            </w:r>
          </w:p>
        </w:tc>
      </w:tr>
      <w:tr w:rsidR="00C41D15" w14:paraId="2C48957A" w14:textId="77777777" w:rsidTr="008846E4">
        <w:trPr>
          <w:cantSplit/>
          <w:trHeight w:val="357"/>
        </w:trPr>
        <w:tc>
          <w:tcPr>
            <w:tcW w:w="2205" w:type="dxa"/>
            <w:gridSpan w:val="4"/>
          </w:tcPr>
          <w:p w14:paraId="2D86747C" w14:textId="77777777" w:rsidR="00C41D15" w:rsidRPr="003869CD" w:rsidRDefault="00C41D15" w:rsidP="008846E4">
            <w:pPr>
              <w:rPr>
                <w:b/>
                <w:bCs/>
              </w:rPr>
            </w:pPr>
            <w:r w:rsidRPr="003869CD">
              <w:rPr>
                <w:b/>
                <w:bCs/>
              </w:rPr>
              <w:t>For action to:</w:t>
            </w:r>
          </w:p>
        </w:tc>
        <w:tc>
          <w:tcPr>
            <w:tcW w:w="7434" w:type="dxa"/>
            <w:gridSpan w:val="3"/>
          </w:tcPr>
          <w:p w14:paraId="1A2F8686" w14:textId="77777777" w:rsidR="00C41D15" w:rsidRPr="007258A7" w:rsidRDefault="00C41D15" w:rsidP="008846E4">
            <w:pPr>
              <w:pStyle w:val="LSForAction"/>
              <w:rPr>
                <w:b w:val="0"/>
                <w:bCs w:val="0"/>
              </w:rPr>
            </w:pPr>
            <w:r w:rsidRPr="007258A7">
              <w:rPr>
                <w:b w:val="0"/>
                <w:bCs w:val="0"/>
              </w:rPr>
              <w:t>TSAG</w:t>
            </w:r>
          </w:p>
        </w:tc>
      </w:tr>
      <w:tr w:rsidR="00C41D15" w14:paraId="7579BF36" w14:textId="77777777" w:rsidTr="008846E4">
        <w:trPr>
          <w:cantSplit/>
          <w:trHeight w:val="357"/>
        </w:trPr>
        <w:tc>
          <w:tcPr>
            <w:tcW w:w="2205" w:type="dxa"/>
            <w:gridSpan w:val="4"/>
          </w:tcPr>
          <w:p w14:paraId="779B3824" w14:textId="77777777" w:rsidR="00C41D15" w:rsidRPr="003869CD" w:rsidRDefault="00C41D15" w:rsidP="008846E4">
            <w:pPr>
              <w:rPr>
                <w:b/>
                <w:bCs/>
              </w:rPr>
            </w:pPr>
            <w:r w:rsidRPr="003869CD">
              <w:rPr>
                <w:b/>
                <w:bCs/>
              </w:rPr>
              <w:t>For information to:</w:t>
            </w:r>
          </w:p>
        </w:tc>
        <w:tc>
          <w:tcPr>
            <w:tcW w:w="7434" w:type="dxa"/>
            <w:gridSpan w:val="3"/>
          </w:tcPr>
          <w:p w14:paraId="18C5C094" w14:textId="77777777" w:rsidR="00C41D15" w:rsidRPr="007258A7" w:rsidRDefault="00C41D15" w:rsidP="008846E4">
            <w:pPr>
              <w:pStyle w:val="LSForInfo"/>
              <w:rPr>
                <w:b w:val="0"/>
                <w:bCs w:val="0"/>
              </w:rPr>
            </w:pPr>
          </w:p>
        </w:tc>
      </w:tr>
      <w:tr w:rsidR="00C41D15" w14:paraId="1CE2E2A9" w14:textId="77777777" w:rsidTr="008846E4">
        <w:trPr>
          <w:cantSplit/>
          <w:trHeight w:val="357"/>
        </w:trPr>
        <w:tc>
          <w:tcPr>
            <w:tcW w:w="2205" w:type="dxa"/>
            <w:gridSpan w:val="4"/>
          </w:tcPr>
          <w:p w14:paraId="5AA96577" w14:textId="77777777" w:rsidR="00C41D15" w:rsidRDefault="00C41D15" w:rsidP="008846E4">
            <w:pPr>
              <w:rPr>
                <w:b/>
                <w:bCs/>
              </w:rPr>
            </w:pPr>
            <w:r>
              <w:rPr>
                <w:b/>
                <w:bCs/>
              </w:rPr>
              <w:t>Approval:</w:t>
            </w:r>
          </w:p>
        </w:tc>
        <w:tc>
          <w:tcPr>
            <w:tcW w:w="7434" w:type="dxa"/>
            <w:gridSpan w:val="3"/>
          </w:tcPr>
          <w:p w14:paraId="2FA660F8" w14:textId="0D67D6BF" w:rsidR="00C41D15" w:rsidRPr="007258A7" w:rsidRDefault="007258A7" w:rsidP="008846E4">
            <w:pPr>
              <w:pStyle w:val="LSApproval"/>
              <w:rPr>
                <w:b w:val="0"/>
                <w:bCs w:val="0"/>
              </w:rPr>
            </w:pPr>
            <w:r>
              <w:rPr>
                <w:b w:val="0"/>
                <w:bCs w:val="0"/>
              </w:rPr>
              <w:t>ITU-T SG15 meeting (Geneva, 24 October 2025)</w:t>
            </w:r>
          </w:p>
        </w:tc>
      </w:tr>
      <w:tr w:rsidR="00C41D15" w14:paraId="029A13D3" w14:textId="77777777" w:rsidTr="008846E4">
        <w:trPr>
          <w:cantSplit/>
          <w:trHeight w:val="357"/>
        </w:trPr>
        <w:tc>
          <w:tcPr>
            <w:tcW w:w="2205" w:type="dxa"/>
            <w:gridSpan w:val="4"/>
            <w:tcBorders>
              <w:bottom w:val="single" w:sz="12" w:space="0" w:color="auto"/>
            </w:tcBorders>
          </w:tcPr>
          <w:p w14:paraId="471E3BB2" w14:textId="77777777" w:rsidR="00C41D15" w:rsidRDefault="00C41D15" w:rsidP="008846E4">
            <w:pPr>
              <w:rPr>
                <w:b/>
                <w:bCs/>
              </w:rPr>
            </w:pPr>
            <w:r>
              <w:rPr>
                <w:b/>
                <w:bCs/>
              </w:rPr>
              <w:t>Deadline:</w:t>
            </w:r>
          </w:p>
        </w:tc>
        <w:tc>
          <w:tcPr>
            <w:tcW w:w="7434" w:type="dxa"/>
            <w:gridSpan w:val="3"/>
            <w:tcBorders>
              <w:bottom w:val="single" w:sz="12" w:space="0" w:color="auto"/>
            </w:tcBorders>
          </w:tcPr>
          <w:p w14:paraId="6DE4EE62" w14:textId="77777777" w:rsidR="00C41D15" w:rsidRPr="007258A7" w:rsidRDefault="00C41D15" w:rsidP="008846E4">
            <w:pPr>
              <w:pStyle w:val="LSDeadline"/>
              <w:rPr>
                <w:b w:val="0"/>
                <w:bCs w:val="0"/>
              </w:rPr>
            </w:pPr>
            <w:r w:rsidRPr="007258A7">
              <w:rPr>
                <w:b w:val="0"/>
                <w:bCs w:val="0"/>
              </w:rPr>
              <w:t>15 June 2026</w:t>
            </w:r>
          </w:p>
        </w:tc>
      </w:tr>
      <w:tr w:rsidR="00C41D15" w:rsidRPr="007258A7" w14:paraId="061ACDB1" w14:textId="77777777" w:rsidTr="00E37C01">
        <w:trPr>
          <w:cantSplit/>
        </w:trPr>
        <w:tc>
          <w:tcPr>
            <w:tcW w:w="1545" w:type="dxa"/>
            <w:gridSpan w:val="2"/>
            <w:tcBorders>
              <w:top w:val="single" w:sz="8" w:space="0" w:color="auto"/>
              <w:bottom w:val="single" w:sz="8" w:space="0" w:color="auto"/>
            </w:tcBorders>
          </w:tcPr>
          <w:p w14:paraId="6BF7409E" w14:textId="77777777" w:rsidR="00C41D15" w:rsidRPr="00136DDD" w:rsidRDefault="00C41D15" w:rsidP="008846E4">
            <w:pPr>
              <w:rPr>
                <w:b/>
                <w:bCs/>
              </w:rPr>
            </w:pPr>
            <w:r w:rsidRPr="00136DDD">
              <w:rPr>
                <w:b/>
                <w:bCs/>
              </w:rPr>
              <w:t>Contact:</w:t>
            </w:r>
          </w:p>
        </w:tc>
        <w:tc>
          <w:tcPr>
            <w:tcW w:w="3911" w:type="dxa"/>
            <w:gridSpan w:val="3"/>
            <w:tcBorders>
              <w:top w:val="single" w:sz="8" w:space="0" w:color="auto"/>
              <w:bottom w:val="single" w:sz="8" w:space="0" w:color="auto"/>
            </w:tcBorders>
          </w:tcPr>
          <w:p w14:paraId="0776EBBC" w14:textId="77777777" w:rsidR="00C41D15" w:rsidRPr="00F83079" w:rsidRDefault="00C41D15" w:rsidP="008846E4">
            <w:pPr>
              <w:rPr>
                <w:lang w:val="fr-CA"/>
              </w:rPr>
            </w:pPr>
            <w:r w:rsidRPr="00F83079">
              <w:rPr>
                <w:lang w:val="fr-CA"/>
              </w:rPr>
              <w:t>Glenn Parsons</w:t>
            </w:r>
            <w:r w:rsidRPr="00F83079">
              <w:rPr>
                <w:lang w:val="fr-CA"/>
              </w:rPr>
              <w:br/>
              <w:t>Chair, ITU-T SG15</w:t>
            </w:r>
          </w:p>
        </w:tc>
        <w:tc>
          <w:tcPr>
            <w:tcW w:w="4183" w:type="dxa"/>
            <w:gridSpan w:val="2"/>
            <w:tcBorders>
              <w:top w:val="single" w:sz="8" w:space="0" w:color="auto"/>
              <w:bottom w:val="single" w:sz="8" w:space="0" w:color="auto"/>
            </w:tcBorders>
          </w:tcPr>
          <w:p w14:paraId="783E38ED" w14:textId="42E4D2D9" w:rsidR="00C41D15" w:rsidRPr="00C41D15" w:rsidRDefault="00C41D15" w:rsidP="008846E4">
            <w:pPr>
              <w:rPr>
                <w:lang w:val="de-CH"/>
              </w:rPr>
            </w:pPr>
            <w:r w:rsidRPr="00C41D15">
              <w:rPr>
                <w:lang w:val="de-CH"/>
              </w:rPr>
              <w:t>Tel:</w:t>
            </w:r>
            <w:r w:rsidRPr="00C41D15">
              <w:rPr>
                <w:lang w:val="de-CH"/>
              </w:rPr>
              <w:tab/>
              <w:t>+1 514 379 9037</w:t>
            </w:r>
            <w:r w:rsidRPr="00C41D15">
              <w:rPr>
                <w:lang w:val="de-CH"/>
              </w:rPr>
              <w:br/>
              <w:t>E-mail:</w:t>
            </w:r>
            <w:r w:rsidRPr="00C41D15">
              <w:rPr>
                <w:lang w:val="de-CH"/>
              </w:rPr>
              <w:tab/>
            </w:r>
            <w:hyperlink r:id="rId11" w:history="1">
              <w:r w:rsidR="007258A7" w:rsidRPr="000C50BC">
                <w:rPr>
                  <w:rStyle w:val="Hyperlink"/>
                  <w:lang w:val="de-CH"/>
                </w:rPr>
                <w:t>glenn.parsons@ericsson.com</w:t>
              </w:r>
            </w:hyperlink>
            <w:r w:rsidR="007258A7">
              <w:rPr>
                <w:lang w:val="de-CH"/>
              </w:rPr>
              <w:t xml:space="preserve"> </w:t>
            </w:r>
          </w:p>
        </w:tc>
      </w:tr>
    </w:tbl>
    <w:p w14:paraId="4D51C0DD" w14:textId="77777777" w:rsidR="00C41D15" w:rsidRPr="00C41D15" w:rsidRDefault="00C41D15" w:rsidP="00C41D15">
      <w:pPr>
        <w:rPr>
          <w:lang w:val="de-CH"/>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C41D15" w:rsidRPr="00136DDD" w14:paraId="4681179B" w14:textId="77777777" w:rsidTr="008846E4">
        <w:trPr>
          <w:cantSplit/>
        </w:trPr>
        <w:tc>
          <w:tcPr>
            <w:tcW w:w="1588" w:type="dxa"/>
          </w:tcPr>
          <w:p w14:paraId="5460B5A7" w14:textId="77777777" w:rsidR="00C41D15" w:rsidRPr="00136DDD" w:rsidRDefault="00C41D15" w:rsidP="008846E4">
            <w:pPr>
              <w:rPr>
                <w:b/>
                <w:bCs/>
              </w:rPr>
            </w:pPr>
            <w:r w:rsidRPr="00136DDD">
              <w:rPr>
                <w:b/>
                <w:bCs/>
              </w:rPr>
              <w:t>Abstract:</w:t>
            </w:r>
          </w:p>
        </w:tc>
        <w:tc>
          <w:tcPr>
            <w:tcW w:w="8051" w:type="dxa"/>
          </w:tcPr>
          <w:p w14:paraId="1D259991" w14:textId="77777777" w:rsidR="00C41D15" w:rsidRPr="008249A7" w:rsidRDefault="00C41D15" w:rsidP="008846E4">
            <w:pPr>
              <w:pStyle w:val="TSBHeaderSummary"/>
              <w:rPr>
                <w:highlight w:val="yellow"/>
              </w:rPr>
            </w:pPr>
            <w:r w:rsidRPr="00104550">
              <w:t xml:space="preserve">This liaison provides </w:t>
            </w:r>
            <w:r>
              <w:t>response</w:t>
            </w:r>
            <w:r w:rsidRPr="00104550">
              <w:t xml:space="preserve"> from ITU-T SG15 </w:t>
            </w:r>
            <w:r>
              <w:t xml:space="preserve">to questions in TSAG-LS11 and LS12 </w:t>
            </w:r>
            <w:r w:rsidRPr="00284734">
              <w:t xml:space="preserve">on </w:t>
            </w:r>
            <w:r w:rsidRPr="001F015C">
              <w:t xml:space="preserve">the establishment of </w:t>
            </w:r>
            <w:r>
              <w:t>two</w:t>
            </w:r>
            <w:r w:rsidRPr="001F015C">
              <w:t xml:space="preserve"> Joint Correspondence Group</w:t>
            </w:r>
            <w:r>
              <w:t>s</w:t>
            </w:r>
          </w:p>
        </w:tc>
      </w:tr>
    </w:tbl>
    <w:p w14:paraId="61737D88" w14:textId="77777777" w:rsidR="00C41D15" w:rsidRPr="009D14C5" w:rsidRDefault="00C41D15" w:rsidP="00C41D15"/>
    <w:p w14:paraId="72AF4AB7" w14:textId="77777777" w:rsidR="00C41D15" w:rsidRDefault="00C41D15" w:rsidP="00C41D15">
      <w:r>
        <w:t xml:space="preserve">ITU-T SG15 thanks TSAG for their liaison </w:t>
      </w:r>
      <w:hyperlink r:id="rId12" w:tooltip="ITU-T ftp file restricted to TIES access only" w:history="1">
        <w:r>
          <w:rPr>
            <w:rStyle w:val="Hyperlink"/>
          </w:rPr>
          <w:t>TSAG-LS11</w:t>
        </w:r>
      </w:hyperlink>
      <w:r>
        <w:t xml:space="preserve"> </w:t>
      </w:r>
      <w:r w:rsidRPr="00904097">
        <w:rPr>
          <w:rFonts w:eastAsia="SimSun"/>
        </w:rPr>
        <w:t>(</w:t>
      </w:r>
      <w:hyperlink r:id="rId13" w:history="1">
        <w:r w:rsidRPr="00084E68">
          <w:rPr>
            <w:rStyle w:val="Hyperlink"/>
            <w:rFonts w:eastAsia="SimSun"/>
          </w:rPr>
          <w:t>SG15-TD1</w:t>
        </w:r>
        <w:r>
          <w:rPr>
            <w:rStyle w:val="Hyperlink"/>
            <w:rFonts w:eastAsia="SimSun"/>
          </w:rPr>
          <w:t>19</w:t>
        </w:r>
        <w:r w:rsidRPr="00084E68">
          <w:rPr>
            <w:rStyle w:val="Hyperlink"/>
            <w:rFonts w:eastAsia="SimSun"/>
          </w:rPr>
          <w:t>/GEN</w:t>
        </w:r>
      </w:hyperlink>
      <w:r w:rsidRPr="00904097">
        <w:rPr>
          <w:rFonts w:eastAsia="SimSun"/>
        </w:rPr>
        <w:t>)</w:t>
      </w:r>
      <w:r>
        <w:rPr>
          <w:rFonts w:eastAsia="SimSun"/>
        </w:rPr>
        <w:t xml:space="preserve"> </w:t>
      </w:r>
      <w:r>
        <w:t xml:space="preserve">and </w:t>
      </w:r>
      <w:hyperlink r:id="rId14" w:tooltip="ITU-T ftp file restricted to TIES access only" w:history="1">
        <w:r>
          <w:rPr>
            <w:rStyle w:val="Hyperlink"/>
          </w:rPr>
          <w:t>TSAG-LS12</w:t>
        </w:r>
      </w:hyperlink>
      <w:r>
        <w:t xml:space="preserve"> </w:t>
      </w:r>
      <w:r w:rsidRPr="00904097">
        <w:rPr>
          <w:rFonts w:eastAsia="SimSun"/>
        </w:rPr>
        <w:t>(</w:t>
      </w:r>
      <w:hyperlink r:id="rId15" w:history="1">
        <w:r w:rsidRPr="00084E68">
          <w:rPr>
            <w:rStyle w:val="Hyperlink"/>
            <w:rFonts w:eastAsia="SimSun"/>
          </w:rPr>
          <w:t>SG15-TD1</w:t>
        </w:r>
        <w:r>
          <w:rPr>
            <w:rStyle w:val="Hyperlink"/>
            <w:rFonts w:eastAsia="SimSun"/>
          </w:rPr>
          <w:t>20</w:t>
        </w:r>
        <w:r w:rsidRPr="00084E68">
          <w:rPr>
            <w:rStyle w:val="Hyperlink"/>
            <w:rFonts w:eastAsia="SimSun"/>
          </w:rPr>
          <w:t>/GEN</w:t>
        </w:r>
      </w:hyperlink>
      <w:r w:rsidRPr="00904097">
        <w:rPr>
          <w:rFonts w:eastAsia="SimSun"/>
        </w:rPr>
        <w:t>)</w:t>
      </w:r>
      <w:r>
        <w:rPr>
          <w:rFonts w:eastAsia="SimSun"/>
        </w:rPr>
        <w:t xml:space="preserve"> </w:t>
      </w:r>
      <w:r w:rsidRPr="00284734">
        <w:t xml:space="preserve">on </w:t>
      </w:r>
      <w:r w:rsidRPr="001F015C">
        <w:t xml:space="preserve">the establishment of </w:t>
      </w:r>
      <w:r>
        <w:t>two</w:t>
      </w:r>
      <w:r w:rsidRPr="001F015C">
        <w:t xml:space="preserve"> Joint Correspondence Group</w:t>
      </w:r>
      <w:r>
        <w:t>s.</w:t>
      </w:r>
    </w:p>
    <w:p w14:paraId="49D23E46" w14:textId="77777777" w:rsidR="00C41D15" w:rsidRDefault="00C41D15" w:rsidP="00C41D15">
      <w:r w:rsidRPr="000D08C3">
        <w:t>SG15 does not have topics in our work programme that would benefit from joining these JCG.  As a result</w:t>
      </w:r>
      <w:r>
        <w:t>,</w:t>
      </w:r>
      <w:r w:rsidRPr="000D08C3">
        <w:t xml:space="preserve"> we will not have anything to contribute.</w:t>
      </w:r>
      <w:r>
        <w:t xml:space="preserve">  We look forward to the report on the outcome of these JCGs.</w:t>
      </w:r>
    </w:p>
    <w:p w14:paraId="21ABDD92" w14:textId="77777777" w:rsidR="00C41D15" w:rsidRDefault="00C41D15" w:rsidP="00C41D15"/>
    <w:p w14:paraId="595FF138" w14:textId="77777777" w:rsidR="00C41D15" w:rsidRDefault="00C41D15" w:rsidP="00C41D15">
      <w:r>
        <w:t xml:space="preserve">However, SG15 would note that “joint correspondence groups” are not defined explicitly and that TSAG requested RG-WM to prepare a definition.  Further, we do note that “correspondence groups” is proposed to replace “correspondence activities” in the draft revised Rec A.1.  </w:t>
      </w:r>
    </w:p>
    <w:p w14:paraId="50B5E09D" w14:textId="77777777" w:rsidR="00C41D15" w:rsidRDefault="00C41D15" w:rsidP="00C41D15">
      <w:r>
        <w:t>As indicated by the SG15 chair to an interim meeting of the RG-WM, SG15 does not support this renaming.  Specifically, “joint correspondence activities” should be retained in Rec A.1 as email-only activities between meetings.  Any meeting should be under the context of rapporteur group meetings.   Further, the new JCGs created by TSAG that are joint meetings between study groups should instead be named a “joint coordination group” as this term already exists in Rec A.1 – albeit just in the summary.</w:t>
      </w:r>
    </w:p>
    <w:p w14:paraId="6C76B6C2" w14:textId="77777777" w:rsidR="00C41D15" w:rsidRDefault="00C41D15" w:rsidP="00C41D15">
      <w:r>
        <w:t>As a result, it may be appropriate to define the JCG in draft Rec A.1, for example, as follows:</w:t>
      </w:r>
    </w:p>
    <w:p w14:paraId="214E1482" w14:textId="77777777" w:rsidR="00C41D15" w:rsidRPr="00E50531" w:rsidRDefault="00C41D15" w:rsidP="00C41D15">
      <w:pPr>
        <w:ind w:left="720"/>
        <w:rPr>
          <w:i/>
          <w:iCs/>
          <w:lang w:val="en-CA"/>
        </w:rPr>
      </w:pPr>
      <w:r w:rsidRPr="00E50531">
        <w:rPr>
          <w:b/>
          <w:bCs/>
          <w:i/>
          <w:iCs/>
          <w:lang w:val="en-CA"/>
        </w:rPr>
        <w:t xml:space="preserve">4.x Joint Coordination Group (JCG) </w:t>
      </w:r>
    </w:p>
    <w:p w14:paraId="4B758595" w14:textId="77777777" w:rsidR="00C41D15" w:rsidRPr="00E50531" w:rsidRDefault="00C41D15" w:rsidP="00C41D15">
      <w:pPr>
        <w:ind w:left="720"/>
        <w:rPr>
          <w:i/>
          <w:iCs/>
        </w:rPr>
      </w:pPr>
      <w:r w:rsidRPr="00E50531">
        <w:rPr>
          <w:i/>
          <w:iCs/>
          <w:lang w:val="en-CA"/>
        </w:rPr>
        <w:t xml:space="preserve">A Joint Coordination Group (JCG) is formed to coordinate activities on specific topics of relevance between ITU-T Study Groups. They are formed by and report their progress to TSAG. They exist only between TSAG meetings and may be renewed by TSAG.  JCGs are </w:t>
      </w:r>
      <w:r w:rsidRPr="00E50531">
        <w:rPr>
          <w:i/>
          <w:iCs/>
          <w:lang w:val="en-CA"/>
        </w:rPr>
        <w:lastRenderedPageBreak/>
        <w:t xml:space="preserve">envisioned as tools for short-term coordination between study groups, and do not write Recommendations. </w:t>
      </w:r>
    </w:p>
    <w:p w14:paraId="76929478" w14:textId="77777777" w:rsidR="00C41D15" w:rsidRDefault="00C41D15" w:rsidP="00C41D15">
      <w:r>
        <w:t xml:space="preserve">However, as this text is based on the Joint Coordination Activities (JCA) in Rec A.1 4.3, it may be more appropriate to instead use JCAs (as currently defined) as the vehicle to address issues that are envisioned to be addressed via the new JCG mechanism, and therefore there would be no need to define a new joint coordination group mechanism. </w:t>
      </w:r>
    </w:p>
    <w:p w14:paraId="7056BCA5" w14:textId="77777777" w:rsidR="00C41D15" w:rsidRDefault="00C41D15" w:rsidP="00C41D15">
      <w:pPr>
        <w:rPr>
          <w:rFonts w:eastAsia="MS Mincho"/>
        </w:rPr>
      </w:pPr>
    </w:p>
    <w:p w14:paraId="4A900C4A" w14:textId="77777777" w:rsidR="00C41D15" w:rsidRDefault="00C41D15" w:rsidP="00C41D15">
      <w:pPr>
        <w:rPr>
          <w:rFonts w:eastAsia="Malgun Gothic"/>
          <w:lang w:eastAsia="ko-KR"/>
        </w:rPr>
      </w:pPr>
      <w:r>
        <w:rPr>
          <w:rFonts w:eastAsia="Malgun Gothic"/>
          <w:lang w:eastAsia="ko-KR"/>
        </w:rPr>
        <w:t>ITU-T SG15 looks forward to further cooperation with TSAG.</w:t>
      </w:r>
    </w:p>
    <w:p w14:paraId="13344096" w14:textId="77777777" w:rsidR="00C41D15" w:rsidRPr="008A0BEF" w:rsidRDefault="00C41D15" w:rsidP="00C41D15">
      <w:pPr>
        <w:rPr>
          <w:rFonts w:eastAsia="MS Mincho"/>
        </w:rPr>
      </w:pPr>
    </w:p>
    <w:p w14:paraId="5AF73775" w14:textId="0E9EDDC8" w:rsidR="00452673" w:rsidRPr="0036079B" w:rsidRDefault="00C41D15" w:rsidP="00C41D15">
      <w:pPr>
        <w:spacing w:before="0" w:after="160" w:line="259" w:lineRule="auto"/>
        <w:jc w:val="center"/>
      </w:pPr>
      <w:r>
        <w:t>____________________</w:t>
      </w:r>
    </w:p>
    <w:sectPr w:rsidR="00452673" w:rsidRPr="0036079B" w:rsidSect="00E37C01">
      <w:headerReference w:type="default" r:id="rId16"/>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777F" w14:textId="77777777" w:rsidR="007258A7" w:rsidRDefault="007258A7" w:rsidP="007258A7">
      <w:pPr>
        <w:spacing w:before="0"/>
      </w:pPr>
      <w:r>
        <w:separator/>
      </w:r>
    </w:p>
  </w:endnote>
  <w:endnote w:type="continuationSeparator" w:id="0">
    <w:p w14:paraId="4AEEB761" w14:textId="77777777" w:rsidR="007258A7" w:rsidRDefault="007258A7" w:rsidP="007258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F360" w14:textId="77777777" w:rsidR="007258A7" w:rsidRDefault="007258A7" w:rsidP="007258A7">
      <w:pPr>
        <w:spacing w:before="0"/>
      </w:pPr>
      <w:r>
        <w:separator/>
      </w:r>
    </w:p>
  </w:footnote>
  <w:footnote w:type="continuationSeparator" w:id="0">
    <w:p w14:paraId="26F2E5CA" w14:textId="77777777" w:rsidR="007258A7" w:rsidRDefault="007258A7" w:rsidP="007258A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CA6E" w14:textId="3BF14CCB" w:rsidR="007258A7" w:rsidRPr="00E37C01" w:rsidRDefault="00E37C01" w:rsidP="00E37C01">
    <w:pPr>
      <w:pStyle w:val="Header"/>
      <w:jc w:val="center"/>
      <w:rPr>
        <w:sz w:val="18"/>
      </w:rPr>
    </w:pPr>
    <w:r w:rsidRPr="00E37C01">
      <w:rPr>
        <w:sz w:val="18"/>
      </w:rPr>
      <w:t xml:space="preserve">- </w:t>
    </w:r>
    <w:r w:rsidRPr="00E37C01">
      <w:rPr>
        <w:sz w:val="18"/>
      </w:rPr>
      <w:fldChar w:fldCharType="begin"/>
    </w:r>
    <w:r w:rsidRPr="00E37C01">
      <w:rPr>
        <w:sz w:val="18"/>
      </w:rPr>
      <w:instrText xml:space="preserve"> PAGE  \* MERGEFORMAT </w:instrText>
    </w:r>
    <w:r w:rsidRPr="00E37C01">
      <w:rPr>
        <w:sz w:val="18"/>
      </w:rPr>
      <w:fldChar w:fldCharType="separate"/>
    </w:r>
    <w:r w:rsidRPr="00E37C01">
      <w:rPr>
        <w:noProof/>
        <w:sz w:val="18"/>
      </w:rPr>
      <w:t>1</w:t>
    </w:r>
    <w:r w:rsidRPr="00E37C01">
      <w:rPr>
        <w:sz w:val="18"/>
      </w:rPr>
      <w:fldChar w:fldCharType="end"/>
    </w:r>
    <w:r w:rsidRPr="00E37C01">
      <w:rPr>
        <w:sz w:val="18"/>
      </w:rPr>
      <w:t xml:space="preserve"> -</w:t>
    </w:r>
  </w:p>
  <w:p w14:paraId="4D8221FE" w14:textId="256C7C9B" w:rsidR="00E37C01" w:rsidRPr="00E37C01" w:rsidRDefault="00E37C01" w:rsidP="00E37C01">
    <w:pPr>
      <w:pStyle w:val="Header"/>
      <w:spacing w:after="240"/>
      <w:jc w:val="center"/>
      <w:rPr>
        <w:sz w:val="18"/>
      </w:rPr>
    </w:pPr>
    <w:r w:rsidRPr="00E37C01">
      <w:rPr>
        <w:sz w:val="18"/>
      </w:rPr>
      <w:fldChar w:fldCharType="begin"/>
    </w:r>
    <w:r w:rsidRPr="00E37C01">
      <w:rPr>
        <w:sz w:val="18"/>
      </w:rPr>
      <w:instrText xml:space="preserve"> STYLEREF  Docnumber  </w:instrText>
    </w:r>
    <w:r w:rsidRPr="00E37C01">
      <w:rPr>
        <w:sz w:val="18"/>
      </w:rPr>
      <w:fldChar w:fldCharType="separate"/>
    </w:r>
    <w:r w:rsidR="004A5DE7">
      <w:rPr>
        <w:noProof/>
        <w:sz w:val="18"/>
      </w:rPr>
      <w:t>TSAG-TD230</w:t>
    </w:r>
    <w:r w:rsidRPr="00E37C01">
      <w:rP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15"/>
    <w:rsid w:val="000653D2"/>
    <w:rsid w:val="00273DDB"/>
    <w:rsid w:val="003011DC"/>
    <w:rsid w:val="0036079B"/>
    <w:rsid w:val="00452673"/>
    <w:rsid w:val="004A5DE7"/>
    <w:rsid w:val="006227D8"/>
    <w:rsid w:val="00665F96"/>
    <w:rsid w:val="007258A7"/>
    <w:rsid w:val="007A521B"/>
    <w:rsid w:val="008E783B"/>
    <w:rsid w:val="00C41D15"/>
    <w:rsid w:val="00D732E4"/>
    <w:rsid w:val="00E37C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9AA2"/>
  <w15:chartTrackingRefBased/>
  <w15:docId w15:val="{7C129F73-5454-4BC8-80B6-DEF4B29C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D15"/>
    <w:pPr>
      <w:tabs>
        <w:tab w:val="left" w:pos="794"/>
        <w:tab w:val="left" w:pos="1191"/>
        <w:tab w:val="left" w:pos="1588"/>
        <w:tab w:val="left" w:pos="1985"/>
      </w:tabs>
      <w:spacing w:before="120" w:after="0" w:line="240" w:lineRule="auto"/>
    </w:pPr>
    <w:rPr>
      <w:rFonts w:ascii="Times New Roman" w:eastAsiaTheme="minorEastAsia" w:hAnsi="Times New Roman" w:cs="Times New Roman"/>
      <w:kern w:val="0"/>
      <w:sz w:val="24"/>
      <w:szCs w:val="20"/>
      <w14:ligatures w14:val="none"/>
    </w:rPr>
  </w:style>
  <w:style w:type="paragraph" w:styleId="Heading1">
    <w:name w:val="heading 1"/>
    <w:basedOn w:val="Normal"/>
    <w:next w:val="Normal"/>
    <w:link w:val="Heading1Char"/>
    <w:qFormat/>
    <w:rsid w:val="00360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60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60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60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60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607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607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607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607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79B"/>
    <w:rPr>
      <w:rFonts w:eastAsiaTheme="majorEastAsia" w:cstheme="majorBidi"/>
      <w:color w:val="272727" w:themeColor="text1" w:themeTint="D8"/>
    </w:rPr>
  </w:style>
  <w:style w:type="paragraph" w:styleId="Title">
    <w:name w:val="Title"/>
    <w:basedOn w:val="Normal"/>
    <w:next w:val="Normal"/>
    <w:link w:val="TitleChar"/>
    <w:uiPriority w:val="10"/>
    <w:qFormat/>
    <w:rsid w:val="003607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79B"/>
    <w:pPr>
      <w:spacing w:before="160"/>
      <w:jc w:val="center"/>
    </w:pPr>
    <w:rPr>
      <w:i/>
      <w:iCs/>
      <w:color w:val="404040" w:themeColor="text1" w:themeTint="BF"/>
    </w:rPr>
  </w:style>
  <w:style w:type="character" w:customStyle="1" w:styleId="QuoteChar">
    <w:name w:val="Quote Char"/>
    <w:basedOn w:val="DefaultParagraphFont"/>
    <w:link w:val="Quote"/>
    <w:uiPriority w:val="29"/>
    <w:rsid w:val="0036079B"/>
    <w:rPr>
      <w:i/>
      <w:iCs/>
      <w:color w:val="404040" w:themeColor="text1" w:themeTint="BF"/>
    </w:rPr>
  </w:style>
  <w:style w:type="paragraph" w:styleId="ListParagraph">
    <w:name w:val="List Paragraph"/>
    <w:basedOn w:val="Normal"/>
    <w:uiPriority w:val="34"/>
    <w:qFormat/>
    <w:rsid w:val="0036079B"/>
    <w:pPr>
      <w:ind w:left="720"/>
      <w:contextualSpacing/>
    </w:pPr>
  </w:style>
  <w:style w:type="character" w:styleId="IntenseEmphasis">
    <w:name w:val="Intense Emphasis"/>
    <w:basedOn w:val="DefaultParagraphFont"/>
    <w:uiPriority w:val="21"/>
    <w:qFormat/>
    <w:rsid w:val="0036079B"/>
    <w:rPr>
      <w:i/>
      <w:iCs/>
      <w:color w:val="0F4761" w:themeColor="accent1" w:themeShade="BF"/>
    </w:rPr>
  </w:style>
  <w:style w:type="paragraph" w:styleId="IntenseQuote">
    <w:name w:val="Intense Quote"/>
    <w:basedOn w:val="Normal"/>
    <w:next w:val="Normal"/>
    <w:link w:val="IntenseQuoteChar"/>
    <w:uiPriority w:val="30"/>
    <w:qFormat/>
    <w:rsid w:val="00360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79B"/>
    <w:rPr>
      <w:i/>
      <w:iCs/>
      <w:color w:val="0F4761" w:themeColor="accent1" w:themeShade="BF"/>
    </w:rPr>
  </w:style>
  <w:style w:type="character" w:styleId="IntenseReference">
    <w:name w:val="Intense Reference"/>
    <w:basedOn w:val="DefaultParagraphFont"/>
    <w:uiPriority w:val="32"/>
    <w:qFormat/>
    <w:rsid w:val="0036079B"/>
    <w:rPr>
      <w:b/>
      <w:bCs/>
      <w:smallCaps/>
      <w:color w:val="0F4761" w:themeColor="accent1" w:themeShade="BF"/>
      <w:spacing w:val="5"/>
    </w:rPr>
  </w:style>
  <w:style w:type="character" w:styleId="Hyperlink">
    <w:name w:val="Hyperlink"/>
    <w:aliases w:val="超级链接,超?级链,CEO_Hyperlink,Style 58,超????,하이퍼링크2,超链接1,하이퍼링크21,超??级链Ú,fL????,fL?级,超??级链,超?级链Ú,’´?级链,’´????,’´??级链Ú,’´??级,超?级链?,Style?,S,ECC Hyperlink,超?级链ïÈ,õ±?级链,õ±链ïÈ1,õ±???,하이퍼링크1"/>
    <w:qFormat/>
    <w:rsid w:val="00C41D15"/>
    <w:rPr>
      <w:color w:val="0000FF"/>
      <w:u w:val="single"/>
    </w:rPr>
  </w:style>
  <w:style w:type="paragraph" w:customStyle="1" w:styleId="LSDeadline">
    <w:name w:val="LSDeadline"/>
    <w:basedOn w:val="Normal"/>
    <w:rsid w:val="00C41D15"/>
    <w:rPr>
      <w:rFonts w:eastAsia="MS Mincho"/>
      <w:b/>
      <w:bCs/>
    </w:rPr>
  </w:style>
  <w:style w:type="paragraph" w:customStyle="1" w:styleId="LSForAction">
    <w:name w:val="LSForAction"/>
    <w:basedOn w:val="Normal"/>
    <w:rsid w:val="00C41D15"/>
    <w:rPr>
      <w:rFonts w:eastAsia="MS Mincho"/>
      <w:b/>
      <w:bCs/>
    </w:rPr>
  </w:style>
  <w:style w:type="paragraph" w:customStyle="1" w:styleId="LSForInfo">
    <w:name w:val="LSForInfo"/>
    <w:basedOn w:val="LSForAction"/>
    <w:rsid w:val="00C41D15"/>
  </w:style>
  <w:style w:type="paragraph" w:customStyle="1" w:styleId="Heading1Centered">
    <w:name w:val="Heading 1 Centered"/>
    <w:basedOn w:val="Heading1"/>
    <w:qFormat/>
    <w:rsid w:val="00C41D15"/>
    <w:pPr>
      <w:tabs>
        <w:tab w:val="left" w:pos="1134"/>
        <w:tab w:val="left" w:pos="1871"/>
        <w:tab w:val="left" w:pos="2268"/>
      </w:tabs>
      <w:spacing w:after="0"/>
      <w:ind w:left="432" w:hanging="432"/>
      <w:jc w:val="center"/>
    </w:pPr>
    <w:rPr>
      <w:rFonts w:ascii="Times New Roman" w:eastAsiaTheme="minorEastAsia" w:hAnsi="Times New Roman" w:cs="Times New Roman"/>
      <w:b/>
      <w:bCs/>
      <w:color w:val="auto"/>
      <w:sz w:val="24"/>
      <w:szCs w:val="20"/>
      <w:lang w:val="en-US"/>
    </w:rPr>
  </w:style>
  <w:style w:type="paragraph" w:customStyle="1" w:styleId="VenueDate">
    <w:name w:val="VenueDate"/>
    <w:basedOn w:val="Normal"/>
    <w:qFormat/>
    <w:rsid w:val="00C41D15"/>
    <w:pPr>
      <w:tabs>
        <w:tab w:val="clear" w:pos="794"/>
        <w:tab w:val="clear" w:pos="1191"/>
        <w:tab w:val="clear" w:pos="1588"/>
        <w:tab w:val="clear" w:pos="1985"/>
      </w:tabs>
      <w:overflowPunct w:val="0"/>
      <w:autoSpaceDE w:val="0"/>
      <w:autoSpaceDN w:val="0"/>
      <w:adjustRightInd w:val="0"/>
      <w:jc w:val="right"/>
      <w:textAlignment w:val="baseline"/>
    </w:pPr>
    <w:rPr>
      <w:rFonts w:eastAsia="Times New Roman"/>
    </w:rPr>
  </w:style>
  <w:style w:type="paragraph" w:customStyle="1" w:styleId="TSBHeaderQuestion">
    <w:name w:val="TSBHeaderQuestion"/>
    <w:basedOn w:val="Normal"/>
    <w:qFormat/>
    <w:rsid w:val="00C41D15"/>
    <w:pPr>
      <w:tabs>
        <w:tab w:val="clear" w:pos="794"/>
        <w:tab w:val="clear" w:pos="1191"/>
        <w:tab w:val="clear" w:pos="1588"/>
        <w:tab w:val="clear" w:pos="1985"/>
      </w:tabs>
    </w:pPr>
    <w:rPr>
      <w:szCs w:val="24"/>
      <w:lang w:eastAsia="ja-JP"/>
    </w:rPr>
  </w:style>
  <w:style w:type="paragraph" w:customStyle="1" w:styleId="TSBHeaderSource">
    <w:name w:val="TSBHeaderSource"/>
    <w:basedOn w:val="Normal"/>
    <w:qFormat/>
    <w:rsid w:val="00C41D15"/>
    <w:pPr>
      <w:tabs>
        <w:tab w:val="clear" w:pos="794"/>
        <w:tab w:val="clear" w:pos="1191"/>
        <w:tab w:val="clear" w:pos="1588"/>
        <w:tab w:val="clear" w:pos="1985"/>
      </w:tabs>
    </w:pPr>
    <w:rPr>
      <w:szCs w:val="24"/>
      <w:lang w:eastAsia="ja-JP"/>
    </w:rPr>
  </w:style>
  <w:style w:type="paragraph" w:customStyle="1" w:styleId="TSBHeaderTitle">
    <w:name w:val="TSBHeaderTitle"/>
    <w:basedOn w:val="Normal"/>
    <w:qFormat/>
    <w:rsid w:val="00C41D15"/>
    <w:pPr>
      <w:tabs>
        <w:tab w:val="clear" w:pos="794"/>
        <w:tab w:val="clear" w:pos="1191"/>
        <w:tab w:val="clear" w:pos="1588"/>
        <w:tab w:val="clear" w:pos="1985"/>
      </w:tabs>
    </w:pPr>
    <w:rPr>
      <w:szCs w:val="24"/>
      <w:lang w:eastAsia="ja-JP"/>
    </w:rPr>
  </w:style>
  <w:style w:type="paragraph" w:customStyle="1" w:styleId="TSBHeaderSummary">
    <w:name w:val="TSBHeaderSummary"/>
    <w:basedOn w:val="Normal"/>
    <w:rsid w:val="00C41D15"/>
    <w:pPr>
      <w:tabs>
        <w:tab w:val="clear" w:pos="794"/>
        <w:tab w:val="clear" w:pos="1191"/>
        <w:tab w:val="clear" w:pos="1588"/>
        <w:tab w:val="clear" w:pos="1985"/>
      </w:tabs>
    </w:pPr>
    <w:rPr>
      <w:szCs w:val="24"/>
      <w:lang w:eastAsia="ja-JP"/>
    </w:rPr>
  </w:style>
  <w:style w:type="paragraph" w:customStyle="1" w:styleId="LSApproval">
    <w:name w:val="LSApproval"/>
    <w:basedOn w:val="Normal"/>
    <w:rsid w:val="00C41D15"/>
    <w:pPr>
      <w:tabs>
        <w:tab w:val="clear" w:pos="794"/>
        <w:tab w:val="clear" w:pos="1191"/>
        <w:tab w:val="clear" w:pos="1588"/>
        <w:tab w:val="clear" w:pos="1985"/>
      </w:tabs>
    </w:pPr>
    <w:rPr>
      <w:b/>
      <w:bCs/>
      <w:szCs w:val="24"/>
      <w:lang w:eastAsia="ja-JP"/>
    </w:rPr>
  </w:style>
  <w:style w:type="paragraph" w:styleId="Header">
    <w:name w:val="header"/>
    <w:basedOn w:val="Normal"/>
    <w:link w:val="HeaderChar"/>
    <w:uiPriority w:val="99"/>
    <w:unhideWhenUsed/>
    <w:rsid w:val="007258A7"/>
    <w:pPr>
      <w:tabs>
        <w:tab w:val="clear" w:pos="794"/>
        <w:tab w:val="clear" w:pos="1191"/>
        <w:tab w:val="clear" w:pos="1588"/>
        <w:tab w:val="clear" w:pos="1985"/>
        <w:tab w:val="center" w:pos="4513"/>
        <w:tab w:val="right" w:pos="9026"/>
      </w:tabs>
      <w:spacing w:before="0"/>
    </w:pPr>
  </w:style>
  <w:style w:type="character" w:customStyle="1" w:styleId="HeaderChar">
    <w:name w:val="Header Char"/>
    <w:basedOn w:val="DefaultParagraphFont"/>
    <w:link w:val="Header"/>
    <w:uiPriority w:val="99"/>
    <w:rsid w:val="007258A7"/>
    <w:rPr>
      <w:rFonts w:ascii="Times New Roman" w:eastAsiaTheme="minorEastAsia" w:hAnsi="Times New Roman" w:cs="Times New Roman"/>
      <w:kern w:val="0"/>
      <w:sz w:val="24"/>
      <w:szCs w:val="20"/>
      <w14:ligatures w14:val="none"/>
    </w:rPr>
  </w:style>
  <w:style w:type="paragraph" w:styleId="Footer">
    <w:name w:val="footer"/>
    <w:basedOn w:val="Normal"/>
    <w:link w:val="FooterChar"/>
    <w:uiPriority w:val="99"/>
    <w:unhideWhenUsed/>
    <w:rsid w:val="007258A7"/>
    <w:pPr>
      <w:tabs>
        <w:tab w:val="clear" w:pos="794"/>
        <w:tab w:val="clear" w:pos="1191"/>
        <w:tab w:val="clear" w:pos="1588"/>
        <w:tab w:val="clear" w:pos="1985"/>
        <w:tab w:val="center" w:pos="4513"/>
        <w:tab w:val="right" w:pos="9026"/>
      </w:tabs>
      <w:spacing w:before="0"/>
    </w:pPr>
  </w:style>
  <w:style w:type="character" w:customStyle="1" w:styleId="FooterChar">
    <w:name w:val="Footer Char"/>
    <w:basedOn w:val="DefaultParagraphFont"/>
    <w:link w:val="Footer"/>
    <w:uiPriority w:val="99"/>
    <w:rsid w:val="007258A7"/>
    <w:rPr>
      <w:rFonts w:ascii="Times New Roman" w:eastAsiaTheme="minorEastAsia" w:hAnsi="Times New Roman" w:cs="Times New Roman"/>
      <w:kern w:val="0"/>
      <w:sz w:val="24"/>
      <w:szCs w:val="20"/>
      <w14:ligatures w14:val="none"/>
    </w:rPr>
  </w:style>
  <w:style w:type="paragraph" w:customStyle="1" w:styleId="Docnumber">
    <w:name w:val="Docnumber"/>
    <w:basedOn w:val="Normal"/>
    <w:link w:val="DocnumberChar"/>
    <w:qFormat/>
    <w:rsid w:val="007258A7"/>
    <w:pPr>
      <w:overflowPunct w:val="0"/>
      <w:autoSpaceDE w:val="0"/>
      <w:autoSpaceDN w:val="0"/>
      <w:adjustRightInd w:val="0"/>
      <w:jc w:val="right"/>
      <w:textAlignment w:val="baseline"/>
    </w:pPr>
    <w:rPr>
      <w:rFonts w:eastAsia="SimSun"/>
      <w:b/>
      <w:sz w:val="32"/>
    </w:rPr>
  </w:style>
  <w:style w:type="character" w:customStyle="1" w:styleId="DocnumberChar">
    <w:name w:val="Docnumber Char"/>
    <w:link w:val="Docnumber"/>
    <w:rsid w:val="007258A7"/>
    <w:rPr>
      <w:rFonts w:ascii="Times New Roman" w:eastAsia="SimSun" w:hAnsi="Times New Roman" w:cs="Times New Roman"/>
      <w:b/>
      <w:kern w:val="0"/>
      <w:sz w:val="32"/>
      <w:szCs w:val="20"/>
      <w14:ligatures w14:val="none"/>
    </w:rPr>
  </w:style>
  <w:style w:type="character" w:styleId="UnresolvedMention">
    <w:name w:val="Unresolved Mention"/>
    <w:basedOn w:val="DefaultParagraphFont"/>
    <w:uiPriority w:val="99"/>
    <w:semiHidden/>
    <w:unhideWhenUsed/>
    <w:rsid w:val="007258A7"/>
    <w:rPr>
      <w:color w:val="605E5C"/>
      <w:shd w:val="clear" w:color="auto" w:fill="E1DFDD"/>
    </w:rPr>
  </w:style>
  <w:style w:type="paragraph" w:customStyle="1" w:styleId="TSBHeaderRight14">
    <w:name w:val="TSBHeaderRight14"/>
    <w:basedOn w:val="Normal"/>
    <w:qFormat/>
    <w:rsid w:val="00E37C01"/>
    <w:pPr>
      <w:tabs>
        <w:tab w:val="clear" w:pos="794"/>
        <w:tab w:val="clear" w:pos="1191"/>
        <w:tab w:val="clear" w:pos="1588"/>
        <w:tab w:val="clear" w:pos="1985"/>
      </w:tabs>
      <w:jc w:val="right"/>
    </w:pPr>
    <w:rPr>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u.int/md/T25-SG15-251013-TD-GEN-0119/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tu.int/ifa/t/2025/ls/tsag/sp18-tsag-oLS-00011.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enn.parsons@ericsson.com" TargetMode="External"/><Relationship Id="rId5" Type="http://schemas.openxmlformats.org/officeDocument/2006/relationships/settings" Target="settings.xml"/><Relationship Id="rId15" Type="http://schemas.openxmlformats.org/officeDocument/2006/relationships/hyperlink" Target="https://www.itu.int/md/T25-SG15-251013-TD-GEN-0120/en" TargetMode="External"/><Relationship Id="rId10" Type="http://schemas.openxmlformats.org/officeDocument/2006/relationships/hyperlink" Target="https://www.itu.int/ifa/t/2025/ls/sg15/sp18-sg15-00082.doc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tu.int/ifa/t/2025/ls/tsag/sp18-tsag-oLS-000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c26913cd499e69eb7eaa24e794ebf989">
  <xsd:schema xmlns:xsd="http://www.w3.org/2001/XMLSchema" xmlns:xs="http://www.w3.org/2001/XMLSchema" xmlns:p="http://schemas.microsoft.com/office/2006/metadata/properties" xmlns:ns2="81665285-f1bb-4675-b7f4-28c4ccc980a7" targetNamespace="http://schemas.microsoft.com/office/2006/metadata/properties" ma:root="true" ma:fieldsID="35be8555adb278486e95af341cc20b67"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D46F2-910F-4C29-B97B-158AECBB08D5}">
  <ds:schemaRefs>
    <ds:schemaRef ds:uri="http://schemas.microsoft.com/sharepoint/v3/contenttype/forms"/>
  </ds:schemaRefs>
</ds:datastoreItem>
</file>

<file path=customXml/itemProps2.xml><?xml version="1.0" encoding="utf-8"?>
<ds:datastoreItem xmlns:ds="http://schemas.openxmlformats.org/officeDocument/2006/customXml" ds:itemID="{6EDF7766-C634-45F0-A8E8-28F3A3583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61E14-664C-4100-B6CA-790D2A1A2E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2884</Characters>
  <Application>Microsoft Office Word</Application>
  <DocSecurity>0</DocSecurity>
  <Lines>120</Lines>
  <Paragraphs>83</Paragraphs>
  <ScaleCrop>false</ScaleCrop>
  <Manager>ITU-T</Manager>
  <Company>International Telecommunication Union (ITU)</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to TSAG on the establishment of Joint Correspondence Groups (reply to TSAG-LS11 and TSAG-LS12)</dc:title>
  <dc:subject/>
  <dc:creator>ITU-T Study Group 15</dc:creator>
  <cp:keywords/>
  <dc:description>TSAG-TD230  For: Geneva, 26-30 January 2026_x000d_Document date: _x000d_Saved by ITU51017913 at 1:42:11 PM on 11/13/2025</dc:description>
  <cp:lastModifiedBy>TSB</cp:lastModifiedBy>
  <cp:revision>5</cp:revision>
  <dcterms:created xsi:type="dcterms:W3CDTF">2025-11-13T12:41:00Z</dcterms:created>
  <dcterms:modified xsi:type="dcterms:W3CDTF">2025-11-18T16:01:00Z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TSAG-TD230</vt:lpwstr>
  </property>
  <property fmtid="{D5CDD505-2E9C-101B-9397-08002B2CF9AE}" pid="3" name="Docdate">
    <vt:lpwstr/>
  </property>
  <property fmtid="{D5CDD505-2E9C-101B-9397-08002B2CF9AE}" pid="4" name="Docorlang">
    <vt:lpwstr/>
  </property>
  <property fmtid="{D5CDD505-2E9C-101B-9397-08002B2CF9AE}" pid="5" name="Docbluepink">
    <vt:lpwstr>All/15</vt:lpwstr>
  </property>
  <property fmtid="{D5CDD505-2E9C-101B-9397-08002B2CF9AE}" pid="6" name="Docdest">
    <vt:lpwstr>Geneva, 26-30 January 2026</vt:lpwstr>
  </property>
  <property fmtid="{D5CDD505-2E9C-101B-9397-08002B2CF9AE}" pid="7" name="Docauthor">
    <vt:lpwstr>ITU-T Study Group 15</vt:lpwstr>
  </property>
  <property fmtid="{D5CDD505-2E9C-101B-9397-08002B2CF9AE}" pid="8" name="ContentTypeId">
    <vt:lpwstr>0x010100A77651819BF4BD4A99FFF36FD7E4E96D</vt:lpwstr>
  </property>
</Properties>
</file>