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Layout w:type="fixed"/>
        <w:tblCellMar>
          <w:left w:w="57" w:type="dxa"/>
          <w:right w:w="57" w:type="dxa"/>
        </w:tblCellMar>
        <w:tblLook w:val="0000" w:firstRow="0" w:lastRow="0" w:firstColumn="0" w:lastColumn="0" w:noHBand="0" w:noVBand="0"/>
      </w:tblPr>
      <w:tblGrid>
        <w:gridCol w:w="1132"/>
        <w:gridCol w:w="413"/>
        <w:gridCol w:w="42"/>
        <w:gridCol w:w="618"/>
        <w:gridCol w:w="3251"/>
        <w:gridCol w:w="157"/>
        <w:gridCol w:w="4026"/>
      </w:tblGrid>
      <w:tr w:rsidR="00687418" w:rsidRPr="00687418" w14:paraId="72471BAC" w14:textId="77777777" w:rsidTr="00687418">
        <w:trPr>
          <w:cantSplit/>
        </w:trPr>
        <w:tc>
          <w:tcPr>
            <w:tcW w:w="1132" w:type="dxa"/>
            <w:vMerge w:val="restart"/>
            <w:vAlign w:val="center"/>
          </w:tcPr>
          <w:p w14:paraId="25E744D6" w14:textId="77777777" w:rsidR="00687418" w:rsidRPr="00687418" w:rsidRDefault="00687418" w:rsidP="00687418">
            <w:pPr>
              <w:spacing w:before="0"/>
              <w:jc w:val="center"/>
              <w:rPr>
                <w:sz w:val="20"/>
              </w:rPr>
            </w:pPr>
            <w:bookmarkStart w:id="0" w:name="dnum" w:colFirst="2" w:colLast="2"/>
            <w:bookmarkStart w:id="1" w:name="dtableau"/>
            <w:r w:rsidRPr="00687418">
              <w:rPr>
                <w:noProof/>
              </w:rPr>
              <w:drawing>
                <wp:inline distT="0" distB="0" distL="0" distR="0" wp14:anchorId="61676000" wp14:editId="55DAC215">
                  <wp:extent cx="647700" cy="70560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rotWithShape="1">
                          <a:blip r:embed="rId9">
                            <a:extLst>
                              <a:ext uri="{28A0092B-C50C-407E-A947-70E740481C1C}">
                                <a14:useLocalDpi xmlns:a14="http://schemas.microsoft.com/office/drawing/2010/main" val="0"/>
                              </a:ext>
                            </a:extLst>
                          </a:blip>
                          <a:srcRect l="-202" t="-200" r="-202" b="-309"/>
                          <a:stretch/>
                        </pic:blipFill>
                        <pic:spPr bwMode="auto">
                          <a:xfrm>
                            <a:off x="0" y="0"/>
                            <a:ext cx="650318" cy="70845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81" w:type="dxa"/>
            <w:gridSpan w:val="5"/>
            <w:vMerge w:val="restart"/>
          </w:tcPr>
          <w:p w14:paraId="34488D60" w14:textId="77777777" w:rsidR="00687418" w:rsidRPr="00687418" w:rsidRDefault="00687418" w:rsidP="00687418">
            <w:pPr>
              <w:rPr>
                <w:sz w:val="16"/>
                <w:szCs w:val="16"/>
              </w:rPr>
            </w:pPr>
            <w:r w:rsidRPr="00687418">
              <w:rPr>
                <w:sz w:val="16"/>
                <w:szCs w:val="16"/>
              </w:rPr>
              <w:t>INTERNATIONAL TELECOMMUNICATION UNION</w:t>
            </w:r>
          </w:p>
          <w:p w14:paraId="5E64683A" w14:textId="77777777" w:rsidR="00687418" w:rsidRPr="00687418" w:rsidRDefault="00687418" w:rsidP="00687418">
            <w:pPr>
              <w:rPr>
                <w:b/>
                <w:bCs/>
                <w:sz w:val="26"/>
                <w:szCs w:val="26"/>
              </w:rPr>
            </w:pPr>
            <w:r w:rsidRPr="00687418">
              <w:rPr>
                <w:b/>
                <w:bCs/>
                <w:sz w:val="26"/>
                <w:szCs w:val="26"/>
              </w:rPr>
              <w:t>TELECOMMUNICATION</w:t>
            </w:r>
            <w:r w:rsidRPr="00687418">
              <w:rPr>
                <w:b/>
                <w:bCs/>
                <w:sz w:val="26"/>
                <w:szCs w:val="26"/>
              </w:rPr>
              <w:br/>
              <w:t>STANDARDIZATION SECTOR</w:t>
            </w:r>
          </w:p>
          <w:p w14:paraId="4CFF566E" w14:textId="0EB7408B" w:rsidR="00687418" w:rsidRPr="00687418" w:rsidRDefault="00687418" w:rsidP="00687418">
            <w:pPr>
              <w:rPr>
                <w:sz w:val="20"/>
              </w:rPr>
            </w:pPr>
            <w:r w:rsidRPr="00687418">
              <w:rPr>
                <w:sz w:val="20"/>
              </w:rPr>
              <w:t xml:space="preserve">STUDY PERIOD </w:t>
            </w:r>
            <w:r>
              <w:rPr>
                <w:sz w:val="20"/>
              </w:rPr>
              <w:t>2025-2028</w:t>
            </w:r>
          </w:p>
        </w:tc>
        <w:tc>
          <w:tcPr>
            <w:tcW w:w="4026" w:type="dxa"/>
            <w:vAlign w:val="center"/>
          </w:tcPr>
          <w:p w14:paraId="7AA3A03C" w14:textId="119023C3" w:rsidR="00687418" w:rsidRPr="00687418" w:rsidRDefault="00687418" w:rsidP="00687418">
            <w:pPr>
              <w:pStyle w:val="Docnumber"/>
            </w:pPr>
            <w:r>
              <w:t>TSAG-TD229</w:t>
            </w:r>
          </w:p>
        </w:tc>
      </w:tr>
      <w:tr w:rsidR="00687418" w:rsidRPr="00687418" w14:paraId="6A422226" w14:textId="77777777" w:rsidTr="00687418">
        <w:trPr>
          <w:cantSplit/>
        </w:trPr>
        <w:tc>
          <w:tcPr>
            <w:tcW w:w="1132" w:type="dxa"/>
            <w:vMerge/>
          </w:tcPr>
          <w:p w14:paraId="2CFD9BAF" w14:textId="77777777" w:rsidR="00687418" w:rsidRPr="00687418" w:rsidRDefault="00687418" w:rsidP="00687418">
            <w:pPr>
              <w:rPr>
                <w:smallCaps/>
                <w:sz w:val="20"/>
              </w:rPr>
            </w:pPr>
            <w:bookmarkStart w:id="2" w:name="dsg" w:colFirst="2" w:colLast="2"/>
            <w:bookmarkEnd w:id="0"/>
          </w:p>
        </w:tc>
        <w:tc>
          <w:tcPr>
            <w:tcW w:w="4481" w:type="dxa"/>
            <w:gridSpan w:val="5"/>
            <w:vMerge/>
          </w:tcPr>
          <w:p w14:paraId="184A4857" w14:textId="77777777" w:rsidR="00687418" w:rsidRPr="00687418" w:rsidRDefault="00687418" w:rsidP="00687418">
            <w:pPr>
              <w:rPr>
                <w:smallCaps/>
                <w:sz w:val="20"/>
              </w:rPr>
            </w:pPr>
          </w:p>
        </w:tc>
        <w:tc>
          <w:tcPr>
            <w:tcW w:w="4026" w:type="dxa"/>
          </w:tcPr>
          <w:p w14:paraId="74C5FB2F" w14:textId="3252122D" w:rsidR="00687418" w:rsidRPr="00687418" w:rsidRDefault="00687418" w:rsidP="00687418">
            <w:pPr>
              <w:pStyle w:val="TSBHeaderRight14"/>
              <w:rPr>
                <w:smallCaps/>
              </w:rPr>
            </w:pPr>
            <w:r>
              <w:rPr>
                <w:smallCaps/>
              </w:rPr>
              <w:t>TSAG</w:t>
            </w:r>
          </w:p>
        </w:tc>
      </w:tr>
      <w:bookmarkEnd w:id="2"/>
      <w:tr w:rsidR="00687418" w:rsidRPr="00687418" w14:paraId="4735DF0C" w14:textId="77777777" w:rsidTr="00687418">
        <w:trPr>
          <w:cantSplit/>
        </w:trPr>
        <w:tc>
          <w:tcPr>
            <w:tcW w:w="1132" w:type="dxa"/>
            <w:vMerge/>
            <w:tcBorders>
              <w:bottom w:val="single" w:sz="12" w:space="0" w:color="auto"/>
            </w:tcBorders>
          </w:tcPr>
          <w:p w14:paraId="0624F130" w14:textId="77777777" w:rsidR="00687418" w:rsidRPr="00687418" w:rsidRDefault="00687418" w:rsidP="00687418">
            <w:pPr>
              <w:rPr>
                <w:b/>
                <w:bCs/>
                <w:sz w:val="26"/>
              </w:rPr>
            </w:pPr>
          </w:p>
        </w:tc>
        <w:tc>
          <w:tcPr>
            <w:tcW w:w="4481" w:type="dxa"/>
            <w:gridSpan w:val="5"/>
            <w:vMerge/>
            <w:tcBorders>
              <w:bottom w:val="single" w:sz="12" w:space="0" w:color="auto"/>
            </w:tcBorders>
          </w:tcPr>
          <w:p w14:paraId="524568B2" w14:textId="77777777" w:rsidR="00687418" w:rsidRPr="00687418" w:rsidRDefault="00687418" w:rsidP="00687418">
            <w:pPr>
              <w:rPr>
                <w:b/>
                <w:bCs/>
                <w:sz w:val="26"/>
              </w:rPr>
            </w:pPr>
          </w:p>
        </w:tc>
        <w:tc>
          <w:tcPr>
            <w:tcW w:w="4026" w:type="dxa"/>
            <w:tcBorders>
              <w:bottom w:val="single" w:sz="12" w:space="0" w:color="auto"/>
            </w:tcBorders>
            <w:vAlign w:val="center"/>
          </w:tcPr>
          <w:p w14:paraId="4BCE5F96" w14:textId="77777777" w:rsidR="00687418" w:rsidRPr="00687418" w:rsidRDefault="00687418" w:rsidP="00687418">
            <w:pPr>
              <w:pStyle w:val="TSBHeaderRight14"/>
            </w:pPr>
            <w:r w:rsidRPr="00687418">
              <w:t>Original: English</w:t>
            </w:r>
          </w:p>
        </w:tc>
      </w:tr>
      <w:tr w:rsidR="00687418" w:rsidRPr="00687418" w14:paraId="24C2F51A" w14:textId="77777777" w:rsidTr="00687418">
        <w:trPr>
          <w:cantSplit/>
        </w:trPr>
        <w:tc>
          <w:tcPr>
            <w:tcW w:w="1587" w:type="dxa"/>
            <w:gridSpan w:val="3"/>
          </w:tcPr>
          <w:p w14:paraId="78BABC3A" w14:textId="7E086AB1" w:rsidR="00687418" w:rsidRPr="00687418" w:rsidRDefault="00687418" w:rsidP="00687418">
            <w:pPr>
              <w:rPr>
                <w:b/>
                <w:bCs/>
                <w:szCs w:val="24"/>
              </w:rPr>
            </w:pPr>
            <w:bookmarkStart w:id="3" w:name="dbluepink" w:colFirst="1" w:colLast="1"/>
            <w:bookmarkStart w:id="4" w:name="dmeeting" w:colFirst="2" w:colLast="2"/>
          </w:p>
        </w:tc>
        <w:tc>
          <w:tcPr>
            <w:tcW w:w="4026" w:type="dxa"/>
            <w:gridSpan w:val="3"/>
          </w:tcPr>
          <w:p w14:paraId="2ED3FA5A" w14:textId="62980BC5" w:rsidR="00687418" w:rsidRPr="00687418" w:rsidRDefault="00687418" w:rsidP="00687418">
            <w:pPr>
              <w:pStyle w:val="TSBHeaderQuestion"/>
            </w:pPr>
          </w:p>
        </w:tc>
        <w:tc>
          <w:tcPr>
            <w:tcW w:w="4026" w:type="dxa"/>
          </w:tcPr>
          <w:p w14:paraId="15381D26" w14:textId="06D38445" w:rsidR="00687418" w:rsidRPr="00687418" w:rsidRDefault="00687418" w:rsidP="00687418">
            <w:pPr>
              <w:pStyle w:val="VenueDate"/>
            </w:pPr>
            <w:r w:rsidRPr="00687418">
              <w:t>Geneva, 26-30 January 2026</w:t>
            </w:r>
          </w:p>
        </w:tc>
      </w:tr>
      <w:tr w:rsidR="00687418" w:rsidRPr="00687418" w14:paraId="7F8C6F74" w14:textId="77777777" w:rsidTr="005F7827">
        <w:trPr>
          <w:cantSplit/>
        </w:trPr>
        <w:tc>
          <w:tcPr>
            <w:tcW w:w="9639" w:type="dxa"/>
            <w:gridSpan w:val="7"/>
          </w:tcPr>
          <w:p w14:paraId="1A51222E" w14:textId="77777777" w:rsidR="00687418" w:rsidRPr="00687418" w:rsidRDefault="00687418" w:rsidP="00687418">
            <w:pPr>
              <w:jc w:val="center"/>
              <w:rPr>
                <w:b/>
                <w:bCs/>
                <w:szCs w:val="24"/>
              </w:rPr>
            </w:pPr>
            <w:bookmarkStart w:id="5" w:name="ddoctype"/>
            <w:bookmarkEnd w:id="3"/>
            <w:bookmarkEnd w:id="4"/>
            <w:r w:rsidRPr="00687418">
              <w:rPr>
                <w:b/>
                <w:bCs/>
                <w:szCs w:val="24"/>
              </w:rPr>
              <w:t>TD</w:t>
            </w:r>
          </w:p>
          <w:p w14:paraId="6641A60F" w14:textId="6C111ADD" w:rsidR="00687418" w:rsidRPr="00687418" w:rsidRDefault="00687418" w:rsidP="006A08FD">
            <w:pPr>
              <w:spacing w:before="0"/>
              <w:jc w:val="center"/>
              <w:rPr>
                <w:b/>
                <w:bCs/>
                <w:szCs w:val="24"/>
              </w:rPr>
            </w:pPr>
            <w:r w:rsidRPr="00687418">
              <w:rPr>
                <w:b/>
                <w:bCs/>
                <w:szCs w:val="24"/>
              </w:rPr>
              <w:t xml:space="preserve">(Ref.: </w:t>
            </w:r>
            <w:hyperlink r:id="rId10" w:history="1">
              <w:r w:rsidR="006A08FD" w:rsidRPr="006A08FD">
                <w:rPr>
                  <w:rStyle w:val="Hyperlink"/>
                  <w:b/>
                  <w:bCs/>
                  <w:szCs w:val="24"/>
                </w:rPr>
                <w:t>SG15-LS81</w:t>
              </w:r>
            </w:hyperlink>
            <w:r w:rsidRPr="00687418">
              <w:rPr>
                <w:b/>
                <w:bCs/>
                <w:szCs w:val="24"/>
              </w:rPr>
              <w:t>)</w:t>
            </w:r>
          </w:p>
        </w:tc>
      </w:tr>
      <w:tr w:rsidR="00687418" w:rsidRPr="00687418" w14:paraId="061C1606" w14:textId="77777777" w:rsidTr="00687418">
        <w:trPr>
          <w:cantSplit/>
        </w:trPr>
        <w:tc>
          <w:tcPr>
            <w:tcW w:w="1587" w:type="dxa"/>
            <w:gridSpan w:val="3"/>
          </w:tcPr>
          <w:p w14:paraId="499CA575" w14:textId="77777777" w:rsidR="00687418" w:rsidRPr="00687418" w:rsidRDefault="00687418" w:rsidP="00687418">
            <w:pPr>
              <w:rPr>
                <w:b/>
                <w:bCs/>
                <w:szCs w:val="24"/>
              </w:rPr>
            </w:pPr>
            <w:bookmarkStart w:id="6" w:name="dsource" w:colFirst="1" w:colLast="1"/>
            <w:bookmarkEnd w:id="5"/>
            <w:r w:rsidRPr="00687418">
              <w:rPr>
                <w:b/>
                <w:bCs/>
                <w:szCs w:val="24"/>
              </w:rPr>
              <w:t>Source:</w:t>
            </w:r>
          </w:p>
        </w:tc>
        <w:tc>
          <w:tcPr>
            <w:tcW w:w="8052" w:type="dxa"/>
            <w:gridSpan w:val="4"/>
          </w:tcPr>
          <w:p w14:paraId="19845E23" w14:textId="7B85FACB" w:rsidR="00687418" w:rsidRPr="00687418" w:rsidRDefault="00687418" w:rsidP="00687418">
            <w:pPr>
              <w:pStyle w:val="TSBHeaderSource"/>
            </w:pPr>
            <w:r w:rsidRPr="00687418">
              <w:t>ITU-T Study Group 15</w:t>
            </w:r>
          </w:p>
        </w:tc>
      </w:tr>
      <w:tr w:rsidR="00687418" w:rsidRPr="00687418" w14:paraId="445DE6AD" w14:textId="77777777" w:rsidTr="00687418">
        <w:trPr>
          <w:cantSplit/>
        </w:trPr>
        <w:tc>
          <w:tcPr>
            <w:tcW w:w="1587" w:type="dxa"/>
            <w:gridSpan w:val="3"/>
            <w:tcBorders>
              <w:bottom w:val="single" w:sz="8" w:space="0" w:color="auto"/>
            </w:tcBorders>
          </w:tcPr>
          <w:p w14:paraId="7E858538" w14:textId="77777777" w:rsidR="00687418" w:rsidRPr="00687418" w:rsidRDefault="00687418" w:rsidP="00687418">
            <w:pPr>
              <w:rPr>
                <w:b/>
                <w:bCs/>
                <w:szCs w:val="24"/>
              </w:rPr>
            </w:pPr>
            <w:bookmarkStart w:id="7" w:name="dtitle1" w:colFirst="1" w:colLast="1"/>
            <w:bookmarkEnd w:id="6"/>
            <w:r w:rsidRPr="00687418">
              <w:rPr>
                <w:b/>
                <w:bCs/>
                <w:szCs w:val="24"/>
              </w:rPr>
              <w:t>Title:</w:t>
            </w:r>
          </w:p>
        </w:tc>
        <w:tc>
          <w:tcPr>
            <w:tcW w:w="8052" w:type="dxa"/>
            <w:gridSpan w:val="4"/>
            <w:tcBorders>
              <w:bottom w:val="single" w:sz="8" w:space="0" w:color="auto"/>
            </w:tcBorders>
          </w:tcPr>
          <w:p w14:paraId="6354B984" w14:textId="4F7D9575" w:rsidR="00687418" w:rsidRPr="00687418" w:rsidRDefault="00687418" w:rsidP="00687418">
            <w:pPr>
              <w:pStyle w:val="TSBHeaderTitle"/>
              <w:rPr>
                <w:lang w:val="en-US"/>
              </w:rPr>
            </w:pPr>
            <w:r w:rsidRPr="00687418">
              <w:t>LS/</w:t>
            </w:r>
            <w:r>
              <w:t>i/</w:t>
            </w:r>
            <w:r w:rsidRPr="00687418">
              <w:t>r on lead study group concept (reply to TSAG-LS4)</w:t>
            </w:r>
            <w:r>
              <w:t xml:space="preserve"> </w:t>
            </w:r>
            <w:r>
              <w:rPr>
                <w:lang w:val="en-US"/>
              </w:rPr>
              <w:t>[from ITU-T SG15]</w:t>
            </w:r>
          </w:p>
        </w:tc>
      </w:tr>
      <w:bookmarkEnd w:id="1"/>
      <w:bookmarkEnd w:id="7"/>
      <w:tr w:rsidR="004B20F8" w14:paraId="463BCB67" w14:textId="77777777" w:rsidTr="008846E4">
        <w:trPr>
          <w:cantSplit/>
          <w:trHeight w:val="357"/>
        </w:trPr>
        <w:tc>
          <w:tcPr>
            <w:tcW w:w="9639" w:type="dxa"/>
            <w:gridSpan w:val="7"/>
            <w:tcBorders>
              <w:top w:val="single" w:sz="12" w:space="0" w:color="auto"/>
            </w:tcBorders>
          </w:tcPr>
          <w:p w14:paraId="397B320C" w14:textId="77777777" w:rsidR="004B20F8" w:rsidRDefault="004B20F8" w:rsidP="008846E4">
            <w:pPr>
              <w:jc w:val="center"/>
              <w:rPr>
                <w:b/>
              </w:rPr>
            </w:pPr>
            <w:r>
              <w:rPr>
                <w:b/>
              </w:rPr>
              <w:t>LIAISON STATEMENT</w:t>
            </w:r>
          </w:p>
        </w:tc>
      </w:tr>
      <w:tr w:rsidR="004B20F8" w14:paraId="1AF517B2" w14:textId="77777777" w:rsidTr="008846E4">
        <w:trPr>
          <w:cantSplit/>
          <w:trHeight w:val="357"/>
        </w:trPr>
        <w:tc>
          <w:tcPr>
            <w:tcW w:w="2205" w:type="dxa"/>
            <w:gridSpan w:val="4"/>
          </w:tcPr>
          <w:p w14:paraId="7EF70E79" w14:textId="77777777" w:rsidR="004B20F8" w:rsidRPr="003869CD" w:rsidRDefault="004B20F8" w:rsidP="008846E4">
            <w:pPr>
              <w:rPr>
                <w:b/>
                <w:bCs/>
              </w:rPr>
            </w:pPr>
            <w:r w:rsidRPr="003869CD">
              <w:rPr>
                <w:b/>
                <w:bCs/>
              </w:rPr>
              <w:t>For action to:</w:t>
            </w:r>
          </w:p>
        </w:tc>
        <w:tc>
          <w:tcPr>
            <w:tcW w:w="7434" w:type="dxa"/>
            <w:gridSpan w:val="3"/>
          </w:tcPr>
          <w:p w14:paraId="66F332EA" w14:textId="77777777" w:rsidR="004B20F8" w:rsidRDefault="004B20F8" w:rsidP="008846E4">
            <w:pPr>
              <w:pStyle w:val="LSForAction"/>
            </w:pPr>
          </w:p>
        </w:tc>
      </w:tr>
      <w:tr w:rsidR="004B20F8" w14:paraId="2D6F138C" w14:textId="77777777" w:rsidTr="008846E4">
        <w:trPr>
          <w:cantSplit/>
          <w:trHeight w:val="357"/>
        </w:trPr>
        <w:tc>
          <w:tcPr>
            <w:tcW w:w="2205" w:type="dxa"/>
            <w:gridSpan w:val="4"/>
          </w:tcPr>
          <w:p w14:paraId="479AD597" w14:textId="77777777" w:rsidR="004B20F8" w:rsidRPr="003869CD" w:rsidRDefault="004B20F8" w:rsidP="008846E4">
            <w:pPr>
              <w:rPr>
                <w:b/>
                <w:bCs/>
              </w:rPr>
            </w:pPr>
            <w:r w:rsidRPr="003869CD">
              <w:rPr>
                <w:b/>
                <w:bCs/>
              </w:rPr>
              <w:t>For information to:</w:t>
            </w:r>
          </w:p>
        </w:tc>
        <w:tc>
          <w:tcPr>
            <w:tcW w:w="7434" w:type="dxa"/>
            <w:gridSpan w:val="3"/>
          </w:tcPr>
          <w:p w14:paraId="1A00D81A" w14:textId="77777777" w:rsidR="004B20F8" w:rsidRPr="0055658F" w:rsidRDefault="004B20F8" w:rsidP="008846E4">
            <w:pPr>
              <w:pStyle w:val="LSForInfo"/>
              <w:rPr>
                <w:b w:val="0"/>
                <w:bCs w:val="0"/>
              </w:rPr>
            </w:pPr>
            <w:r w:rsidRPr="0055658F">
              <w:rPr>
                <w:b w:val="0"/>
                <w:bCs w:val="0"/>
              </w:rPr>
              <w:t>TSAG</w:t>
            </w:r>
          </w:p>
        </w:tc>
      </w:tr>
      <w:tr w:rsidR="004B20F8" w14:paraId="7483E74E" w14:textId="77777777" w:rsidTr="008846E4">
        <w:trPr>
          <w:cantSplit/>
          <w:trHeight w:val="357"/>
        </w:trPr>
        <w:tc>
          <w:tcPr>
            <w:tcW w:w="2205" w:type="dxa"/>
            <w:gridSpan w:val="4"/>
          </w:tcPr>
          <w:p w14:paraId="194D9AE2" w14:textId="77777777" w:rsidR="004B20F8" w:rsidRDefault="004B20F8" w:rsidP="008846E4">
            <w:pPr>
              <w:rPr>
                <w:b/>
                <w:bCs/>
              </w:rPr>
            </w:pPr>
            <w:r>
              <w:rPr>
                <w:b/>
                <w:bCs/>
              </w:rPr>
              <w:t>Approval:</w:t>
            </w:r>
          </w:p>
        </w:tc>
        <w:tc>
          <w:tcPr>
            <w:tcW w:w="7434" w:type="dxa"/>
            <w:gridSpan w:val="3"/>
          </w:tcPr>
          <w:p w14:paraId="513B8C58" w14:textId="1A757834" w:rsidR="004B20F8" w:rsidRPr="00BA4A32" w:rsidRDefault="00BA4A32" w:rsidP="008846E4">
            <w:pPr>
              <w:pStyle w:val="LSApproval"/>
              <w:rPr>
                <w:b w:val="0"/>
                <w:bCs w:val="0"/>
              </w:rPr>
            </w:pPr>
            <w:r w:rsidRPr="00BA4A32">
              <w:rPr>
                <w:b w:val="0"/>
                <w:bCs w:val="0"/>
              </w:rPr>
              <w:t>ITU-T S</w:t>
            </w:r>
            <w:r w:rsidR="006A08FD">
              <w:rPr>
                <w:b w:val="0"/>
                <w:bCs w:val="0"/>
              </w:rPr>
              <w:t xml:space="preserve">tudy </w:t>
            </w:r>
            <w:r w:rsidR="00D05C79">
              <w:rPr>
                <w:b w:val="0"/>
                <w:bCs w:val="0"/>
              </w:rPr>
              <w:t>G</w:t>
            </w:r>
            <w:r w:rsidR="006A08FD">
              <w:rPr>
                <w:b w:val="0"/>
                <w:bCs w:val="0"/>
              </w:rPr>
              <w:t xml:space="preserve">roup </w:t>
            </w:r>
            <w:r w:rsidRPr="00BA4A32">
              <w:rPr>
                <w:b w:val="0"/>
                <w:bCs w:val="0"/>
              </w:rPr>
              <w:t>15</w:t>
            </w:r>
            <w:r>
              <w:rPr>
                <w:b w:val="0"/>
                <w:bCs w:val="0"/>
              </w:rPr>
              <w:t xml:space="preserve"> meeting (24 October 2025)</w:t>
            </w:r>
          </w:p>
        </w:tc>
      </w:tr>
      <w:tr w:rsidR="004B20F8" w14:paraId="07E37472" w14:textId="77777777" w:rsidTr="008846E4">
        <w:trPr>
          <w:cantSplit/>
          <w:trHeight w:val="357"/>
        </w:trPr>
        <w:tc>
          <w:tcPr>
            <w:tcW w:w="2205" w:type="dxa"/>
            <w:gridSpan w:val="4"/>
            <w:tcBorders>
              <w:bottom w:val="single" w:sz="12" w:space="0" w:color="auto"/>
            </w:tcBorders>
          </w:tcPr>
          <w:p w14:paraId="034D854A" w14:textId="77777777" w:rsidR="004B20F8" w:rsidRDefault="004B20F8" w:rsidP="008846E4">
            <w:pPr>
              <w:rPr>
                <w:b/>
                <w:bCs/>
              </w:rPr>
            </w:pPr>
            <w:r>
              <w:rPr>
                <w:b/>
                <w:bCs/>
              </w:rPr>
              <w:t>Deadline:</w:t>
            </w:r>
          </w:p>
        </w:tc>
        <w:tc>
          <w:tcPr>
            <w:tcW w:w="7434" w:type="dxa"/>
            <w:gridSpan w:val="3"/>
            <w:tcBorders>
              <w:bottom w:val="single" w:sz="12" w:space="0" w:color="auto"/>
            </w:tcBorders>
          </w:tcPr>
          <w:p w14:paraId="4FFF155D" w14:textId="77777777" w:rsidR="004B20F8" w:rsidRPr="0055658F" w:rsidRDefault="004B20F8" w:rsidP="008846E4">
            <w:pPr>
              <w:pStyle w:val="LSDeadline"/>
              <w:rPr>
                <w:b w:val="0"/>
                <w:bCs w:val="0"/>
              </w:rPr>
            </w:pPr>
            <w:r w:rsidRPr="0055658F">
              <w:rPr>
                <w:b w:val="0"/>
                <w:bCs w:val="0"/>
              </w:rPr>
              <w:t>15 June 2026</w:t>
            </w:r>
          </w:p>
        </w:tc>
      </w:tr>
      <w:tr w:rsidR="004B20F8" w:rsidRPr="00D05C79" w14:paraId="0DB71EEA" w14:textId="77777777" w:rsidTr="00687418">
        <w:trPr>
          <w:cantSplit/>
        </w:trPr>
        <w:tc>
          <w:tcPr>
            <w:tcW w:w="1545" w:type="dxa"/>
            <w:gridSpan w:val="2"/>
            <w:tcBorders>
              <w:top w:val="single" w:sz="8" w:space="0" w:color="auto"/>
              <w:bottom w:val="single" w:sz="8" w:space="0" w:color="auto"/>
            </w:tcBorders>
          </w:tcPr>
          <w:p w14:paraId="3BF6F3DC" w14:textId="77777777" w:rsidR="004B20F8" w:rsidRPr="00136DDD" w:rsidRDefault="004B20F8" w:rsidP="008846E4">
            <w:pPr>
              <w:rPr>
                <w:b/>
                <w:bCs/>
              </w:rPr>
            </w:pPr>
            <w:r w:rsidRPr="00136DDD">
              <w:rPr>
                <w:b/>
                <w:bCs/>
              </w:rPr>
              <w:t>Contact:</w:t>
            </w:r>
          </w:p>
        </w:tc>
        <w:tc>
          <w:tcPr>
            <w:tcW w:w="3911" w:type="dxa"/>
            <w:gridSpan w:val="3"/>
            <w:tcBorders>
              <w:top w:val="single" w:sz="8" w:space="0" w:color="auto"/>
              <w:bottom w:val="single" w:sz="8" w:space="0" w:color="auto"/>
            </w:tcBorders>
          </w:tcPr>
          <w:p w14:paraId="0BF60C7A" w14:textId="77777777" w:rsidR="004B20F8" w:rsidRPr="00F83079" w:rsidRDefault="004B20F8" w:rsidP="008846E4">
            <w:pPr>
              <w:rPr>
                <w:lang w:val="fr-CA"/>
              </w:rPr>
            </w:pPr>
            <w:r w:rsidRPr="00F83079">
              <w:rPr>
                <w:lang w:val="fr-CA"/>
              </w:rPr>
              <w:t>Glenn Parsons</w:t>
            </w:r>
            <w:r w:rsidRPr="00F83079">
              <w:rPr>
                <w:lang w:val="fr-CA"/>
              </w:rPr>
              <w:br/>
              <w:t>Chair, ITU-T SG15</w:t>
            </w:r>
          </w:p>
        </w:tc>
        <w:tc>
          <w:tcPr>
            <w:tcW w:w="4183" w:type="dxa"/>
            <w:gridSpan w:val="2"/>
            <w:tcBorders>
              <w:top w:val="single" w:sz="8" w:space="0" w:color="auto"/>
              <w:bottom w:val="single" w:sz="8" w:space="0" w:color="auto"/>
            </w:tcBorders>
          </w:tcPr>
          <w:p w14:paraId="794957B8" w14:textId="68FF2DF0" w:rsidR="004B20F8" w:rsidRPr="004B20F8" w:rsidRDefault="004B20F8" w:rsidP="008846E4">
            <w:pPr>
              <w:rPr>
                <w:lang w:val="de-CH"/>
              </w:rPr>
            </w:pPr>
            <w:r w:rsidRPr="004B20F8">
              <w:rPr>
                <w:lang w:val="de-CH"/>
              </w:rPr>
              <w:t>Tel:</w:t>
            </w:r>
            <w:r w:rsidRPr="004B20F8">
              <w:rPr>
                <w:lang w:val="de-CH"/>
              </w:rPr>
              <w:tab/>
              <w:t>+1 514 379 9037</w:t>
            </w:r>
            <w:r w:rsidRPr="004B20F8">
              <w:rPr>
                <w:lang w:val="de-CH"/>
              </w:rPr>
              <w:br/>
              <w:t>E-mail:</w:t>
            </w:r>
            <w:r w:rsidRPr="004B20F8">
              <w:rPr>
                <w:lang w:val="de-CH"/>
              </w:rPr>
              <w:tab/>
            </w:r>
            <w:hyperlink r:id="rId11" w:history="1">
              <w:r w:rsidR="0055658F" w:rsidRPr="000C50BC">
                <w:rPr>
                  <w:rStyle w:val="Hyperlink"/>
                  <w:lang w:val="de-CH"/>
                </w:rPr>
                <w:t>glenn.parsons@ericsson.com</w:t>
              </w:r>
            </w:hyperlink>
            <w:r w:rsidR="0055658F">
              <w:rPr>
                <w:lang w:val="de-CH"/>
              </w:rPr>
              <w:t xml:space="preserve"> </w:t>
            </w:r>
          </w:p>
        </w:tc>
      </w:tr>
    </w:tbl>
    <w:p w14:paraId="4529AE3B" w14:textId="77777777" w:rsidR="004B20F8" w:rsidRPr="004B20F8" w:rsidRDefault="004B20F8" w:rsidP="004B20F8">
      <w:pPr>
        <w:rPr>
          <w:lang w:val="de-CH"/>
        </w:rPr>
      </w:pPr>
    </w:p>
    <w:tbl>
      <w:tblPr>
        <w:tblW w:w="9639" w:type="dxa"/>
        <w:tblLayout w:type="fixed"/>
        <w:tblCellMar>
          <w:left w:w="57" w:type="dxa"/>
          <w:right w:w="57" w:type="dxa"/>
        </w:tblCellMar>
        <w:tblLook w:val="0000" w:firstRow="0" w:lastRow="0" w:firstColumn="0" w:lastColumn="0" w:noHBand="0" w:noVBand="0"/>
      </w:tblPr>
      <w:tblGrid>
        <w:gridCol w:w="1588"/>
        <w:gridCol w:w="8051"/>
      </w:tblGrid>
      <w:tr w:rsidR="004B20F8" w:rsidRPr="00136DDD" w14:paraId="364A1A3C" w14:textId="77777777" w:rsidTr="008846E4">
        <w:trPr>
          <w:cantSplit/>
        </w:trPr>
        <w:tc>
          <w:tcPr>
            <w:tcW w:w="1588" w:type="dxa"/>
          </w:tcPr>
          <w:p w14:paraId="6B0DE240" w14:textId="77777777" w:rsidR="004B20F8" w:rsidRPr="00136DDD" w:rsidRDefault="004B20F8" w:rsidP="008846E4">
            <w:pPr>
              <w:rPr>
                <w:b/>
                <w:bCs/>
              </w:rPr>
            </w:pPr>
            <w:r w:rsidRPr="00136DDD">
              <w:rPr>
                <w:b/>
                <w:bCs/>
              </w:rPr>
              <w:t>Abstract:</w:t>
            </w:r>
          </w:p>
        </w:tc>
        <w:tc>
          <w:tcPr>
            <w:tcW w:w="8051" w:type="dxa"/>
          </w:tcPr>
          <w:p w14:paraId="0EADA2C5" w14:textId="77777777" w:rsidR="004B20F8" w:rsidRPr="008249A7" w:rsidRDefault="004B20F8" w:rsidP="008846E4">
            <w:pPr>
              <w:pStyle w:val="TSBHeaderSummary"/>
              <w:rPr>
                <w:highlight w:val="yellow"/>
              </w:rPr>
            </w:pPr>
            <w:r w:rsidRPr="00104550">
              <w:t xml:space="preserve">This liaison provides </w:t>
            </w:r>
            <w:r>
              <w:t>response</w:t>
            </w:r>
            <w:r w:rsidRPr="00104550">
              <w:t xml:space="preserve"> from ITU-T SG15 </w:t>
            </w:r>
            <w:r>
              <w:t xml:space="preserve">to questions in TSAG-LS4 </w:t>
            </w:r>
            <w:r w:rsidRPr="00284734">
              <w:t xml:space="preserve">on </w:t>
            </w:r>
            <w:r>
              <w:t xml:space="preserve">the </w:t>
            </w:r>
            <w:r w:rsidRPr="00284734">
              <w:t>lead study group concept</w:t>
            </w:r>
            <w:r>
              <w:t>.</w:t>
            </w:r>
          </w:p>
        </w:tc>
      </w:tr>
    </w:tbl>
    <w:p w14:paraId="53DD5240" w14:textId="77777777" w:rsidR="004B20F8" w:rsidRDefault="004B20F8" w:rsidP="004B20F8">
      <w:pPr>
        <w:rPr>
          <w:rFonts w:eastAsia="MS Mincho"/>
        </w:rPr>
      </w:pPr>
    </w:p>
    <w:p w14:paraId="372F4648" w14:textId="77777777" w:rsidR="004B20F8" w:rsidRDefault="004B20F8" w:rsidP="004B20F8">
      <w:r>
        <w:t xml:space="preserve">ITU-T SG15 thanks TSAG for their liaison </w:t>
      </w:r>
      <w:hyperlink r:id="rId12" w:tooltip="ITU-T ftp file restricted to TIES access only" w:history="1">
        <w:r>
          <w:rPr>
            <w:rStyle w:val="Hyperlink"/>
          </w:rPr>
          <w:t>TSAG-LS4</w:t>
        </w:r>
      </w:hyperlink>
      <w:r>
        <w:t xml:space="preserve"> </w:t>
      </w:r>
      <w:r w:rsidRPr="00904097">
        <w:rPr>
          <w:rFonts w:eastAsia="SimSun"/>
        </w:rPr>
        <w:t>(</w:t>
      </w:r>
      <w:hyperlink r:id="rId13" w:history="1">
        <w:r w:rsidRPr="00084E68">
          <w:rPr>
            <w:rStyle w:val="Hyperlink"/>
            <w:rFonts w:eastAsia="SimSun"/>
          </w:rPr>
          <w:t>SG15-TD1</w:t>
        </w:r>
        <w:r>
          <w:rPr>
            <w:rStyle w:val="Hyperlink"/>
            <w:rFonts w:eastAsia="SimSun"/>
          </w:rPr>
          <w:t>12</w:t>
        </w:r>
        <w:r w:rsidRPr="00084E68">
          <w:rPr>
            <w:rStyle w:val="Hyperlink"/>
            <w:rFonts w:eastAsia="SimSun"/>
          </w:rPr>
          <w:t>/GEN</w:t>
        </w:r>
      </w:hyperlink>
      <w:r w:rsidRPr="00904097">
        <w:rPr>
          <w:rFonts w:eastAsia="SimSun"/>
        </w:rPr>
        <w:t>)</w:t>
      </w:r>
      <w:r>
        <w:t>; below we provide answers to the questions in that document.</w:t>
      </w:r>
    </w:p>
    <w:p w14:paraId="2BA80B1A" w14:textId="77777777" w:rsidR="004B20F8" w:rsidRDefault="004B20F8" w:rsidP="004B20F8">
      <w:r>
        <w:t>In addition, we have also provided the guideline that has been agreed by SG15 for lead study group activities, which is included as an Appendix to this liaison.</w:t>
      </w:r>
    </w:p>
    <w:p w14:paraId="68BEC134" w14:textId="77777777" w:rsidR="004B20F8" w:rsidRDefault="004B20F8" w:rsidP="004B20F8">
      <w:r>
        <w:t>ITU-T SG15 hopes this input will assist TSAG with its activities to address the effectiveness of lead study group activities as requested by WTSA-24.  If requested, SG15, through the SG15 Chair, is available to share more details on its success with lead study groups during TSAG.   ITU-T SG15 will continue to observe this process and respond to further enquiries with interest.</w:t>
      </w:r>
    </w:p>
    <w:p w14:paraId="7906E325" w14:textId="77777777" w:rsidR="004B20F8" w:rsidRDefault="004B20F8" w:rsidP="004B20F8"/>
    <w:p w14:paraId="1844FAEE" w14:textId="77777777" w:rsidR="004B20F8" w:rsidRPr="00684424" w:rsidRDefault="004B20F8" w:rsidP="004B20F8">
      <w:pPr>
        <w:rPr>
          <w:b/>
          <w:bCs/>
          <w:lang w:val="en-US"/>
        </w:rPr>
      </w:pPr>
      <w:r w:rsidRPr="00684424">
        <w:rPr>
          <w:b/>
          <w:bCs/>
          <w:lang w:val="en-US"/>
        </w:rPr>
        <w:t>Q/ How effective is the concept of Lead Study Group in your SG?</w:t>
      </w:r>
    </w:p>
    <w:p w14:paraId="295B32EF" w14:textId="77777777" w:rsidR="004B20F8" w:rsidRDefault="004B20F8" w:rsidP="004B20F8">
      <w:pPr>
        <w:rPr>
          <w:lang w:val="en-US"/>
        </w:rPr>
      </w:pPr>
      <w:r>
        <w:rPr>
          <w:lang w:val="en-US"/>
        </w:rPr>
        <w:t>ITU-T SG15 believes the Lead Study Group (LSG) concept is v</w:t>
      </w:r>
      <w:r w:rsidRPr="00684424">
        <w:rPr>
          <w:lang w:val="en-US"/>
        </w:rPr>
        <w:t>ery</w:t>
      </w:r>
      <w:r>
        <w:rPr>
          <w:lang w:val="en-US"/>
        </w:rPr>
        <w:t xml:space="preserve"> effective</w:t>
      </w:r>
      <w:r w:rsidRPr="00684424">
        <w:rPr>
          <w:lang w:val="en-US"/>
        </w:rPr>
        <w:t xml:space="preserve">. </w:t>
      </w:r>
    </w:p>
    <w:p w14:paraId="2ABDD6B0" w14:textId="77777777" w:rsidR="004B20F8" w:rsidRDefault="004B20F8" w:rsidP="004B20F8">
      <w:pPr>
        <w:rPr>
          <w:lang w:val="en-US"/>
        </w:rPr>
      </w:pPr>
      <w:r w:rsidRPr="00684424">
        <w:rPr>
          <w:lang w:val="en-US"/>
        </w:rPr>
        <w:t xml:space="preserve">It allows the SG itself, the optical networking industry and other SDOs, </w:t>
      </w:r>
      <w:r>
        <w:rPr>
          <w:lang w:val="en-US"/>
        </w:rPr>
        <w:t>f</w:t>
      </w:r>
      <w:r w:rsidRPr="00684424">
        <w:rPr>
          <w:lang w:val="en-US"/>
        </w:rPr>
        <w:t xml:space="preserve">ora </w:t>
      </w:r>
      <w:r>
        <w:rPr>
          <w:lang w:val="en-US"/>
        </w:rPr>
        <w:t xml:space="preserve">and organizations </w:t>
      </w:r>
      <w:r w:rsidRPr="00684424">
        <w:rPr>
          <w:lang w:val="en-US"/>
        </w:rPr>
        <w:t xml:space="preserve">with whom we interface to understand our responsibilities, expertise and the scope. </w:t>
      </w:r>
      <w:r>
        <w:rPr>
          <w:lang w:val="en-US"/>
        </w:rPr>
        <w:t xml:space="preserve">  Further it positions SG15 at the center of the standardization coordination activity for aspects of optical standardization.</w:t>
      </w:r>
    </w:p>
    <w:p w14:paraId="4FE1EBF0" w14:textId="77777777" w:rsidR="004B20F8" w:rsidRPr="00684424" w:rsidRDefault="004B20F8" w:rsidP="004B20F8">
      <w:pPr>
        <w:rPr>
          <w:lang w:val="en-US"/>
        </w:rPr>
      </w:pPr>
    </w:p>
    <w:p w14:paraId="29253366" w14:textId="77777777" w:rsidR="004B20F8" w:rsidRPr="00DF39FB" w:rsidRDefault="004B20F8" w:rsidP="004B20F8">
      <w:pPr>
        <w:rPr>
          <w:b/>
          <w:bCs/>
          <w:lang w:val="en-US"/>
        </w:rPr>
      </w:pPr>
      <w:r w:rsidRPr="00DF39FB">
        <w:rPr>
          <w:b/>
          <w:bCs/>
          <w:lang w:val="en-US"/>
        </w:rPr>
        <w:t>Q/ Do “lead roles” support the progress of the work program?</w:t>
      </w:r>
    </w:p>
    <w:p w14:paraId="1331A866" w14:textId="77777777" w:rsidR="004B20F8" w:rsidRDefault="004B20F8" w:rsidP="004B20F8">
      <w:pPr>
        <w:rPr>
          <w:lang w:val="en-US"/>
        </w:rPr>
      </w:pPr>
      <w:r>
        <w:rPr>
          <w:lang w:val="en-US"/>
        </w:rPr>
        <w:t xml:space="preserve">Yes. ITU-T SG15 develops its current work program noting the text in WTSA Res 2 (New Delhi 2024) with particular attention to topics listed in Part 2.  </w:t>
      </w:r>
    </w:p>
    <w:p w14:paraId="73160A72" w14:textId="77777777" w:rsidR="004B20F8" w:rsidRDefault="004B20F8" w:rsidP="004B20F8">
      <w:pPr>
        <w:rPr>
          <w:lang w:val="en-US"/>
        </w:rPr>
      </w:pPr>
      <w:r>
        <w:rPr>
          <w:lang w:val="en-US"/>
        </w:rPr>
        <w:t xml:space="preserve">In particular the SG maintains </w:t>
      </w:r>
      <w:r w:rsidRPr="00973218">
        <w:rPr>
          <w:lang w:val="en-US"/>
        </w:rPr>
        <w:t>standardization work plan</w:t>
      </w:r>
      <w:r>
        <w:rPr>
          <w:lang w:val="en-US"/>
        </w:rPr>
        <w:t>s</w:t>
      </w:r>
      <w:r w:rsidRPr="00973218">
        <w:rPr>
          <w:lang w:val="en-US"/>
        </w:rPr>
        <w:t xml:space="preserve"> (SWP)</w:t>
      </w:r>
      <w:r>
        <w:rPr>
          <w:lang w:val="en-US"/>
        </w:rPr>
        <w:t xml:space="preserve"> to execute on our three LSG roles.  These SWP</w:t>
      </w:r>
      <w:r w:rsidRPr="00973218">
        <w:rPr>
          <w:lang w:val="en-US"/>
        </w:rPr>
        <w:t xml:space="preserve"> describe the activities and status of SG15, other ITU-T study groups, and other </w:t>
      </w:r>
      <w:r w:rsidRPr="00973218">
        <w:rPr>
          <w:lang w:val="en-US"/>
        </w:rPr>
        <w:lastRenderedPageBreak/>
        <w:t>standards organizations in the area</w:t>
      </w:r>
      <w:r>
        <w:rPr>
          <w:lang w:val="en-US"/>
        </w:rPr>
        <w:t xml:space="preserve">.  In addition, SG15 holds regular workshops, often with other organizations, to provide a venue for the discussion and coordination of standardization topics in support of our LSG roles.  These activities keep SG15 in the forefront of communication with other standardization organizations and allows us to more efficiently focus our work program in cooperation with other groups, as necessary.  </w:t>
      </w:r>
    </w:p>
    <w:p w14:paraId="2F9BBCDD" w14:textId="77777777" w:rsidR="004B20F8" w:rsidRPr="00684424" w:rsidRDefault="004B20F8" w:rsidP="004B20F8">
      <w:pPr>
        <w:rPr>
          <w:lang w:val="en-US"/>
        </w:rPr>
      </w:pPr>
    </w:p>
    <w:p w14:paraId="04A93119" w14:textId="77777777" w:rsidR="004B20F8" w:rsidRPr="00DF39FB" w:rsidRDefault="004B20F8" w:rsidP="004B20F8">
      <w:pPr>
        <w:rPr>
          <w:b/>
          <w:bCs/>
          <w:lang w:val="en-US"/>
        </w:rPr>
      </w:pPr>
      <w:r w:rsidRPr="00DF39FB">
        <w:rPr>
          <w:b/>
          <w:bCs/>
          <w:lang w:val="en-US"/>
        </w:rPr>
        <w:t>Q/ Are you aware of the criteria used for determination of lead roles?</w:t>
      </w:r>
    </w:p>
    <w:p w14:paraId="69CD3225" w14:textId="77777777" w:rsidR="004B20F8" w:rsidRDefault="004B20F8" w:rsidP="004B20F8">
      <w:pPr>
        <w:rPr>
          <w:lang w:val="en-US"/>
        </w:rPr>
      </w:pPr>
      <w:r w:rsidRPr="004D3ED0">
        <w:rPr>
          <w:lang w:val="en-US"/>
        </w:rPr>
        <w:t>Resolution 1 §2.1.5</w:t>
      </w:r>
      <w:r>
        <w:rPr>
          <w:lang w:val="en-US"/>
        </w:rPr>
        <w:t xml:space="preserve"> does not provide specific criteria for the determination of LSG roles.  However, the three SG15 LSG roles have been the same for over 30 years.  While the industry has evolved, the topics of “Access networks” and “optical technology” are sufficiently broad.  While questions text and SG points of guidance have evolved, the LSG topics have not and reflect the stability of SG15 being the lead in these topics.  The nuances of the LSG topic are contained in the SWP that continues to be updated at every SG plenary.</w:t>
      </w:r>
    </w:p>
    <w:p w14:paraId="000999C6" w14:textId="77777777" w:rsidR="004B20F8" w:rsidRDefault="004B20F8" w:rsidP="004B20F8">
      <w:pPr>
        <w:rPr>
          <w:lang w:val="en-US"/>
        </w:rPr>
      </w:pPr>
      <w:r>
        <w:rPr>
          <w:lang w:val="en-US"/>
        </w:rPr>
        <w:t>Every WTSA cycle,</w:t>
      </w:r>
      <w:r w:rsidRPr="00DF39FB">
        <w:rPr>
          <w:lang w:val="en-US"/>
        </w:rPr>
        <w:t xml:space="preserve"> </w:t>
      </w:r>
      <w:r>
        <w:rPr>
          <w:lang w:val="en-US"/>
        </w:rPr>
        <w:t xml:space="preserve">ITU-T </w:t>
      </w:r>
      <w:r w:rsidRPr="00DF39FB">
        <w:rPr>
          <w:lang w:val="en-US"/>
        </w:rPr>
        <w:t>SG</w:t>
      </w:r>
      <w:r>
        <w:rPr>
          <w:lang w:val="en-US"/>
        </w:rPr>
        <w:t>15</w:t>
      </w:r>
      <w:r w:rsidRPr="00DF39FB">
        <w:rPr>
          <w:lang w:val="en-US"/>
        </w:rPr>
        <w:t xml:space="preserve"> participates in the development of </w:t>
      </w:r>
      <w:r>
        <w:rPr>
          <w:lang w:val="en-US"/>
        </w:rPr>
        <w:t>its</w:t>
      </w:r>
      <w:r w:rsidRPr="00DF39FB">
        <w:rPr>
          <w:lang w:val="en-US"/>
        </w:rPr>
        <w:t xml:space="preserve"> </w:t>
      </w:r>
      <w:r>
        <w:rPr>
          <w:lang w:val="en-US"/>
        </w:rPr>
        <w:t>LSG</w:t>
      </w:r>
      <w:r w:rsidRPr="00DF39FB">
        <w:rPr>
          <w:lang w:val="en-US"/>
        </w:rPr>
        <w:t xml:space="preserve"> definition</w:t>
      </w:r>
      <w:r>
        <w:rPr>
          <w:lang w:val="en-US"/>
        </w:rPr>
        <w:t xml:space="preserve"> liaising </w:t>
      </w:r>
      <w:r w:rsidRPr="00DF39FB">
        <w:rPr>
          <w:lang w:val="en-US"/>
        </w:rPr>
        <w:t xml:space="preserve">input </w:t>
      </w:r>
      <w:r>
        <w:rPr>
          <w:lang w:val="en-US"/>
        </w:rPr>
        <w:t xml:space="preserve">on that and question texts </w:t>
      </w:r>
      <w:r w:rsidRPr="00DF39FB">
        <w:rPr>
          <w:lang w:val="en-US"/>
        </w:rPr>
        <w:t>to TSAG</w:t>
      </w:r>
      <w:r>
        <w:rPr>
          <w:lang w:val="en-US"/>
        </w:rPr>
        <w:t>.</w:t>
      </w:r>
      <w:r w:rsidRPr="00DF39FB">
        <w:rPr>
          <w:lang w:val="en-US"/>
        </w:rPr>
        <w:t xml:space="preserve"> </w:t>
      </w:r>
    </w:p>
    <w:p w14:paraId="0B5CFCBA" w14:textId="77777777" w:rsidR="004B20F8" w:rsidRPr="00DF39FB" w:rsidRDefault="004B20F8" w:rsidP="004B20F8">
      <w:pPr>
        <w:rPr>
          <w:lang w:val="en-US"/>
        </w:rPr>
      </w:pPr>
    </w:p>
    <w:p w14:paraId="09581D1A" w14:textId="77777777" w:rsidR="004B20F8" w:rsidRPr="00DF39FB" w:rsidRDefault="004B20F8" w:rsidP="004B20F8">
      <w:pPr>
        <w:rPr>
          <w:b/>
          <w:bCs/>
          <w:lang w:val="en-US"/>
        </w:rPr>
      </w:pPr>
      <w:r w:rsidRPr="00DF39FB">
        <w:rPr>
          <w:b/>
          <w:bCs/>
          <w:lang w:val="en-US"/>
        </w:rPr>
        <w:t>Q/ Do you think the description of lead SGs should be harmonized?</w:t>
      </w:r>
    </w:p>
    <w:p w14:paraId="1461320D" w14:textId="77777777" w:rsidR="004B20F8" w:rsidRDefault="004B20F8" w:rsidP="004B20F8">
      <w:pPr>
        <w:rPr>
          <w:lang w:val="en-US"/>
        </w:rPr>
      </w:pPr>
      <w:r>
        <w:rPr>
          <w:lang w:val="en-US"/>
        </w:rPr>
        <w:t>ITU-T SG15 thinks</w:t>
      </w:r>
      <w:r w:rsidRPr="00DF39FB">
        <w:rPr>
          <w:lang w:val="en-US"/>
        </w:rPr>
        <w:t xml:space="preserve"> that description of lead SGs should be coordinated and, to the extent possible, avoid overlap while also recognizing the</w:t>
      </w:r>
      <w:r>
        <w:rPr>
          <w:lang w:val="en-US"/>
        </w:rPr>
        <w:t>re</w:t>
      </w:r>
      <w:r w:rsidRPr="00DF39FB">
        <w:rPr>
          <w:lang w:val="en-US"/>
        </w:rPr>
        <w:t xml:space="preserve"> are topics which may appear in the mandate of more than one lead SG’s ToR. </w:t>
      </w:r>
    </w:p>
    <w:p w14:paraId="6FC9E891" w14:textId="77777777" w:rsidR="004B20F8" w:rsidRPr="00DF39FB" w:rsidRDefault="004B20F8" w:rsidP="004B20F8">
      <w:pPr>
        <w:rPr>
          <w:lang w:val="en-US"/>
        </w:rPr>
      </w:pPr>
    </w:p>
    <w:p w14:paraId="2FEBF423" w14:textId="77777777" w:rsidR="004B20F8" w:rsidRPr="00DF39FB" w:rsidRDefault="004B20F8" w:rsidP="004B20F8">
      <w:pPr>
        <w:rPr>
          <w:b/>
          <w:bCs/>
          <w:lang w:val="en-US"/>
        </w:rPr>
      </w:pPr>
      <w:r w:rsidRPr="00DF39FB">
        <w:rPr>
          <w:b/>
          <w:bCs/>
          <w:lang w:val="en-US"/>
        </w:rPr>
        <w:t>Q/ How does this concept correlate with the SGs responsibilities and with other collaborations mechanisms such as Liaison process and JCAs?</w:t>
      </w:r>
    </w:p>
    <w:p w14:paraId="0A01B4EA" w14:textId="77777777" w:rsidR="004B20F8" w:rsidRDefault="004B20F8" w:rsidP="004B20F8">
      <w:pPr>
        <w:rPr>
          <w:lang w:val="en-US"/>
        </w:rPr>
      </w:pPr>
      <w:r>
        <w:rPr>
          <w:lang w:val="en-US"/>
        </w:rPr>
        <w:t xml:space="preserve">The SG maintains </w:t>
      </w:r>
      <w:r w:rsidRPr="00973218">
        <w:rPr>
          <w:lang w:val="en-US"/>
        </w:rPr>
        <w:t>standardization work plan</w:t>
      </w:r>
      <w:r>
        <w:rPr>
          <w:lang w:val="en-US"/>
        </w:rPr>
        <w:t>s</w:t>
      </w:r>
      <w:r w:rsidRPr="00973218">
        <w:rPr>
          <w:lang w:val="en-US"/>
        </w:rPr>
        <w:t xml:space="preserve"> (SWP)</w:t>
      </w:r>
      <w:r>
        <w:rPr>
          <w:lang w:val="en-US"/>
        </w:rPr>
        <w:t xml:space="preserve"> to execute on our three LSG roles.  These SWP</w:t>
      </w:r>
      <w:r w:rsidRPr="00973218">
        <w:rPr>
          <w:lang w:val="en-US"/>
        </w:rPr>
        <w:t xml:space="preserve"> describe the activities and status of SG15, other ITU-T study groups, and other standards organizations in the area</w:t>
      </w:r>
      <w:r>
        <w:rPr>
          <w:lang w:val="en-US"/>
        </w:rPr>
        <w:t>.  They are updated at every SG15 plenary and then liaised to all of the organizations relevant for each LSG area of study.  This process allows a continual flow of incoming liaisons to facilitate the continuous improvement of the SWP.  It is worth noting that the SWP as well as liaisons for coordination are handled within our questions and working party structure, and we have not used a JCA to maintain the coordination.  That said, we have worked with other JCAs relevant to our work program, including hosting JCA meetings of other SGs during our plenary sessions.</w:t>
      </w:r>
    </w:p>
    <w:p w14:paraId="7E863272" w14:textId="77777777" w:rsidR="004B20F8" w:rsidRPr="00DF39FB" w:rsidRDefault="004B20F8" w:rsidP="004B20F8">
      <w:pPr>
        <w:rPr>
          <w:lang w:val="en-US"/>
        </w:rPr>
      </w:pPr>
    </w:p>
    <w:p w14:paraId="7D4A3D84" w14:textId="77777777" w:rsidR="004B20F8" w:rsidRPr="00DF39FB" w:rsidRDefault="004B20F8" w:rsidP="004B20F8">
      <w:pPr>
        <w:rPr>
          <w:b/>
          <w:bCs/>
          <w:lang w:val="en-US"/>
        </w:rPr>
      </w:pPr>
      <w:r w:rsidRPr="00DF39FB">
        <w:rPr>
          <w:b/>
          <w:bCs/>
          <w:lang w:val="en-US"/>
        </w:rPr>
        <w:t>Q/ Can you provide an example of the use of this concept in the SGs that would not be possible with other mechanisms readily available?</w:t>
      </w:r>
    </w:p>
    <w:p w14:paraId="2426E5C5" w14:textId="77777777" w:rsidR="004B20F8" w:rsidRDefault="004B20F8" w:rsidP="004B20F8">
      <w:pPr>
        <w:rPr>
          <w:lang w:val="en-US"/>
        </w:rPr>
      </w:pPr>
      <w:r>
        <w:rPr>
          <w:lang w:val="en-US"/>
        </w:rPr>
        <w:t xml:space="preserve">The LSG title, as approved at WTSA, gives SG15 some level of legitimacy when coordinating with other organizations – whether new or longstanding – that can result in tangible action to coordinate with SG15.  </w:t>
      </w:r>
    </w:p>
    <w:p w14:paraId="034970F1" w14:textId="77777777" w:rsidR="004B20F8" w:rsidRDefault="004B20F8" w:rsidP="004B20F8">
      <w:pPr>
        <w:rPr>
          <w:lang w:val="en-US"/>
        </w:rPr>
      </w:pPr>
    </w:p>
    <w:p w14:paraId="337E6DC5" w14:textId="77777777" w:rsidR="004B20F8" w:rsidRPr="00D74C6F" w:rsidRDefault="004B20F8" w:rsidP="004B20F8">
      <w:pPr>
        <w:rPr>
          <w:lang w:val="en-US"/>
        </w:rPr>
      </w:pPr>
      <w:r>
        <w:rPr>
          <w:rFonts w:eastAsia="Malgun Gothic" w:hint="eastAsia"/>
          <w:lang w:eastAsia="ko-KR"/>
        </w:rPr>
        <w:t>I</w:t>
      </w:r>
      <w:r>
        <w:rPr>
          <w:rFonts w:eastAsia="Malgun Gothic"/>
          <w:lang w:eastAsia="ko-KR"/>
        </w:rPr>
        <w:t>TU-T SG15 looks forward to further cooperation with TSAG.</w:t>
      </w:r>
    </w:p>
    <w:p w14:paraId="1445FC75" w14:textId="77777777" w:rsidR="004B20F8" w:rsidRDefault="004B20F8" w:rsidP="004B20F8">
      <w:pPr>
        <w:spacing w:before="0" w:after="160" w:line="259" w:lineRule="auto"/>
      </w:pPr>
      <w:r>
        <w:br w:type="page"/>
      </w:r>
    </w:p>
    <w:p w14:paraId="0D0E2CED" w14:textId="14A81160" w:rsidR="004B20F8" w:rsidRDefault="004B20F8" w:rsidP="006A08FD">
      <w:pPr>
        <w:jc w:val="center"/>
        <w:rPr>
          <w:b/>
          <w:lang w:val="en-US"/>
        </w:rPr>
      </w:pPr>
      <w:r>
        <w:rPr>
          <w:b/>
          <w:lang w:val="en-US"/>
        </w:rPr>
        <w:lastRenderedPageBreak/>
        <w:t>Appendix – Lead Study Groups</w:t>
      </w:r>
    </w:p>
    <w:p w14:paraId="73DE3D03" w14:textId="77777777" w:rsidR="004B20F8" w:rsidRPr="00973218" w:rsidRDefault="004B20F8" w:rsidP="006A08FD">
      <w:pPr>
        <w:spacing w:before="240"/>
        <w:jc w:val="center"/>
        <w:rPr>
          <w:b/>
          <w:lang w:val="en-US"/>
        </w:rPr>
      </w:pPr>
      <w:r w:rsidRPr="00973218">
        <w:rPr>
          <w:b/>
          <w:lang w:val="en-US"/>
        </w:rPr>
        <w:t>SG15 Guidelines</w:t>
      </w:r>
      <w:r w:rsidRPr="00973218">
        <w:rPr>
          <w:b/>
          <w:lang w:val="en-US"/>
        </w:rPr>
        <w:br/>
        <w:t>Lead Study Group Activities</w:t>
      </w:r>
    </w:p>
    <w:p w14:paraId="2FD78FC8" w14:textId="77777777" w:rsidR="004B20F8" w:rsidRPr="00973218" w:rsidRDefault="004B20F8" w:rsidP="004B20F8">
      <w:pPr>
        <w:rPr>
          <w:lang w:val="en-US"/>
        </w:rPr>
      </w:pPr>
    </w:p>
    <w:p w14:paraId="7BB3B083" w14:textId="77777777" w:rsidR="004B20F8" w:rsidRPr="00973218" w:rsidRDefault="004B20F8" w:rsidP="004B20F8">
      <w:pPr>
        <w:rPr>
          <w:b/>
          <w:lang w:val="en-US"/>
        </w:rPr>
      </w:pPr>
      <w:r w:rsidRPr="00973218">
        <w:rPr>
          <w:b/>
          <w:lang w:val="en-US"/>
        </w:rPr>
        <w:t>Background</w:t>
      </w:r>
    </w:p>
    <w:p w14:paraId="37878F05" w14:textId="77777777" w:rsidR="004B20F8" w:rsidRPr="00973218" w:rsidRDefault="004B20F8" w:rsidP="004B20F8">
      <w:pPr>
        <w:rPr>
          <w:lang w:val="en-US"/>
        </w:rPr>
      </w:pPr>
      <w:r w:rsidRPr="00973218">
        <w:rPr>
          <w:lang w:val="en-US"/>
        </w:rPr>
        <w:t xml:space="preserve">From </w:t>
      </w:r>
      <w:hyperlink r:id="rId14" w:history="1">
        <w:r w:rsidRPr="00973218">
          <w:rPr>
            <w:rStyle w:val="Hyperlink"/>
            <w:lang w:val="en-US"/>
          </w:rPr>
          <w:t>WTSA Resolution 1</w:t>
        </w:r>
      </w:hyperlink>
      <w:r w:rsidRPr="00973218">
        <w:rPr>
          <w:lang w:val="en-US"/>
        </w:rPr>
        <w:t>:</w:t>
      </w:r>
    </w:p>
    <w:p w14:paraId="66868F5A" w14:textId="77777777" w:rsidR="004B20F8" w:rsidRPr="00973218" w:rsidRDefault="004B20F8" w:rsidP="004B20F8">
      <w:pPr>
        <w:rPr>
          <w:lang w:val="en-US"/>
        </w:rPr>
      </w:pPr>
      <w:r w:rsidRPr="00973218">
        <w:rPr>
          <w:b/>
          <w:bCs/>
          <w:lang w:val="en-US"/>
        </w:rPr>
        <w:t xml:space="preserve">2.1.5 </w:t>
      </w:r>
      <w:r w:rsidRPr="00973218">
        <w:rPr>
          <w:lang w:val="en-US"/>
        </w:rPr>
        <w:t>A study group may be designated by WTSA or TSAG as the lead study group for ITU</w:t>
      </w:r>
      <w:r w:rsidRPr="00973218">
        <w:rPr>
          <w:lang w:val="en-US"/>
        </w:rPr>
        <w:noBreakHyphen/>
        <w:t>T studies forming a defined programme of work involving a number of study groups. This lead study group is responsible for the study of the appropriate core Questions. In addition, in consultation with the relevant study groups and, where appropriate, giving due consideration to the work of national, regional and other international standardization organizations (No. 196 of the Convention), the lead study group has the responsibility to define and maintain the overall framework and to coordinate, assign (in consultation with, and recognizing the mandates of, the relevant study groups) and prioritize the studies to be carried out by the study groups, and to ensure the preparation of consistent, complete and timely Recommendations. The lead study group shall inform TSAG on the progress of the work as defined in the scope of the lead study group activity. Issues which cannot be resolved by the study group should be raised for TSAG to offer advice and proposals for the direction of the work.</w:t>
      </w:r>
    </w:p>
    <w:p w14:paraId="5336560C" w14:textId="77777777" w:rsidR="004B20F8" w:rsidRPr="00973218" w:rsidRDefault="004B20F8" w:rsidP="004B20F8">
      <w:pPr>
        <w:rPr>
          <w:lang w:val="en-US"/>
        </w:rPr>
      </w:pPr>
      <w:r w:rsidRPr="00973218">
        <w:rPr>
          <w:lang w:val="en-US"/>
        </w:rPr>
        <w:t xml:space="preserve">Study Group 15 has been assigned three lead study group roles in </w:t>
      </w:r>
      <w:hyperlink r:id="rId15" w:history="1">
        <w:r w:rsidRPr="00973218">
          <w:rPr>
            <w:rStyle w:val="Hyperlink"/>
            <w:lang w:val="en-US"/>
          </w:rPr>
          <w:t>WTSA Resolution 2 Part 2</w:t>
        </w:r>
      </w:hyperlink>
      <w:r w:rsidRPr="00973218">
        <w:rPr>
          <w:lang w:val="en-US"/>
        </w:rPr>
        <w:t>:</w:t>
      </w:r>
    </w:p>
    <w:p w14:paraId="668FE8D8" w14:textId="77777777" w:rsidR="004B20F8" w:rsidRPr="00973218" w:rsidRDefault="004B20F8" w:rsidP="004B20F8">
      <w:pPr>
        <w:rPr>
          <w:lang w:val="en-US"/>
        </w:rPr>
      </w:pPr>
      <w:r w:rsidRPr="00973218">
        <w:rPr>
          <w:lang w:val="en-US"/>
        </w:rPr>
        <w:t>SG 15</w:t>
      </w:r>
      <w:r w:rsidRPr="00973218">
        <w:rPr>
          <w:lang w:val="en-US"/>
        </w:rPr>
        <w:tab/>
        <w:t>Lead study group on access network transport</w:t>
      </w:r>
    </w:p>
    <w:p w14:paraId="39E4822F" w14:textId="77777777" w:rsidR="004B20F8" w:rsidRPr="00973218" w:rsidRDefault="004B20F8" w:rsidP="004B20F8">
      <w:pPr>
        <w:rPr>
          <w:lang w:val="en-US"/>
        </w:rPr>
      </w:pPr>
      <w:r w:rsidRPr="00973218">
        <w:rPr>
          <w:lang w:val="en-US"/>
        </w:rPr>
        <w:tab/>
        <w:t>Lead study group on home networking</w:t>
      </w:r>
    </w:p>
    <w:p w14:paraId="0E630524" w14:textId="77777777" w:rsidR="004B20F8" w:rsidRPr="00973218" w:rsidRDefault="004B20F8" w:rsidP="004B20F8">
      <w:pPr>
        <w:rPr>
          <w:lang w:val="en-US"/>
        </w:rPr>
      </w:pPr>
      <w:r w:rsidRPr="00973218">
        <w:rPr>
          <w:lang w:val="en-US"/>
        </w:rPr>
        <w:tab/>
        <w:t>Lead study group on optical technology</w:t>
      </w:r>
    </w:p>
    <w:p w14:paraId="43724A36" w14:textId="77777777" w:rsidR="004B20F8" w:rsidRPr="00973218" w:rsidRDefault="004B20F8" w:rsidP="004B20F8">
      <w:pPr>
        <w:rPr>
          <w:lang w:val="en-US"/>
        </w:rPr>
      </w:pPr>
      <w:r w:rsidRPr="00973218">
        <w:rPr>
          <w:lang w:val="en-US"/>
        </w:rPr>
        <w:t>From WTSA-24 Action COM4/4:</w:t>
      </w:r>
    </w:p>
    <w:p w14:paraId="1295E06C" w14:textId="77777777" w:rsidR="004B20F8" w:rsidRPr="00973218" w:rsidRDefault="004B20F8" w:rsidP="004B20F8">
      <w:pPr>
        <w:rPr>
          <w:lang w:val="en-CA"/>
        </w:rPr>
      </w:pPr>
      <w:r w:rsidRPr="00973218">
        <w:rPr>
          <w:lang w:val="en-CA"/>
        </w:rPr>
        <w:t xml:space="preserve">WTSA-24 instructs TSAG to study the concept and effectiveness of Lead Study Groups used in Resolution 1 §2.1.5, e.g., to clarify criteria for determination of lead roles, harmonize the description of lead SGs and improve the collaboration amongst ITU-T SGs, taking into consideration inter alia WTSA Resolution 99 (rev. New Delhi, 2024), and report the conclusions to the next WTSA. The ITU-T SGs should be involved in this process to already take this review process into consideration during the preparations for the next study period. </w:t>
      </w:r>
    </w:p>
    <w:p w14:paraId="1D7583D3" w14:textId="77777777" w:rsidR="004B20F8" w:rsidRPr="00973218" w:rsidRDefault="004B20F8" w:rsidP="004B20F8">
      <w:pPr>
        <w:rPr>
          <w:b/>
          <w:lang w:val="en-US"/>
        </w:rPr>
      </w:pPr>
      <w:r w:rsidRPr="00973218">
        <w:rPr>
          <w:b/>
          <w:lang w:val="en-US"/>
        </w:rPr>
        <w:t>Guidelines</w:t>
      </w:r>
    </w:p>
    <w:p w14:paraId="404EF7F7" w14:textId="77777777" w:rsidR="004B20F8" w:rsidRPr="00973218" w:rsidRDefault="004B20F8" w:rsidP="004B20F8">
      <w:pPr>
        <w:rPr>
          <w:lang w:val="en-US"/>
        </w:rPr>
      </w:pPr>
      <w:r w:rsidRPr="00973218">
        <w:rPr>
          <w:lang w:val="en-US"/>
        </w:rPr>
        <w:t>These three study group roles are continuation of the lead study group roles of SG15 in the previous study period. Lead study group roles are carried out by way of maintaining a standardization work plan (SWP) which describes the activities and status of SG15, other ITU-T study groups, and other standards organizations in the area. The SWP is revised in each plenary meeting, and liaised to TSAG, other study groups, and other standards development organizations as appropriate to check the accuracy and completeness of the material and solicit updates.</w:t>
      </w:r>
    </w:p>
    <w:p w14:paraId="308B8F0E" w14:textId="77777777" w:rsidR="004B20F8" w:rsidRPr="00973218" w:rsidRDefault="004B20F8" w:rsidP="004B20F8">
      <w:pPr>
        <w:rPr>
          <w:lang w:val="en-US"/>
        </w:rPr>
      </w:pPr>
      <w:r w:rsidRPr="00973218">
        <w:rPr>
          <w:lang w:val="en-US"/>
        </w:rPr>
        <w:t>The Access Network Transport standardization work plan (ANT-SWP) is under the responsibility of Q2/15.</w:t>
      </w:r>
    </w:p>
    <w:p w14:paraId="74FBDB22" w14:textId="77777777" w:rsidR="004B20F8" w:rsidRPr="00973218" w:rsidRDefault="004B20F8" w:rsidP="004B20F8">
      <w:pPr>
        <w:rPr>
          <w:lang w:val="en-US"/>
        </w:rPr>
      </w:pPr>
      <w:r w:rsidRPr="00973218">
        <w:rPr>
          <w:lang w:val="en-US"/>
        </w:rPr>
        <w:t>The Home Network Transport standardization work plan (HNT-SWP) is under the responsibility of Q3/15.</w:t>
      </w:r>
    </w:p>
    <w:p w14:paraId="7D129964" w14:textId="77777777" w:rsidR="004B20F8" w:rsidRPr="00973218" w:rsidRDefault="004B20F8" w:rsidP="004B20F8">
      <w:pPr>
        <w:rPr>
          <w:lang w:val="en-US"/>
        </w:rPr>
      </w:pPr>
      <w:r w:rsidRPr="00973218">
        <w:rPr>
          <w:lang w:val="en-US"/>
        </w:rPr>
        <w:t>The Optical Transport Networks and Technology standardization work plan (OTNT-SWP) is under the responsibility of Q12/15 and encompasses the lead study group roles on optical technology and optical transport networks.</w:t>
      </w:r>
    </w:p>
    <w:p w14:paraId="0D561EA3" w14:textId="4067CB30" w:rsidR="00452673" w:rsidRPr="006A08FD" w:rsidRDefault="004B20F8" w:rsidP="006A08FD">
      <w:pPr>
        <w:jc w:val="center"/>
        <w:rPr>
          <w:lang w:val="en-US"/>
        </w:rPr>
      </w:pPr>
      <w:r w:rsidRPr="00973218">
        <w:rPr>
          <w:lang w:val="en-US"/>
        </w:rPr>
        <w:t>___________________</w:t>
      </w:r>
    </w:p>
    <w:sectPr w:rsidR="00452673" w:rsidRPr="006A08FD" w:rsidSect="00687418">
      <w:headerReference w:type="default" r:id="rId16"/>
      <w:pgSz w:w="11906" w:h="16838"/>
      <w:pgMar w:top="1134" w:right="1134" w:bottom="1134" w:left="1134"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C0FCA" w14:textId="77777777" w:rsidR="0055658F" w:rsidRDefault="0055658F" w:rsidP="0055658F">
      <w:pPr>
        <w:spacing w:before="0"/>
      </w:pPr>
      <w:r>
        <w:separator/>
      </w:r>
    </w:p>
  </w:endnote>
  <w:endnote w:type="continuationSeparator" w:id="0">
    <w:p w14:paraId="0E7AF081" w14:textId="77777777" w:rsidR="0055658F" w:rsidRDefault="0055658F" w:rsidP="0055658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3F3CD" w14:textId="77777777" w:rsidR="0055658F" w:rsidRDefault="0055658F" w:rsidP="0055658F">
      <w:pPr>
        <w:spacing w:before="0"/>
      </w:pPr>
      <w:r>
        <w:separator/>
      </w:r>
    </w:p>
  </w:footnote>
  <w:footnote w:type="continuationSeparator" w:id="0">
    <w:p w14:paraId="6B11872D" w14:textId="77777777" w:rsidR="0055658F" w:rsidRDefault="0055658F" w:rsidP="0055658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D78DF" w14:textId="0A9ABF75" w:rsidR="0055658F" w:rsidRPr="00687418" w:rsidRDefault="00687418" w:rsidP="00687418">
    <w:pPr>
      <w:pStyle w:val="Header"/>
      <w:jc w:val="center"/>
      <w:rPr>
        <w:sz w:val="18"/>
      </w:rPr>
    </w:pPr>
    <w:r w:rsidRPr="00687418">
      <w:rPr>
        <w:sz w:val="18"/>
      </w:rPr>
      <w:t xml:space="preserve">- </w:t>
    </w:r>
    <w:r w:rsidRPr="00687418">
      <w:rPr>
        <w:sz w:val="18"/>
      </w:rPr>
      <w:fldChar w:fldCharType="begin"/>
    </w:r>
    <w:r w:rsidRPr="00687418">
      <w:rPr>
        <w:sz w:val="18"/>
      </w:rPr>
      <w:instrText xml:space="preserve"> PAGE  \* MERGEFORMAT </w:instrText>
    </w:r>
    <w:r w:rsidRPr="00687418">
      <w:rPr>
        <w:sz w:val="18"/>
      </w:rPr>
      <w:fldChar w:fldCharType="separate"/>
    </w:r>
    <w:r w:rsidRPr="00687418">
      <w:rPr>
        <w:noProof/>
        <w:sz w:val="18"/>
      </w:rPr>
      <w:t>1</w:t>
    </w:r>
    <w:r w:rsidRPr="00687418">
      <w:rPr>
        <w:sz w:val="18"/>
      </w:rPr>
      <w:fldChar w:fldCharType="end"/>
    </w:r>
    <w:r w:rsidRPr="00687418">
      <w:rPr>
        <w:sz w:val="18"/>
      </w:rPr>
      <w:t xml:space="preserve"> -</w:t>
    </w:r>
  </w:p>
  <w:p w14:paraId="07589F01" w14:textId="455B80D8" w:rsidR="00687418" w:rsidRPr="00687418" w:rsidRDefault="00687418" w:rsidP="00687418">
    <w:pPr>
      <w:pStyle w:val="Header"/>
      <w:spacing w:after="240"/>
      <w:jc w:val="center"/>
      <w:rPr>
        <w:sz w:val="18"/>
      </w:rPr>
    </w:pPr>
    <w:r w:rsidRPr="00687418">
      <w:rPr>
        <w:sz w:val="18"/>
      </w:rPr>
      <w:fldChar w:fldCharType="begin"/>
    </w:r>
    <w:r w:rsidRPr="00687418">
      <w:rPr>
        <w:sz w:val="18"/>
      </w:rPr>
      <w:instrText xml:space="preserve"> STYLEREF  Docnumber  </w:instrText>
    </w:r>
    <w:r w:rsidRPr="00687418">
      <w:rPr>
        <w:sz w:val="18"/>
      </w:rPr>
      <w:fldChar w:fldCharType="separate"/>
    </w:r>
    <w:r w:rsidR="00546766">
      <w:rPr>
        <w:noProof/>
        <w:sz w:val="18"/>
      </w:rPr>
      <w:t>TSAG-TD229</w:t>
    </w:r>
    <w:r w:rsidRPr="00687418">
      <w:rPr>
        <w:sz w:val="1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0F8"/>
    <w:rsid w:val="000653D2"/>
    <w:rsid w:val="00175BD9"/>
    <w:rsid w:val="00273DDB"/>
    <w:rsid w:val="003011DC"/>
    <w:rsid w:val="0036079B"/>
    <w:rsid w:val="003B5C79"/>
    <w:rsid w:val="00452673"/>
    <w:rsid w:val="004B20F8"/>
    <w:rsid w:val="00546766"/>
    <w:rsid w:val="0055658F"/>
    <w:rsid w:val="00665F96"/>
    <w:rsid w:val="00687418"/>
    <w:rsid w:val="006A08FD"/>
    <w:rsid w:val="008E783B"/>
    <w:rsid w:val="00AA2472"/>
    <w:rsid w:val="00BA4A32"/>
    <w:rsid w:val="00BC2C3C"/>
    <w:rsid w:val="00D05C7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CE849"/>
  <w15:chartTrackingRefBased/>
  <w15:docId w15:val="{AB9C3E8F-1823-4A47-8E80-6F2D2264B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0F8"/>
    <w:pPr>
      <w:tabs>
        <w:tab w:val="left" w:pos="794"/>
        <w:tab w:val="left" w:pos="1191"/>
        <w:tab w:val="left" w:pos="1588"/>
        <w:tab w:val="left" w:pos="1985"/>
      </w:tabs>
      <w:spacing w:before="120" w:after="0" w:line="240" w:lineRule="auto"/>
    </w:pPr>
    <w:rPr>
      <w:rFonts w:ascii="Times New Roman" w:eastAsiaTheme="minorEastAsia" w:hAnsi="Times New Roman" w:cs="Times New Roman"/>
      <w:kern w:val="0"/>
      <w:sz w:val="24"/>
      <w:szCs w:val="20"/>
      <w14:ligatures w14:val="none"/>
    </w:rPr>
  </w:style>
  <w:style w:type="paragraph" w:styleId="Heading1">
    <w:name w:val="heading 1"/>
    <w:basedOn w:val="Normal"/>
    <w:next w:val="Normal"/>
    <w:link w:val="Heading1Char"/>
    <w:qFormat/>
    <w:rsid w:val="003607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3607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3607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3607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3607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36079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36079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36079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36079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07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07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07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07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07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07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07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07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079B"/>
    <w:rPr>
      <w:rFonts w:eastAsiaTheme="majorEastAsia" w:cstheme="majorBidi"/>
      <w:color w:val="272727" w:themeColor="text1" w:themeTint="D8"/>
    </w:rPr>
  </w:style>
  <w:style w:type="paragraph" w:styleId="Title">
    <w:name w:val="Title"/>
    <w:basedOn w:val="Normal"/>
    <w:next w:val="Normal"/>
    <w:link w:val="TitleChar"/>
    <w:uiPriority w:val="10"/>
    <w:qFormat/>
    <w:rsid w:val="0036079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07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07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07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079B"/>
    <w:pPr>
      <w:spacing w:before="160"/>
      <w:jc w:val="center"/>
    </w:pPr>
    <w:rPr>
      <w:i/>
      <w:iCs/>
      <w:color w:val="404040" w:themeColor="text1" w:themeTint="BF"/>
    </w:rPr>
  </w:style>
  <w:style w:type="character" w:customStyle="1" w:styleId="QuoteChar">
    <w:name w:val="Quote Char"/>
    <w:basedOn w:val="DefaultParagraphFont"/>
    <w:link w:val="Quote"/>
    <w:uiPriority w:val="29"/>
    <w:rsid w:val="0036079B"/>
    <w:rPr>
      <w:i/>
      <w:iCs/>
      <w:color w:val="404040" w:themeColor="text1" w:themeTint="BF"/>
    </w:rPr>
  </w:style>
  <w:style w:type="paragraph" w:styleId="ListParagraph">
    <w:name w:val="List Paragraph"/>
    <w:basedOn w:val="Normal"/>
    <w:uiPriority w:val="34"/>
    <w:qFormat/>
    <w:rsid w:val="0036079B"/>
    <w:pPr>
      <w:ind w:left="720"/>
      <w:contextualSpacing/>
    </w:pPr>
  </w:style>
  <w:style w:type="character" w:styleId="IntenseEmphasis">
    <w:name w:val="Intense Emphasis"/>
    <w:basedOn w:val="DefaultParagraphFont"/>
    <w:uiPriority w:val="21"/>
    <w:qFormat/>
    <w:rsid w:val="0036079B"/>
    <w:rPr>
      <w:i/>
      <w:iCs/>
      <w:color w:val="0F4761" w:themeColor="accent1" w:themeShade="BF"/>
    </w:rPr>
  </w:style>
  <w:style w:type="paragraph" w:styleId="IntenseQuote">
    <w:name w:val="Intense Quote"/>
    <w:basedOn w:val="Normal"/>
    <w:next w:val="Normal"/>
    <w:link w:val="IntenseQuoteChar"/>
    <w:uiPriority w:val="30"/>
    <w:qFormat/>
    <w:rsid w:val="003607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079B"/>
    <w:rPr>
      <w:i/>
      <w:iCs/>
      <w:color w:val="0F4761" w:themeColor="accent1" w:themeShade="BF"/>
    </w:rPr>
  </w:style>
  <w:style w:type="character" w:styleId="IntenseReference">
    <w:name w:val="Intense Reference"/>
    <w:basedOn w:val="DefaultParagraphFont"/>
    <w:uiPriority w:val="32"/>
    <w:qFormat/>
    <w:rsid w:val="0036079B"/>
    <w:rPr>
      <w:b/>
      <w:bCs/>
      <w:smallCaps/>
      <w:color w:val="0F4761" w:themeColor="accent1" w:themeShade="BF"/>
      <w:spacing w:val="5"/>
    </w:rPr>
  </w:style>
  <w:style w:type="character" w:styleId="Hyperlink">
    <w:name w:val="Hyperlink"/>
    <w:aliases w:val="超级链接,超?级链,CEO_Hyperlink,Style 58,超????,하이퍼링크2,超链接1,하이퍼링크21,超??级链Ú,fL????,fL?级,超??级链,超?级链Ú,’´?级链,’´????,’´??级链Ú,’´??级,超?级链?,Style?,S,ECC Hyperlink,超?级链ïÈ,õ±?级链,õ±链ïÈ1,õ±???,하이퍼링크1"/>
    <w:qFormat/>
    <w:rsid w:val="004B20F8"/>
    <w:rPr>
      <w:color w:val="0000FF"/>
      <w:u w:val="single"/>
    </w:rPr>
  </w:style>
  <w:style w:type="paragraph" w:customStyle="1" w:styleId="LSDeadline">
    <w:name w:val="LSDeadline"/>
    <w:basedOn w:val="Normal"/>
    <w:rsid w:val="004B20F8"/>
    <w:rPr>
      <w:rFonts w:eastAsia="MS Mincho"/>
      <w:b/>
      <w:bCs/>
    </w:rPr>
  </w:style>
  <w:style w:type="paragraph" w:customStyle="1" w:styleId="LSForAction">
    <w:name w:val="LSForAction"/>
    <w:basedOn w:val="Normal"/>
    <w:rsid w:val="004B20F8"/>
    <w:rPr>
      <w:rFonts w:eastAsia="MS Mincho"/>
      <w:b/>
      <w:bCs/>
    </w:rPr>
  </w:style>
  <w:style w:type="paragraph" w:customStyle="1" w:styleId="LSForInfo">
    <w:name w:val="LSForInfo"/>
    <w:basedOn w:val="LSForAction"/>
    <w:rsid w:val="004B20F8"/>
  </w:style>
  <w:style w:type="paragraph" w:customStyle="1" w:styleId="Heading1Centered">
    <w:name w:val="Heading 1 Centered"/>
    <w:basedOn w:val="Heading1"/>
    <w:qFormat/>
    <w:rsid w:val="004B20F8"/>
    <w:pPr>
      <w:tabs>
        <w:tab w:val="left" w:pos="1134"/>
        <w:tab w:val="left" w:pos="1871"/>
        <w:tab w:val="left" w:pos="2268"/>
      </w:tabs>
      <w:spacing w:after="0"/>
      <w:ind w:left="432" w:hanging="432"/>
      <w:jc w:val="center"/>
    </w:pPr>
    <w:rPr>
      <w:rFonts w:ascii="Times New Roman" w:eastAsiaTheme="minorEastAsia" w:hAnsi="Times New Roman" w:cs="Times New Roman"/>
      <w:b/>
      <w:bCs/>
      <w:color w:val="auto"/>
      <w:sz w:val="24"/>
      <w:szCs w:val="20"/>
      <w:lang w:val="en-US"/>
    </w:rPr>
  </w:style>
  <w:style w:type="paragraph" w:customStyle="1" w:styleId="VenueDate">
    <w:name w:val="VenueDate"/>
    <w:basedOn w:val="Normal"/>
    <w:qFormat/>
    <w:rsid w:val="004B20F8"/>
    <w:pPr>
      <w:tabs>
        <w:tab w:val="clear" w:pos="794"/>
        <w:tab w:val="clear" w:pos="1191"/>
        <w:tab w:val="clear" w:pos="1588"/>
        <w:tab w:val="clear" w:pos="1985"/>
      </w:tabs>
      <w:overflowPunct w:val="0"/>
      <w:autoSpaceDE w:val="0"/>
      <w:autoSpaceDN w:val="0"/>
      <w:adjustRightInd w:val="0"/>
      <w:jc w:val="right"/>
      <w:textAlignment w:val="baseline"/>
    </w:pPr>
    <w:rPr>
      <w:rFonts w:eastAsia="Times New Roman"/>
    </w:rPr>
  </w:style>
  <w:style w:type="paragraph" w:customStyle="1" w:styleId="TSBHeaderQuestion">
    <w:name w:val="TSBHeaderQuestion"/>
    <w:basedOn w:val="Normal"/>
    <w:qFormat/>
    <w:rsid w:val="004B20F8"/>
    <w:pPr>
      <w:tabs>
        <w:tab w:val="clear" w:pos="794"/>
        <w:tab w:val="clear" w:pos="1191"/>
        <w:tab w:val="clear" w:pos="1588"/>
        <w:tab w:val="clear" w:pos="1985"/>
      </w:tabs>
    </w:pPr>
    <w:rPr>
      <w:szCs w:val="24"/>
      <w:lang w:eastAsia="ja-JP"/>
    </w:rPr>
  </w:style>
  <w:style w:type="paragraph" w:customStyle="1" w:styleId="TSBHeaderSource">
    <w:name w:val="TSBHeaderSource"/>
    <w:basedOn w:val="Normal"/>
    <w:qFormat/>
    <w:rsid w:val="004B20F8"/>
    <w:pPr>
      <w:tabs>
        <w:tab w:val="clear" w:pos="794"/>
        <w:tab w:val="clear" w:pos="1191"/>
        <w:tab w:val="clear" w:pos="1588"/>
        <w:tab w:val="clear" w:pos="1985"/>
      </w:tabs>
    </w:pPr>
    <w:rPr>
      <w:szCs w:val="24"/>
      <w:lang w:eastAsia="ja-JP"/>
    </w:rPr>
  </w:style>
  <w:style w:type="paragraph" w:customStyle="1" w:styleId="TSBHeaderTitle">
    <w:name w:val="TSBHeaderTitle"/>
    <w:basedOn w:val="Normal"/>
    <w:qFormat/>
    <w:rsid w:val="004B20F8"/>
    <w:pPr>
      <w:tabs>
        <w:tab w:val="clear" w:pos="794"/>
        <w:tab w:val="clear" w:pos="1191"/>
        <w:tab w:val="clear" w:pos="1588"/>
        <w:tab w:val="clear" w:pos="1985"/>
      </w:tabs>
    </w:pPr>
    <w:rPr>
      <w:szCs w:val="24"/>
      <w:lang w:eastAsia="ja-JP"/>
    </w:rPr>
  </w:style>
  <w:style w:type="paragraph" w:customStyle="1" w:styleId="TSBHeaderSummary">
    <w:name w:val="TSBHeaderSummary"/>
    <w:basedOn w:val="Normal"/>
    <w:rsid w:val="004B20F8"/>
    <w:pPr>
      <w:tabs>
        <w:tab w:val="clear" w:pos="794"/>
        <w:tab w:val="clear" w:pos="1191"/>
        <w:tab w:val="clear" w:pos="1588"/>
        <w:tab w:val="clear" w:pos="1985"/>
      </w:tabs>
    </w:pPr>
    <w:rPr>
      <w:szCs w:val="24"/>
      <w:lang w:eastAsia="ja-JP"/>
    </w:rPr>
  </w:style>
  <w:style w:type="paragraph" w:customStyle="1" w:styleId="LSApproval">
    <w:name w:val="LSApproval"/>
    <w:basedOn w:val="Normal"/>
    <w:rsid w:val="004B20F8"/>
    <w:pPr>
      <w:tabs>
        <w:tab w:val="clear" w:pos="794"/>
        <w:tab w:val="clear" w:pos="1191"/>
        <w:tab w:val="clear" w:pos="1588"/>
        <w:tab w:val="clear" w:pos="1985"/>
      </w:tabs>
    </w:pPr>
    <w:rPr>
      <w:b/>
      <w:bCs/>
      <w:szCs w:val="24"/>
      <w:lang w:eastAsia="ja-JP"/>
    </w:rPr>
  </w:style>
  <w:style w:type="paragraph" w:styleId="Header">
    <w:name w:val="header"/>
    <w:basedOn w:val="Normal"/>
    <w:link w:val="HeaderChar"/>
    <w:uiPriority w:val="99"/>
    <w:unhideWhenUsed/>
    <w:rsid w:val="0055658F"/>
    <w:pPr>
      <w:tabs>
        <w:tab w:val="clear" w:pos="794"/>
        <w:tab w:val="clear" w:pos="1191"/>
        <w:tab w:val="clear" w:pos="1588"/>
        <w:tab w:val="clear" w:pos="1985"/>
        <w:tab w:val="center" w:pos="4513"/>
        <w:tab w:val="right" w:pos="9026"/>
      </w:tabs>
      <w:spacing w:before="0"/>
    </w:pPr>
  </w:style>
  <w:style w:type="character" w:customStyle="1" w:styleId="HeaderChar">
    <w:name w:val="Header Char"/>
    <w:basedOn w:val="DefaultParagraphFont"/>
    <w:link w:val="Header"/>
    <w:uiPriority w:val="99"/>
    <w:rsid w:val="0055658F"/>
    <w:rPr>
      <w:rFonts w:ascii="Times New Roman" w:eastAsiaTheme="minorEastAsia" w:hAnsi="Times New Roman" w:cs="Times New Roman"/>
      <w:kern w:val="0"/>
      <w:sz w:val="24"/>
      <w:szCs w:val="20"/>
      <w14:ligatures w14:val="none"/>
    </w:rPr>
  </w:style>
  <w:style w:type="paragraph" w:styleId="Footer">
    <w:name w:val="footer"/>
    <w:basedOn w:val="Normal"/>
    <w:link w:val="FooterChar"/>
    <w:uiPriority w:val="99"/>
    <w:unhideWhenUsed/>
    <w:rsid w:val="0055658F"/>
    <w:pPr>
      <w:tabs>
        <w:tab w:val="clear" w:pos="794"/>
        <w:tab w:val="clear" w:pos="1191"/>
        <w:tab w:val="clear" w:pos="1588"/>
        <w:tab w:val="clear" w:pos="1985"/>
        <w:tab w:val="center" w:pos="4513"/>
        <w:tab w:val="right" w:pos="9026"/>
      </w:tabs>
      <w:spacing w:before="0"/>
    </w:pPr>
  </w:style>
  <w:style w:type="character" w:customStyle="1" w:styleId="FooterChar">
    <w:name w:val="Footer Char"/>
    <w:basedOn w:val="DefaultParagraphFont"/>
    <w:link w:val="Footer"/>
    <w:uiPriority w:val="99"/>
    <w:rsid w:val="0055658F"/>
    <w:rPr>
      <w:rFonts w:ascii="Times New Roman" w:eastAsiaTheme="minorEastAsia" w:hAnsi="Times New Roman" w:cs="Times New Roman"/>
      <w:kern w:val="0"/>
      <w:sz w:val="24"/>
      <w:szCs w:val="20"/>
      <w14:ligatures w14:val="none"/>
    </w:rPr>
  </w:style>
  <w:style w:type="paragraph" w:customStyle="1" w:styleId="Docnumber">
    <w:name w:val="Docnumber"/>
    <w:basedOn w:val="Normal"/>
    <w:link w:val="DocnumberChar"/>
    <w:qFormat/>
    <w:rsid w:val="0055658F"/>
    <w:pPr>
      <w:overflowPunct w:val="0"/>
      <w:autoSpaceDE w:val="0"/>
      <w:autoSpaceDN w:val="0"/>
      <w:adjustRightInd w:val="0"/>
      <w:jc w:val="right"/>
      <w:textAlignment w:val="baseline"/>
    </w:pPr>
    <w:rPr>
      <w:rFonts w:eastAsia="SimSun"/>
      <w:b/>
      <w:sz w:val="32"/>
    </w:rPr>
  </w:style>
  <w:style w:type="character" w:customStyle="1" w:styleId="DocnumberChar">
    <w:name w:val="Docnumber Char"/>
    <w:link w:val="Docnumber"/>
    <w:rsid w:val="0055658F"/>
    <w:rPr>
      <w:rFonts w:ascii="Times New Roman" w:eastAsia="SimSun" w:hAnsi="Times New Roman" w:cs="Times New Roman"/>
      <w:b/>
      <w:kern w:val="0"/>
      <w:sz w:val="32"/>
      <w:szCs w:val="20"/>
      <w14:ligatures w14:val="none"/>
    </w:rPr>
  </w:style>
  <w:style w:type="character" w:styleId="UnresolvedMention">
    <w:name w:val="Unresolved Mention"/>
    <w:basedOn w:val="DefaultParagraphFont"/>
    <w:uiPriority w:val="99"/>
    <w:semiHidden/>
    <w:unhideWhenUsed/>
    <w:rsid w:val="0055658F"/>
    <w:rPr>
      <w:color w:val="605E5C"/>
      <w:shd w:val="clear" w:color="auto" w:fill="E1DFDD"/>
    </w:rPr>
  </w:style>
  <w:style w:type="paragraph" w:customStyle="1" w:styleId="TSBHeaderRight14">
    <w:name w:val="TSBHeaderRight14"/>
    <w:basedOn w:val="Normal"/>
    <w:qFormat/>
    <w:rsid w:val="00687418"/>
    <w:pPr>
      <w:tabs>
        <w:tab w:val="clear" w:pos="794"/>
        <w:tab w:val="clear" w:pos="1191"/>
        <w:tab w:val="clear" w:pos="1588"/>
        <w:tab w:val="clear" w:pos="1985"/>
      </w:tabs>
      <w:jc w:val="right"/>
    </w:pPr>
    <w:rPr>
      <w:b/>
      <w:bCs/>
      <w:sz w:val="28"/>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itu.int/md/T25-SG15-251013-TD-GEN-0112/e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handle.itu.int/11.1002/ls/sp18-tsag-oLS-00004.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lenn.parsons@ericsson.com" TargetMode="External"/><Relationship Id="rId5" Type="http://schemas.openxmlformats.org/officeDocument/2006/relationships/settings" Target="settings.xml"/><Relationship Id="rId15" Type="http://schemas.openxmlformats.org/officeDocument/2006/relationships/hyperlink" Target="https://www.itu.int/dms_pub/itu-t/opb/res/T-RES-T.2-2024-PDF-E.pdf" TargetMode="External"/><Relationship Id="rId10" Type="http://schemas.openxmlformats.org/officeDocument/2006/relationships/hyperlink" Target="https://www.itu.int/ifa/t/2025/ls/sg15/sp18-sg15-00081.docx"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itu.int/dms_pub/itu-t/opb/res/T-RES-T.1-2024-PDF-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7651819BF4BD4A99FFF36FD7E4E96D" ma:contentTypeVersion="8" ma:contentTypeDescription="Create a new document." ma:contentTypeScope="" ma:versionID="c26913cd499e69eb7eaa24e794ebf989">
  <xsd:schema xmlns:xsd="http://www.w3.org/2001/XMLSchema" xmlns:xs="http://www.w3.org/2001/XMLSchema" xmlns:p="http://schemas.microsoft.com/office/2006/metadata/properties" xmlns:ns2="81665285-f1bb-4675-b7f4-28c4ccc980a7" targetNamespace="http://schemas.microsoft.com/office/2006/metadata/properties" ma:root="true" ma:fieldsID="35be8555adb278486e95af341cc20b67" ns2:_="">
    <xsd:import namespace="81665285-f1bb-4675-b7f4-28c4ccc980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65285-f1bb-4675-b7f4-28c4ccc98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C18F7E-23F4-4059-898E-024443DA91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665285-f1bb-4675-b7f4-28c4ccc980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1191C3-9D8F-4B02-ABB1-AB0628FC2FB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92ABAD0-D57C-4B41-8172-B797179351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1127</Words>
  <Characters>7326</Characters>
  <Application>Microsoft Office Word</Application>
  <DocSecurity>0</DocSecurity>
  <Lines>305</Lines>
  <Paragraphs>211</Paragraphs>
  <ScaleCrop>false</ScaleCrop>
  <Manager>ITU-T</Manager>
  <Company>International Telecommunication Union (ITU)</Company>
  <LinksUpToDate>false</LinksUpToDate>
  <CharactersWithSpaces>8242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LS/r to TSAG on lead study group concept (reply to TSAG-LS4)</dc:title>
  <dc:subject/>
  <dc:creator>ITU-T Study Group 15</dc:creator>
  <cp:keywords/>
  <dc:description>TSAG-TD229  For: Geneva, 26-30 January 2026_x000d_Document date: _x000d_Saved by ITU51017913 at 1:38:08 PM on 11/13/2025</dc:description>
  <cp:lastModifiedBy>TSB</cp:lastModifiedBy>
  <cp:revision>5</cp:revision>
  <dcterms:created xsi:type="dcterms:W3CDTF">2025-11-13T12:37:00Z</dcterms:created>
  <dcterms:modified xsi:type="dcterms:W3CDTF">2025-11-18T16:01:00Z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TSAG-TD229</vt:lpwstr>
  </property>
  <property fmtid="{D5CDD505-2E9C-101B-9397-08002B2CF9AE}" pid="3" name="Docdate">
    <vt:lpwstr/>
  </property>
  <property fmtid="{D5CDD505-2E9C-101B-9397-08002B2CF9AE}" pid="4" name="Docorlang">
    <vt:lpwstr/>
  </property>
  <property fmtid="{D5CDD505-2E9C-101B-9397-08002B2CF9AE}" pid="5" name="Docbluepink">
    <vt:lpwstr>All/15</vt:lpwstr>
  </property>
  <property fmtid="{D5CDD505-2E9C-101B-9397-08002B2CF9AE}" pid="6" name="Docdest">
    <vt:lpwstr>Geneva, 26-30 January 2026</vt:lpwstr>
  </property>
  <property fmtid="{D5CDD505-2E9C-101B-9397-08002B2CF9AE}" pid="7" name="Docauthor">
    <vt:lpwstr>ITU-T Study Group 15</vt:lpwstr>
  </property>
  <property fmtid="{D5CDD505-2E9C-101B-9397-08002B2CF9AE}" pid="8" name="ContentTypeId">
    <vt:lpwstr>0x010100A77651819BF4BD4A99FFF36FD7E4E96D</vt:lpwstr>
  </property>
</Properties>
</file>