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ayout w:type="fixed"/>
        <w:tblCellMar>
          <w:left w:w="57" w:type="dxa"/>
          <w:right w:w="57" w:type="dxa"/>
        </w:tblCellMar>
        <w:tblLook w:val="0000" w:firstRow="0" w:lastRow="0" w:firstColumn="0" w:lastColumn="0" w:noHBand="0" w:noVBand="0"/>
      </w:tblPr>
      <w:tblGrid>
        <w:gridCol w:w="1189"/>
        <w:gridCol w:w="521"/>
        <w:gridCol w:w="3531"/>
        <w:gridCol w:w="4682"/>
      </w:tblGrid>
      <w:tr w:rsidR="003E0C10" w:rsidRPr="00253919" w14:paraId="169150AF" w14:textId="77777777" w:rsidTr="000B2984">
        <w:trPr>
          <w:cantSplit/>
          <w:jc w:val="center"/>
        </w:trPr>
        <w:tc>
          <w:tcPr>
            <w:tcW w:w="1189" w:type="dxa"/>
            <w:vMerge w:val="restart"/>
          </w:tcPr>
          <w:p w14:paraId="37249BEE" w14:textId="3F677487" w:rsidR="003E0C10" w:rsidRPr="00253919" w:rsidRDefault="004C4E75" w:rsidP="008D3834">
            <w:pPr>
              <w:spacing w:before="120" w:after="100" w:afterAutospacing="1"/>
              <w:rPr>
                <w:rFonts w:ascii="Times New Roman" w:hAnsi="Times New Roman" w:cs="Times New Roman"/>
                <w:sz w:val="20"/>
                <w:lang w:eastAsia="ja-JP"/>
              </w:rPr>
            </w:pPr>
            <w:r w:rsidRPr="00253919">
              <w:rPr>
                <w:rFonts w:ascii="Times New Roman" w:hAnsi="Times New Roman" w:cs="Times New Roman"/>
                <w:noProof/>
              </w:rPr>
              <w:drawing>
                <wp:inline distT="0" distB="0" distL="0" distR="0" wp14:anchorId="7EEE4744" wp14:editId="1630EEF2">
                  <wp:extent cx="650240" cy="706120"/>
                  <wp:effectExtent l="0" t="0" r="0" b="0"/>
                  <wp:docPr id="1" name="Picture 2" descr="Title: 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ITU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240" cy="706120"/>
                          </a:xfrm>
                          <a:prstGeom prst="rect">
                            <a:avLst/>
                          </a:prstGeom>
                          <a:noFill/>
                          <a:ln>
                            <a:noFill/>
                          </a:ln>
                        </pic:spPr>
                      </pic:pic>
                    </a:graphicData>
                  </a:graphic>
                </wp:inline>
              </w:drawing>
            </w:r>
          </w:p>
        </w:tc>
        <w:tc>
          <w:tcPr>
            <w:tcW w:w="4052" w:type="dxa"/>
            <w:gridSpan w:val="2"/>
            <w:vMerge w:val="restart"/>
          </w:tcPr>
          <w:p w14:paraId="127EC0A5" w14:textId="77777777" w:rsidR="003E0C10" w:rsidRPr="00253919" w:rsidRDefault="003E0C10" w:rsidP="008D3834">
            <w:pPr>
              <w:spacing w:before="120" w:after="0"/>
              <w:rPr>
                <w:rFonts w:ascii="Times New Roman" w:hAnsi="Times New Roman" w:cs="Times New Roman"/>
                <w:sz w:val="16"/>
                <w:szCs w:val="16"/>
                <w:lang w:eastAsia="ja-JP"/>
              </w:rPr>
            </w:pPr>
            <w:r w:rsidRPr="00253919">
              <w:rPr>
                <w:rFonts w:ascii="Times New Roman" w:hAnsi="Times New Roman" w:cs="Times New Roman"/>
                <w:sz w:val="16"/>
                <w:szCs w:val="16"/>
                <w:lang w:eastAsia="ja-JP"/>
              </w:rPr>
              <w:t>INTERNATIONAL TELECOMMUNICATION UNION</w:t>
            </w:r>
          </w:p>
          <w:p w14:paraId="23B142D9" w14:textId="77777777" w:rsidR="003E0C10" w:rsidRPr="00253919" w:rsidRDefault="003E0C10" w:rsidP="008D3834">
            <w:pPr>
              <w:spacing w:before="120" w:after="0"/>
              <w:rPr>
                <w:rFonts w:ascii="Times New Roman" w:hAnsi="Times New Roman" w:cs="Times New Roman"/>
                <w:b/>
                <w:bCs/>
                <w:sz w:val="26"/>
                <w:szCs w:val="26"/>
                <w:lang w:eastAsia="ja-JP"/>
              </w:rPr>
            </w:pPr>
            <w:r w:rsidRPr="00253919">
              <w:rPr>
                <w:rFonts w:ascii="Times New Roman" w:hAnsi="Times New Roman" w:cs="Times New Roman"/>
                <w:b/>
                <w:bCs/>
                <w:sz w:val="26"/>
                <w:szCs w:val="26"/>
                <w:lang w:eastAsia="ja-JP"/>
              </w:rPr>
              <w:t>TELECOMMUNICATION</w:t>
            </w:r>
            <w:r w:rsidRPr="00253919">
              <w:rPr>
                <w:rFonts w:ascii="Times New Roman" w:hAnsi="Times New Roman" w:cs="Times New Roman"/>
                <w:b/>
                <w:bCs/>
                <w:sz w:val="26"/>
                <w:szCs w:val="26"/>
                <w:lang w:eastAsia="ja-JP"/>
              </w:rPr>
              <w:br/>
              <w:t>STANDARDIZATION SECTOR</w:t>
            </w:r>
          </w:p>
          <w:p w14:paraId="625E4E8E" w14:textId="384FAA96" w:rsidR="003E0C10" w:rsidRPr="00253919" w:rsidRDefault="004C4E75" w:rsidP="008D3834">
            <w:pPr>
              <w:spacing w:before="120" w:after="100" w:afterAutospacing="1"/>
              <w:rPr>
                <w:rFonts w:ascii="Times New Roman" w:eastAsia="MS Mincho" w:hAnsi="Times New Roman" w:cs="Times New Roman"/>
                <w:sz w:val="20"/>
                <w:lang w:eastAsia="ja-JP"/>
              </w:rPr>
            </w:pPr>
            <w:r w:rsidRPr="00253919">
              <w:rPr>
                <w:rFonts w:ascii="Times New Roman" w:hAnsi="Times New Roman" w:cs="Times New Roman"/>
                <w:sz w:val="20"/>
                <w:lang w:eastAsia="ja-JP"/>
              </w:rPr>
              <w:t>STUDY PERIOD 202</w:t>
            </w:r>
            <w:r w:rsidR="00D53FA3" w:rsidRPr="00253919">
              <w:rPr>
                <w:rFonts w:ascii="Times New Roman" w:eastAsia="MS Mincho" w:hAnsi="Times New Roman" w:cs="Times New Roman"/>
                <w:sz w:val="20"/>
                <w:lang w:eastAsia="ja-JP"/>
              </w:rPr>
              <w:t>5</w:t>
            </w:r>
            <w:r w:rsidRPr="00253919">
              <w:rPr>
                <w:rFonts w:ascii="Times New Roman" w:hAnsi="Times New Roman" w:cs="Times New Roman"/>
                <w:sz w:val="20"/>
                <w:lang w:eastAsia="ja-JP"/>
              </w:rPr>
              <w:t>-202</w:t>
            </w:r>
            <w:r w:rsidR="00D53FA3" w:rsidRPr="00253919">
              <w:rPr>
                <w:rFonts w:ascii="Times New Roman" w:eastAsia="MS Mincho" w:hAnsi="Times New Roman" w:cs="Times New Roman"/>
                <w:sz w:val="20"/>
                <w:lang w:eastAsia="ja-JP"/>
              </w:rPr>
              <w:t>8</w:t>
            </w:r>
          </w:p>
        </w:tc>
        <w:tc>
          <w:tcPr>
            <w:tcW w:w="4682" w:type="dxa"/>
            <w:vAlign w:val="center"/>
          </w:tcPr>
          <w:p w14:paraId="56F8819D" w14:textId="260A2D9E" w:rsidR="003E0C10" w:rsidRPr="00253919" w:rsidRDefault="008F5474" w:rsidP="008D3834">
            <w:pPr>
              <w:pStyle w:val="Docnumber"/>
              <w:rPr>
                <w:rFonts w:eastAsia="MS Mincho"/>
                <w:b w:val="0"/>
                <w:lang w:eastAsia="ja-JP"/>
              </w:rPr>
            </w:pPr>
            <w:r w:rsidRPr="00253919">
              <w:rPr>
                <w:sz w:val="32"/>
              </w:rPr>
              <w:t>TSAG-TD</w:t>
            </w:r>
            <w:r w:rsidR="00FB6DBF">
              <w:rPr>
                <w:sz w:val="32"/>
              </w:rPr>
              <w:t>20</w:t>
            </w:r>
            <w:r w:rsidR="000F7E38">
              <w:rPr>
                <w:sz w:val="32"/>
              </w:rPr>
              <w:t>9</w:t>
            </w:r>
          </w:p>
        </w:tc>
      </w:tr>
      <w:tr w:rsidR="003E0C10" w:rsidRPr="00253919" w14:paraId="28801C44" w14:textId="77777777" w:rsidTr="000B2984">
        <w:trPr>
          <w:cantSplit/>
          <w:jc w:val="center"/>
        </w:trPr>
        <w:tc>
          <w:tcPr>
            <w:tcW w:w="1189" w:type="dxa"/>
            <w:vMerge/>
          </w:tcPr>
          <w:p w14:paraId="5FD10B96" w14:textId="77777777" w:rsidR="003E0C10" w:rsidRPr="00253919" w:rsidRDefault="003E0C10" w:rsidP="008D3834">
            <w:pPr>
              <w:spacing w:before="120" w:after="100" w:afterAutospacing="1"/>
              <w:rPr>
                <w:rFonts w:ascii="Times New Roman" w:hAnsi="Times New Roman" w:cs="Times New Roman"/>
                <w:smallCaps/>
                <w:sz w:val="20"/>
                <w:szCs w:val="24"/>
                <w:lang w:eastAsia="ja-JP"/>
              </w:rPr>
            </w:pPr>
          </w:p>
        </w:tc>
        <w:tc>
          <w:tcPr>
            <w:tcW w:w="4052" w:type="dxa"/>
            <w:gridSpan w:val="2"/>
            <w:vMerge/>
          </w:tcPr>
          <w:p w14:paraId="71B6544D" w14:textId="77777777" w:rsidR="003E0C10" w:rsidRPr="00253919" w:rsidRDefault="003E0C10" w:rsidP="008D3834">
            <w:pPr>
              <w:spacing w:before="120" w:after="100" w:afterAutospacing="1"/>
              <w:rPr>
                <w:rFonts w:ascii="Times New Roman" w:hAnsi="Times New Roman" w:cs="Times New Roman"/>
                <w:smallCaps/>
                <w:sz w:val="20"/>
                <w:szCs w:val="24"/>
                <w:lang w:eastAsia="ja-JP"/>
              </w:rPr>
            </w:pPr>
          </w:p>
        </w:tc>
        <w:tc>
          <w:tcPr>
            <w:tcW w:w="4682" w:type="dxa"/>
          </w:tcPr>
          <w:p w14:paraId="7ACD13DE" w14:textId="0C5C83D4" w:rsidR="003E0C10" w:rsidRPr="00253919" w:rsidRDefault="008F5474" w:rsidP="008D3834">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rPr>
                <w:rFonts w:ascii="Times New Roman" w:hAnsi="Times New Roman" w:cs="Times New Roman"/>
                <w:b/>
                <w:bCs/>
                <w:smallCaps/>
                <w:sz w:val="28"/>
                <w:szCs w:val="28"/>
                <w:lang w:eastAsia="ja-JP"/>
              </w:rPr>
            </w:pPr>
            <w:r w:rsidRPr="00253919">
              <w:rPr>
                <w:rFonts w:ascii="Times New Roman" w:eastAsia="Times New Roman" w:hAnsi="Times New Roman" w:cs="Times New Roman"/>
                <w:b/>
                <w:bCs/>
                <w:smallCaps/>
                <w:sz w:val="28"/>
                <w:szCs w:val="28"/>
                <w:lang w:eastAsia="en-US"/>
              </w:rPr>
              <w:t>TSAG</w:t>
            </w:r>
          </w:p>
        </w:tc>
      </w:tr>
      <w:tr w:rsidR="00146C7B" w:rsidRPr="00253919" w14:paraId="3B7A2520" w14:textId="77777777" w:rsidTr="00A50BA7">
        <w:trPr>
          <w:cantSplit/>
          <w:trHeight w:val="624"/>
          <w:jc w:val="center"/>
        </w:trPr>
        <w:tc>
          <w:tcPr>
            <w:tcW w:w="1189" w:type="dxa"/>
            <w:vMerge/>
            <w:tcBorders>
              <w:bottom w:val="single" w:sz="12" w:space="0" w:color="auto"/>
            </w:tcBorders>
          </w:tcPr>
          <w:p w14:paraId="55C936D7" w14:textId="77777777" w:rsidR="00146C7B" w:rsidRPr="00253919" w:rsidRDefault="00146C7B" w:rsidP="008D3834">
            <w:pPr>
              <w:spacing w:before="120" w:after="100" w:afterAutospacing="1"/>
              <w:rPr>
                <w:rFonts w:ascii="Times New Roman" w:hAnsi="Times New Roman" w:cs="Times New Roman"/>
                <w:b/>
                <w:bCs/>
                <w:sz w:val="26"/>
                <w:szCs w:val="24"/>
                <w:lang w:eastAsia="ja-JP"/>
              </w:rPr>
            </w:pPr>
          </w:p>
        </w:tc>
        <w:tc>
          <w:tcPr>
            <w:tcW w:w="4052" w:type="dxa"/>
            <w:gridSpan w:val="2"/>
            <w:vMerge/>
            <w:tcBorders>
              <w:bottom w:val="single" w:sz="12" w:space="0" w:color="auto"/>
            </w:tcBorders>
          </w:tcPr>
          <w:p w14:paraId="2349C3A7" w14:textId="77777777" w:rsidR="00146C7B" w:rsidRPr="00253919" w:rsidRDefault="00146C7B" w:rsidP="008D3834">
            <w:pPr>
              <w:spacing w:before="120" w:after="100" w:afterAutospacing="1"/>
              <w:rPr>
                <w:rFonts w:ascii="Times New Roman" w:hAnsi="Times New Roman" w:cs="Times New Roman"/>
                <w:b/>
                <w:bCs/>
                <w:sz w:val="26"/>
                <w:szCs w:val="24"/>
                <w:lang w:eastAsia="ja-JP"/>
              </w:rPr>
            </w:pPr>
          </w:p>
        </w:tc>
        <w:tc>
          <w:tcPr>
            <w:tcW w:w="4682" w:type="dxa"/>
            <w:tcBorders>
              <w:bottom w:val="single" w:sz="12" w:space="0" w:color="auto"/>
            </w:tcBorders>
            <w:vAlign w:val="center"/>
          </w:tcPr>
          <w:p w14:paraId="5FE3A692" w14:textId="77777777" w:rsidR="00146C7B" w:rsidRPr="00253919" w:rsidRDefault="00146C7B" w:rsidP="008D3834">
            <w:pPr>
              <w:spacing w:after="0"/>
              <w:jc w:val="right"/>
              <w:rPr>
                <w:rFonts w:ascii="Times New Roman" w:hAnsi="Times New Roman" w:cs="Times New Roman"/>
                <w:b/>
                <w:bCs/>
                <w:sz w:val="28"/>
                <w:szCs w:val="28"/>
                <w:lang w:eastAsia="ja-JP"/>
              </w:rPr>
            </w:pPr>
            <w:r w:rsidRPr="00253919">
              <w:rPr>
                <w:rFonts w:ascii="Times New Roman" w:hAnsi="Times New Roman" w:cs="Times New Roman"/>
                <w:b/>
                <w:bCs/>
                <w:sz w:val="28"/>
                <w:szCs w:val="28"/>
                <w:lang w:eastAsia="ja-JP"/>
              </w:rPr>
              <w:t>Original: English</w:t>
            </w:r>
          </w:p>
        </w:tc>
      </w:tr>
      <w:tr w:rsidR="00146C7B" w:rsidRPr="00253919" w14:paraId="30053F80" w14:textId="77777777" w:rsidTr="00CF2A0A">
        <w:trPr>
          <w:cantSplit/>
          <w:jc w:val="center"/>
        </w:trPr>
        <w:tc>
          <w:tcPr>
            <w:tcW w:w="1710" w:type="dxa"/>
            <w:gridSpan w:val="2"/>
          </w:tcPr>
          <w:p w14:paraId="57EF20A7" w14:textId="118F67FC" w:rsidR="00146C7B" w:rsidRPr="00253919" w:rsidRDefault="00146C7B" w:rsidP="008D3834">
            <w:pPr>
              <w:spacing w:before="120" w:after="100" w:afterAutospacing="1"/>
              <w:rPr>
                <w:rFonts w:ascii="Times New Roman" w:hAnsi="Times New Roman" w:cs="Times New Roman"/>
                <w:b/>
                <w:bCs/>
                <w:sz w:val="24"/>
                <w:szCs w:val="24"/>
                <w:lang w:eastAsia="ja-JP"/>
              </w:rPr>
            </w:pPr>
          </w:p>
        </w:tc>
        <w:tc>
          <w:tcPr>
            <w:tcW w:w="3531" w:type="dxa"/>
          </w:tcPr>
          <w:p w14:paraId="0BC49351" w14:textId="6FFB2A37" w:rsidR="00146C7B" w:rsidRPr="00253919" w:rsidRDefault="00146C7B" w:rsidP="008D3834">
            <w:pPr>
              <w:spacing w:before="120" w:after="100" w:afterAutospacing="1"/>
              <w:rPr>
                <w:rFonts w:ascii="Times New Roman" w:hAnsi="Times New Roman" w:cs="Times New Roman"/>
                <w:sz w:val="24"/>
                <w:szCs w:val="24"/>
                <w:lang w:eastAsia="ja-JP"/>
              </w:rPr>
            </w:pPr>
          </w:p>
        </w:tc>
        <w:tc>
          <w:tcPr>
            <w:tcW w:w="4682" w:type="dxa"/>
          </w:tcPr>
          <w:p w14:paraId="0F544C71" w14:textId="38A0AE45" w:rsidR="00146C7B" w:rsidRPr="00253919" w:rsidRDefault="00E55CF0" w:rsidP="00326348">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rPr>
                <w:rFonts w:ascii="Times New Roman" w:eastAsia="MS Mincho" w:hAnsi="Times New Roman" w:cs="Times New Roman"/>
                <w:sz w:val="24"/>
                <w:szCs w:val="24"/>
                <w:lang w:eastAsia="ja-JP"/>
              </w:rPr>
            </w:pPr>
            <w:r w:rsidRPr="00E55CF0">
              <w:rPr>
                <w:rFonts w:ascii="Times New Roman" w:hAnsi="Times New Roman" w:cs="Times New Roman"/>
                <w:sz w:val="24"/>
                <w:szCs w:val="24"/>
              </w:rPr>
              <w:t>Geneva, 26-30 January 2026</w:t>
            </w:r>
          </w:p>
        </w:tc>
      </w:tr>
      <w:tr w:rsidR="00146C7B" w:rsidRPr="00253919" w14:paraId="4C68B073" w14:textId="77777777" w:rsidTr="000B2984">
        <w:trPr>
          <w:cantSplit/>
          <w:jc w:val="center"/>
        </w:trPr>
        <w:tc>
          <w:tcPr>
            <w:tcW w:w="9923" w:type="dxa"/>
            <w:gridSpan w:val="4"/>
          </w:tcPr>
          <w:p w14:paraId="5461F108" w14:textId="77777777" w:rsidR="00146C7B" w:rsidRPr="00253919" w:rsidRDefault="00146C7B" w:rsidP="008D3834">
            <w:pPr>
              <w:spacing w:before="120" w:after="100" w:afterAutospacing="1"/>
              <w:jc w:val="center"/>
              <w:rPr>
                <w:rFonts w:ascii="Times New Roman" w:hAnsi="Times New Roman" w:cs="Times New Roman"/>
                <w:b/>
                <w:bCs/>
                <w:sz w:val="24"/>
                <w:szCs w:val="24"/>
                <w:lang w:eastAsia="ja-JP"/>
              </w:rPr>
            </w:pPr>
            <w:bookmarkStart w:id="0" w:name="ddoctype" w:colFirst="0" w:colLast="0"/>
            <w:r w:rsidRPr="00253919">
              <w:rPr>
                <w:rFonts w:ascii="Times New Roman" w:hAnsi="Times New Roman" w:cs="Times New Roman"/>
                <w:b/>
                <w:bCs/>
                <w:sz w:val="24"/>
                <w:szCs w:val="24"/>
                <w:lang w:eastAsia="ja-JP"/>
              </w:rPr>
              <w:t>TD</w:t>
            </w:r>
          </w:p>
        </w:tc>
      </w:tr>
      <w:bookmarkEnd w:id="0"/>
      <w:tr w:rsidR="00146C7B" w:rsidRPr="00253919" w14:paraId="201561C5" w14:textId="77777777" w:rsidTr="00CF2A0A">
        <w:trPr>
          <w:cantSplit/>
          <w:jc w:val="center"/>
        </w:trPr>
        <w:tc>
          <w:tcPr>
            <w:tcW w:w="1710" w:type="dxa"/>
            <w:gridSpan w:val="2"/>
          </w:tcPr>
          <w:p w14:paraId="6745FEDF" w14:textId="77777777" w:rsidR="00146C7B" w:rsidRPr="00253919" w:rsidRDefault="00146C7B" w:rsidP="008D3834">
            <w:pPr>
              <w:spacing w:before="120" w:after="100" w:afterAutospacing="1"/>
              <w:rPr>
                <w:rFonts w:ascii="Times New Roman" w:hAnsi="Times New Roman" w:cs="Times New Roman"/>
                <w:b/>
                <w:bCs/>
                <w:sz w:val="24"/>
                <w:szCs w:val="24"/>
                <w:lang w:eastAsia="ja-JP"/>
              </w:rPr>
            </w:pPr>
            <w:r w:rsidRPr="00253919">
              <w:rPr>
                <w:rFonts w:ascii="Times New Roman" w:hAnsi="Times New Roman" w:cs="Times New Roman"/>
                <w:b/>
                <w:bCs/>
                <w:sz w:val="24"/>
                <w:szCs w:val="24"/>
                <w:lang w:eastAsia="ja-JP"/>
              </w:rPr>
              <w:t>Source:</w:t>
            </w:r>
          </w:p>
        </w:tc>
        <w:sdt>
          <w:sdtPr>
            <w:rPr>
              <w:rFonts w:ascii="Times New Roman" w:hAnsi="Times New Roman" w:cs="Times New Roman"/>
              <w:sz w:val="24"/>
              <w:szCs w:val="24"/>
            </w:rPr>
            <w:alias w:val="DocumentSource"/>
            <w:tag w:val="DocumentSource"/>
            <w:id w:val="-1547363769"/>
            <w:placeholder>
              <w:docPart w:val="6D21B92D943B4378BAF1212E85C522EB"/>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213" w:type="dxa"/>
                <w:gridSpan w:val="2"/>
              </w:tcPr>
              <w:p w14:paraId="034F9BB7" w14:textId="1055FD4D" w:rsidR="00146C7B" w:rsidRPr="00253919" w:rsidRDefault="00B871E3" w:rsidP="008D3834">
                <w:pPr>
                  <w:spacing w:before="120" w:after="100" w:afterAutospacing="1"/>
                  <w:rPr>
                    <w:rFonts w:ascii="Times New Roman" w:hAnsi="Times New Roman" w:cs="Times New Roman"/>
                    <w:sz w:val="24"/>
                    <w:szCs w:val="24"/>
                  </w:rPr>
                </w:pPr>
                <w:r w:rsidRPr="00253919">
                  <w:rPr>
                    <w:rFonts w:ascii="Times New Roman" w:hAnsi="Times New Roman" w:cs="Times New Roman"/>
                    <w:sz w:val="24"/>
                    <w:szCs w:val="24"/>
                  </w:rPr>
                  <w:t>ITU Regional Office Directors</w:t>
                </w:r>
              </w:p>
            </w:tc>
          </w:sdtContent>
        </w:sdt>
      </w:tr>
      <w:tr w:rsidR="00146C7B" w:rsidRPr="00253919" w14:paraId="643222FE" w14:textId="77777777" w:rsidTr="00CF2A0A">
        <w:trPr>
          <w:cantSplit/>
          <w:jc w:val="center"/>
        </w:trPr>
        <w:tc>
          <w:tcPr>
            <w:tcW w:w="1710" w:type="dxa"/>
            <w:gridSpan w:val="2"/>
          </w:tcPr>
          <w:p w14:paraId="6F549570" w14:textId="77777777" w:rsidR="00146C7B" w:rsidRPr="00253919" w:rsidRDefault="00146C7B" w:rsidP="008D3834">
            <w:pPr>
              <w:spacing w:before="120" w:after="100" w:afterAutospacing="1"/>
              <w:rPr>
                <w:rFonts w:ascii="Times New Roman" w:hAnsi="Times New Roman" w:cs="Times New Roman"/>
                <w:sz w:val="24"/>
                <w:szCs w:val="24"/>
                <w:lang w:eastAsia="ja-JP"/>
              </w:rPr>
            </w:pPr>
            <w:r w:rsidRPr="00253919">
              <w:rPr>
                <w:rFonts w:ascii="Times New Roman" w:hAnsi="Times New Roman" w:cs="Times New Roman"/>
                <w:b/>
                <w:bCs/>
                <w:sz w:val="24"/>
                <w:szCs w:val="24"/>
                <w:lang w:eastAsia="ja-JP"/>
              </w:rPr>
              <w:t>Title:</w:t>
            </w:r>
          </w:p>
        </w:tc>
        <w:tc>
          <w:tcPr>
            <w:tcW w:w="8213" w:type="dxa"/>
            <w:gridSpan w:val="2"/>
          </w:tcPr>
          <w:p w14:paraId="1AF5D67C" w14:textId="1EBA5A84" w:rsidR="00146C7B" w:rsidRPr="00253919" w:rsidRDefault="00CF2A0A" w:rsidP="008D3834">
            <w:pPr>
              <w:spacing w:before="120" w:after="100" w:afterAutospacing="1"/>
              <w:rPr>
                <w:rFonts w:ascii="Times New Roman" w:hAnsi="Times New Roman" w:cs="Times New Roman"/>
                <w:sz w:val="24"/>
                <w:szCs w:val="24"/>
              </w:rPr>
            </w:pPr>
            <w:sdt>
              <w:sdtPr>
                <w:rPr>
                  <w:rFonts w:ascii="Times New Roman" w:hAnsi="Times New Roman" w:cs="Times New Roman"/>
                  <w:sz w:val="24"/>
                  <w:szCs w:val="24"/>
                </w:rPr>
                <w:alias w:val="Title"/>
                <w:tag w:val="Title"/>
                <w:id w:val="1877968201"/>
                <w:placeholder>
                  <w:docPart w:val="7999BE7BBAEC434D87CA35BA3A44F6B8"/>
                </w:placeholder>
                <w:dataBinding w:prefixMappings="xmlns:ns0='http://purl.org/dc/elements/1.1/' xmlns:ns1='http://schemas.openxmlformats.org/package/2006/metadata/core-properties' " w:xpath="/ns1:coreProperties[1]/ns0:title[1]" w:storeItemID="{6C3C8BC8-F283-45AE-878A-BAB7291924A1}"/>
                <w:text/>
              </w:sdtPr>
              <w:sdtEndPr/>
              <w:sdtContent>
                <w:r w:rsidR="00FB6DBF" w:rsidRPr="00FB6DBF">
                  <w:rPr>
                    <w:rFonts w:ascii="Times New Roman" w:hAnsi="Times New Roman" w:cs="Times New Roman"/>
                    <w:sz w:val="24"/>
                    <w:szCs w:val="24"/>
                  </w:rPr>
                  <w:t>Contribution of the ITU Regional Offices to the ITU-T Operational Plan and Coordination activities with TSB (June 2025 - January 2026)</w:t>
                </w:r>
              </w:sdtContent>
            </w:sdt>
          </w:p>
        </w:tc>
      </w:tr>
    </w:tbl>
    <w:tbl>
      <w:tblPr>
        <w:tblW w:w="9924" w:type="dxa"/>
        <w:tblInd w:w="-426" w:type="dxa"/>
        <w:tblCellMar>
          <w:left w:w="0" w:type="dxa"/>
          <w:right w:w="0" w:type="dxa"/>
        </w:tblCellMar>
        <w:tblLook w:val="04A0" w:firstRow="1" w:lastRow="0" w:firstColumn="1" w:lastColumn="0" w:noHBand="0" w:noVBand="1"/>
      </w:tblPr>
      <w:tblGrid>
        <w:gridCol w:w="1686"/>
        <w:gridCol w:w="3563"/>
        <w:gridCol w:w="4675"/>
      </w:tblGrid>
      <w:tr w:rsidR="0058517E" w:rsidRPr="00CF2A0A" w14:paraId="5C614EF5" w14:textId="77777777" w:rsidTr="00CF2A0A">
        <w:trPr>
          <w:cantSplit/>
        </w:trPr>
        <w:tc>
          <w:tcPr>
            <w:tcW w:w="1686" w:type="dxa"/>
            <w:tcBorders>
              <w:top w:val="single" w:sz="8" w:space="0" w:color="auto"/>
              <w:left w:val="nil"/>
              <w:bottom w:val="single" w:sz="8" w:space="0" w:color="auto"/>
              <w:right w:val="nil"/>
            </w:tcBorders>
            <w:tcMar>
              <w:top w:w="0" w:type="dxa"/>
              <w:left w:w="57" w:type="dxa"/>
              <w:bottom w:w="0" w:type="dxa"/>
              <w:right w:w="57" w:type="dxa"/>
            </w:tcMar>
            <w:hideMark/>
          </w:tcPr>
          <w:p w14:paraId="4E7C0863" w14:textId="77777777" w:rsidR="0058517E" w:rsidRPr="00FA20AD" w:rsidRDefault="0058517E" w:rsidP="0058517E">
            <w:pPr>
              <w:rPr>
                <w:rFonts w:ascii="Times New Roman" w:hAnsi="Times New Roman" w:cs="Times New Roman"/>
                <w:b/>
                <w:bCs/>
                <w:sz w:val="24"/>
                <w:szCs w:val="24"/>
              </w:rPr>
            </w:pPr>
            <w:r w:rsidRPr="00FA20AD">
              <w:rPr>
                <w:rFonts w:ascii="Times New Roman" w:hAnsi="Times New Roman" w:cs="Times New Roman"/>
                <w:b/>
                <w:bCs/>
                <w:sz w:val="24"/>
                <w:szCs w:val="24"/>
              </w:rPr>
              <w:t>Contact:</w:t>
            </w:r>
          </w:p>
        </w:tc>
        <w:tc>
          <w:tcPr>
            <w:tcW w:w="3563" w:type="dxa"/>
            <w:tcBorders>
              <w:top w:val="single" w:sz="8" w:space="0" w:color="auto"/>
              <w:left w:val="nil"/>
              <w:bottom w:val="single" w:sz="8" w:space="0" w:color="auto"/>
              <w:right w:val="nil"/>
            </w:tcBorders>
            <w:tcMar>
              <w:top w:w="0" w:type="dxa"/>
              <w:left w:w="57" w:type="dxa"/>
              <w:bottom w:w="0" w:type="dxa"/>
              <w:right w:w="57" w:type="dxa"/>
            </w:tcMar>
            <w:hideMark/>
          </w:tcPr>
          <w:p w14:paraId="075A9842" w14:textId="245113C3" w:rsidR="0058517E" w:rsidRPr="00FA20AD" w:rsidRDefault="0058517E" w:rsidP="0058517E">
            <w:pPr>
              <w:rPr>
                <w:rFonts w:ascii="Times New Roman" w:hAnsi="Times New Roman" w:cs="Times New Roman"/>
                <w:sz w:val="24"/>
                <w:szCs w:val="24"/>
              </w:rPr>
            </w:pPr>
            <w:r w:rsidRPr="00FA20AD">
              <w:rPr>
                <w:rFonts w:ascii="Times New Roman" w:hAnsi="Times New Roman" w:cs="Times New Roman"/>
                <w:sz w:val="24"/>
                <w:szCs w:val="24"/>
              </w:rPr>
              <w:t>Archana Gulati</w:t>
            </w:r>
            <w:r w:rsidRPr="00FA20AD">
              <w:rPr>
                <w:rFonts w:ascii="Times New Roman" w:hAnsi="Times New Roman" w:cs="Times New Roman"/>
                <w:sz w:val="24"/>
                <w:szCs w:val="24"/>
              </w:rPr>
              <w:br/>
              <w:t>BDT Deputy to the Director</w:t>
            </w:r>
          </w:p>
        </w:tc>
        <w:tc>
          <w:tcPr>
            <w:tcW w:w="4675" w:type="dxa"/>
            <w:tcBorders>
              <w:top w:val="single" w:sz="8" w:space="0" w:color="auto"/>
              <w:left w:val="nil"/>
              <w:bottom w:val="single" w:sz="8" w:space="0" w:color="auto"/>
              <w:right w:val="nil"/>
            </w:tcBorders>
            <w:tcMar>
              <w:top w:w="0" w:type="dxa"/>
              <w:left w:w="57" w:type="dxa"/>
              <w:bottom w:w="0" w:type="dxa"/>
              <w:right w:w="57" w:type="dxa"/>
            </w:tcMar>
            <w:hideMark/>
          </w:tcPr>
          <w:p w14:paraId="398FCABC" w14:textId="1946210C" w:rsidR="0058517E" w:rsidRPr="00FA20AD" w:rsidRDefault="0058517E" w:rsidP="0058517E">
            <w:pPr>
              <w:rPr>
                <w:rFonts w:ascii="Times New Roman" w:hAnsi="Times New Roman" w:cs="Times New Roman"/>
                <w:sz w:val="24"/>
                <w:szCs w:val="24"/>
                <w:lang w:val="fr-CH"/>
              </w:rPr>
            </w:pPr>
            <w:r w:rsidRPr="00CF2A0A">
              <w:rPr>
                <w:rFonts w:ascii="Times New Roman" w:hAnsi="Times New Roman" w:cs="Times New Roman"/>
                <w:sz w:val="24"/>
                <w:szCs w:val="24"/>
              </w:rPr>
              <w:br/>
            </w:r>
            <w:r w:rsidRPr="00FA20AD">
              <w:rPr>
                <w:rFonts w:ascii="Times New Roman" w:hAnsi="Times New Roman" w:cs="Times New Roman"/>
                <w:sz w:val="24"/>
                <w:szCs w:val="24"/>
                <w:lang w:val="fr-CH"/>
              </w:rPr>
              <w:t xml:space="preserve">E-mail: </w:t>
            </w:r>
            <w:hyperlink r:id="rId12" w:history="1">
              <w:r w:rsidRPr="00FA20AD">
                <w:rPr>
                  <w:rStyle w:val="Hyperlink"/>
                  <w:rFonts w:ascii="Times New Roman" w:hAnsi="Times New Roman" w:cs="Times New Roman"/>
                  <w:sz w:val="24"/>
                  <w:szCs w:val="24"/>
                  <w:lang w:val="fr-CH"/>
                </w:rPr>
                <w:t>bdtdeputydir@itu.int</w:t>
              </w:r>
            </w:hyperlink>
          </w:p>
        </w:tc>
      </w:tr>
    </w:tbl>
    <w:p w14:paraId="1C1F03D8" w14:textId="77777777" w:rsidR="0058517E" w:rsidRPr="0058517E" w:rsidRDefault="0058517E" w:rsidP="0058517E">
      <w:pPr>
        <w:rPr>
          <w:rFonts w:ascii="Times New Roman" w:hAnsi="Times New Roman" w:cs="Times New Roman"/>
          <w:lang w:val="fr-FR"/>
        </w:rPr>
      </w:pPr>
    </w:p>
    <w:tbl>
      <w:tblPr>
        <w:tblW w:w="9923" w:type="dxa"/>
        <w:jc w:val="center"/>
        <w:tblLayout w:type="fixed"/>
        <w:tblCellMar>
          <w:left w:w="57" w:type="dxa"/>
          <w:right w:w="57" w:type="dxa"/>
        </w:tblCellMar>
        <w:tblLook w:val="0000" w:firstRow="0" w:lastRow="0" w:firstColumn="0" w:lastColumn="0" w:noHBand="0" w:noVBand="0"/>
      </w:tblPr>
      <w:tblGrid>
        <w:gridCol w:w="1615"/>
        <w:gridCol w:w="8308"/>
      </w:tblGrid>
      <w:tr w:rsidR="00146C7B" w:rsidRPr="00253919" w14:paraId="050C9619" w14:textId="77777777" w:rsidTr="000B2984">
        <w:trPr>
          <w:cantSplit/>
          <w:jc w:val="center"/>
        </w:trPr>
        <w:tc>
          <w:tcPr>
            <w:tcW w:w="1615" w:type="dxa"/>
          </w:tcPr>
          <w:p w14:paraId="72824147" w14:textId="77777777" w:rsidR="00146C7B" w:rsidRPr="00253919" w:rsidRDefault="00146C7B" w:rsidP="008D3834">
            <w:pPr>
              <w:spacing w:before="120" w:after="100" w:afterAutospacing="1" w:line="240" w:lineRule="auto"/>
              <w:rPr>
                <w:rFonts w:ascii="Times New Roman" w:hAnsi="Times New Roman" w:cs="Times New Roman"/>
                <w:b/>
                <w:bCs/>
                <w:sz w:val="24"/>
                <w:szCs w:val="24"/>
              </w:rPr>
            </w:pPr>
            <w:r w:rsidRPr="00253919">
              <w:rPr>
                <w:rFonts w:ascii="Times New Roman" w:hAnsi="Times New Roman" w:cs="Times New Roman"/>
                <w:b/>
                <w:bCs/>
                <w:sz w:val="24"/>
                <w:szCs w:val="24"/>
              </w:rPr>
              <w:t>Abstract:</w:t>
            </w:r>
          </w:p>
        </w:tc>
        <w:sdt>
          <w:sdtPr>
            <w:rPr>
              <w:rFonts w:ascii="Times New Roman" w:hAnsi="Times New Roman" w:cs="Times New Roman"/>
              <w:sz w:val="24"/>
              <w:szCs w:val="24"/>
            </w:rPr>
            <w:alias w:val="Abstract"/>
            <w:tag w:val="Abstract"/>
            <w:id w:val="-939903723"/>
            <w:placeholder>
              <w:docPart w:val="0CF94C439E95403582B113277333BC17"/>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308" w:type="dxa"/>
              </w:tcPr>
              <w:p w14:paraId="0A0F390E" w14:textId="751F9021" w:rsidR="00D53FA3" w:rsidRPr="00253919" w:rsidRDefault="0078353E" w:rsidP="008D3834">
                <w:pPr>
                  <w:spacing w:before="60" w:after="0" w:line="240" w:lineRule="auto"/>
                  <w:rPr>
                    <w:rFonts w:ascii="Times New Roman" w:hAnsi="Times New Roman" w:cs="Times New Roman"/>
                    <w:sz w:val="24"/>
                    <w:szCs w:val="24"/>
                  </w:rPr>
                </w:pPr>
                <w:r w:rsidRPr="0078353E">
                  <w:rPr>
                    <w:rFonts w:ascii="Times New Roman" w:hAnsi="Times New Roman" w:cs="Times New Roman"/>
                    <w:sz w:val="24"/>
                    <w:szCs w:val="24"/>
                  </w:rPr>
                  <w:t>This document summarizes contribution of the ITU Regional Offices to the implementation of the ITU-T four-year rolling operational plan as requested by the Resolution 25 “Strengthening the ITU regional presence</w:t>
                </w:r>
                <w:r>
                  <w:rPr>
                    <w:rFonts w:ascii="Times New Roman" w:hAnsi="Times New Roman" w:cs="Times New Roman"/>
                    <w:sz w:val="24"/>
                    <w:szCs w:val="24"/>
                  </w:rPr>
                  <w:t>”</w:t>
                </w:r>
                <w:r w:rsidRPr="0078353E">
                  <w:rPr>
                    <w:rFonts w:ascii="Times New Roman" w:hAnsi="Times New Roman" w:cs="Times New Roman"/>
                    <w:sz w:val="24"/>
                    <w:szCs w:val="24"/>
                  </w:rPr>
                  <w:t xml:space="preserve"> (Rev. Bucharest, 2022) of the ITU Plenipotentiary Conference.</w:t>
                </w:r>
              </w:p>
            </w:tc>
          </w:sdtContent>
        </w:sdt>
      </w:tr>
    </w:tbl>
    <w:p w14:paraId="0A985A2D" w14:textId="4BB30AEE" w:rsidR="002F7191" w:rsidRPr="00253919" w:rsidRDefault="002F7191" w:rsidP="008D3834">
      <w:pPr>
        <w:spacing w:line="240" w:lineRule="auto"/>
        <w:jc w:val="center"/>
        <w:rPr>
          <w:rFonts w:ascii="Times New Roman" w:eastAsia="Times New Roman" w:hAnsi="Times New Roman" w:cs="Times New Roman"/>
          <w:kern w:val="36"/>
          <w:sz w:val="24"/>
          <w:szCs w:val="24"/>
        </w:rPr>
      </w:pPr>
    </w:p>
    <w:p w14:paraId="2EB73476" w14:textId="77777777" w:rsidR="002F7191" w:rsidRPr="00253919" w:rsidRDefault="002F7191">
      <w:pPr>
        <w:rPr>
          <w:rFonts w:ascii="Times New Roman" w:eastAsia="Times New Roman" w:hAnsi="Times New Roman" w:cs="Times New Roman"/>
          <w:kern w:val="36"/>
          <w:sz w:val="24"/>
          <w:szCs w:val="24"/>
        </w:rPr>
      </w:pPr>
      <w:r w:rsidRPr="00253919">
        <w:rPr>
          <w:rFonts w:ascii="Times New Roman" w:eastAsia="Times New Roman" w:hAnsi="Times New Roman" w:cs="Times New Roman"/>
          <w:kern w:val="36"/>
          <w:sz w:val="24"/>
          <w:szCs w:val="24"/>
        </w:rPr>
        <w:br w:type="page"/>
      </w:r>
    </w:p>
    <w:p w14:paraId="45647134" w14:textId="77777777" w:rsidR="002F7191" w:rsidRPr="00253919" w:rsidRDefault="002F7191" w:rsidP="002F7191">
      <w:pPr>
        <w:keepNext/>
        <w:rPr>
          <w:rFonts w:ascii="Times New Roman" w:hAnsi="Times New Roman" w:cs="Times New Roman"/>
          <w:b/>
          <w:sz w:val="24"/>
          <w:szCs w:val="24"/>
          <w:lang w:eastAsia="en-US"/>
        </w:rPr>
      </w:pPr>
      <w:r w:rsidRPr="00253919">
        <w:rPr>
          <w:rFonts w:ascii="Times New Roman" w:hAnsi="Times New Roman" w:cs="Times New Roman"/>
          <w:b/>
          <w:sz w:val="24"/>
          <w:szCs w:val="24"/>
          <w:lang w:eastAsia="en-US"/>
        </w:rPr>
        <w:lastRenderedPageBreak/>
        <w:t>1</w:t>
      </w:r>
      <w:r w:rsidRPr="00253919">
        <w:rPr>
          <w:rFonts w:ascii="Times New Roman" w:hAnsi="Times New Roman" w:cs="Times New Roman"/>
          <w:b/>
          <w:sz w:val="24"/>
          <w:szCs w:val="24"/>
          <w:lang w:eastAsia="en-US"/>
        </w:rPr>
        <w:tab/>
        <w:t>Introduction: ITU Regional Presence</w:t>
      </w:r>
    </w:p>
    <w:p w14:paraId="727B596D" w14:textId="77777777" w:rsidR="002F7191" w:rsidRPr="00253919" w:rsidRDefault="002F7191" w:rsidP="002F7191">
      <w:pPr>
        <w:keepNext/>
        <w:rPr>
          <w:rFonts w:ascii="Times New Roman" w:hAnsi="Times New Roman" w:cs="Times New Roman"/>
          <w:sz w:val="24"/>
          <w:szCs w:val="24"/>
          <w:lang w:eastAsia="pt-BR"/>
        </w:rPr>
      </w:pPr>
      <w:r w:rsidRPr="00253919">
        <w:rPr>
          <w:rFonts w:ascii="Times New Roman" w:hAnsi="Times New Roman" w:cs="Times New Roman"/>
          <w:sz w:val="24"/>
          <w:szCs w:val="24"/>
          <w:lang w:eastAsia="pt-BR"/>
        </w:rPr>
        <w:t xml:space="preserve">ITU has offices in the six BDT regions: </w:t>
      </w:r>
    </w:p>
    <w:p w14:paraId="01228F4E" w14:textId="77777777" w:rsidR="002F7191" w:rsidRPr="00253919" w:rsidRDefault="002F7191" w:rsidP="00B20B95">
      <w:pPr>
        <w:pStyle w:val="ListParagraph"/>
        <w:numPr>
          <w:ilvl w:val="0"/>
          <w:numId w:val="1"/>
        </w:numPr>
        <w:spacing w:before="120" w:after="0" w:line="234" w:lineRule="atLeast"/>
        <w:ind w:hanging="720"/>
        <w:textAlignment w:val="baseline"/>
        <w:rPr>
          <w:rFonts w:ascii="Times New Roman" w:hAnsi="Times New Roman" w:cs="Times New Roman"/>
          <w:sz w:val="24"/>
          <w:szCs w:val="24"/>
        </w:rPr>
      </w:pPr>
      <w:hyperlink r:id="rId13" w:history="1">
        <w:r w:rsidRPr="00253919">
          <w:rPr>
            <w:rStyle w:val="Hyperlink"/>
            <w:rFonts w:ascii="Times New Roman" w:hAnsi="Times New Roman" w:cs="Times New Roman"/>
            <w:sz w:val="24"/>
            <w:szCs w:val="24"/>
            <w:bdr w:val="none" w:sz="0" w:space="0" w:color="auto" w:frame="1"/>
          </w:rPr>
          <w:t>Africa</w:t>
        </w:r>
      </w:hyperlink>
    </w:p>
    <w:p w14:paraId="25E05B9C" w14:textId="77777777" w:rsidR="002F7191" w:rsidRPr="00253919" w:rsidRDefault="002F7191" w:rsidP="00B20B95">
      <w:pPr>
        <w:pStyle w:val="ListParagraph"/>
        <w:numPr>
          <w:ilvl w:val="0"/>
          <w:numId w:val="1"/>
        </w:numPr>
        <w:spacing w:after="0" w:line="234" w:lineRule="atLeast"/>
        <w:ind w:hanging="720"/>
        <w:textAlignment w:val="baseline"/>
        <w:rPr>
          <w:rFonts w:ascii="Times New Roman" w:hAnsi="Times New Roman" w:cs="Times New Roman"/>
          <w:sz w:val="24"/>
          <w:szCs w:val="24"/>
        </w:rPr>
      </w:pPr>
      <w:hyperlink r:id="rId14" w:history="1">
        <w:r w:rsidRPr="00253919">
          <w:rPr>
            <w:rStyle w:val="Hyperlink"/>
            <w:rFonts w:ascii="Times New Roman" w:hAnsi="Times New Roman" w:cs="Times New Roman"/>
            <w:sz w:val="24"/>
            <w:szCs w:val="24"/>
            <w:bdr w:val="none" w:sz="0" w:space="0" w:color="auto" w:frame="1"/>
          </w:rPr>
          <w:t>Americas</w:t>
        </w:r>
      </w:hyperlink>
    </w:p>
    <w:p w14:paraId="2B2732F6" w14:textId="77777777" w:rsidR="002F7191" w:rsidRPr="00253919" w:rsidRDefault="002F7191" w:rsidP="00B20B95">
      <w:pPr>
        <w:pStyle w:val="ListParagraph"/>
        <w:numPr>
          <w:ilvl w:val="0"/>
          <w:numId w:val="1"/>
        </w:numPr>
        <w:spacing w:after="0" w:line="234" w:lineRule="atLeast"/>
        <w:ind w:hanging="720"/>
        <w:textAlignment w:val="baseline"/>
        <w:rPr>
          <w:rFonts w:ascii="Times New Roman" w:hAnsi="Times New Roman" w:cs="Times New Roman"/>
          <w:sz w:val="24"/>
          <w:szCs w:val="24"/>
        </w:rPr>
      </w:pPr>
      <w:hyperlink r:id="rId15" w:history="1">
        <w:r w:rsidRPr="00253919">
          <w:rPr>
            <w:rStyle w:val="Hyperlink"/>
            <w:rFonts w:ascii="Times New Roman" w:hAnsi="Times New Roman" w:cs="Times New Roman"/>
            <w:sz w:val="24"/>
            <w:szCs w:val="24"/>
            <w:bdr w:val="none" w:sz="0" w:space="0" w:color="auto" w:frame="1"/>
          </w:rPr>
          <w:t>Arab states</w:t>
        </w:r>
      </w:hyperlink>
    </w:p>
    <w:p w14:paraId="19DACAB1" w14:textId="77777777" w:rsidR="002F7191" w:rsidRPr="00253919" w:rsidRDefault="002F7191" w:rsidP="00B20B95">
      <w:pPr>
        <w:pStyle w:val="ListParagraph"/>
        <w:numPr>
          <w:ilvl w:val="0"/>
          <w:numId w:val="1"/>
        </w:numPr>
        <w:spacing w:after="0" w:line="234" w:lineRule="atLeast"/>
        <w:ind w:hanging="720"/>
        <w:textAlignment w:val="baseline"/>
        <w:rPr>
          <w:rFonts w:ascii="Times New Roman" w:hAnsi="Times New Roman" w:cs="Times New Roman"/>
          <w:sz w:val="24"/>
          <w:szCs w:val="24"/>
        </w:rPr>
      </w:pPr>
      <w:hyperlink r:id="rId16" w:history="1">
        <w:r w:rsidRPr="00253919">
          <w:rPr>
            <w:rStyle w:val="Hyperlink"/>
            <w:rFonts w:ascii="Times New Roman" w:hAnsi="Times New Roman" w:cs="Times New Roman"/>
            <w:sz w:val="24"/>
            <w:szCs w:val="24"/>
            <w:bdr w:val="none" w:sz="0" w:space="0" w:color="auto" w:frame="1"/>
          </w:rPr>
          <w:t xml:space="preserve">Asia and the Pacific </w:t>
        </w:r>
      </w:hyperlink>
    </w:p>
    <w:p w14:paraId="799EB6C9" w14:textId="77777777" w:rsidR="002F7191" w:rsidRPr="00253919" w:rsidRDefault="002F7191" w:rsidP="00B20B95">
      <w:pPr>
        <w:pStyle w:val="ListParagraph"/>
        <w:numPr>
          <w:ilvl w:val="0"/>
          <w:numId w:val="1"/>
        </w:numPr>
        <w:spacing w:after="0" w:line="234" w:lineRule="atLeast"/>
        <w:ind w:hanging="720"/>
        <w:textAlignment w:val="baseline"/>
        <w:rPr>
          <w:rFonts w:ascii="Times New Roman" w:hAnsi="Times New Roman" w:cs="Times New Roman"/>
          <w:sz w:val="24"/>
          <w:szCs w:val="24"/>
        </w:rPr>
      </w:pPr>
      <w:hyperlink r:id="rId17" w:history="1">
        <w:r w:rsidRPr="00253919">
          <w:rPr>
            <w:rStyle w:val="Hyperlink"/>
            <w:rFonts w:ascii="Times New Roman" w:hAnsi="Times New Roman" w:cs="Times New Roman"/>
            <w:sz w:val="24"/>
            <w:szCs w:val="24"/>
            <w:bdr w:val="none" w:sz="0" w:space="0" w:color="auto" w:frame="1"/>
          </w:rPr>
          <w:t xml:space="preserve">Commonwealth of Independent States </w:t>
        </w:r>
      </w:hyperlink>
    </w:p>
    <w:p w14:paraId="58D73457" w14:textId="77777777" w:rsidR="002F7191" w:rsidRPr="00253919" w:rsidRDefault="002F7191" w:rsidP="00B20B95">
      <w:pPr>
        <w:pStyle w:val="ListParagraph"/>
        <w:numPr>
          <w:ilvl w:val="0"/>
          <w:numId w:val="1"/>
        </w:numPr>
        <w:spacing w:after="0" w:line="234" w:lineRule="atLeast"/>
        <w:ind w:hanging="720"/>
        <w:textAlignment w:val="baseline"/>
        <w:rPr>
          <w:rFonts w:ascii="Times New Roman" w:hAnsi="Times New Roman" w:cs="Times New Roman"/>
          <w:sz w:val="24"/>
          <w:szCs w:val="24"/>
        </w:rPr>
      </w:pPr>
      <w:hyperlink r:id="rId18" w:history="1">
        <w:r w:rsidRPr="00253919">
          <w:rPr>
            <w:rStyle w:val="Hyperlink"/>
            <w:rFonts w:ascii="Times New Roman" w:hAnsi="Times New Roman" w:cs="Times New Roman"/>
            <w:sz w:val="24"/>
            <w:szCs w:val="24"/>
            <w:bdr w:val="none" w:sz="0" w:space="0" w:color="auto" w:frame="1"/>
          </w:rPr>
          <w:t>Europe</w:t>
        </w:r>
      </w:hyperlink>
    </w:p>
    <w:p w14:paraId="52FFE4D1" w14:textId="0B0DC20E" w:rsidR="002F7191" w:rsidRPr="00253919" w:rsidRDefault="002F7191" w:rsidP="002F7191">
      <w:pPr>
        <w:pStyle w:val="Headingb"/>
        <w:rPr>
          <w:rFonts w:eastAsiaTheme="minorEastAsia"/>
          <w:b w:val="0"/>
          <w:szCs w:val="24"/>
          <w:lang w:eastAsia="pt-BR"/>
        </w:rPr>
      </w:pPr>
      <w:hyperlink r:id="rId19" w:history="1">
        <w:r w:rsidRPr="00253919">
          <w:rPr>
            <w:rStyle w:val="Hyperlink"/>
            <w:rFonts w:eastAsiaTheme="minorEastAsia"/>
            <w:szCs w:val="24"/>
            <w:lang w:eastAsia="pt-BR"/>
          </w:rPr>
          <w:t>ITU Regional presence</w:t>
        </w:r>
      </w:hyperlink>
      <w:r w:rsidRPr="00253919">
        <w:rPr>
          <w:rFonts w:eastAsiaTheme="minorEastAsia"/>
          <w:b w:val="0"/>
          <w:szCs w:val="24"/>
          <w:lang w:eastAsia="pt-BR"/>
        </w:rPr>
        <w:t xml:space="preserve"> counts as of today an overall of thirteen field offices, which include </w:t>
      </w:r>
      <w:r w:rsidR="00CF05C2">
        <w:rPr>
          <w:rFonts w:eastAsiaTheme="minorEastAsia"/>
          <w:b w:val="0"/>
          <w:szCs w:val="24"/>
          <w:lang w:eastAsia="pt-BR"/>
        </w:rPr>
        <w:t xml:space="preserve">an overall of </w:t>
      </w:r>
      <w:r w:rsidRPr="00253919">
        <w:rPr>
          <w:rFonts w:eastAsiaTheme="minorEastAsia"/>
          <w:b w:val="0"/>
          <w:szCs w:val="24"/>
          <w:lang w:eastAsia="pt-BR"/>
        </w:rPr>
        <w:t xml:space="preserve">five regional offices in Addis Ababa (Africa), Bangkok (Asia and the Pacific), Brasilia (Americas), Cairo (Arab States), Moscow (CIS countries), and the ITU </w:t>
      </w:r>
      <w:r w:rsidR="005F6111">
        <w:rPr>
          <w:rFonts w:eastAsiaTheme="minorEastAsia"/>
          <w:b w:val="0"/>
          <w:szCs w:val="24"/>
          <w:lang w:eastAsia="pt-BR"/>
        </w:rPr>
        <w:t>O</w:t>
      </w:r>
      <w:r w:rsidRPr="00253919">
        <w:rPr>
          <w:rFonts w:eastAsiaTheme="minorEastAsia"/>
          <w:b w:val="0"/>
          <w:szCs w:val="24"/>
          <w:lang w:eastAsia="pt-BR"/>
        </w:rPr>
        <w:t xml:space="preserve">ffice for Europe at ITU headquarters, as well as nine area offices, located in Africa, Americas and Asia and the Pacific. </w:t>
      </w:r>
    </w:p>
    <w:p w14:paraId="3DF9FF64" w14:textId="596EA6F9" w:rsidR="002F7191" w:rsidRPr="00253919" w:rsidRDefault="002F7191" w:rsidP="002F7191">
      <w:pPr>
        <w:pStyle w:val="Headingb"/>
        <w:rPr>
          <w:rFonts w:eastAsiaTheme="minorEastAsia"/>
          <w:b w:val="0"/>
          <w:szCs w:val="24"/>
          <w:lang w:eastAsia="pt-BR"/>
        </w:rPr>
      </w:pPr>
      <w:r w:rsidRPr="00253919">
        <w:rPr>
          <w:rFonts w:eastAsiaTheme="minorEastAsia"/>
          <w:b w:val="0"/>
          <w:szCs w:val="24"/>
          <w:lang w:eastAsia="pt-BR"/>
        </w:rPr>
        <w:t xml:space="preserve">The revised Resolution 25 (Rev. Bucharest, 2022) on strengthening the ITU regional presence, mentioned in section </w:t>
      </w:r>
      <w:r w:rsidR="00BC0826">
        <w:rPr>
          <w:rFonts w:eastAsiaTheme="minorEastAsia"/>
          <w:b w:val="0"/>
          <w:szCs w:val="24"/>
          <w:lang w:eastAsia="pt-BR"/>
        </w:rPr>
        <w:t>2</w:t>
      </w:r>
      <w:r w:rsidRPr="00253919">
        <w:rPr>
          <w:rFonts w:eastAsiaTheme="minorEastAsia"/>
          <w:b w:val="0"/>
          <w:szCs w:val="24"/>
          <w:lang w:eastAsia="pt-BR"/>
        </w:rPr>
        <w:t xml:space="preserve"> below, has enhanced the need for a stronger regional presence. </w:t>
      </w:r>
    </w:p>
    <w:p w14:paraId="3AC77486" w14:textId="77777777" w:rsidR="002F7191" w:rsidRPr="00253919" w:rsidRDefault="002F7191" w:rsidP="002F7191">
      <w:pPr>
        <w:pStyle w:val="Headingb"/>
        <w:rPr>
          <w:rFonts w:eastAsiaTheme="minorEastAsia"/>
          <w:b w:val="0"/>
          <w:szCs w:val="24"/>
          <w:lang w:eastAsia="pt-BR"/>
        </w:rPr>
      </w:pPr>
      <w:r w:rsidRPr="00253919">
        <w:rPr>
          <w:rFonts w:eastAsiaTheme="minorEastAsia"/>
          <w:b w:val="0"/>
          <w:szCs w:val="24"/>
          <w:lang w:eastAsia="pt-BR"/>
        </w:rPr>
        <w:t>Regional and area offices play a key role in facilitating discussions on regional matters and in the dissemination of information and results of activities of all three Sectors of the Union and the General Secretariat, while avoiding the duplication of such functions with headquarters, and collaborating with the regional telecommunication organizations to make synergies and avoid duplication of activities and efforts.</w:t>
      </w:r>
    </w:p>
    <w:p w14:paraId="10CE0050" w14:textId="77777777" w:rsidR="002F7191" w:rsidRPr="00253919" w:rsidRDefault="002F7191" w:rsidP="002F7191">
      <w:pPr>
        <w:rPr>
          <w:rFonts w:ascii="Times New Roman" w:hAnsi="Times New Roman" w:cs="Times New Roman"/>
          <w:sz w:val="24"/>
          <w:szCs w:val="24"/>
          <w:lang w:eastAsia="pt-BR"/>
        </w:rPr>
      </w:pPr>
    </w:p>
    <w:p w14:paraId="49EEC96A" w14:textId="77777777" w:rsidR="002F7191" w:rsidRPr="00253919" w:rsidRDefault="002F7191" w:rsidP="002F7191">
      <w:pPr>
        <w:pStyle w:val="Headingb"/>
        <w:rPr>
          <w:szCs w:val="24"/>
        </w:rPr>
      </w:pPr>
      <w:r w:rsidRPr="00253919">
        <w:rPr>
          <w:szCs w:val="24"/>
        </w:rPr>
        <w:t>2</w:t>
      </w:r>
      <w:r w:rsidRPr="00253919">
        <w:rPr>
          <w:szCs w:val="24"/>
        </w:rPr>
        <w:tab/>
        <w:t>ITU Plenipotentiary Resolution 25 (Rev. Bucharest, 2022)</w:t>
      </w:r>
    </w:p>
    <w:p w14:paraId="68B1C4DE" w14:textId="77777777" w:rsidR="002F7191" w:rsidRPr="00253919" w:rsidRDefault="002F7191" w:rsidP="002F7191">
      <w:pPr>
        <w:rPr>
          <w:rFonts w:ascii="Times New Roman" w:hAnsi="Times New Roman" w:cs="Times New Roman"/>
          <w:sz w:val="24"/>
          <w:szCs w:val="24"/>
          <w:lang w:eastAsia="pt-BR"/>
        </w:rPr>
      </w:pPr>
      <w:bookmarkStart w:id="1" w:name="_Toc406757651"/>
    </w:p>
    <w:p w14:paraId="06DA5EEE" w14:textId="77777777" w:rsidR="002F7191" w:rsidRPr="00253919" w:rsidRDefault="002F7191" w:rsidP="002F7191">
      <w:pPr>
        <w:rPr>
          <w:rFonts w:ascii="Times New Roman" w:hAnsi="Times New Roman" w:cs="Times New Roman"/>
          <w:sz w:val="24"/>
          <w:szCs w:val="24"/>
        </w:rPr>
      </w:pPr>
      <w:r w:rsidRPr="00253919">
        <w:rPr>
          <w:rFonts w:ascii="Times New Roman" w:hAnsi="Times New Roman" w:cs="Times New Roman"/>
          <w:sz w:val="24"/>
          <w:szCs w:val="24"/>
          <w:lang w:eastAsia="pt-BR"/>
        </w:rPr>
        <w:t>ITU Plenipotentiary Resolution 25 (Rev. Bucharest, 2022)</w:t>
      </w:r>
      <w:bookmarkEnd w:id="1"/>
      <w:r w:rsidRPr="00253919">
        <w:rPr>
          <w:rFonts w:ascii="Times New Roman" w:hAnsi="Times New Roman" w:cs="Times New Roman"/>
          <w:sz w:val="24"/>
          <w:szCs w:val="24"/>
          <w:lang w:eastAsia="pt-BR"/>
        </w:rPr>
        <w:t xml:space="preserve"> “</w:t>
      </w:r>
      <w:bookmarkStart w:id="2" w:name="_Toc406757652"/>
      <w:r w:rsidRPr="00253919">
        <w:rPr>
          <w:rFonts w:ascii="Times New Roman" w:hAnsi="Times New Roman" w:cs="Times New Roman"/>
          <w:sz w:val="24"/>
          <w:szCs w:val="24"/>
          <w:lang w:eastAsia="pt-BR"/>
        </w:rPr>
        <w:t>Strengthening the ITU regional presence</w:t>
      </w:r>
      <w:bookmarkEnd w:id="2"/>
      <w:r w:rsidRPr="00253919">
        <w:rPr>
          <w:rFonts w:ascii="Times New Roman" w:hAnsi="Times New Roman" w:cs="Times New Roman"/>
          <w:sz w:val="24"/>
          <w:szCs w:val="24"/>
          <w:lang w:eastAsia="pt-BR"/>
        </w:rPr>
        <w:t xml:space="preserve">” confirms the </w:t>
      </w:r>
      <w:r w:rsidRPr="00253919">
        <w:rPr>
          <w:rFonts w:ascii="Times New Roman" w:hAnsi="Times New Roman" w:cs="Times New Roman"/>
          <w:sz w:val="24"/>
          <w:szCs w:val="24"/>
        </w:rPr>
        <w:t>reporting mandates for the Regional and Area offices to the advisory groups of each Sectors:</w:t>
      </w:r>
    </w:p>
    <w:p w14:paraId="0278819E" w14:textId="77777777" w:rsidR="002F7191" w:rsidRPr="00253919" w:rsidRDefault="002F7191" w:rsidP="002F7191">
      <w:pPr>
        <w:pStyle w:val="Call"/>
        <w:tabs>
          <w:tab w:val="left" w:pos="3693"/>
        </w:tabs>
        <w:rPr>
          <w:rFonts w:ascii="Times New Roman" w:hAnsi="Times New Roman"/>
          <w:lang w:val="en-GB" w:eastAsia="pt-BR"/>
        </w:rPr>
      </w:pPr>
      <w:r w:rsidRPr="00253919">
        <w:rPr>
          <w:rFonts w:ascii="Times New Roman" w:hAnsi="Times New Roman"/>
          <w:lang w:val="en-GB" w:eastAsia="pt-BR"/>
        </w:rPr>
        <w:t>“further resolves</w:t>
      </w:r>
      <w:r w:rsidRPr="00253919">
        <w:rPr>
          <w:rFonts w:ascii="Times New Roman" w:hAnsi="Times New Roman"/>
          <w:lang w:val="en-GB" w:eastAsia="pt-BR"/>
        </w:rPr>
        <w:br/>
      </w:r>
    </w:p>
    <w:p w14:paraId="641143DE" w14:textId="0CEEC5FF" w:rsidR="002F7191" w:rsidRPr="00253919" w:rsidRDefault="002F7191" w:rsidP="00BC0826">
      <w:pPr>
        <w:ind w:left="567"/>
        <w:rPr>
          <w:rFonts w:ascii="Times New Roman" w:hAnsi="Times New Roman" w:cs="Times New Roman"/>
          <w:i/>
          <w:iCs/>
          <w:sz w:val="24"/>
          <w:szCs w:val="24"/>
        </w:rPr>
      </w:pPr>
      <w:r w:rsidRPr="00253919">
        <w:rPr>
          <w:rFonts w:ascii="Times New Roman" w:hAnsi="Times New Roman" w:cs="Times New Roman"/>
          <w:i/>
          <w:iCs/>
          <w:sz w:val="24"/>
          <w:szCs w:val="24"/>
        </w:rPr>
        <w:t>3</w:t>
      </w:r>
      <w:r w:rsidRPr="00253919">
        <w:rPr>
          <w:rFonts w:ascii="Times New Roman" w:hAnsi="Times New Roman" w:cs="Times New Roman"/>
          <w:i/>
          <w:iCs/>
          <w:sz w:val="24"/>
          <w:szCs w:val="24"/>
        </w:rPr>
        <w:tab/>
      </w:r>
      <w:r w:rsidR="006F07CD">
        <w:rPr>
          <w:rFonts w:ascii="Times New Roman" w:hAnsi="Times New Roman" w:cs="Times New Roman"/>
          <w:i/>
          <w:iCs/>
          <w:sz w:val="24"/>
          <w:szCs w:val="24"/>
        </w:rPr>
        <w:tab/>
      </w:r>
      <w:r w:rsidRPr="00253919">
        <w:rPr>
          <w:rFonts w:ascii="Times New Roman" w:hAnsi="Times New Roman" w:cs="Times New Roman"/>
          <w:i/>
          <w:iCs/>
          <w:sz w:val="24"/>
          <w:szCs w:val="24"/>
        </w:rPr>
        <w:t>that regional and area offices shall regularly provide reports to the Sector advisory groups, as appropriate, and to inform the Directors of BR, TSB and BDT on regional activities related to their respective Sectors</w:t>
      </w:r>
      <w:r w:rsidR="006F07CD">
        <w:rPr>
          <w:rFonts w:ascii="Times New Roman" w:hAnsi="Times New Roman" w:cs="Times New Roman"/>
          <w:i/>
          <w:iCs/>
          <w:sz w:val="24"/>
          <w:szCs w:val="24"/>
        </w:rPr>
        <w:t>.</w:t>
      </w:r>
    </w:p>
    <w:p w14:paraId="056581B5" w14:textId="77777777" w:rsidR="002F7191" w:rsidRPr="00253919" w:rsidRDefault="002F7191" w:rsidP="002F7191">
      <w:pPr>
        <w:tabs>
          <w:tab w:val="left" w:pos="567"/>
        </w:tabs>
        <w:rPr>
          <w:rFonts w:ascii="Times New Roman" w:hAnsi="Times New Roman" w:cs="Times New Roman"/>
          <w:sz w:val="24"/>
          <w:szCs w:val="24"/>
        </w:rPr>
      </w:pPr>
    </w:p>
    <w:p w14:paraId="42E1ED8C" w14:textId="77777777" w:rsidR="002F7191" w:rsidRPr="00253919" w:rsidRDefault="002F7191" w:rsidP="002F7191">
      <w:pPr>
        <w:rPr>
          <w:rFonts w:ascii="Times New Roman" w:hAnsi="Times New Roman" w:cs="Times New Roman"/>
          <w:sz w:val="24"/>
          <w:szCs w:val="24"/>
        </w:rPr>
      </w:pPr>
      <w:r w:rsidRPr="00253919">
        <w:rPr>
          <w:rFonts w:ascii="Times New Roman" w:hAnsi="Times New Roman" w:cs="Times New Roman"/>
          <w:sz w:val="24"/>
          <w:szCs w:val="24"/>
        </w:rPr>
        <w:br w:type="page"/>
      </w:r>
    </w:p>
    <w:p w14:paraId="7062E78D" w14:textId="7DD05120" w:rsidR="002F7191" w:rsidRPr="007477B4" w:rsidRDefault="006E39CB" w:rsidP="002F7191">
      <w:pPr>
        <w:pStyle w:val="Headingb"/>
        <w:rPr>
          <w:szCs w:val="24"/>
        </w:rPr>
      </w:pPr>
      <w:r w:rsidRPr="007477B4">
        <w:rPr>
          <w:szCs w:val="24"/>
        </w:rPr>
        <w:lastRenderedPageBreak/>
        <w:t>3</w:t>
      </w:r>
      <w:r w:rsidR="002F7191" w:rsidRPr="007477B4">
        <w:rPr>
          <w:szCs w:val="24"/>
        </w:rPr>
        <w:tab/>
        <w:t xml:space="preserve">Africa – Regional Office for Africa </w:t>
      </w:r>
    </w:p>
    <w:p w14:paraId="620A631F" w14:textId="77777777" w:rsidR="00F12179" w:rsidRPr="00F12179" w:rsidRDefault="00F12179" w:rsidP="00F12179">
      <w:pPr>
        <w:rPr>
          <w:lang w:eastAsia="en-US"/>
        </w:rPr>
      </w:pPr>
    </w:p>
    <w:p w14:paraId="318758F9" w14:textId="77777777" w:rsidR="00F12179" w:rsidRPr="0070058A"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t xml:space="preserve">The ITU Regional Office for Africa has continued to coordinate with TSB on activities carried out in the region by supporting Member States and Regional Organizations.   </w:t>
      </w:r>
    </w:p>
    <w:p w14:paraId="306D1975" w14:textId="77777777" w:rsidR="00F12179" w:rsidRPr="0070058A"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F844D7">
        <w:rPr>
          <w:rFonts w:ascii="Times New Roman" w:hAnsi="Times New Roman" w:cs="Times New Roman"/>
          <w:sz w:val="24"/>
          <w:szCs w:val="24"/>
        </w:rPr>
        <w:t>5th September</w:t>
      </w:r>
      <w:r>
        <w:rPr>
          <w:rFonts w:ascii="Times New Roman" w:hAnsi="Times New Roman" w:cs="Times New Roman"/>
          <w:sz w:val="24"/>
          <w:szCs w:val="24"/>
        </w:rPr>
        <w:t xml:space="preserve"> 2025,</w:t>
      </w:r>
      <w:r w:rsidRPr="00F844D7">
        <w:rPr>
          <w:rFonts w:ascii="Times New Roman" w:hAnsi="Times New Roman" w:cs="Times New Roman"/>
          <w:sz w:val="24"/>
          <w:szCs w:val="24"/>
        </w:rPr>
        <w:t xml:space="preserve"> </w:t>
      </w:r>
      <w:r>
        <w:rPr>
          <w:rFonts w:ascii="Times New Roman" w:hAnsi="Times New Roman" w:cs="Times New Roman"/>
          <w:sz w:val="24"/>
          <w:szCs w:val="24"/>
        </w:rPr>
        <w:t>TSB</w:t>
      </w:r>
      <w:r w:rsidRPr="00F844D7">
        <w:rPr>
          <w:rFonts w:ascii="Times New Roman" w:hAnsi="Times New Roman" w:cs="Times New Roman"/>
          <w:sz w:val="24"/>
          <w:szCs w:val="24"/>
        </w:rPr>
        <w:t xml:space="preserve"> in collaboration with BDT and GSMA delivered a training workshop in Benin on Quality of service and the relevant recommendations adopted by ITU</w:t>
      </w:r>
      <w:r>
        <w:rPr>
          <w:rFonts w:ascii="Times New Roman" w:hAnsi="Times New Roman" w:cs="Times New Roman"/>
          <w:sz w:val="24"/>
          <w:szCs w:val="24"/>
        </w:rPr>
        <w:t>. ITU emphasized that, t</w:t>
      </w:r>
      <w:r w:rsidRPr="00BE1C60">
        <w:rPr>
          <w:rFonts w:ascii="Times New Roman" w:hAnsi="Times New Roman" w:cs="Times New Roman"/>
          <w:sz w:val="24"/>
          <w:szCs w:val="24"/>
        </w:rPr>
        <w:t>elecommunication service quality is a shared responsibility between regulators and operators where regulators set the framework to ensure compliance and consumer protection, and operators implement and manage the QoS/QoE within their networks and services. Effective collaboration is key to ensuring high-quality services.</w:t>
      </w:r>
      <w:r>
        <w:rPr>
          <w:rFonts w:ascii="Times New Roman" w:hAnsi="Times New Roman" w:cs="Times New Roman"/>
          <w:sz w:val="24"/>
          <w:szCs w:val="24"/>
        </w:rPr>
        <w:t xml:space="preserve"> The training was attended by the regulator and Mobile network Operators in Benin. </w:t>
      </w:r>
    </w:p>
    <w:p w14:paraId="64765E8A" w14:textId="77777777" w:rsidR="00F12179" w:rsidRPr="0070058A"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t xml:space="preserve">In collaboration with BDT, a series of Digital Financial Services (DFS) Security Clinics were held by TSB team for Ethiopia, Eswatini, The Gambia, South Sudan, Ghana, Zimbabwe, Malawi, Lesotho, Ethiopia, Eswatini, Sierra Leone, Burkina Faso and Gabon. The DFS clinics are attended by ICT and Financial regulators, telecom operators and financial service provides; the main objective of the DFS clinic is to provide technical assistance to countries on security issues related to digital financial services and to assist member states to  adopt the ITU DFS security recommendations and develop their own DFS Security Labs to validate that the DFS applications in compliance with the ITU DFS recommendations. </w:t>
      </w:r>
    </w:p>
    <w:p w14:paraId="2C15C773" w14:textId="77777777" w:rsidR="00F12179" w:rsidRPr="0070058A"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t xml:space="preserve">Between July and December 2025, the ITU DFS Security Lab, working in close coordination with the ITU Regional Office for Africa, continued to support African Member States through regional coordination, facilitation of country engagements, and delivery of technical assistance aimed at strengthening the security of digital financial services. During this period, the DFS Security Lab delivered three DFS Security Clinics in Africa (Somalia in August and December 2025, and Sierra Leone in November 2025), reaching at least 70 participants from telecommunications regulators, financial sector regulators, and central banks. </w:t>
      </w:r>
    </w:p>
    <w:p w14:paraId="5A914F28" w14:textId="77777777" w:rsidR="00F12179" w:rsidRPr="0070058A"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t xml:space="preserve">With coordination support from the Regional Office for Africa, Zimbabwe, Lesotho, South Sudan, and The Gambia advanced to Phase 3 or Phase 4. At the same time, Somalia, Ethiopia, Sierra Leone, Burkina Faso, and Gabon progressed through Phase 1 and Phase 2. In total, more than 10 African countries were actively engaged in the Knowledge Transfer Programme during the July–December 2025 period. </w:t>
      </w:r>
    </w:p>
    <w:p w14:paraId="13969D35" w14:textId="77777777" w:rsidR="00F12179" w:rsidRDefault="00F12179" w:rsidP="00F12179">
      <w:pPr>
        <w:jc w:val="both"/>
        <w:rPr>
          <w:rFonts w:ascii="Times New Roman" w:hAnsi="Times New Roman" w:cs="Times New Roman"/>
          <w:sz w:val="24"/>
          <w:szCs w:val="24"/>
        </w:rPr>
      </w:pPr>
      <w:r>
        <w:rPr>
          <w:rFonts w:ascii="Times New Roman" w:hAnsi="Times New Roman" w:cs="Times New Roman"/>
          <w:sz w:val="24"/>
          <w:szCs w:val="24"/>
        </w:rPr>
        <w:t>T</w:t>
      </w:r>
      <w:r w:rsidRPr="0070058A">
        <w:rPr>
          <w:rFonts w:ascii="Times New Roman" w:hAnsi="Times New Roman" w:cs="Times New Roman"/>
          <w:sz w:val="24"/>
          <w:szCs w:val="24"/>
        </w:rPr>
        <w:t>he Regional Office for Africa organized an in-person DFS Security Clinic for African Telecommunications Regulators Assembly (ARTAC)</w:t>
      </w:r>
      <w:r>
        <w:rPr>
          <w:rFonts w:ascii="Times New Roman" w:hAnsi="Times New Roman" w:cs="Times New Roman"/>
          <w:sz w:val="24"/>
          <w:szCs w:val="24"/>
        </w:rPr>
        <w:t xml:space="preserve"> on the </w:t>
      </w:r>
      <w:r w:rsidRPr="0070058A">
        <w:rPr>
          <w:rFonts w:ascii="Times New Roman" w:hAnsi="Times New Roman" w:cs="Times New Roman"/>
          <w:sz w:val="24"/>
          <w:szCs w:val="24"/>
        </w:rPr>
        <w:t xml:space="preserve">workshop held on 17 December 2025 in N’Djamena, Chad, </w:t>
      </w:r>
      <w:r>
        <w:rPr>
          <w:rFonts w:ascii="Times New Roman" w:hAnsi="Times New Roman" w:cs="Times New Roman"/>
          <w:sz w:val="24"/>
          <w:szCs w:val="24"/>
        </w:rPr>
        <w:t>where</w:t>
      </w:r>
      <w:r w:rsidRPr="0070058A">
        <w:rPr>
          <w:rFonts w:ascii="Times New Roman" w:hAnsi="Times New Roman" w:cs="Times New Roman"/>
          <w:sz w:val="24"/>
          <w:szCs w:val="24"/>
        </w:rPr>
        <w:t xml:space="preserve"> TSB presented the ITU DFS Security Recommendations to more than 60 participants from seven ARTAC Member States</w:t>
      </w:r>
      <w:r>
        <w:rPr>
          <w:rFonts w:ascii="Times New Roman" w:hAnsi="Times New Roman" w:cs="Times New Roman"/>
          <w:sz w:val="24"/>
          <w:szCs w:val="24"/>
        </w:rPr>
        <w:t xml:space="preserve"> (</w:t>
      </w:r>
      <w:r w:rsidRPr="0070058A">
        <w:rPr>
          <w:rFonts w:ascii="Times New Roman" w:hAnsi="Times New Roman" w:cs="Times New Roman"/>
          <w:sz w:val="24"/>
          <w:szCs w:val="24"/>
        </w:rPr>
        <w:t>Chad, Cameroon, Congo, the Democratic Republic of Congo, the Central African Republic, Gabon, and Equatorial Guinea</w:t>
      </w:r>
      <w:r>
        <w:rPr>
          <w:rFonts w:ascii="Times New Roman" w:hAnsi="Times New Roman" w:cs="Times New Roman"/>
          <w:sz w:val="24"/>
          <w:szCs w:val="24"/>
        </w:rPr>
        <w:t>)</w:t>
      </w:r>
      <w:r w:rsidRPr="0070058A">
        <w:rPr>
          <w:rFonts w:ascii="Times New Roman" w:hAnsi="Times New Roman" w:cs="Times New Roman"/>
          <w:sz w:val="24"/>
          <w:szCs w:val="24"/>
        </w:rPr>
        <w:t xml:space="preserve">, as well as representatives of the Central Bank of Central African States </w:t>
      </w:r>
      <w:r>
        <w:rPr>
          <w:rFonts w:ascii="Times New Roman" w:hAnsi="Times New Roman" w:cs="Times New Roman"/>
          <w:sz w:val="24"/>
          <w:szCs w:val="24"/>
        </w:rPr>
        <w:t>(</w:t>
      </w:r>
      <w:r w:rsidRPr="0070058A">
        <w:rPr>
          <w:rFonts w:ascii="Times New Roman" w:hAnsi="Times New Roman" w:cs="Times New Roman"/>
          <w:sz w:val="24"/>
          <w:szCs w:val="24"/>
        </w:rPr>
        <w:t>BEAC</w:t>
      </w:r>
      <w:r>
        <w:rPr>
          <w:rFonts w:ascii="Times New Roman" w:hAnsi="Times New Roman" w:cs="Times New Roman"/>
          <w:sz w:val="24"/>
          <w:szCs w:val="24"/>
        </w:rPr>
        <w:t>)</w:t>
      </w:r>
      <w:r w:rsidRPr="0070058A">
        <w:rPr>
          <w:rFonts w:ascii="Times New Roman" w:hAnsi="Times New Roman" w:cs="Times New Roman"/>
          <w:sz w:val="24"/>
          <w:szCs w:val="24"/>
        </w:rPr>
        <w:t xml:space="preserve">. Participation also included regional telecom operators and mobile money providers such as Airtel, CAMTEL, SAFITEL, SOTEL, and MOOV Africa. </w:t>
      </w:r>
    </w:p>
    <w:p w14:paraId="1419AE68" w14:textId="77777777" w:rsidR="00F12179" w:rsidRPr="0070058A"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t>The DFS Security Clinic was organized back-to-back with a regional workshop on geospatial information for fibre-optic infrastructure planning, which took place on 15–16 December 2025, enabling synergies between infrastructure planning and DFS security discussions.</w:t>
      </w:r>
    </w:p>
    <w:p w14:paraId="0C2E2D7E" w14:textId="77777777" w:rsidR="00F12179" w:rsidRDefault="00F12179" w:rsidP="00F12179">
      <w:pPr>
        <w:jc w:val="both"/>
        <w:rPr>
          <w:rFonts w:ascii="Times New Roman" w:hAnsi="Times New Roman" w:cs="Times New Roman"/>
          <w:sz w:val="24"/>
          <w:szCs w:val="24"/>
        </w:rPr>
      </w:pPr>
      <w:r w:rsidRPr="0070058A">
        <w:rPr>
          <w:rFonts w:ascii="Times New Roman" w:hAnsi="Times New Roman" w:cs="Times New Roman"/>
          <w:sz w:val="24"/>
          <w:szCs w:val="24"/>
        </w:rPr>
        <w:lastRenderedPageBreak/>
        <w:t>Between July and December 2025, three DFS Security webinars were organised, addressing social engineering risks, phishing-resistant digital credentials, and weak encryption in DFS transactions. These sessions attracted a combined total of 291 participants, drawn from regulatory authorities, central banks, DFS providers, and cybersecurity institutions, with broad participation from African countries. The webinars reinforced awareness and practical understanding of the ITU DFS Security Recommendations and relevant ITU-T standards, while supporting continued regulatory and technical engagement across the region.</w:t>
      </w:r>
    </w:p>
    <w:p w14:paraId="38448F71" w14:textId="43897A86" w:rsidR="00F12179" w:rsidRPr="00253919" w:rsidRDefault="00F12179" w:rsidP="00F12179">
      <w:pPr>
        <w:jc w:val="both"/>
        <w:rPr>
          <w:rFonts w:ascii="Times New Roman" w:hAnsi="Times New Roman" w:cs="Times New Roman"/>
          <w:bCs/>
          <w:sz w:val="24"/>
          <w:szCs w:val="24"/>
        </w:rPr>
      </w:pPr>
      <w:r w:rsidRPr="00253919">
        <w:rPr>
          <w:rFonts w:ascii="Times New Roman" w:hAnsi="Times New Roman" w:cs="Times New Roman"/>
          <w:b/>
          <w:sz w:val="24"/>
          <w:szCs w:val="24"/>
          <w:highlight w:val="cyan"/>
        </w:rPr>
        <w:br w:type="page"/>
      </w:r>
    </w:p>
    <w:p w14:paraId="21FD6A62" w14:textId="7466EA17" w:rsidR="002F7191" w:rsidRPr="007477B4" w:rsidRDefault="00726747" w:rsidP="002F7191">
      <w:pPr>
        <w:pStyle w:val="Headingb"/>
        <w:rPr>
          <w:szCs w:val="24"/>
        </w:rPr>
      </w:pPr>
      <w:r w:rsidRPr="007477B4">
        <w:rPr>
          <w:szCs w:val="24"/>
        </w:rPr>
        <w:lastRenderedPageBreak/>
        <w:t>4</w:t>
      </w:r>
      <w:r w:rsidR="002F7191" w:rsidRPr="007477B4">
        <w:rPr>
          <w:szCs w:val="24"/>
        </w:rPr>
        <w:tab/>
        <w:t xml:space="preserve">Americas – Regional Office for the Americas  </w:t>
      </w:r>
    </w:p>
    <w:p w14:paraId="06062549" w14:textId="77777777" w:rsidR="0085654E" w:rsidRDefault="0085654E" w:rsidP="002F7191">
      <w:pPr>
        <w:rPr>
          <w:rFonts w:ascii="Times New Roman" w:hAnsi="Times New Roman" w:cs="Times New Roman"/>
          <w:sz w:val="24"/>
          <w:szCs w:val="24"/>
          <w:highlight w:val="yellow"/>
        </w:rPr>
      </w:pPr>
    </w:p>
    <w:p w14:paraId="7C95CF84" w14:textId="77777777" w:rsidR="0085654E" w:rsidRPr="00A069EA" w:rsidRDefault="0085654E" w:rsidP="0085654E">
      <w:pPr>
        <w:rPr>
          <w:rFonts w:ascii="Times New Roman" w:hAnsi="Times New Roman" w:cs="Times New Roman"/>
          <w:sz w:val="24"/>
          <w:szCs w:val="24"/>
        </w:rPr>
      </w:pPr>
      <w:r w:rsidRPr="00A069EA">
        <w:rPr>
          <w:rFonts w:ascii="Times New Roman" w:hAnsi="Times New Roman" w:cs="Times New Roman"/>
          <w:sz w:val="24"/>
          <w:szCs w:val="24"/>
        </w:rPr>
        <w:t>The ITU Regional Office for the Americas and its Area Offices, in Chile (South America), Honduras (Central America) &amp; Barbados (Caribbean), have continued close coordination with TSB on all activities carried out in the Americas region.</w:t>
      </w:r>
    </w:p>
    <w:p w14:paraId="30857AA0" w14:textId="77777777" w:rsidR="0085654E" w:rsidRPr="00A069EA" w:rsidRDefault="0085654E" w:rsidP="0085654E">
      <w:pPr>
        <w:rPr>
          <w:rFonts w:ascii="Times New Roman" w:hAnsi="Times New Roman" w:cs="Times New Roman"/>
          <w:sz w:val="24"/>
          <w:szCs w:val="24"/>
        </w:rPr>
      </w:pPr>
      <w:r w:rsidRPr="00A069EA">
        <w:rPr>
          <w:rFonts w:ascii="Times New Roman" w:hAnsi="Times New Roman" w:cs="Times New Roman"/>
          <w:sz w:val="24"/>
          <w:szCs w:val="24"/>
        </w:rPr>
        <w:t>Periodically coordination calls with the TSB Director and TSB Management team have been held. They were supplemented by consultations at the operational level, wherever relevant or needed.</w:t>
      </w:r>
    </w:p>
    <w:p w14:paraId="14C11493" w14:textId="77777777" w:rsidR="0085654E" w:rsidRPr="00A069EA" w:rsidRDefault="0085654E" w:rsidP="0085654E">
      <w:pPr>
        <w:rPr>
          <w:rFonts w:ascii="Times New Roman" w:hAnsi="Times New Roman" w:cs="Times New Roman"/>
          <w:sz w:val="24"/>
          <w:szCs w:val="24"/>
        </w:rPr>
      </w:pPr>
      <w:r w:rsidRPr="00A069EA">
        <w:rPr>
          <w:rFonts w:ascii="Times New Roman" w:hAnsi="Times New Roman" w:cs="Times New Roman"/>
          <w:sz w:val="24"/>
          <w:szCs w:val="24"/>
        </w:rPr>
        <w:t>The ITU Regional Office for the Americas has continued close coordination with TSB on activities carried out in the region by supporting Member States by implementing various initiatives and projects across the region, including support in the implementation of regional initiatives, aimed at deploying ICT infrastructure, enhancing digital inclusion, innovation and digital transformation.</w:t>
      </w:r>
    </w:p>
    <w:p w14:paraId="63B61909" w14:textId="77777777" w:rsidR="0085654E" w:rsidRPr="00A069EA" w:rsidRDefault="0085654E" w:rsidP="0085654E">
      <w:pPr>
        <w:rPr>
          <w:rFonts w:ascii="Times New Roman" w:hAnsi="Times New Roman" w:cs="Times New Roman"/>
          <w:sz w:val="24"/>
          <w:szCs w:val="24"/>
        </w:rPr>
      </w:pPr>
      <w:r w:rsidRPr="00A069EA">
        <w:rPr>
          <w:rFonts w:ascii="Times New Roman" w:hAnsi="Times New Roman" w:cs="Times New Roman"/>
          <w:sz w:val="24"/>
          <w:szCs w:val="24"/>
        </w:rPr>
        <w:t>ITU Regional Office for Americas also facilitated coordination between TSB and regional organizations (CITEL, mainly in PCC.I) and provided any assistance necessary to ensure regional engagement in TSB events. As well as on the Bridging the Standardization Gap (BSG), the AMS RO is supporting TSB at the highest level of relevant events or platforms in the Regions through the revamped products and services of Bridging the Standardization Gap (cf., Resolution 123 of PP-22 &amp; 44 of WTSA-24). Overall, the Regional Office is facilitating the organization of bilateral meetings in the region as per TSB request.</w:t>
      </w:r>
    </w:p>
    <w:p w14:paraId="6E8D3112" w14:textId="77777777" w:rsidR="0085654E" w:rsidRPr="00A069EA" w:rsidRDefault="0085654E" w:rsidP="0085654E">
      <w:pPr>
        <w:rPr>
          <w:rFonts w:ascii="Times New Roman" w:hAnsi="Times New Roman" w:cs="Times New Roman"/>
          <w:sz w:val="24"/>
          <w:szCs w:val="24"/>
        </w:rPr>
      </w:pPr>
      <w:r w:rsidRPr="00A069EA">
        <w:rPr>
          <w:rFonts w:ascii="Times New Roman" w:hAnsi="Times New Roman" w:cs="Times New Roman"/>
          <w:sz w:val="24"/>
          <w:szCs w:val="24"/>
        </w:rPr>
        <w:t>Active participation of TSB in the Regional Economic Dialogue (RED-AMS) in October 2025 in Montevideo, Uruguay, by sharing knowledge and expertise in the field of Ongoing work of ITU-T Study Group 3 and Focus Group on Cost of Data (FG-CD), also on regulations applicable to telecommunication network.</w:t>
      </w:r>
    </w:p>
    <w:p w14:paraId="5BE45E1E" w14:textId="77777777" w:rsidR="0085654E" w:rsidRPr="00A069EA" w:rsidRDefault="0085654E" w:rsidP="0085654E">
      <w:pPr>
        <w:rPr>
          <w:rFonts w:ascii="Times New Roman" w:hAnsi="Times New Roman" w:cs="Times New Roman"/>
          <w:sz w:val="24"/>
          <w:szCs w:val="24"/>
        </w:rPr>
      </w:pPr>
      <w:r w:rsidRPr="00A069EA">
        <w:rPr>
          <w:rFonts w:ascii="Times New Roman" w:hAnsi="Times New Roman" w:cs="Times New Roman"/>
          <w:sz w:val="24"/>
          <w:szCs w:val="24"/>
        </w:rPr>
        <w:t>The Regional supported the implementation of the ITU-T Meeting of Study Group 3 Regional Group for Latin America and the Caribbean (SG3RG-LAC) and the Meeting of ITU-T Study Group 2 Regional Group for the Americas (SG2RG-AMR), held in Montevideo, Uruguay, in October 2025 with the support of the ITU Regional Office for the Americas.</w:t>
      </w:r>
    </w:p>
    <w:p w14:paraId="11E70779" w14:textId="77F93E46" w:rsidR="002F7191" w:rsidRPr="00253919" w:rsidRDefault="0085654E" w:rsidP="002F7191">
      <w:pPr>
        <w:rPr>
          <w:rFonts w:ascii="Times New Roman" w:hAnsi="Times New Roman" w:cs="Times New Roman"/>
          <w:sz w:val="24"/>
          <w:szCs w:val="24"/>
          <w:highlight w:val="yellow"/>
          <w:lang w:eastAsia="en-US"/>
        </w:rPr>
      </w:pPr>
      <w:r w:rsidRPr="00A069EA">
        <w:rPr>
          <w:rFonts w:ascii="Times New Roman" w:hAnsi="Times New Roman" w:cs="Times New Roman"/>
          <w:sz w:val="24"/>
          <w:szCs w:val="24"/>
        </w:rPr>
        <w:t>The Green Digital Actions held the 3</w:t>
      </w:r>
      <w:r w:rsidRPr="0085654E">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A069EA">
        <w:rPr>
          <w:rFonts w:ascii="Times New Roman" w:hAnsi="Times New Roman" w:cs="Times New Roman"/>
          <w:sz w:val="24"/>
          <w:szCs w:val="24"/>
        </w:rPr>
        <w:t>edition of the Green Digital Action track to the UN Climate Change Conference 2025, COP30 in Belém, Brazil</w:t>
      </w:r>
      <w:r>
        <w:rPr>
          <w:rFonts w:ascii="Times New Roman" w:hAnsi="Times New Roman" w:cs="Times New Roman"/>
          <w:sz w:val="24"/>
          <w:szCs w:val="24"/>
        </w:rPr>
        <w:t xml:space="preserve">, </w:t>
      </w:r>
      <w:r w:rsidRPr="00A069EA">
        <w:rPr>
          <w:rFonts w:ascii="Times New Roman" w:hAnsi="Times New Roman" w:cs="Times New Roman"/>
          <w:sz w:val="24"/>
          <w:szCs w:val="24"/>
        </w:rPr>
        <w:t>November 2025, to showcase progress on digital climate action, highlight green digital innovations, and drive new commitments and partnerships for sustainable pathways.</w:t>
      </w:r>
      <w:r w:rsidR="002F7191" w:rsidRPr="00253919">
        <w:rPr>
          <w:rFonts w:ascii="Times New Roman" w:hAnsi="Times New Roman" w:cs="Times New Roman"/>
          <w:sz w:val="24"/>
          <w:szCs w:val="24"/>
          <w:highlight w:val="yellow"/>
        </w:rPr>
        <w:br w:type="page"/>
      </w:r>
    </w:p>
    <w:p w14:paraId="1B0C8B75" w14:textId="77777777" w:rsidR="00FA20AD" w:rsidRDefault="00726747" w:rsidP="00031BB9">
      <w:pPr>
        <w:pStyle w:val="Headingb"/>
        <w:rPr>
          <w:szCs w:val="24"/>
        </w:rPr>
      </w:pPr>
      <w:r>
        <w:rPr>
          <w:szCs w:val="24"/>
        </w:rPr>
        <w:lastRenderedPageBreak/>
        <w:t>5</w:t>
      </w:r>
      <w:r w:rsidR="002F7191" w:rsidRPr="00253919">
        <w:rPr>
          <w:szCs w:val="24"/>
        </w:rPr>
        <w:tab/>
        <w:t>Arab States - Regional Office for the Arab States</w:t>
      </w:r>
    </w:p>
    <w:p w14:paraId="60BA062B" w14:textId="77777777" w:rsidR="00FA20AD" w:rsidRDefault="00FA20AD" w:rsidP="00FA20AD">
      <w:pPr>
        <w:pStyle w:val="Headingb"/>
        <w:rPr>
          <w:szCs w:val="24"/>
        </w:rPr>
      </w:pPr>
    </w:p>
    <w:p w14:paraId="5B8B9901" w14:textId="77777777" w:rsidR="00FA20AD" w:rsidRDefault="00FA20AD" w:rsidP="00FA20AD">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rPr>
        <w:t>The ITU Regional Office for Arab States coordinates closely with TSB on activities carried out in the Arab region. Consultations are held at the operational level, wherever relevant or needed. The ITU Regional Office for Arab States has also been providing support to the TSB with League of Arab States (LAS) and with regional telecommunications organizations. </w:t>
      </w:r>
      <w:r>
        <w:rPr>
          <w:rStyle w:val="eop"/>
          <w:rFonts w:eastAsiaTheme="majorEastAsia"/>
          <w:b/>
          <w:bCs/>
        </w:rPr>
        <w:t> </w:t>
      </w:r>
    </w:p>
    <w:p w14:paraId="15799F19" w14:textId="77777777" w:rsidR="00FA20AD" w:rsidRDefault="00FA20AD" w:rsidP="00FA20AD">
      <w:pPr>
        <w:pStyle w:val="paragraph"/>
        <w:spacing w:before="0" w:beforeAutospacing="0" w:after="0" w:afterAutospacing="0"/>
        <w:textAlignment w:val="baseline"/>
        <w:rPr>
          <w:rFonts w:ascii="Segoe UI" w:hAnsi="Segoe UI" w:cs="Segoe UI"/>
          <w:b/>
          <w:bCs/>
          <w:sz w:val="18"/>
          <w:szCs w:val="18"/>
        </w:rPr>
      </w:pPr>
      <w:r>
        <w:rPr>
          <w:rStyle w:val="normaltextrun"/>
          <w:rFonts w:eastAsiaTheme="majorEastAsia"/>
        </w:rPr>
        <w:t>What follows are some of the specific activities that the Regional Office coordinated/assisted TSB with:</w:t>
      </w:r>
      <w:r>
        <w:rPr>
          <w:rStyle w:val="eop"/>
          <w:rFonts w:eastAsiaTheme="majorEastAsia"/>
          <w:b/>
          <w:bCs/>
        </w:rPr>
        <w:t> </w:t>
      </w:r>
    </w:p>
    <w:p w14:paraId="75D92C7D" w14:textId="77777777" w:rsidR="00FA20AD" w:rsidRDefault="00FA20AD" w:rsidP="00FA20AD">
      <w:pPr>
        <w:pStyle w:val="Headingb"/>
        <w:rPr>
          <w:szCs w:val="24"/>
        </w:rPr>
      </w:pPr>
    </w:p>
    <w:p w14:paraId="278CB045" w14:textId="77777777" w:rsidR="00FA20AD" w:rsidRDefault="00FA20AD" w:rsidP="00FA20AD">
      <w:pPr>
        <w:pStyle w:val="paragraph"/>
        <w:spacing w:before="0" w:beforeAutospacing="0" w:after="0" w:afterAutospacing="0"/>
        <w:textAlignment w:val="baseline"/>
        <w:rPr>
          <w:rStyle w:val="normaltextrun"/>
          <w:rFonts w:eastAsiaTheme="majorEastAsia"/>
          <w:b/>
          <w:bCs/>
        </w:rPr>
      </w:pPr>
      <w:r w:rsidRPr="00EE221A">
        <w:rPr>
          <w:rStyle w:val="normaltextrun"/>
          <w:rFonts w:eastAsiaTheme="majorEastAsia"/>
          <w:b/>
          <w:bCs/>
        </w:rPr>
        <w:t>Appointment of a TSB G-Staff Member in the Regional Office</w:t>
      </w:r>
    </w:p>
    <w:p w14:paraId="5B532074" w14:textId="77777777" w:rsidR="00FA20AD" w:rsidRPr="00EE221A" w:rsidRDefault="00FA20AD" w:rsidP="00FA20AD">
      <w:pPr>
        <w:pStyle w:val="paragraph"/>
        <w:spacing w:before="0" w:beforeAutospacing="0" w:after="0" w:afterAutospacing="0"/>
        <w:textAlignment w:val="baseline"/>
        <w:rPr>
          <w:rStyle w:val="normaltextrun"/>
          <w:rFonts w:eastAsiaTheme="majorEastAsia"/>
          <w:b/>
          <w:bCs/>
        </w:rPr>
      </w:pPr>
      <w:r w:rsidRPr="00EE221A">
        <w:rPr>
          <w:rStyle w:val="normaltextrun"/>
          <w:rFonts w:eastAsiaTheme="majorEastAsia"/>
          <w:b/>
          <w:bCs/>
        </w:rPr>
        <w:t xml:space="preserve"> </w:t>
      </w:r>
    </w:p>
    <w:p w14:paraId="1F10F6BB" w14:textId="294D2E4B" w:rsidR="00FA20AD" w:rsidRDefault="00FA20AD" w:rsidP="00FA20AD">
      <w:pPr>
        <w:pStyle w:val="paragraph"/>
        <w:spacing w:before="0" w:beforeAutospacing="0" w:after="0" w:afterAutospacing="0"/>
        <w:textAlignment w:val="baseline"/>
        <w:rPr>
          <w:rStyle w:val="normaltextrun"/>
          <w:rFonts w:eastAsiaTheme="majorEastAsia"/>
        </w:rPr>
      </w:pPr>
      <w:r w:rsidRPr="00EE221A">
        <w:rPr>
          <w:rStyle w:val="normaltextrun"/>
          <w:rFonts w:eastAsiaTheme="majorEastAsia"/>
        </w:rPr>
        <w:t>A TSB G-staff member has been appointed in the Regional Office, as part of TSB’s support to strengthen coordination and facilitate study group–related activities. This on-site presence has enhanced technical coordination, programme alignment, and follow-up on all</w:t>
      </w:r>
      <w:r>
        <w:rPr>
          <w:rStyle w:val="normaltextrun"/>
          <w:rFonts w:eastAsiaTheme="majorEastAsia"/>
        </w:rPr>
        <w:br/>
      </w:r>
      <w:r w:rsidRPr="00EE221A">
        <w:rPr>
          <w:rStyle w:val="normaltextrun"/>
          <w:rFonts w:eastAsiaTheme="majorEastAsia"/>
        </w:rPr>
        <w:t>TSB-related work in the region.</w:t>
      </w:r>
    </w:p>
    <w:p w14:paraId="68D62FAF" w14:textId="77777777" w:rsidR="00FA20AD" w:rsidRPr="00EE221A" w:rsidRDefault="00FA20AD" w:rsidP="00FA20AD">
      <w:pPr>
        <w:pStyle w:val="paragraph"/>
        <w:spacing w:before="0" w:beforeAutospacing="0" w:after="0" w:afterAutospacing="0"/>
        <w:textAlignment w:val="baseline"/>
        <w:rPr>
          <w:rStyle w:val="normaltextrun"/>
          <w:rFonts w:eastAsiaTheme="majorEastAsia"/>
        </w:rPr>
      </w:pPr>
    </w:p>
    <w:p w14:paraId="7BF03EE9" w14:textId="77777777" w:rsidR="00FA20AD" w:rsidRDefault="00FA20AD" w:rsidP="00FA20AD">
      <w:pPr>
        <w:pStyle w:val="paragraph"/>
        <w:spacing w:before="0" w:beforeAutospacing="0" w:after="0" w:afterAutospacing="0"/>
        <w:textAlignment w:val="baseline"/>
        <w:rPr>
          <w:rFonts w:ascii="Segoe UI" w:hAnsi="Segoe UI" w:cs="Segoe UI"/>
          <w:sz w:val="18"/>
          <w:szCs w:val="18"/>
          <w:lang w:val="en-US"/>
        </w:rPr>
      </w:pPr>
      <w:r>
        <w:rPr>
          <w:rStyle w:val="normaltextrun"/>
          <w:rFonts w:eastAsiaTheme="majorEastAsia"/>
          <w:b/>
          <w:bCs/>
        </w:rPr>
        <w:t>Smart Sustainable Cities and Communities</w:t>
      </w:r>
      <w:r>
        <w:rPr>
          <w:rStyle w:val="eop"/>
          <w:rFonts w:eastAsiaTheme="majorEastAsia"/>
          <w:lang w:val="en-US"/>
        </w:rPr>
        <w:t> </w:t>
      </w:r>
    </w:p>
    <w:p w14:paraId="4AAA77E4" w14:textId="77777777" w:rsidR="00FA20AD" w:rsidRDefault="00FA20AD" w:rsidP="00FA20AD">
      <w:pPr>
        <w:rPr>
          <w:lang w:eastAsia="en-US"/>
        </w:rPr>
      </w:pPr>
    </w:p>
    <w:p w14:paraId="08C63A6D" w14:textId="77777777" w:rsidR="00FA20AD" w:rsidRPr="00B44BB9" w:rsidRDefault="00FA20AD" w:rsidP="00FA20AD">
      <w:pPr>
        <w:pStyle w:val="paragraph"/>
        <w:spacing w:before="0" w:beforeAutospacing="0" w:after="0" w:afterAutospacing="0"/>
        <w:textAlignment w:val="baseline"/>
        <w:rPr>
          <w:rStyle w:val="normaltextrun"/>
          <w:rFonts w:eastAsiaTheme="majorEastAsia"/>
        </w:rPr>
      </w:pPr>
      <w:r w:rsidRPr="00B44BB9">
        <w:rPr>
          <w:rStyle w:val="normaltextrun"/>
          <w:rFonts w:eastAsiaTheme="majorEastAsia"/>
        </w:rPr>
        <w:t>The ITU Arab Regional Office is closely coordinating with ITU-T, in particular the SG20 management team on Smart Sustainable Cities and Communities (SSC&amp;C), within the framework of the ITU–NTRA Egypt project on the development and promotion of SSC&amp;C. This coordination focuses on integrating SG20 management inputs, comments, and technical guidance into the work developed by BDT on the draft Smart Sustainable Cities &amp; Communities (SSC&amp;C) Evaluation Framework for Egypt.</w:t>
      </w:r>
    </w:p>
    <w:p w14:paraId="37BC1DD9" w14:textId="77777777" w:rsidR="00FA20AD" w:rsidRPr="00B44BB9" w:rsidRDefault="00FA20AD" w:rsidP="00FA20AD">
      <w:pPr>
        <w:pStyle w:val="paragraph"/>
        <w:spacing w:before="0" w:beforeAutospacing="0" w:after="0" w:afterAutospacing="0"/>
        <w:textAlignment w:val="baseline"/>
        <w:rPr>
          <w:rStyle w:val="normaltextrun"/>
          <w:rFonts w:eastAsiaTheme="majorEastAsia"/>
        </w:rPr>
      </w:pPr>
      <w:r w:rsidRPr="00B44BB9">
        <w:rPr>
          <w:rStyle w:val="normaltextrun"/>
          <w:rFonts w:eastAsiaTheme="majorEastAsia"/>
        </w:rPr>
        <w:t>The ITU–NTRA project aims to develop a comprehensive SSC&amp;C evaluation framework to support the planning, implementation, and operation of smart and sustainable cities and communities in Egypt. In alignment with ITU-T standards and SG20 recommendations, the framework seeks to:</w:t>
      </w:r>
    </w:p>
    <w:p w14:paraId="46D1D4CA" w14:textId="77777777" w:rsidR="00FA20AD" w:rsidRPr="00B44BB9" w:rsidRDefault="00FA20AD" w:rsidP="00FA20AD">
      <w:pPr>
        <w:pStyle w:val="paragraph"/>
        <w:numPr>
          <w:ilvl w:val="0"/>
          <w:numId w:val="8"/>
        </w:numPr>
        <w:spacing w:before="0" w:beforeAutospacing="0" w:after="0" w:afterAutospacing="0"/>
        <w:textAlignment w:val="baseline"/>
        <w:rPr>
          <w:rStyle w:val="normaltextrun"/>
          <w:rFonts w:eastAsiaTheme="majorEastAsia"/>
        </w:rPr>
      </w:pPr>
      <w:r w:rsidRPr="00B44BB9">
        <w:rPr>
          <w:rStyle w:val="normaltextrun"/>
          <w:rFonts w:eastAsiaTheme="majorEastAsia"/>
        </w:rPr>
        <w:t>Facilitate the integration of ICTs and emerging technologies into urban development in line with Egypt Vision 2030;</w:t>
      </w:r>
    </w:p>
    <w:p w14:paraId="7ADD23BE" w14:textId="77777777" w:rsidR="00FA20AD" w:rsidRPr="00B44BB9" w:rsidRDefault="00FA20AD" w:rsidP="00FA20AD">
      <w:pPr>
        <w:pStyle w:val="paragraph"/>
        <w:numPr>
          <w:ilvl w:val="0"/>
          <w:numId w:val="8"/>
        </w:numPr>
        <w:spacing w:before="0" w:beforeAutospacing="0" w:after="0" w:afterAutospacing="0"/>
        <w:textAlignment w:val="baseline"/>
        <w:rPr>
          <w:rStyle w:val="normaltextrun"/>
          <w:rFonts w:eastAsiaTheme="majorEastAsia"/>
        </w:rPr>
      </w:pPr>
      <w:r w:rsidRPr="00B44BB9">
        <w:rPr>
          <w:rStyle w:val="normaltextrun"/>
          <w:rFonts w:eastAsiaTheme="majorEastAsia"/>
        </w:rPr>
        <w:t>Ensure sustainable readiness, resilience, and efficient operation of smart city infrastructure and services;</w:t>
      </w:r>
    </w:p>
    <w:p w14:paraId="10B1327A" w14:textId="77777777" w:rsidR="00FA20AD" w:rsidRPr="00B44BB9" w:rsidRDefault="00FA20AD" w:rsidP="00FA20AD">
      <w:pPr>
        <w:pStyle w:val="paragraph"/>
        <w:numPr>
          <w:ilvl w:val="0"/>
          <w:numId w:val="8"/>
        </w:numPr>
        <w:spacing w:before="0" w:beforeAutospacing="0" w:after="0" w:afterAutospacing="0"/>
        <w:textAlignment w:val="baseline"/>
        <w:rPr>
          <w:rStyle w:val="normaltextrun"/>
          <w:rFonts w:eastAsiaTheme="majorEastAsia"/>
        </w:rPr>
      </w:pPr>
      <w:r w:rsidRPr="00B44BB9">
        <w:rPr>
          <w:rStyle w:val="normaltextrun"/>
          <w:rFonts w:eastAsiaTheme="majorEastAsia"/>
        </w:rPr>
        <w:t>Promote innovation, investment, and economic growth within the national SSC&amp;C ecosystem;</w:t>
      </w:r>
    </w:p>
    <w:p w14:paraId="78EA2EEF" w14:textId="77777777" w:rsidR="00FA20AD" w:rsidRPr="00EE221A" w:rsidRDefault="00FA20AD" w:rsidP="00FA20AD">
      <w:pPr>
        <w:pStyle w:val="paragraph"/>
        <w:numPr>
          <w:ilvl w:val="0"/>
          <w:numId w:val="8"/>
        </w:numPr>
        <w:spacing w:before="0" w:beforeAutospacing="0" w:after="0" w:afterAutospacing="0"/>
        <w:textAlignment w:val="baseline"/>
        <w:rPr>
          <w:rFonts w:eastAsiaTheme="majorEastAsia"/>
        </w:rPr>
      </w:pPr>
      <w:r w:rsidRPr="00B44BB9">
        <w:rPr>
          <w:rStyle w:val="normaltextrun"/>
          <w:rFonts w:eastAsiaTheme="majorEastAsia"/>
        </w:rPr>
        <w:t>Establish a structured verification and certification process, supported by standards and technical requirements, to ensure that SSC&amp;C initiatives and smart services are planned, designed, implemented, and continuously developed in accordance with internationally recognized codes and best practices.</w:t>
      </w:r>
    </w:p>
    <w:p w14:paraId="4B178501" w14:textId="77777777" w:rsidR="00FA20AD" w:rsidRPr="00972E2E" w:rsidRDefault="00FA20AD" w:rsidP="00FA20AD">
      <w:pPr>
        <w:spacing w:before="100" w:beforeAutospacing="1" w:after="100" w:afterAutospacing="1" w:line="240" w:lineRule="auto"/>
        <w:rPr>
          <w:rFonts w:ascii="Times New Roman" w:eastAsia="Times New Roman" w:hAnsi="Times New Roman" w:cs="Times New Roman"/>
          <w:b/>
          <w:bCs/>
          <w:sz w:val="24"/>
          <w:szCs w:val="24"/>
          <w:lang w:val="en-US" w:eastAsia="en-GB"/>
        </w:rPr>
      </w:pPr>
      <w:r w:rsidRPr="00972E2E">
        <w:rPr>
          <w:rFonts w:ascii="Times New Roman" w:eastAsia="Times New Roman" w:hAnsi="Times New Roman" w:cs="Times New Roman"/>
          <w:b/>
          <w:bCs/>
          <w:sz w:val="24"/>
          <w:szCs w:val="24"/>
          <w:lang w:val="en-US" w:eastAsia="en-GB"/>
        </w:rPr>
        <w:t>Digital Financial Services (DFS) Security Clinic</w:t>
      </w:r>
    </w:p>
    <w:p w14:paraId="60564CB4" w14:textId="77777777" w:rsidR="00FA20AD" w:rsidRDefault="00FA20AD" w:rsidP="00FA20AD">
      <w:pPr>
        <w:pStyle w:val="Headingb"/>
        <w:rPr>
          <w:b w:val="0"/>
          <w:szCs w:val="24"/>
          <w:lang w:eastAsia="en-GB"/>
        </w:rPr>
      </w:pPr>
      <w:r w:rsidRPr="00B44BB9">
        <w:rPr>
          <w:b w:val="0"/>
          <w:szCs w:val="24"/>
          <w:lang w:eastAsia="en-GB"/>
        </w:rPr>
        <w:t xml:space="preserve">The ITU Regional Office, in coordination with ITU-T, facilitated discussions with the National Communications Authority (NCA) of Somalia on the establishment of a DFS Security Lab. Following these discussions, ITU-T and the NCA of Somalia are exploring a </w:t>
      </w:r>
      <w:r w:rsidRPr="00B44BB9">
        <w:rPr>
          <w:b w:val="0"/>
          <w:szCs w:val="24"/>
          <w:lang w:eastAsia="en-GB"/>
        </w:rPr>
        <w:lastRenderedPageBreak/>
        <w:t>potential ITU-led knowledge transfer programme on Digital Financial Services (DFS) security, aimed at strengthening national technical and regulatory capacities in this area.</w:t>
      </w:r>
    </w:p>
    <w:p w14:paraId="69C99152" w14:textId="77777777" w:rsidR="00FA20AD" w:rsidRDefault="00FA20AD" w:rsidP="00FA20AD">
      <w:pPr>
        <w:pStyle w:val="Headingb"/>
        <w:rPr>
          <w:b w:val="0"/>
          <w:szCs w:val="24"/>
          <w:lang w:eastAsia="en-GB"/>
        </w:rPr>
      </w:pPr>
    </w:p>
    <w:p w14:paraId="74D8E142" w14:textId="77777777" w:rsidR="00FA20AD" w:rsidRDefault="00FA20AD" w:rsidP="00FA20A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Co-ordination and promotion of ITU-T Activities in Arab Region</w:t>
      </w:r>
      <w:r>
        <w:rPr>
          <w:rStyle w:val="eop"/>
          <w:rFonts w:eastAsiaTheme="majorEastAsia"/>
        </w:rPr>
        <w:t> </w:t>
      </w:r>
    </w:p>
    <w:p w14:paraId="3F46A573" w14:textId="77777777" w:rsidR="00FA20AD" w:rsidRPr="00EE221A" w:rsidRDefault="00FA20AD" w:rsidP="00FA20AD">
      <w:pPr>
        <w:spacing w:after="0" w:line="240" w:lineRule="auto"/>
        <w:rPr>
          <w:rFonts w:ascii="Times New Roman" w:eastAsia="Times New Roman" w:hAnsi="Times New Roman" w:cs="Times New Roman"/>
          <w:b/>
          <w:bCs/>
          <w:sz w:val="24"/>
          <w:szCs w:val="24"/>
        </w:rPr>
      </w:pPr>
    </w:p>
    <w:p w14:paraId="26F7BA64" w14:textId="14460C04" w:rsidR="00FA20AD" w:rsidRPr="00FA20AD" w:rsidRDefault="00FA20AD" w:rsidP="00FA20AD">
      <w:pPr>
        <w:pStyle w:val="Headingb"/>
        <w:rPr>
          <w:b w:val="0"/>
          <w:bCs/>
          <w:szCs w:val="24"/>
        </w:rPr>
      </w:pPr>
      <w:r w:rsidRPr="00FA20AD">
        <w:rPr>
          <w:rStyle w:val="normaltextrun"/>
          <w:rFonts w:eastAsiaTheme="majorEastAsia"/>
          <w:b w:val="0"/>
          <w:bCs/>
        </w:rPr>
        <w:t>ITU Arab regional office is promoting TSB activities in the Arab Region and on regular basis through all the regional communications channels including but not limited to, the official regional twitter account and regional member states what’s-up group.</w:t>
      </w:r>
      <w:r w:rsidRPr="00FA20AD">
        <w:rPr>
          <w:rStyle w:val="eop"/>
          <w:rFonts w:eastAsiaTheme="majorEastAsia"/>
          <w:b w:val="0"/>
          <w:bCs/>
          <w:lang w:val="en-US"/>
        </w:rPr>
        <w:t> </w:t>
      </w:r>
    </w:p>
    <w:p w14:paraId="5693A4A4" w14:textId="77777777" w:rsidR="00FA20AD" w:rsidRDefault="00FA20AD" w:rsidP="00031BB9">
      <w:pPr>
        <w:pStyle w:val="Headingb"/>
        <w:rPr>
          <w:szCs w:val="24"/>
        </w:rPr>
      </w:pPr>
    </w:p>
    <w:p w14:paraId="5C2274B2" w14:textId="77777777" w:rsidR="00FA20AD" w:rsidRDefault="00FA20AD" w:rsidP="00031BB9">
      <w:pPr>
        <w:pStyle w:val="Headingb"/>
        <w:rPr>
          <w:szCs w:val="24"/>
        </w:rPr>
      </w:pPr>
    </w:p>
    <w:p w14:paraId="2CA8BF27" w14:textId="77777777" w:rsidR="00FA20AD" w:rsidRDefault="00FA20AD" w:rsidP="00031BB9">
      <w:pPr>
        <w:pStyle w:val="Headingb"/>
        <w:rPr>
          <w:szCs w:val="24"/>
        </w:rPr>
      </w:pPr>
    </w:p>
    <w:p w14:paraId="67166693" w14:textId="30E3C27B" w:rsidR="002F7191" w:rsidRPr="00253919" w:rsidRDefault="002F7191" w:rsidP="00031BB9">
      <w:pPr>
        <w:pStyle w:val="Headingb"/>
        <w:rPr>
          <w:b w:val="0"/>
          <w:szCs w:val="24"/>
          <w:highlight w:val="cyan"/>
        </w:rPr>
      </w:pPr>
      <w:r w:rsidRPr="00253919">
        <w:rPr>
          <w:szCs w:val="24"/>
          <w:highlight w:val="cyan"/>
        </w:rPr>
        <w:br w:type="page"/>
      </w:r>
    </w:p>
    <w:p w14:paraId="529128FD" w14:textId="77777777" w:rsidR="00302459" w:rsidRPr="007477B4" w:rsidRDefault="00726747" w:rsidP="002F7191">
      <w:pPr>
        <w:pStyle w:val="Heading4"/>
        <w:ind w:left="709" w:hanging="709"/>
        <w:rPr>
          <w:rFonts w:ascii="Times New Roman" w:eastAsia="Times New Roman" w:hAnsi="Times New Roman" w:cs="Times New Roman"/>
          <w:b/>
          <w:i w:val="0"/>
          <w:iCs w:val="0"/>
          <w:color w:val="auto"/>
          <w:sz w:val="24"/>
          <w:szCs w:val="24"/>
          <w:lang w:eastAsia="en-US"/>
        </w:rPr>
      </w:pPr>
      <w:r w:rsidRPr="007477B4">
        <w:rPr>
          <w:rFonts w:ascii="Times New Roman" w:eastAsia="Times New Roman" w:hAnsi="Times New Roman" w:cs="Times New Roman"/>
          <w:b/>
          <w:i w:val="0"/>
          <w:iCs w:val="0"/>
          <w:color w:val="auto"/>
          <w:sz w:val="24"/>
          <w:szCs w:val="24"/>
          <w:lang w:eastAsia="en-US"/>
        </w:rPr>
        <w:lastRenderedPageBreak/>
        <w:t>6</w:t>
      </w:r>
      <w:r w:rsidR="002F7191" w:rsidRPr="007477B4">
        <w:rPr>
          <w:rFonts w:ascii="Times New Roman" w:eastAsia="Times New Roman" w:hAnsi="Times New Roman" w:cs="Times New Roman"/>
          <w:b/>
          <w:i w:val="0"/>
          <w:iCs w:val="0"/>
          <w:color w:val="auto"/>
          <w:sz w:val="24"/>
          <w:szCs w:val="24"/>
          <w:lang w:eastAsia="en-US"/>
        </w:rPr>
        <w:tab/>
        <w:t>Asia and the Pacific - Regional Office for Asia and the Pacific</w:t>
      </w:r>
    </w:p>
    <w:p w14:paraId="7DC05CD8" w14:textId="77777777" w:rsidR="00302459" w:rsidRPr="00972E2E" w:rsidRDefault="00302459" w:rsidP="00302459">
      <w:pPr>
        <w:keepNext/>
        <w:spacing w:before="240" w:after="60" w:line="240" w:lineRule="auto"/>
        <w:outlineLvl w:val="3"/>
        <w:rPr>
          <w:rFonts w:ascii="Times New Roman" w:eastAsia="Times New Roman" w:hAnsi="Times New Roman" w:cs="Times New Roman"/>
          <w:sz w:val="24"/>
          <w:szCs w:val="24"/>
          <w:lang w:val="en-US"/>
        </w:rPr>
      </w:pPr>
      <w:r w:rsidRPr="00972E2E">
        <w:rPr>
          <w:rFonts w:ascii="Times New Roman" w:eastAsia="Times New Roman" w:hAnsi="Times New Roman" w:cs="Times New Roman"/>
          <w:sz w:val="24"/>
          <w:szCs w:val="24"/>
          <w:lang w:val="en-US"/>
        </w:rPr>
        <w:t xml:space="preserve">The ITU Regional Office for Asia and the Pacific coordinates closely with TSB on activities carried out in the Asia-Pacific region. Consultations are held at the operational level, wherever relevant or needed. The ITU Regional Office for Asia and the Pacific has also been providing support to the TSB with APT and with regional standardization bodies. </w:t>
      </w:r>
    </w:p>
    <w:p w14:paraId="57B6BC82" w14:textId="77777777" w:rsidR="00302459" w:rsidRPr="00972E2E" w:rsidRDefault="00302459" w:rsidP="00302459">
      <w:pPr>
        <w:keepNext/>
        <w:spacing w:before="240" w:after="60" w:line="240" w:lineRule="auto"/>
        <w:outlineLvl w:val="3"/>
        <w:rPr>
          <w:rFonts w:ascii="Times New Roman" w:eastAsia="Times New Roman" w:hAnsi="Times New Roman" w:cs="Times New Roman"/>
          <w:sz w:val="24"/>
          <w:szCs w:val="24"/>
          <w:lang w:val="en-US"/>
        </w:rPr>
      </w:pPr>
      <w:r w:rsidRPr="00972E2E">
        <w:rPr>
          <w:rFonts w:ascii="Times New Roman" w:eastAsia="Times New Roman" w:hAnsi="Times New Roman" w:cs="Times New Roman"/>
          <w:sz w:val="24"/>
          <w:szCs w:val="24"/>
          <w:lang w:val="en-US"/>
        </w:rPr>
        <w:t>What follows are some of the specific activities that the Regional Office coordinated/assisted TSB with:</w:t>
      </w:r>
    </w:p>
    <w:p w14:paraId="186AB2C0" w14:textId="77777777" w:rsidR="00302459" w:rsidRPr="00972E2E" w:rsidRDefault="00302459" w:rsidP="00302459">
      <w:pPr>
        <w:spacing w:after="0" w:line="240" w:lineRule="auto"/>
        <w:rPr>
          <w:rFonts w:ascii="Times New Roman" w:eastAsia="Times New Roman" w:hAnsi="Times New Roman" w:cs="Times New Roman"/>
          <w:b/>
          <w:bCs/>
          <w:sz w:val="24"/>
          <w:szCs w:val="24"/>
          <w:lang w:val="en-US"/>
        </w:rPr>
      </w:pPr>
    </w:p>
    <w:p w14:paraId="50583C53" w14:textId="77777777" w:rsidR="00302459" w:rsidRPr="00972E2E" w:rsidRDefault="00302459" w:rsidP="00302459">
      <w:pPr>
        <w:spacing w:after="0" w:line="240" w:lineRule="auto"/>
        <w:rPr>
          <w:rFonts w:ascii="Times New Roman" w:eastAsia="Times New Roman" w:hAnsi="Times New Roman" w:cs="Times New Roman"/>
          <w:b/>
          <w:bCs/>
          <w:sz w:val="24"/>
          <w:szCs w:val="24"/>
          <w:lang w:val="en-US"/>
        </w:rPr>
      </w:pPr>
      <w:r w:rsidRPr="00972E2E">
        <w:rPr>
          <w:rFonts w:ascii="Times New Roman" w:eastAsia="Times New Roman" w:hAnsi="Times New Roman" w:cs="Times New Roman"/>
          <w:b/>
          <w:bCs/>
          <w:sz w:val="24"/>
          <w:szCs w:val="24"/>
          <w:lang w:val="en-US"/>
        </w:rPr>
        <w:t>New Project on Artificial Intelligence Technology and Standards Capacity Building in Asia Pacific funded by MIC Japan</w:t>
      </w:r>
    </w:p>
    <w:p w14:paraId="640F2E6B" w14:textId="77777777" w:rsidR="00302459" w:rsidRPr="00972E2E" w:rsidRDefault="00302459" w:rsidP="00B20B95">
      <w:pPr>
        <w:numPr>
          <w:ilvl w:val="0"/>
          <w:numId w:val="4"/>
        </w:numPr>
        <w:spacing w:after="0" w:line="240" w:lineRule="auto"/>
        <w:contextualSpacing/>
        <w:rPr>
          <w:rFonts w:ascii="Times New Roman" w:eastAsia="Times New Roman" w:hAnsi="Times New Roman" w:cs="Times New Roman"/>
          <w:sz w:val="24"/>
          <w:szCs w:val="24"/>
          <w:lang w:val="en-US"/>
        </w:rPr>
      </w:pPr>
      <w:r w:rsidRPr="00972E2E">
        <w:rPr>
          <w:rFonts w:ascii="Times New Roman" w:eastAsia="Times New Roman" w:hAnsi="Times New Roman" w:cs="Times New Roman"/>
          <w:sz w:val="24"/>
          <w:szCs w:val="24"/>
          <w:lang w:val="en-US"/>
        </w:rPr>
        <w:t xml:space="preserve">Following consultations with TSB and discussions with the Ministry of Internal Affairs and Communications (MIC) of Japan, the ITU team and MIC exchanged letters on 6 February 2025, post which the funds were allocated to ITU to conduct activities under this project. It is currently funded for a period of one year, until February 2026. </w:t>
      </w:r>
    </w:p>
    <w:p w14:paraId="357498C9" w14:textId="77777777" w:rsidR="00302459" w:rsidRPr="00972E2E" w:rsidRDefault="00302459" w:rsidP="00B20B95">
      <w:pPr>
        <w:pStyle w:val="ListParagraph"/>
        <w:numPr>
          <w:ilvl w:val="0"/>
          <w:numId w:val="4"/>
        </w:numPr>
        <w:spacing w:after="0" w:line="240" w:lineRule="auto"/>
        <w:rPr>
          <w:rFonts w:ascii="Times New Roman" w:eastAsia="Times New Roman" w:hAnsi="Times New Roman" w:cs="Times New Roman"/>
          <w:sz w:val="24"/>
          <w:szCs w:val="24"/>
          <w:lang w:val="en-US"/>
        </w:rPr>
      </w:pPr>
      <w:r w:rsidRPr="00972E2E">
        <w:rPr>
          <w:rFonts w:ascii="Times New Roman" w:eastAsia="Times New Roman" w:hAnsi="Times New Roman" w:cs="Times New Roman"/>
          <w:sz w:val="24"/>
          <w:szCs w:val="24"/>
          <w:lang w:val="en-US"/>
        </w:rPr>
        <w:t>The project aims to build the capacity and awareness among government officials and key stakeholders on artificial intelligence (AI) technologies and standards development for increasing the efficiency of telecommunications/ICTs and the enabling ecosystem, to support project countries’ digital transformation strategies, and to bridge the standardization gap between developed and developing countries, particularly focusing on AI, and drawing upon expertise from both the International Telecommunication Union (ITU) Telecommunication Development Bureau (BDT) and Telecommunication Standardization Bureau (TSB).</w:t>
      </w:r>
    </w:p>
    <w:p w14:paraId="55162FA9" w14:textId="0ED11648" w:rsidR="00302459" w:rsidRDefault="00302459" w:rsidP="00B20B95">
      <w:pPr>
        <w:pStyle w:val="ListParagraph"/>
        <w:numPr>
          <w:ilvl w:val="0"/>
          <w:numId w:val="4"/>
        </w:numPr>
        <w:spacing w:after="0" w:line="240" w:lineRule="auto"/>
        <w:rPr>
          <w:rFonts w:ascii="Times New Roman" w:eastAsia="Times New Roman" w:hAnsi="Times New Roman" w:cs="Times New Roman"/>
          <w:sz w:val="24"/>
          <w:szCs w:val="24"/>
          <w:lang w:val="en-US"/>
        </w:rPr>
      </w:pPr>
      <w:r w:rsidRPr="00972E2E">
        <w:rPr>
          <w:rFonts w:ascii="Times New Roman" w:eastAsia="Times New Roman" w:hAnsi="Times New Roman" w:cs="Times New Roman"/>
          <w:sz w:val="24"/>
          <w:szCs w:val="24"/>
          <w:lang w:val="en-US"/>
        </w:rPr>
        <w:t>Following the first workshop held in</w:t>
      </w:r>
      <w:r>
        <w:rPr>
          <w:rFonts w:ascii="Times New Roman" w:eastAsia="Times New Roman" w:hAnsi="Times New Roman" w:cs="Times New Roman"/>
          <w:sz w:val="24"/>
          <w:szCs w:val="24"/>
          <w:lang w:val="en-US"/>
        </w:rPr>
        <w:t xml:space="preserve"> Delhi</w:t>
      </w:r>
      <w:r w:rsidR="00C91B5A">
        <w:rPr>
          <w:rFonts w:ascii="Times New Roman" w:eastAsia="Times New Roman" w:hAnsi="Times New Roman" w:cs="Times New Roman"/>
          <w:sz w:val="24"/>
          <w:szCs w:val="24"/>
          <w:lang w:val="en-US"/>
        </w:rPr>
        <w:t xml:space="preserve">, India </w:t>
      </w:r>
      <w:r>
        <w:rPr>
          <w:rFonts w:ascii="Times New Roman" w:eastAsia="Times New Roman" w:hAnsi="Times New Roman" w:cs="Times New Roman"/>
          <w:sz w:val="24"/>
          <w:szCs w:val="24"/>
          <w:lang w:val="en-US"/>
        </w:rPr>
        <w:t>in</w:t>
      </w:r>
      <w:r w:rsidRPr="00972E2E">
        <w:rPr>
          <w:rFonts w:ascii="Times New Roman" w:eastAsia="Times New Roman" w:hAnsi="Times New Roman" w:cs="Times New Roman"/>
          <w:sz w:val="24"/>
          <w:szCs w:val="24"/>
          <w:lang w:val="en-US"/>
        </w:rPr>
        <w:t xml:space="preserve"> May 2025, </w:t>
      </w:r>
      <w:r>
        <w:rPr>
          <w:rFonts w:ascii="Times New Roman" w:eastAsia="Times New Roman" w:hAnsi="Times New Roman" w:cs="Times New Roman"/>
          <w:sz w:val="24"/>
          <w:szCs w:val="24"/>
          <w:lang w:val="en-US"/>
        </w:rPr>
        <w:t>additional</w:t>
      </w:r>
      <w:r w:rsidRPr="00972E2E">
        <w:rPr>
          <w:rFonts w:ascii="Times New Roman" w:eastAsia="Times New Roman" w:hAnsi="Times New Roman" w:cs="Times New Roman"/>
          <w:sz w:val="24"/>
          <w:szCs w:val="24"/>
          <w:lang w:val="en-US"/>
        </w:rPr>
        <w:t xml:space="preserve"> workshops were </w:t>
      </w:r>
      <w:r>
        <w:rPr>
          <w:rFonts w:ascii="Times New Roman" w:eastAsia="Times New Roman" w:hAnsi="Times New Roman" w:cs="Times New Roman"/>
          <w:sz w:val="24"/>
          <w:szCs w:val="24"/>
          <w:lang w:val="en-US"/>
        </w:rPr>
        <w:t>organized:</w:t>
      </w:r>
    </w:p>
    <w:p w14:paraId="4F2F3BAA" w14:textId="77777777" w:rsidR="00302459" w:rsidRDefault="00302459" w:rsidP="00B20B95">
      <w:pPr>
        <w:pStyle w:val="ListParagraph"/>
        <w:numPr>
          <w:ilvl w:val="1"/>
          <w:numId w:val="4"/>
        </w:num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US"/>
        </w:rPr>
        <w:t xml:space="preserve">In Kuala Lumpur, Malaysia from 9-12 September where a total of 73 participants were trained from 9 member states including </w:t>
      </w:r>
      <w:r w:rsidRPr="009C3EC6">
        <w:rPr>
          <w:rFonts w:ascii="Times New Roman" w:eastAsia="Times New Roman" w:hAnsi="Times New Roman" w:cs="Times New Roman"/>
          <w:sz w:val="24"/>
          <w:szCs w:val="24"/>
          <w:lang w:val="en-US"/>
        </w:rPr>
        <w:t>Malaysia, Indonesia, Brunei, Timor Leste, Thailand, Cambodia, Mongolia, Lao</w:t>
      </w:r>
      <w:r>
        <w:rPr>
          <w:rFonts w:ascii="Times New Roman" w:eastAsia="Times New Roman" w:hAnsi="Times New Roman" w:cs="Times New Roman"/>
          <w:sz w:val="24"/>
          <w:szCs w:val="24"/>
          <w:lang w:val="en-US"/>
        </w:rPr>
        <w:t xml:space="preserve"> PDR</w:t>
      </w:r>
      <w:r w:rsidRPr="009C3EC6">
        <w:rPr>
          <w:rFonts w:ascii="Times New Roman" w:eastAsia="Times New Roman" w:hAnsi="Times New Roman" w:cs="Times New Roman"/>
          <w:sz w:val="24"/>
          <w:szCs w:val="24"/>
          <w:lang w:val="en-US"/>
        </w:rPr>
        <w:t xml:space="preserve"> &amp; Pakistan</w:t>
      </w:r>
      <w:r>
        <w:rPr>
          <w:rFonts w:ascii="Times New Roman" w:eastAsia="Times New Roman" w:hAnsi="Times New Roman" w:cs="Times New Roman"/>
          <w:sz w:val="24"/>
          <w:szCs w:val="24"/>
          <w:lang w:val="en-US"/>
        </w:rPr>
        <w:t xml:space="preserve">. </w:t>
      </w:r>
      <w:r w:rsidRPr="00DB531A">
        <w:rPr>
          <w:rFonts w:ascii="Times New Roman" w:eastAsia="Times New Roman" w:hAnsi="Times New Roman" w:cs="Times New Roman"/>
          <w:sz w:val="24"/>
          <w:szCs w:val="24"/>
          <w:lang w:val="en-ID"/>
        </w:rPr>
        <w:t>Two online sessions were organised preceding the workshop on 19 Aug &amp; 16 Aug covering training material on a) AI standards and b) AI technologies.</w:t>
      </w:r>
    </w:p>
    <w:p w14:paraId="6210B75B" w14:textId="77777777" w:rsidR="00302459" w:rsidRPr="00DB531A" w:rsidRDefault="00302459" w:rsidP="00B20B95">
      <w:pPr>
        <w:pStyle w:val="ListParagraph"/>
        <w:numPr>
          <w:ilvl w:val="1"/>
          <w:numId w:val="4"/>
        </w:num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In Thimphu, Bhutan from 22-26 September where 69 civil servants from Bhutan were trained on AI fundamentals in two batches.</w:t>
      </w:r>
    </w:p>
    <w:p w14:paraId="36570CA7" w14:textId="77777777" w:rsidR="00302459" w:rsidRPr="00972E2E" w:rsidRDefault="00302459" w:rsidP="00B20B95">
      <w:pPr>
        <w:pStyle w:val="ListParagraph"/>
        <w:numPr>
          <w:ilvl w:val="1"/>
          <w:numId w:val="4"/>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Phnom Penh, Cambodia from 8-10 October where a total of 55 participants were trained nationally. An additional online session was organized on 3 October to complement the in-person training, covering material on AI standards. </w:t>
      </w:r>
    </w:p>
    <w:p w14:paraId="448D4067" w14:textId="77777777" w:rsidR="00302459" w:rsidRPr="00972E2E" w:rsidRDefault="00302459" w:rsidP="00302459">
      <w:pPr>
        <w:spacing w:after="0" w:line="240" w:lineRule="auto"/>
        <w:rPr>
          <w:rFonts w:ascii="Times New Roman" w:eastAsia="Times New Roman" w:hAnsi="Times New Roman" w:cs="Times New Roman"/>
          <w:b/>
          <w:bCs/>
          <w:sz w:val="24"/>
          <w:szCs w:val="24"/>
          <w:lang w:val="en-US"/>
        </w:rPr>
      </w:pPr>
    </w:p>
    <w:p w14:paraId="79EC922C" w14:textId="77777777" w:rsidR="00302459" w:rsidRPr="00972E2E" w:rsidRDefault="00302459" w:rsidP="00302459">
      <w:pPr>
        <w:spacing w:after="0" w:line="240" w:lineRule="auto"/>
        <w:rPr>
          <w:rFonts w:ascii="Times New Roman" w:eastAsia="Times New Roman" w:hAnsi="Times New Roman" w:cs="Times New Roman"/>
          <w:b/>
          <w:bCs/>
          <w:sz w:val="24"/>
          <w:szCs w:val="24"/>
          <w:lang w:val="en-US"/>
        </w:rPr>
      </w:pPr>
    </w:p>
    <w:p w14:paraId="03B08B43" w14:textId="77777777" w:rsidR="00302459" w:rsidRPr="00972E2E" w:rsidRDefault="00302459" w:rsidP="00302459">
      <w:pPr>
        <w:spacing w:after="0" w:line="240" w:lineRule="auto"/>
        <w:rPr>
          <w:rFonts w:ascii="Times New Roman" w:eastAsia="Times New Roman" w:hAnsi="Times New Roman" w:cs="Times New Roman"/>
          <w:b/>
          <w:bCs/>
          <w:sz w:val="24"/>
          <w:szCs w:val="24"/>
          <w:lang w:val="en-US"/>
        </w:rPr>
      </w:pPr>
      <w:r w:rsidRPr="00972E2E">
        <w:rPr>
          <w:rFonts w:ascii="Times New Roman" w:eastAsia="Times New Roman" w:hAnsi="Times New Roman" w:cs="Times New Roman"/>
          <w:b/>
          <w:bCs/>
          <w:sz w:val="24"/>
          <w:szCs w:val="24"/>
          <w:lang w:val="en-US"/>
        </w:rPr>
        <w:t>Bridging the Standardization Gap (BSG)</w:t>
      </w:r>
    </w:p>
    <w:p w14:paraId="26DB44C3" w14:textId="77777777" w:rsidR="00302459" w:rsidRPr="00927A97" w:rsidRDefault="00302459" w:rsidP="00B20B9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F3672B">
        <w:rPr>
          <w:rFonts w:ascii="Times New Roman" w:eastAsia="Times New Roman" w:hAnsi="Times New Roman" w:cs="Times New Roman"/>
          <w:sz w:val="24"/>
          <w:szCs w:val="24"/>
          <w:lang w:eastAsia="en-GB"/>
        </w:rPr>
        <w:t>MIC</w:t>
      </w:r>
      <w:r>
        <w:rPr>
          <w:rFonts w:ascii="Times New Roman" w:eastAsia="Times New Roman" w:hAnsi="Times New Roman" w:cs="Times New Roman"/>
          <w:sz w:val="24"/>
          <w:szCs w:val="24"/>
          <w:lang w:eastAsia="en-GB"/>
        </w:rPr>
        <w:t xml:space="preserve"> Japan </w:t>
      </w:r>
      <w:r w:rsidRPr="00F3672B">
        <w:rPr>
          <w:rFonts w:ascii="Times New Roman" w:eastAsia="Times New Roman" w:hAnsi="Times New Roman" w:cs="Times New Roman"/>
          <w:sz w:val="24"/>
          <w:szCs w:val="24"/>
          <w:lang w:eastAsia="en-GB"/>
        </w:rPr>
        <w:t xml:space="preserve">sponsored project </w:t>
      </w:r>
      <w:r>
        <w:rPr>
          <w:rFonts w:ascii="Times New Roman" w:eastAsia="Times New Roman" w:hAnsi="Times New Roman" w:cs="Times New Roman"/>
          <w:sz w:val="24"/>
          <w:szCs w:val="24"/>
          <w:lang w:eastAsia="en-GB"/>
        </w:rPr>
        <w:t>supported</w:t>
      </w:r>
      <w:r w:rsidRPr="00F3672B">
        <w:rPr>
          <w:rFonts w:ascii="Times New Roman" w:eastAsia="Times New Roman" w:hAnsi="Times New Roman" w:cs="Times New Roman"/>
          <w:sz w:val="24"/>
          <w:szCs w:val="24"/>
          <w:lang w:eastAsia="en-GB"/>
        </w:rPr>
        <w:t xml:space="preserve"> BSG</w:t>
      </w:r>
      <w:r>
        <w:rPr>
          <w:rFonts w:ascii="Times New Roman" w:eastAsia="Times New Roman" w:hAnsi="Times New Roman" w:cs="Times New Roman"/>
          <w:sz w:val="24"/>
          <w:szCs w:val="24"/>
          <w:lang w:eastAsia="en-GB"/>
        </w:rPr>
        <w:t xml:space="preserve"> activities in the region. Please refer to the p</w:t>
      </w:r>
      <w:r w:rsidRPr="00F3672B">
        <w:rPr>
          <w:rFonts w:ascii="Times New Roman" w:eastAsia="Times New Roman" w:hAnsi="Times New Roman" w:cs="Times New Roman"/>
          <w:sz w:val="24"/>
          <w:szCs w:val="24"/>
          <w:lang w:eastAsia="en-GB"/>
        </w:rPr>
        <w:t xml:space="preserve">roject on </w:t>
      </w:r>
      <w:r>
        <w:rPr>
          <w:rFonts w:ascii="Times New Roman" w:eastAsia="Times New Roman" w:hAnsi="Times New Roman" w:cs="Times New Roman"/>
          <w:sz w:val="24"/>
          <w:szCs w:val="24"/>
          <w:lang w:eastAsia="en-GB"/>
        </w:rPr>
        <w:t>“</w:t>
      </w:r>
      <w:r w:rsidRPr="00F3672B">
        <w:rPr>
          <w:rFonts w:ascii="Times New Roman" w:eastAsia="Times New Roman" w:hAnsi="Times New Roman" w:cs="Times New Roman"/>
          <w:sz w:val="24"/>
          <w:szCs w:val="24"/>
          <w:lang w:eastAsia="en-GB"/>
        </w:rPr>
        <w:t>Artificial Intelligence Technology and Standards Capacity Building in Asia Pacific funded by MIC Japa</w:t>
      </w:r>
      <w:r>
        <w:rPr>
          <w:rFonts w:ascii="Times New Roman" w:eastAsia="Times New Roman" w:hAnsi="Times New Roman" w:cs="Times New Roman"/>
          <w:sz w:val="24"/>
          <w:szCs w:val="24"/>
          <w:lang w:eastAsia="en-GB"/>
        </w:rPr>
        <w:t>n”</w:t>
      </w:r>
      <w:r w:rsidRPr="00927A97">
        <w:rPr>
          <w:rFonts w:ascii="Times New Roman" w:eastAsia="Times New Roman" w:hAnsi="Times New Roman" w:cs="Times New Roman"/>
          <w:sz w:val="24"/>
          <w:szCs w:val="24"/>
          <w:lang w:eastAsia="en-GB"/>
        </w:rPr>
        <w:t xml:space="preserve"> above.</w:t>
      </w:r>
    </w:p>
    <w:p w14:paraId="44E9A1E4" w14:textId="77777777" w:rsidR="00302459" w:rsidRPr="00972E2E" w:rsidRDefault="00302459" w:rsidP="00302459">
      <w:pPr>
        <w:spacing w:before="100" w:beforeAutospacing="1" w:after="100" w:afterAutospacing="1" w:line="240" w:lineRule="auto"/>
        <w:rPr>
          <w:rFonts w:ascii="Times New Roman" w:eastAsia="Times New Roman" w:hAnsi="Times New Roman" w:cs="Times New Roman"/>
          <w:b/>
          <w:bCs/>
          <w:sz w:val="24"/>
          <w:szCs w:val="24"/>
          <w:lang w:val="en-US" w:eastAsia="en-GB"/>
        </w:rPr>
      </w:pPr>
      <w:r w:rsidRPr="00972E2E">
        <w:rPr>
          <w:rFonts w:ascii="Times New Roman" w:eastAsia="Times New Roman" w:hAnsi="Times New Roman" w:cs="Times New Roman"/>
          <w:b/>
          <w:bCs/>
          <w:sz w:val="24"/>
          <w:szCs w:val="24"/>
          <w:lang w:val="en-US" w:eastAsia="en-GB"/>
        </w:rPr>
        <w:t>Digital Financial Services (DFS) Security Clinic</w:t>
      </w:r>
    </w:p>
    <w:p w14:paraId="51F47262" w14:textId="77777777" w:rsidR="00302459" w:rsidRPr="00972E2E" w:rsidRDefault="00302459" w:rsidP="00B20B95">
      <w:pPr>
        <w:numPr>
          <w:ilvl w:val="0"/>
          <w:numId w:val="5"/>
        </w:numPr>
        <w:spacing w:after="0" w:line="240" w:lineRule="auto"/>
        <w:rPr>
          <w:rFonts w:ascii="Times New Roman" w:eastAsia="Times New Roman" w:hAnsi="Times New Roman" w:cs="Times New Roman"/>
          <w:sz w:val="24"/>
          <w:szCs w:val="24"/>
          <w:lang w:val="en-US" w:eastAsia="en-GB"/>
        </w:rPr>
      </w:pPr>
      <w:commentRangeStart w:id="3"/>
      <w:commentRangeStart w:id="4"/>
      <w:r w:rsidRPr="00972E2E">
        <w:rPr>
          <w:rFonts w:ascii="Times New Roman" w:eastAsia="Times New Roman" w:hAnsi="Times New Roman" w:cs="Times New Roman"/>
          <w:sz w:val="24"/>
          <w:szCs w:val="24"/>
          <w:lang w:val="en-US" w:eastAsia="en-GB"/>
        </w:rPr>
        <w:t xml:space="preserve">ITU Regional Office and the Area Office in Delhi facilitated discussions with the Bhutan InfoComm and Media Authority (BICMA) and TSB on the DFS Security Lab </w:t>
      </w:r>
      <w:r w:rsidRPr="00972E2E">
        <w:rPr>
          <w:rFonts w:ascii="Times New Roman" w:eastAsia="Times New Roman" w:hAnsi="Times New Roman" w:cs="Times New Roman"/>
          <w:sz w:val="24"/>
          <w:szCs w:val="24"/>
          <w:lang w:val="en-US" w:eastAsia="en-GB"/>
        </w:rPr>
        <w:lastRenderedPageBreak/>
        <w:t>on 10 October 2024. Following this discussion, ITU and BICMA are now discussing a potential ITU knowledge transfer programme for DFS Security.</w:t>
      </w:r>
    </w:p>
    <w:p w14:paraId="29D4E92D" w14:textId="77777777" w:rsidR="00302459" w:rsidRPr="00972E2E" w:rsidRDefault="00302459" w:rsidP="00B20B95">
      <w:pPr>
        <w:numPr>
          <w:ilvl w:val="0"/>
          <w:numId w:val="5"/>
        </w:numPr>
        <w:spacing w:after="0" w:line="240" w:lineRule="auto"/>
        <w:rPr>
          <w:rFonts w:ascii="Times New Roman" w:eastAsia="Times New Roman" w:hAnsi="Times New Roman" w:cs="Times New Roman"/>
          <w:sz w:val="24"/>
          <w:szCs w:val="24"/>
          <w:lang w:val="en-US" w:eastAsia="en-GB"/>
        </w:rPr>
      </w:pPr>
      <w:r w:rsidRPr="00972E2E">
        <w:rPr>
          <w:rFonts w:ascii="Times New Roman" w:eastAsia="Times New Roman" w:hAnsi="Times New Roman" w:cs="Times New Roman"/>
          <w:sz w:val="24"/>
          <w:szCs w:val="24"/>
          <w:lang w:val="en-US" w:eastAsia="en-GB"/>
        </w:rPr>
        <w:t>Post these discussions, there was an exchange of letters between TSB Director and BICMA, on 14 Oct and 22 Oct 2024. BICMA is currently evaluating the financials at their end, and a formal response from them is awaited.</w:t>
      </w:r>
      <w:commentRangeEnd w:id="3"/>
      <w:r w:rsidRPr="00972E2E">
        <w:rPr>
          <w:rStyle w:val="CommentReference"/>
          <w:rFonts w:eastAsiaTheme="minorHAnsi"/>
          <w:lang w:val="en-US" w:eastAsia="en-US"/>
        </w:rPr>
        <w:commentReference w:id="3"/>
      </w:r>
      <w:commentRangeEnd w:id="4"/>
      <w:r>
        <w:rPr>
          <w:rStyle w:val="CommentReference"/>
          <w:rFonts w:eastAsiaTheme="minorHAnsi"/>
          <w:lang w:val="en-US" w:eastAsia="en-US"/>
        </w:rPr>
        <w:commentReference w:id="4"/>
      </w:r>
    </w:p>
    <w:p w14:paraId="68023970" w14:textId="77777777" w:rsidR="00302459" w:rsidRPr="00972E2E" w:rsidRDefault="00302459" w:rsidP="00302459">
      <w:pPr>
        <w:spacing w:after="0" w:line="240" w:lineRule="auto"/>
        <w:rPr>
          <w:rFonts w:ascii="Times New Roman" w:eastAsia="Times New Roman" w:hAnsi="Times New Roman" w:cs="Times New Roman"/>
          <w:sz w:val="24"/>
          <w:szCs w:val="24"/>
          <w:lang w:val="en-US" w:eastAsia="en-GB"/>
        </w:rPr>
      </w:pPr>
    </w:p>
    <w:p w14:paraId="38627294" w14:textId="77777777" w:rsidR="00302459" w:rsidRDefault="00302459" w:rsidP="00302459">
      <w:pPr>
        <w:spacing w:after="0" w:line="240" w:lineRule="auto"/>
        <w:rPr>
          <w:rFonts w:ascii="Times New Roman" w:eastAsia="Times New Roman" w:hAnsi="Times New Roman" w:cs="Times New Roman"/>
          <w:b/>
          <w:bCs/>
          <w:sz w:val="24"/>
          <w:szCs w:val="24"/>
          <w:lang w:val="en-US" w:eastAsia="en-GB"/>
        </w:rPr>
      </w:pPr>
      <w:r w:rsidRPr="00972E2E">
        <w:rPr>
          <w:rFonts w:ascii="Times New Roman" w:eastAsia="Times New Roman" w:hAnsi="Times New Roman" w:cs="Times New Roman"/>
          <w:b/>
          <w:bCs/>
          <w:sz w:val="24"/>
          <w:szCs w:val="24"/>
          <w:lang w:val="en-US" w:eastAsia="en-GB"/>
        </w:rPr>
        <w:t>Interregional Training Course on ITU International Standards: Data Protection (X.1220/X.nspam) and Passwordless Authentication (X.1280)</w:t>
      </w:r>
    </w:p>
    <w:p w14:paraId="02838E08" w14:textId="77777777" w:rsidR="00463220" w:rsidRPr="00972E2E" w:rsidRDefault="00463220" w:rsidP="00302459">
      <w:pPr>
        <w:spacing w:after="0" w:line="240" w:lineRule="auto"/>
        <w:rPr>
          <w:rFonts w:ascii="Times New Roman" w:eastAsia="Times New Roman" w:hAnsi="Times New Roman" w:cs="Times New Roman"/>
          <w:b/>
          <w:bCs/>
          <w:sz w:val="24"/>
          <w:szCs w:val="24"/>
          <w:lang w:val="en-US" w:eastAsia="en-GB"/>
        </w:rPr>
      </w:pPr>
    </w:p>
    <w:p w14:paraId="33D25907" w14:textId="77777777" w:rsidR="00302459" w:rsidRPr="00972E2E" w:rsidRDefault="00302459" w:rsidP="00B20B95">
      <w:pPr>
        <w:pStyle w:val="ListParagraph"/>
        <w:numPr>
          <w:ilvl w:val="0"/>
          <w:numId w:val="6"/>
        </w:numPr>
        <w:spacing w:after="0" w:line="240" w:lineRule="auto"/>
        <w:rPr>
          <w:rFonts w:ascii="Times New Roman" w:eastAsia="Times New Roman" w:hAnsi="Times New Roman" w:cs="Times New Roman"/>
          <w:sz w:val="24"/>
          <w:szCs w:val="24"/>
          <w:lang w:val="en-US" w:eastAsia="en-GB"/>
        </w:rPr>
      </w:pPr>
      <w:r w:rsidRPr="00972E2E">
        <w:rPr>
          <w:rFonts w:ascii="Times New Roman" w:eastAsia="Times New Roman" w:hAnsi="Times New Roman" w:cs="Times New Roman"/>
          <w:sz w:val="24"/>
          <w:szCs w:val="24"/>
          <w:lang w:val="en-US" w:eastAsia="en-GB"/>
        </w:rPr>
        <w:t>ITU is organizing an interregional training course on 11-13 February 2026 in Bangkok, Thailand.  This training course provides a comprehensive overview on two ITU Telecommunication Standardization Sector (ITU-T) recommendations - Storage Protection (X.1220/X.nspam) and Passwordless Authentication (X.1280) – and highlights the implication of these cybersecurity standards. This event is organized together with the Telecommunication Technology Association (TTA) of the Republic of Korea and the Passwordless Alliance</w:t>
      </w:r>
      <w:r>
        <w:rPr>
          <w:rFonts w:ascii="Times New Roman" w:eastAsia="Times New Roman" w:hAnsi="Times New Roman" w:cs="Times New Roman"/>
          <w:sz w:val="24"/>
          <w:szCs w:val="24"/>
          <w:lang w:val="en-US" w:eastAsia="en-GB"/>
        </w:rPr>
        <w:t xml:space="preserve">. It will be open </w:t>
      </w:r>
      <w:r w:rsidRPr="00972E2E">
        <w:rPr>
          <w:rFonts w:ascii="Times New Roman" w:eastAsia="Times New Roman" w:hAnsi="Times New Roman" w:cs="Times New Roman"/>
          <w:sz w:val="24"/>
          <w:szCs w:val="24"/>
          <w:lang w:val="en-US" w:eastAsia="en-GB"/>
        </w:rPr>
        <w:t>to participants from the Asia and the Pacific region and the Commonwealth of Independent States (CIS).</w:t>
      </w:r>
    </w:p>
    <w:p w14:paraId="27AE4367" w14:textId="77777777" w:rsidR="00302459" w:rsidRPr="00972E2E" w:rsidRDefault="00302459" w:rsidP="00302459">
      <w:pPr>
        <w:spacing w:after="0" w:line="240" w:lineRule="auto"/>
        <w:ind w:left="720"/>
        <w:rPr>
          <w:rFonts w:ascii="Times New Roman" w:eastAsia="Times New Roman" w:hAnsi="Times New Roman" w:cs="Times New Roman"/>
          <w:sz w:val="24"/>
          <w:szCs w:val="24"/>
          <w:lang w:val="en-US" w:eastAsia="en-GB"/>
        </w:rPr>
      </w:pPr>
    </w:p>
    <w:p w14:paraId="635C826F" w14:textId="77777777" w:rsidR="00302459" w:rsidRDefault="00302459" w:rsidP="00302459">
      <w:pPr>
        <w:spacing w:after="0" w:line="240" w:lineRule="auto"/>
        <w:rPr>
          <w:rFonts w:ascii="Times New Roman" w:eastAsia="Times New Roman" w:hAnsi="Times New Roman" w:cs="Times New Roman"/>
          <w:b/>
          <w:bCs/>
          <w:sz w:val="24"/>
          <w:szCs w:val="24"/>
          <w:lang w:val="en-US"/>
        </w:rPr>
      </w:pPr>
      <w:r w:rsidRPr="00972E2E">
        <w:rPr>
          <w:rFonts w:ascii="Times New Roman" w:eastAsia="Times New Roman" w:hAnsi="Times New Roman" w:cs="Times New Roman"/>
          <w:b/>
          <w:bCs/>
          <w:sz w:val="24"/>
          <w:szCs w:val="24"/>
          <w:lang w:val="en-US"/>
        </w:rPr>
        <w:t>Co-ordination and Participation in External Events to Highlight ITU-T</w:t>
      </w:r>
    </w:p>
    <w:p w14:paraId="08E59EDE" w14:textId="77777777" w:rsidR="00463220" w:rsidRPr="00972E2E" w:rsidRDefault="00463220" w:rsidP="00302459">
      <w:pPr>
        <w:spacing w:after="0" w:line="240" w:lineRule="auto"/>
        <w:rPr>
          <w:rFonts w:ascii="Times New Roman" w:eastAsia="Times New Roman" w:hAnsi="Times New Roman" w:cs="Times New Roman"/>
          <w:b/>
          <w:bCs/>
          <w:sz w:val="24"/>
          <w:szCs w:val="24"/>
          <w:lang w:val="en-US"/>
        </w:rPr>
      </w:pPr>
    </w:p>
    <w:p w14:paraId="6F04C91E" w14:textId="77777777" w:rsidR="00302459" w:rsidRDefault="00302459" w:rsidP="00B20B95">
      <w:pPr>
        <w:numPr>
          <w:ilvl w:val="0"/>
          <w:numId w:val="2"/>
        </w:numPr>
        <w:spacing w:after="0" w:line="24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ITU-T initiatives such as AI4GOOD, AI Skills Coalition and AI Standards Exchange were promoted during the side event on Digital Government organized during Vietnam Digital Week on 28 October.</w:t>
      </w:r>
    </w:p>
    <w:p w14:paraId="25A47A36" w14:textId="77777777" w:rsidR="00302459" w:rsidRPr="00972E2E" w:rsidRDefault="00302459" w:rsidP="00302459">
      <w:pPr>
        <w:spacing w:after="0" w:line="240" w:lineRule="auto"/>
        <w:rPr>
          <w:rFonts w:ascii="Times New Roman" w:eastAsia="Times New Roman" w:hAnsi="Times New Roman" w:cs="Times New Roman"/>
          <w:b/>
          <w:bCs/>
          <w:sz w:val="24"/>
          <w:szCs w:val="24"/>
          <w:lang w:val="en-US"/>
        </w:rPr>
      </w:pPr>
    </w:p>
    <w:p w14:paraId="31F13C44" w14:textId="77777777" w:rsidR="00302459" w:rsidRDefault="00302459" w:rsidP="00302459">
      <w:pPr>
        <w:spacing w:after="0" w:line="240" w:lineRule="auto"/>
        <w:rPr>
          <w:rFonts w:ascii="Times New Roman" w:eastAsia="Times New Roman" w:hAnsi="Times New Roman" w:cs="Times New Roman"/>
          <w:b/>
          <w:bCs/>
          <w:sz w:val="24"/>
          <w:szCs w:val="24"/>
          <w:lang w:val="en-US"/>
        </w:rPr>
      </w:pPr>
      <w:r w:rsidRPr="00972E2E">
        <w:rPr>
          <w:rFonts w:ascii="Times New Roman" w:eastAsia="Times New Roman" w:hAnsi="Times New Roman" w:cs="Times New Roman"/>
          <w:b/>
          <w:bCs/>
          <w:sz w:val="24"/>
          <w:szCs w:val="24"/>
          <w:lang w:val="en-US"/>
        </w:rPr>
        <w:t>Communications Activities</w:t>
      </w:r>
    </w:p>
    <w:p w14:paraId="32A5BA41" w14:textId="77777777" w:rsidR="00463220" w:rsidRPr="00972E2E" w:rsidRDefault="00463220" w:rsidP="00302459">
      <w:pPr>
        <w:spacing w:after="0" w:line="240" w:lineRule="auto"/>
        <w:rPr>
          <w:rFonts w:ascii="Times New Roman" w:eastAsia="Times New Roman" w:hAnsi="Times New Roman" w:cs="Times New Roman"/>
          <w:b/>
          <w:bCs/>
          <w:sz w:val="24"/>
          <w:szCs w:val="24"/>
          <w:lang w:val="en-US"/>
        </w:rPr>
      </w:pPr>
    </w:p>
    <w:p w14:paraId="0EA1BD98" w14:textId="77777777" w:rsidR="00302459" w:rsidRPr="00972E2E" w:rsidRDefault="00302459" w:rsidP="00B20B95">
      <w:pPr>
        <w:pStyle w:val="ListParagraph"/>
        <w:numPr>
          <w:ilvl w:val="0"/>
          <w:numId w:val="2"/>
        </w:numPr>
        <w:spacing w:after="0" w:line="240" w:lineRule="auto"/>
        <w:rPr>
          <w:rFonts w:ascii="Times New Roman" w:eastAsia="Times New Roman" w:hAnsi="Times New Roman" w:cs="Times New Roman"/>
          <w:sz w:val="24"/>
          <w:szCs w:val="24"/>
          <w:lang w:val="en-US"/>
        </w:rPr>
      </w:pPr>
      <w:r w:rsidRPr="00972E2E">
        <w:rPr>
          <w:rFonts w:ascii="Times New Roman" w:eastAsia="Times New Roman" w:hAnsi="Times New Roman" w:cs="Times New Roman"/>
          <w:sz w:val="24"/>
          <w:szCs w:val="24"/>
          <w:lang w:val="en-US"/>
        </w:rPr>
        <w:t>The ITU Regional Office continues to promote TSB activities through its social media channel.</w:t>
      </w:r>
    </w:p>
    <w:p w14:paraId="3C8F9FA4" w14:textId="77777777" w:rsidR="00302459" w:rsidRPr="00302459" w:rsidRDefault="00302459" w:rsidP="002F7191">
      <w:pPr>
        <w:pStyle w:val="Heading4"/>
        <w:ind w:left="709" w:hanging="709"/>
        <w:rPr>
          <w:rFonts w:ascii="Times New Roman" w:eastAsia="Times New Roman" w:hAnsi="Times New Roman" w:cs="Times New Roman"/>
          <w:b/>
          <w:i w:val="0"/>
          <w:iCs w:val="0"/>
          <w:color w:val="auto"/>
          <w:sz w:val="24"/>
          <w:szCs w:val="24"/>
          <w:lang w:val="en-US" w:eastAsia="en-US"/>
        </w:rPr>
      </w:pPr>
    </w:p>
    <w:p w14:paraId="3B8BD03C" w14:textId="77777777" w:rsidR="00302459" w:rsidRDefault="00302459" w:rsidP="002F7191">
      <w:pPr>
        <w:pStyle w:val="Heading4"/>
        <w:ind w:left="709" w:hanging="709"/>
        <w:rPr>
          <w:rFonts w:ascii="Times New Roman" w:eastAsia="Times New Roman" w:hAnsi="Times New Roman" w:cs="Times New Roman"/>
          <w:b/>
          <w:i w:val="0"/>
          <w:iCs w:val="0"/>
          <w:color w:val="auto"/>
          <w:sz w:val="24"/>
          <w:szCs w:val="24"/>
          <w:lang w:eastAsia="en-US"/>
        </w:rPr>
      </w:pPr>
    </w:p>
    <w:p w14:paraId="616A0964" w14:textId="6CEC2D1E" w:rsidR="002F7191" w:rsidRPr="00031BB9" w:rsidRDefault="002F7191" w:rsidP="002F7191">
      <w:pPr>
        <w:pStyle w:val="Heading4"/>
        <w:ind w:left="709" w:hanging="709"/>
        <w:rPr>
          <w:rFonts w:ascii="Times New Roman" w:eastAsia="Times New Roman" w:hAnsi="Times New Roman" w:cs="Times New Roman"/>
          <w:b/>
          <w:i w:val="0"/>
          <w:iCs w:val="0"/>
          <w:color w:val="auto"/>
          <w:sz w:val="24"/>
          <w:szCs w:val="24"/>
          <w:lang w:eastAsia="en-US"/>
        </w:rPr>
      </w:pPr>
      <w:r w:rsidRPr="00031BB9">
        <w:rPr>
          <w:rFonts w:ascii="Times New Roman" w:eastAsia="Times New Roman" w:hAnsi="Times New Roman" w:cs="Times New Roman"/>
          <w:b/>
          <w:i w:val="0"/>
          <w:iCs w:val="0"/>
          <w:color w:val="auto"/>
          <w:sz w:val="24"/>
          <w:szCs w:val="24"/>
          <w:lang w:eastAsia="en-US"/>
        </w:rPr>
        <w:br w:type="page"/>
      </w:r>
    </w:p>
    <w:p w14:paraId="49D196D5" w14:textId="77777777" w:rsidR="008D6044" w:rsidRDefault="00726747" w:rsidP="002F7191">
      <w:pPr>
        <w:pStyle w:val="Heading4"/>
        <w:rPr>
          <w:rFonts w:ascii="Times New Roman" w:eastAsia="Times New Roman" w:hAnsi="Times New Roman" w:cs="Times New Roman"/>
          <w:b/>
          <w:i w:val="0"/>
          <w:iCs w:val="0"/>
          <w:color w:val="auto"/>
          <w:sz w:val="24"/>
          <w:szCs w:val="24"/>
          <w:lang w:eastAsia="en-US"/>
        </w:rPr>
      </w:pPr>
      <w:r>
        <w:rPr>
          <w:rFonts w:ascii="Times New Roman" w:eastAsia="Times New Roman" w:hAnsi="Times New Roman" w:cs="Times New Roman"/>
          <w:b/>
          <w:i w:val="0"/>
          <w:iCs w:val="0"/>
          <w:color w:val="auto"/>
          <w:sz w:val="24"/>
          <w:szCs w:val="24"/>
          <w:lang w:eastAsia="en-US"/>
        </w:rPr>
        <w:lastRenderedPageBreak/>
        <w:t>7</w:t>
      </w:r>
      <w:r w:rsidR="002F7191" w:rsidRPr="00031BB9">
        <w:rPr>
          <w:rFonts w:ascii="Times New Roman" w:eastAsia="Times New Roman" w:hAnsi="Times New Roman" w:cs="Times New Roman"/>
          <w:b/>
          <w:i w:val="0"/>
          <w:iCs w:val="0"/>
          <w:color w:val="auto"/>
          <w:sz w:val="24"/>
          <w:szCs w:val="24"/>
          <w:lang w:eastAsia="en-US"/>
        </w:rPr>
        <w:tab/>
        <w:t xml:space="preserve">Commonwealth of Independent States (CIS) - Regional Office for the CIS Region </w:t>
      </w:r>
    </w:p>
    <w:p w14:paraId="3DA6AD34" w14:textId="77777777" w:rsidR="008D6044" w:rsidRDefault="008D6044" w:rsidP="002F7191">
      <w:pPr>
        <w:pStyle w:val="Heading4"/>
        <w:rPr>
          <w:rFonts w:ascii="Times New Roman" w:eastAsia="Times New Roman" w:hAnsi="Times New Roman" w:cs="Times New Roman"/>
          <w:b/>
          <w:i w:val="0"/>
          <w:iCs w:val="0"/>
          <w:color w:val="auto"/>
          <w:sz w:val="24"/>
          <w:szCs w:val="24"/>
          <w:lang w:eastAsia="en-US"/>
        </w:rPr>
      </w:pPr>
    </w:p>
    <w:p w14:paraId="69F9AC30" w14:textId="77777777" w:rsidR="008D6044" w:rsidRPr="009033BE" w:rsidRDefault="008D6044" w:rsidP="008D6044">
      <w:pPr>
        <w:jc w:val="both"/>
        <w:rPr>
          <w:rFonts w:ascii="Times New Roman" w:hAnsi="Times New Roman" w:cs="Times New Roman"/>
          <w:sz w:val="24"/>
          <w:szCs w:val="24"/>
          <w:lang w:eastAsia="pt-BR"/>
        </w:rPr>
      </w:pPr>
      <w:r w:rsidRPr="009033BE">
        <w:rPr>
          <w:rFonts w:ascii="Times New Roman" w:hAnsi="Times New Roman" w:cs="Times New Roman"/>
          <w:sz w:val="24"/>
          <w:szCs w:val="24"/>
          <w:lang w:eastAsia="pt-BR"/>
        </w:rPr>
        <w:t xml:space="preserve">On the specific thematic areas of work, the Regional Office </w:t>
      </w:r>
      <w:r>
        <w:rPr>
          <w:rFonts w:ascii="Times New Roman" w:hAnsi="Times New Roman" w:cs="Times New Roman"/>
          <w:sz w:val="24"/>
          <w:szCs w:val="24"/>
          <w:lang w:eastAsia="pt-BR"/>
        </w:rPr>
        <w:t>worked closely</w:t>
      </w:r>
      <w:r w:rsidRPr="009033BE">
        <w:rPr>
          <w:rFonts w:ascii="Times New Roman" w:hAnsi="Times New Roman" w:cs="Times New Roman"/>
          <w:sz w:val="24"/>
          <w:szCs w:val="24"/>
          <w:lang w:eastAsia="pt-BR"/>
        </w:rPr>
        <w:t xml:space="preserve"> with the TSB team on the following activities: </w:t>
      </w:r>
    </w:p>
    <w:p w14:paraId="2A4F9AD6" w14:textId="77777777" w:rsidR="008D6044" w:rsidRDefault="008D6044" w:rsidP="00B20B95">
      <w:pPr>
        <w:pStyle w:val="ListParagraph"/>
        <w:numPr>
          <w:ilvl w:val="0"/>
          <w:numId w:val="7"/>
        </w:numPr>
        <w:ind w:hanging="720"/>
        <w:jc w:val="both"/>
        <w:rPr>
          <w:rFonts w:ascii="Times New Roman" w:hAnsi="Times New Roman" w:cs="Times New Roman"/>
          <w:sz w:val="24"/>
          <w:szCs w:val="24"/>
          <w:lang w:eastAsia="pt-BR"/>
        </w:rPr>
      </w:pPr>
      <w:r>
        <w:rPr>
          <w:rFonts w:ascii="Times New Roman" w:hAnsi="Times New Roman" w:cs="Times New Roman"/>
          <w:sz w:val="24"/>
          <w:szCs w:val="24"/>
          <w:lang w:eastAsia="pt-BR"/>
        </w:rPr>
        <w:t>Implementation of a regional project on C&amp;I “</w:t>
      </w:r>
      <w:r w:rsidRPr="009033BE">
        <w:rPr>
          <w:rFonts w:ascii="Times New Roman" w:hAnsi="Times New Roman" w:cs="Times New Roman"/>
          <w:sz w:val="24"/>
          <w:szCs w:val="24"/>
          <w:lang w:eastAsia="pt-BR"/>
        </w:rPr>
        <w:t xml:space="preserve">International Research, Development and Testing Centre for ITU Member States and ITU Sector Members in the CIS region </w:t>
      </w:r>
      <w:r>
        <w:rPr>
          <w:rFonts w:ascii="Times New Roman" w:hAnsi="Times New Roman" w:cs="Times New Roman"/>
          <w:sz w:val="24"/>
          <w:szCs w:val="24"/>
          <w:lang w:eastAsia="pt-BR"/>
        </w:rPr>
        <w:t xml:space="preserve">– Phase 2” co-funded by ITU and Rostelecom, ITU-T Sector Member. In the reporting period the </w:t>
      </w:r>
      <w:r w:rsidRPr="00E82B3A">
        <w:rPr>
          <w:rFonts w:ascii="Times New Roman" w:hAnsi="Times New Roman" w:cs="Times New Roman"/>
          <w:sz w:val="24"/>
          <w:szCs w:val="24"/>
          <w:lang w:eastAsia="pt-BR"/>
        </w:rPr>
        <w:t>project team performed a series of tests on telecom equipment for compliance with ITU-T Recommendations.</w:t>
      </w:r>
    </w:p>
    <w:p w14:paraId="5CF3B3CE" w14:textId="77777777" w:rsidR="008D6044" w:rsidRDefault="008D6044" w:rsidP="008D6044">
      <w:pPr>
        <w:pStyle w:val="ListParagraph"/>
        <w:jc w:val="both"/>
        <w:rPr>
          <w:rFonts w:ascii="Times New Roman" w:hAnsi="Times New Roman" w:cs="Times New Roman"/>
          <w:sz w:val="24"/>
          <w:szCs w:val="24"/>
          <w:lang w:eastAsia="pt-BR"/>
        </w:rPr>
      </w:pPr>
    </w:p>
    <w:p w14:paraId="4AF3BEB6" w14:textId="56584A17" w:rsidR="008D6044" w:rsidRDefault="008D6044" w:rsidP="00B20B95">
      <w:pPr>
        <w:pStyle w:val="ListParagraph"/>
        <w:numPr>
          <w:ilvl w:val="0"/>
          <w:numId w:val="7"/>
        </w:numPr>
        <w:ind w:hanging="720"/>
        <w:jc w:val="both"/>
        <w:rPr>
          <w:rFonts w:ascii="Times New Roman" w:hAnsi="Times New Roman" w:cs="Times New Roman"/>
          <w:sz w:val="24"/>
          <w:szCs w:val="24"/>
          <w:lang w:eastAsia="pt-BR"/>
        </w:rPr>
      </w:pPr>
      <w:r w:rsidRPr="00E82B3A">
        <w:rPr>
          <w:rFonts w:ascii="Times New Roman" w:hAnsi="Times New Roman" w:cs="Times New Roman"/>
          <w:sz w:val="24"/>
          <w:szCs w:val="24"/>
          <w:lang w:eastAsia="pt-BR"/>
        </w:rPr>
        <w:t>ITU Regional Forum “Future Technologies: AI, Metaverse, HTC and other ICT Applications and Services. Vision 2030”</w:t>
      </w:r>
      <w:r>
        <w:rPr>
          <w:rFonts w:ascii="Times New Roman" w:hAnsi="Times New Roman" w:cs="Times New Roman"/>
          <w:sz w:val="24"/>
          <w:szCs w:val="24"/>
          <w:lang w:eastAsia="pt-BR"/>
        </w:rPr>
        <w:t xml:space="preserve"> took place in St. Petersburg, Russian Federation from 9 to 11 June 2025. The Forum was co-organized </w:t>
      </w:r>
      <w:r w:rsidRPr="00E82B3A">
        <w:rPr>
          <w:rFonts w:ascii="Times New Roman" w:hAnsi="Times New Roman" w:cs="Times New Roman"/>
          <w:sz w:val="24"/>
          <w:szCs w:val="24"/>
          <w:lang w:eastAsia="pt-BR"/>
        </w:rPr>
        <w:t>by the ITU and the Regional Commonwealth in the Field of Communications (RCC) with the support of the Ministry of Digital Development, Communications and Mass Media of the Russian Federation.</w:t>
      </w:r>
      <w:r>
        <w:rPr>
          <w:rFonts w:ascii="Times New Roman" w:hAnsi="Times New Roman" w:cs="Times New Roman"/>
          <w:sz w:val="24"/>
          <w:szCs w:val="24"/>
          <w:lang w:eastAsia="pt-BR"/>
        </w:rPr>
        <w:t xml:space="preserve"> </w:t>
      </w:r>
      <w:r w:rsidRPr="00E82B3A">
        <w:rPr>
          <w:rFonts w:ascii="Times New Roman" w:hAnsi="Times New Roman" w:cs="Times New Roman"/>
          <w:sz w:val="24"/>
          <w:szCs w:val="24"/>
          <w:lang w:eastAsia="pt-BR"/>
        </w:rPr>
        <w:t>The Forum was held</w:t>
      </w:r>
      <w:r>
        <w:rPr>
          <w:rFonts w:ascii="Times New Roman" w:hAnsi="Times New Roman" w:cs="Times New Roman"/>
          <w:sz w:val="24"/>
          <w:szCs w:val="24"/>
          <w:lang w:eastAsia="pt-BR"/>
        </w:rPr>
        <w:t xml:space="preserve"> </w:t>
      </w:r>
      <w:r w:rsidR="00FA20AD" w:rsidRPr="00E82B3A">
        <w:rPr>
          <w:rFonts w:ascii="Times New Roman" w:hAnsi="Times New Roman" w:cs="Times New Roman"/>
          <w:sz w:val="24"/>
          <w:szCs w:val="24"/>
          <w:lang w:eastAsia="pt-BR"/>
        </w:rPr>
        <w:t>back-to-back</w:t>
      </w:r>
      <w:r w:rsidRPr="00E82B3A">
        <w:rPr>
          <w:rFonts w:ascii="Times New Roman" w:hAnsi="Times New Roman" w:cs="Times New Roman"/>
          <w:sz w:val="24"/>
          <w:szCs w:val="24"/>
          <w:lang w:eastAsia="pt-BR"/>
        </w:rPr>
        <w:t xml:space="preserve"> with the meetings of the ITU-T Study Group 11 Regional Group</w:t>
      </w:r>
      <w:r>
        <w:rPr>
          <w:rFonts w:ascii="Times New Roman" w:hAnsi="Times New Roman" w:cs="Times New Roman"/>
          <w:sz w:val="24"/>
          <w:szCs w:val="24"/>
          <w:lang w:eastAsia="pt-BR"/>
        </w:rPr>
        <w:t xml:space="preserve">, </w:t>
      </w:r>
      <w:r w:rsidRPr="00E82B3A">
        <w:rPr>
          <w:rFonts w:ascii="Times New Roman" w:hAnsi="Times New Roman" w:cs="Times New Roman"/>
          <w:sz w:val="24"/>
          <w:szCs w:val="24"/>
          <w:lang w:eastAsia="pt-BR"/>
        </w:rPr>
        <w:t>ITU-T Study Group 13 Regional Group</w:t>
      </w:r>
      <w:r>
        <w:rPr>
          <w:rFonts w:ascii="Times New Roman" w:hAnsi="Times New Roman" w:cs="Times New Roman"/>
          <w:sz w:val="24"/>
          <w:szCs w:val="24"/>
          <w:lang w:eastAsia="pt-BR"/>
        </w:rPr>
        <w:t xml:space="preserve"> and </w:t>
      </w:r>
      <w:r w:rsidRPr="00E82B3A">
        <w:rPr>
          <w:rFonts w:ascii="Times New Roman" w:hAnsi="Times New Roman" w:cs="Times New Roman"/>
          <w:sz w:val="24"/>
          <w:szCs w:val="24"/>
          <w:lang w:eastAsia="pt-BR"/>
        </w:rPr>
        <w:t>ITU-T Study Group 20 Regional Group</w:t>
      </w:r>
      <w:r>
        <w:rPr>
          <w:rFonts w:ascii="Times New Roman" w:hAnsi="Times New Roman" w:cs="Times New Roman"/>
          <w:sz w:val="24"/>
          <w:szCs w:val="24"/>
          <w:lang w:eastAsia="pt-BR"/>
        </w:rPr>
        <w:t xml:space="preserve"> for </w:t>
      </w:r>
      <w:r w:rsidRPr="00E82B3A">
        <w:rPr>
          <w:rFonts w:ascii="Times New Roman" w:hAnsi="Times New Roman" w:cs="Times New Roman"/>
          <w:sz w:val="24"/>
          <w:szCs w:val="24"/>
          <w:lang w:eastAsia="pt-BR"/>
        </w:rPr>
        <w:t>Eastern Europe, Central Asia and Transcaucasia</w:t>
      </w:r>
      <w:r>
        <w:rPr>
          <w:rFonts w:ascii="Times New Roman" w:hAnsi="Times New Roman" w:cs="Times New Roman"/>
          <w:sz w:val="24"/>
          <w:szCs w:val="24"/>
          <w:lang w:eastAsia="pt-BR"/>
        </w:rPr>
        <w:t xml:space="preserve"> (</w:t>
      </w:r>
      <w:r w:rsidRPr="00E82B3A">
        <w:rPr>
          <w:rFonts w:ascii="Times New Roman" w:hAnsi="Times New Roman" w:cs="Times New Roman"/>
          <w:sz w:val="24"/>
          <w:szCs w:val="24"/>
          <w:lang w:eastAsia="pt-BR"/>
        </w:rPr>
        <w:t>SG11RG-EECAT</w:t>
      </w:r>
      <w:r>
        <w:rPr>
          <w:rFonts w:ascii="Times New Roman" w:hAnsi="Times New Roman" w:cs="Times New Roman"/>
          <w:sz w:val="24"/>
          <w:szCs w:val="24"/>
          <w:lang w:eastAsia="pt-BR"/>
        </w:rPr>
        <w:t xml:space="preserve">, </w:t>
      </w:r>
      <w:r w:rsidRPr="00E82B3A">
        <w:rPr>
          <w:rFonts w:ascii="Times New Roman" w:hAnsi="Times New Roman" w:cs="Times New Roman"/>
          <w:sz w:val="24"/>
          <w:szCs w:val="24"/>
          <w:lang w:eastAsia="pt-BR"/>
        </w:rPr>
        <w:t>SG13RG-EECAT</w:t>
      </w:r>
      <w:r>
        <w:rPr>
          <w:rFonts w:ascii="Times New Roman" w:hAnsi="Times New Roman" w:cs="Times New Roman"/>
          <w:sz w:val="24"/>
          <w:szCs w:val="24"/>
          <w:lang w:eastAsia="pt-BR"/>
        </w:rPr>
        <w:t xml:space="preserve"> and </w:t>
      </w:r>
      <w:r w:rsidRPr="00E82B3A">
        <w:rPr>
          <w:rFonts w:ascii="Times New Roman" w:hAnsi="Times New Roman" w:cs="Times New Roman"/>
          <w:sz w:val="24"/>
          <w:szCs w:val="24"/>
          <w:lang w:eastAsia="pt-BR"/>
        </w:rPr>
        <w:t>SG20RG-EECAT</w:t>
      </w:r>
      <w:r>
        <w:rPr>
          <w:rFonts w:ascii="Times New Roman" w:hAnsi="Times New Roman" w:cs="Times New Roman"/>
          <w:sz w:val="24"/>
          <w:szCs w:val="24"/>
          <w:lang w:eastAsia="pt-BR"/>
        </w:rPr>
        <w:t>).</w:t>
      </w:r>
    </w:p>
    <w:p w14:paraId="08135D94" w14:textId="77777777" w:rsidR="008D6044" w:rsidRDefault="008D6044" w:rsidP="002F7191">
      <w:pPr>
        <w:pStyle w:val="Heading4"/>
        <w:rPr>
          <w:rFonts w:ascii="Times New Roman" w:eastAsia="Times New Roman" w:hAnsi="Times New Roman" w:cs="Times New Roman"/>
          <w:b/>
          <w:i w:val="0"/>
          <w:iCs w:val="0"/>
          <w:color w:val="auto"/>
          <w:sz w:val="24"/>
          <w:szCs w:val="24"/>
          <w:lang w:eastAsia="en-US"/>
        </w:rPr>
      </w:pPr>
    </w:p>
    <w:p w14:paraId="3BF72210" w14:textId="3E4F6CF2" w:rsidR="002F7191" w:rsidRPr="00031BB9" w:rsidRDefault="002F7191" w:rsidP="002F7191">
      <w:pPr>
        <w:pStyle w:val="Heading4"/>
        <w:rPr>
          <w:rFonts w:ascii="Times New Roman" w:eastAsia="Times New Roman" w:hAnsi="Times New Roman" w:cs="Times New Roman"/>
          <w:b/>
          <w:i w:val="0"/>
          <w:iCs w:val="0"/>
          <w:color w:val="auto"/>
          <w:sz w:val="24"/>
          <w:szCs w:val="24"/>
          <w:lang w:eastAsia="en-US"/>
        </w:rPr>
      </w:pPr>
      <w:r w:rsidRPr="00031BB9">
        <w:rPr>
          <w:rFonts w:ascii="Times New Roman" w:eastAsia="Times New Roman" w:hAnsi="Times New Roman" w:cs="Times New Roman"/>
          <w:b/>
          <w:i w:val="0"/>
          <w:iCs w:val="0"/>
          <w:color w:val="auto"/>
          <w:sz w:val="24"/>
          <w:szCs w:val="24"/>
          <w:lang w:eastAsia="en-US"/>
        </w:rPr>
        <w:br w:type="page"/>
      </w:r>
    </w:p>
    <w:p w14:paraId="12E28666" w14:textId="7697A330" w:rsidR="002F7191" w:rsidRDefault="00726747" w:rsidP="002F7191">
      <w:pPr>
        <w:pStyle w:val="Heading4"/>
        <w:rPr>
          <w:rFonts w:ascii="Times New Roman" w:eastAsia="Times New Roman" w:hAnsi="Times New Roman" w:cs="Times New Roman"/>
          <w:b/>
          <w:i w:val="0"/>
          <w:iCs w:val="0"/>
          <w:color w:val="auto"/>
          <w:sz w:val="24"/>
          <w:szCs w:val="24"/>
          <w:lang w:eastAsia="en-US"/>
        </w:rPr>
      </w:pPr>
      <w:r>
        <w:rPr>
          <w:rFonts w:ascii="Times New Roman" w:eastAsia="Times New Roman" w:hAnsi="Times New Roman" w:cs="Times New Roman"/>
          <w:b/>
          <w:i w:val="0"/>
          <w:iCs w:val="0"/>
          <w:color w:val="auto"/>
          <w:sz w:val="24"/>
          <w:szCs w:val="24"/>
          <w:lang w:eastAsia="en-US"/>
        </w:rPr>
        <w:lastRenderedPageBreak/>
        <w:t>8</w:t>
      </w:r>
      <w:r w:rsidR="002F7191" w:rsidRPr="00031BB9">
        <w:rPr>
          <w:rFonts w:ascii="Times New Roman" w:eastAsia="Times New Roman" w:hAnsi="Times New Roman" w:cs="Times New Roman"/>
          <w:b/>
          <w:i w:val="0"/>
          <w:iCs w:val="0"/>
          <w:color w:val="auto"/>
          <w:sz w:val="24"/>
          <w:szCs w:val="24"/>
          <w:lang w:eastAsia="en-US"/>
        </w:rPr>
        <w:tab/>
        <w:t>Europe - ITU Office for Europe</w:t>
      </w:r>
    </w:p>
    <w:p w14:paraId="716C27A0" w14:textId="77777777" w:rsidR="001D4286" w:rsidRDefault="001D4286" w:rsidP="001D4286">
      <w:pPr>
        <w:rPr>
          <w:lang w:eastAsia="en-US"/>
        </w:rPr>
      </w:pPr>
    </w:p>
    <w:p w14:paraId="6D238332" w14:textId="77777777" w:rsidR="001D4286" w:rsidRPr="00B959F6" w:rsidRDefault="001D4286" w:rsidP="001D4286">
      <w:pPr>
        <w:rPr>
          <w:rFonts w:ascii="Times New Roman" w:hAnsi="Times New Roman" w:cs="Times New Roman"/>
          <w:sz w:val="24"/>
          <w:szCs w:val="24"/>
        </w:rPr>
      </w:pPr>
      <w:r w:rsidRPr="00B959F6">
        <w:rPr>
          <w:rFonts w:ascii="Times New Roman" w:hAnsi="Times New Roman" w:cs="Times New Roman"/>
          <w:sz w:val="24"/>
          <w:szCs w:val="24"/>
        </w:rPr>
        <w:t>The ITU Office for Europe has continued close coordination with TSB on all activities carried out in the Europe region. Periodic coordination calls with the TSB Director and the TSB Management Team have been held, supplemented by consultations at the operational level wherever relevant or needed.</w:t>
      </w:r>
    </w:p>
    <w:p w14:paraId="066CF9CC" w14:textId="77777777" w:rsidR="001D4286" w:rsidRPr="00B959F6" w:rsidRDefault="001D4286" w:rsidP="001D4286">
      <w:pPr>
        <w:rPr>
          <w:rFonts w:ascii="Times New Roman" w:hAnsi="Times New Roman" w:cs="Times New Roman"/>
          <w:sz w:val="24"/>
          <w:szCs w:val="24"/>
        </w:rPr>
      </w:pPr>
      <w:r w:rsidRPr="00B959F6">
        <w:rPr>
          <w:rFonts w:ascii="Times New Roman" w:hAnsi="Times New Roman" w:cs="Times New Roman"/>
          <w:sz w:val="24"/>
          <w:szCs w:val="24"/>
        </w:rPr>
        <w:t>The ITU Office for Europe facilitated coordination between TSB and regional organizations (CEPT and the European Union). The Europe Office continued to follow the work of the CEPT Com-ITU work stream on ITU-T. The participation of the TSB Director in one of the CEPT Com-ITU meetings (Athens, September 2025) was facilitated. A special briefing to the EU Council Working Party on Telecommunications and the Information Society, focusing on ITU-T issues, was held in Brussels.</w:t>
      </w:r>
    </w:p>
    <w:p w14:paraId="1DB7B87D" w14:textId="77777777" w:rsidR="001D4286" w:rsidRPr="00B959F6" w:rsidRDefault="001D4286" w:rsidP="001D4286">
      <w:pPr>
        <w:rPr>
          <w:rFonts w:ascii="Times New Roman" w:hAnsi="Times New Roman" w:cs="Times New Roman"/>
          <w:sz w:val="24"/>
          <w:szCs w:val="24"/>
        </w:rPr>
      </w:pPr>
      <w:r w:rsidRPr="00B959F6">
        <w:rPr>
          <w:rFonts w:ascii="Times New Roman" w:hAnsi="Times New Roman" w:cs="Times New Roman"/>
          <w:sz w:val="24"/>
          <w:szCs w:val="24"/>
        </w:rPr>
        <w:t>In September 2025 in Moldova, a special workshop on “EMF Harmony: International, Regional and National Policies, Strategies and Standards Related to Human Exposure to Electromagnetic Fields” was jointly organized with TSB, and technical assistance was delivered to Moldova.</w:t>
      </w:r>
    </w:p>
    <w:p w14:paraId="2C2D61C9" w14:textId="77777777" w:rsidR="001D4286" w:rsidRDefault="001D4286" w:rsidP="001D4286">
      <w:pPr>
        <w:rPr>
          <w:rFonts w:ascii="Times New Roman" w:hAnsi="Times New Roman" w:cs="Times New Roman"/>
          <w:sz w:val="24"/>
          <w:szCs w:val="24"/>
          <w:lang w:val="en-US"/>
        </w:rPr>
      </w:pPr>
      <w:r w:rsidRPr="00B959F6">
        <w:rPr>
          <w:rFonts w:ascii="Times New Roman" w:hAnsi="Times New Roman" w:cs="Times New Roman"/>
          <w:sz w:val="24"/>
          <w:szCs w:val="24"/>
        </w:rPr>
        <w:t>The ITU–EC Accessible Europe: ICT4ALL Forum was successfully held from 2 to 3 December 2025 in Brussels. The programme of this regional forum was co-created with all sectors, including TSB, which led sessions on artificial intelligence and smart cities. The ITU-T workshop on the Global Initiative on Resilience to Natural Hazards through AI Solutions (December 2025), hosted by the European Commission in Brussels, was supported by the Europe Office.</w:t>
      </w:r>
    </w:p>
    <w:p w14:paraId="4F5DA1F9" w14:textId="77777777" w:rsidR="00524047" w:rsidRDefault="00524047" w:rsidP="001D4286">
      <w:pPr>
        <w:rPr>
          <w:rFonts w:ascii="Times New Roman" w:hAnsi="Times New Roman" w:cs="Times New Roman"/>
          <w:sz w:val="24"/>
          <w:szCs w:val="24"/>
          <w:lang w:val="en-US"/>
        </w:rPr>
      </w:pPr>
    </w:p>
    <w:p w14:paraId="7C4A3329" w14:textId="4CFC42E3" w:rsidR="00524047" w:rsidRPr="00524047" w:rsidRDefault="00524047" w:rsidP="00524047">
      <w:pPr>
        <w:jc w:val="center"/>
        <w:rPr>
          <w:rFonts w:ascii="Times New Roman" w:hAnsi="Times New Roman" w:cs="Times New Roman"/>
          <w:sz w:val="24"/>
          <w:szCs w:val="24"/>
          <w:lang w:val="en-US"/>
        </w:rPr>
      </w:pPr>
      <w:r>
        <w:rPr>
          <w:rFonts w:ascii="Times New Roman" w:hAnsi="Times New Roman" w:cs="Times New Roman"/>
          <w:sz w:val="24"/>
          <w:szCs w:val="24"/>
          <w:lang w:val="en-US"/>
        </w:rPr>
        <w:t>_________________</w:t>
      </w:r>
    </w:p>
    <w:p w14:paraId="73FDDD66" w14:textId="77777777" w:rsidR="001D4286" w:rsidRPr="001D4286" w:rsidRDefault="001D4286" w:rsidP="001D4286">
      <w:pPr>
        <w:rPr>
          <w:lang w:eastAsia="en-US"/>
        </w:rPr>
      </w:pPr>
    </w:p>
    <w:p w14:paraId="10774C33" w14:textId="77777777" w:rsidR="0054026A" w:rsidRPr="00253919" w:rsidRDefault="0054026A" w:rsidP="008D3834">
      <w:pPr>
        <w:spacing w:line="240" w:lineRule="auto"/>
        <w:jc w:val="center"/>
        <w:rPr>
          <w:rFonts w:ascii="Times New Roman" w:eastAsia="Times New Roman" w:hAnsi="Times New Roman" w:cs="Times New Roman"/>
          <w:kern w:val="36"/>
          <w:sz w:val="24"/>
          <w:szCs w:val="24"/>
        </w:rPr>
      </w:pPr>
    </w:p>
    <w:sectPr w:rsidR="0054026A" w:rsidRPr="00253919" w:rsidSect="004A72B6">
      <w:headerReference w:type="default" r:id="rId24"/>
      <w:pgSz w:w="11906" w:h="16838"/>
      <w:pgMar w:top="1440" w:right="1440" w:bottom="1440" w:left="1440" w:header="708" w:footer="708" w:gutter="0"/>
      <w:pgNumType w:fmt="numberInDash"/>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han, Calvin" w:date="2026-01-07T17:06:00Z" w:initials="CC">
    <w:p w14:paraId="6DF32F3B" w14:textId="77777777" w:rsidR="00302459" w:rsidRDefault="00302459" w:rsidP="00302459">
      <w:pPr>
        <w:pStyle w:val="CommentText"/>
      </w:pPr>
      <w:r>
        <w:rPr>
          <w:rStyle w:val="CommentReference"/>
        </w:rPr>
        <w:annotationRef/>
      </w:r>
      <w:r>
        <w:rPr>
          <w:b/>
          <w:bCs/>
        </w:rPr>
        <w:t xml:space="preserve">Akanksha </w:t>
      </w:r>
      <w:r>
        <w:t>- is there anything we can add here on updates?</w:t>
      </w:r>
    </w:p>
  </w:comment>
  <w:comment w:id="4" w:author="Sharma, Akanksha" w:date="2026-01-08T15:16:00Z" w:initials="AS">
    <w:p w14:paraId="2567E16C" w14:textId="77777777" w:rsidR="00302459" w:rsidRDefault="00302459" w:rsidP="00302459">
      <w:pPr>
        <w:pStyle w:val="CommentText"/>
      </w:pPr>
      <w:r>
        <w:rPr>
          <w:rStyle w:val="CommentReference"/>
        </w:rPr>
        <w:annotationRef/>
      </w:r>
      <w:r>
        <w:t>I don’t have any updates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32F3B" w15:done="1"/>
  <w15:commentEx w15:paraId="2567E16C" w15:paraIdParent="6DF32F3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121C5" w16cex:dateUtc="2026-01-07T10:06:00Z"/>
  <w16cex:commentExtensible w16cex:durableId="7DE2B5C9" w16cex:dateUtc="2026-01-08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32F3B" w16cid:durableId="271121C5"/>
  <w16cid:commentId w16cid:paraId="2567E16C" w16cid:durableId="7DE2B5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6347" w14:textId="77777777" w:rsidR="00F9428B" w:rsidRDefault="00F9428B" w:rsidP="004A72B6">
      <w:pPr>
        <w:spacing w:after="0" w:line="240" w:lineRule="auto"/>
      </w:pPr>
      <w:r>
        <w:separator/>
      </w:r>
    </w:p>
  </w:endnote>
  <w:endnote w:type="continuationSeparator" w:id="0">
    <w:p w14:paraId="2A9B5BC0" w14:textId="77777777" w:rsidR="00F9428B" w:rsidRDefault="00F9428B" w:rsidP="004A7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1C72" w14:textId="77777777" w:rsidR="00F9428B" w:rsidRDefault="00F9428B" w:rsidP="004A72B6">
      <w:pPr>
        <w:spacing w:after="0" w:line="240" w:lineRule="auto"/>
      </w:pPr>
      <w:r>
        <w:separator/>
      </w:r>
    </w:p>
  </w:footnote>
  <w:footnote w:type="continuationSeparator" w:id="0">
    <w:p w14:paraId="10334C96" w14:textId="77777777" w:rsidR="00F9428B" w:rsidRDefault="00F9428B" w:rsidP="004A7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48074"/>
      <w:docPartObj>
        <w:docPartGallery w:val="Page Numbers (Top of Page)"/>
        <w:docPartUnique/>
      </w:docPartObj>
    </w:sdtPr>
    <w:sdtEndPr>
      <w:rPr>
        <w:rFonts w:asciiTheme="majorBidi" w:hAnsiTheme="majorBidi" w:cstheme="majorBidi"/>
        <w:noProof/>
        <w:sz w:val="18"/>
        <w:szCs w:val="18"/>
      </w:rPr>
    </w:sdtEndPr>
    <w:sdtContent>
      <w:p w14:paraId="5A2E23A1" w14:textId="295BA206" w:rsidR="009572AA" w:rsidRPr="004A72B6" w:rsidRDefault="009572AA">
        <w:pPr>
          <w:pStyle w:val="Header"/>
          <w:jc w:val="center"/>
          <w:rPr>
            <w:rFonts w:asciiTheme="majorBidi" w:hAnsiTheme="majorBidi" w:cstheme="majorBidi"/>
            <w:sz w:val="18"/>
            <w:szCs w:val="18"/>
          </w:rPr>
        </w:pPr>
        <w:r w:rsidRPr="004A72B6">
          <w:rPr>
            <w:rFonts w:asciiTheme="majorBidi" w:hAnsiTheme="majorBidi" w:cstheme="majorBidi"/>
            <w:sz w:val="18"/>
            <w:szCs w:val="18"/>
          </w:rPr>
          <w:fldChar w:fldCharType="begin"/>
        </w:r>
        <w:r w:rsidRPr="004A72B6">
          <w:rPr>
            <w:rFonts w:asciiTheme="majorBidi" w:hAnsiTheme="majorBidi" w:cstheme="majorBidi"/>
            <w:sz w:val="18"/>
            <w:szCs w:val="18"/>
          </w:rPr>
          <w:instrText xml:space="preserve"> PAGE   \* MERGEFORMAT </w:instrText>
        </w:r>
        <w:r w:rsidRPr="004A72B6">
          <w:rPr>
            <w:rFonts w:asciiTheme="majorBidi" w:hAnsiTheme="majorBidi" w:cstheme="majorBidi"/>
            <w:sz w:val="18"/>
            <w:szCs w:val="18"/>
          </w:rPr>
          <w:fldChar w:fldCharType="separate"/>
        </w:r>
        <w:r w:rsidR="0049774E">
          <w:rPr>
            <w:rFonts w:asciiTheme="majorBidi" w:hAnsiTheme="majorBidi" w:cstheme="majorBidi"/>
            <w:noProof/>
            <w:sz w:val="18"/>
            <w:szCs w:val="18"/>
          </w:rPr>
          <w:t>- 2 -</w:t>
        </w:r>
        <w:r w:rsidRPr="004A72B6">
          <w:rPr>
            <w:rFonts w:asciiTheme="majorBidi" w:hAnsiTheme="majorBidi" w:cstheme="majorBidi"/>
            <w:noProof/>
            <w:sz w:val="18"/>
            <w:szCs w:val="18"/>
          </w:rPr>
          <w:fldChar w:fldCharType="end"/>
        </w:r>
      </w:p>
    </w:sdtContent>
  </w:sdt>
  <w:p w14:paraId="3719B407" w14:textId="50C591CB" w:rsidR="009572AA" w:rsidRPr="003114D9" w:rsidRDefault="005C54C3" w:rsidP="00A50BA7">
    <w:pPr>
      <w:pStyle w:val="Header"/>
      <w:jc w:val="center"/>
      <w:rPr>
        <w:rFonts w:asciiTheme="majorBidi" w:eastAsia="MS Mincho" w:hAnsiTheme="majorBidi" w:cstheme="majorBidi"/>
        <w:sz w:val="18"/>
        <w:szCs w:val="18"/>
        <w:lang w:eastAsia="ja-JP"/>
      </w:rPr>
    </w:pPr>
    <w:r>
      <w:rPr>
        <w:rFonts w:asciiTheme="majorBidi" w:hAnsiTheme="majorBidi" w:cstheme="majorBidi"/>
        <w:sz w:val="18"/>
        <w:szCs w:val="18"/>
      </w:rPr>
      <w:t>TSAG-</w:t>
    </w:r>
    <w:r w:rsidR="002F0C64">
      <w:rPr>
        <w:rFonts w:asciiTheme="majorBidi" w:hAnsiTheme="majorBidi" w:cstheme="majorBidi"/>
        <w:sz w:val="18"/>
        <w:szCs w:val="18"/>
      </w:rPr>
      <w:t>TD</w:t>
    </w:r>
    <w:r w:rsidR="006954AE">
      <w:rPr>
        <w:rFonts w:asciiTheme="majorBidi" w:hAnsiTheme="majorBidi" w:cstheme="majorBidi"/>
        <w:sz w:val="18"/>
        <w:szCs w:val="18"/>
      </w:rPr>
      <w:t>20</w:t>
    </w:r>
    <w:r w:rsidR="000F7E38">
      <w:rPr>
        <w:rFonts w:asciiTheme="majorBidi" w:hAnsiTheme="majorBidi" w:cstheme="majorBidi"/>
        <w:sz w:val="18"/>
        <w:szCs w:val="1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71FD"/>
    <w:multiLevelType w:val="hybridMultilevel"/>
    <w:tmpl w:val="6F3A8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107A4"/>
    <w:multiLevelType w:val="hybridMultilevel"/>
    <w:tmpl w:val="C62A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A00E6"/>
    <w:multiLevelType w:val="hybridMultilevel"/>
    <w:tmpl w:val="3760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24B83"/>
    <w:multiLevelType w:val="hybridMultilevel"/>
    <w:tmpl w:val="934E930C"/>
    <w:lvl w:ilvl="0" w:tplc="A5100232">
      <w:start w:val="1"/>
      <w:numFmt w:val="bullet"/>
      <w:lvlText w:val="·"/>
      <w:lvlJc w:val="left"/>
      <w:pPr>
        <w:ind w:left="720" w:hanging="360"/>
      </w:pPr>
      <w:rPr>
        <w:rFonts w:ascii="Symbol" w:hAnsi="Symbol" w:hint="default"/>
      </w:rPr>
    </w:lvl>
    <w:lvl w:ilvl="1" w:tplc="89980D9C">
      <w:start w:val="1"/>
      <w:numFmt w:val="bullet"/>
      <w:lvlText w:val="o"/>
      <w:lvlJc w:val="left"/>
      <w:pPr>
        <w:ind w:left="1440" w:hanging="360"/>
      </w:pPr>
      <w:rPr>
        <w:rFonts w:ascii="Courier New" w:hAnsi="Courier New" w:hint="default"/>
      </w:rPr>
    </w:lvl>
    <w:lvl w:ilvl="2" w:tplc="5A549BA2">
      <w:start w:val="1"/>
      <w:numFmt w:val="bullet"/>
      <w:lvlText w:val=""/>
      <w:lvlJc w:val="left"/>
      <w:pPr>
        <w:ind w:left="2160" w:hanging="360"/>
      </w:pPr>
      <w:rPr>
        <w:rFonts w:ascii="Wingdings" w:hAnsi="Wingdings" w:hint="default"/>
      </w:rPr>
    </w:lvl>
    <w:lvl w:ilvl="3" w:tplc="4034994C">
      <w:start w:val="1"/>
      <w:numFmt w:val="bullet"/>
      <w:lvlText w:val=""/>
      <w:lvlJc w:val="left"/>
      <w:pPr>
        <w:ind w:left="2880" w:hanging="360"/>
      </w:pPr>
      <w:rPr>
        <w:rFonts w:ascii="Symbol" w:hAnsi="Symbol" w:hint="default"/>
      </w:rPr>
    </w:lvl>
    <w:lvl w:ilvl="4" w:tplc="76E6F072">
      <w:start w:val="1"/>
      <w:numFmt w:val="bullet"/>
      <w:lvlText w:val="o"/>
      <w:lvlJc w:val="left"/>
      <w:pPr>
        <w:ind w:left="3600" w:hanging="360"/>
      </w:pPr>
      <w:rPr>
        <w:rFonts w:ascii="Courier New" w:hAnsi="Courier New" w:hint="default"/>
      </w:rPr>
    </w:lvl>
    <w:lvl w:ilvl="5" w:tplc="CA0CED0E">
      <w:start w:val="1"/>
      <w:numFmt w:val="bullet"/>
      <w:lvlText w:val=""/>
      <w:lvlJc w:val="left"/>
      <w:pPr>
        <w:ind w:left="4320" w:hanging="360"/>
      </w:pPr>
      <w:rPr>
        <w:rFonts w:ascii="Wingdings" w:hAnsi="Wingdings" w:hint="default"/>
      </w:rPr>
    </w:lvl>
    <w:lvl w:ilvl="6" w:tplc="D83E5B96">
      <w:start w:val="1"/>
      <w:numFmt w:val="bullet"/>
      <w:lvlText w:val=""/>
      <w:lvlJc w:val="left"/>
      <w:pPr>
        <w:ind w:left="5040" w:hanging="360"/>
      </w:pPr>
      <w:rPr>
        <w:rFonts w:ascii="Symbol" w:hAnsi="Symbol" w:hint="default"/>
      </w:rPr>
    </w:lvl>
    <w:lvl w:ilvl="7" w:tplc="EAA8D544">
      <w:start w:val="1"/>
      <w:numFmt w:val="bullet"/>
      <w:lvlText w:val="o"/>
      <w:lvlJc w:val="left"/>
      <w:pPr>
        <w:ind w:left="5760" w:hanging="360"/>
      </w:pPr>
      <w:rPr>
        <w:rFonts w:ascii="Courier New" w:hAnsi="Courier New" w:hint="default"/>
      </w:rPr>
    </w:lvl>
    <w:lvl w:ilvl="8" w:tplc="0D2A8492">
      <w:start w:val="1"/>
      <w:numFmt w:val="bullet"/>
      <w:lvlText w:val=""/>
      <w:lvlJc w:val="left"/>
      <w:pPr>
        <w:ind w:left="6480" w:hanging="360"/>
      </w:pPr>
      <w:rPr>
        <w:rFonts w:ascii="Wingdings" w:hAnsi="Wingdings" w:hint="default"/>
      </w:rPr>
    </w:lvl>
  </w:abstractNum>
  <w:abstractNum w:abstractNumId="4" w15:restartNumberingAfterBreak="0">
    <w:nsid w:val="49017EB7"/>
    <w:multiLevelType w:val="hybridMultilevel"/>
    <w:tmpl w:val="2D6E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E1D8E"/>
    <w:multiLevelType w:val="hybridMultilevel"/>
    <w:tmpl w:val="026A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D3250"/>
    <w:multiLevelType w:val="hybridMultilevel"/>
    <w:tmpl w:val="E624A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183A15"/>
    <w:multiLevelType w:val="multilevel"/>
    <w:tmpl w:val="C9A6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735845">
    <w:abstractNumId w:val="2"/>
  </w:num>
  <w:num w:numId="2" w16cid:durableId="1231236235">
    <w:abstractNumId w:val="3"/>
  </w:num>
  <w:num w:numId="3" w16cid:durableId="642345848">
    <w:abstractNumId w:val="1"/>
  </w:num>
  <w:num w:numId="4" w16cid:durableId="1600092238">
    <w:abstractNumId w:val="0"/>
  </w:num>
  <w:num w:numId="5" w16cid:durableId="439229994">
    <w:abstractNumId w:val="7"/>
  </w:num>
  <w:num w:numId="6" w16cid:durableId="198056235">
    <w:abstractNumId w:val="4"/>
  </w:num>
  <w:num w:numId="7" w16cid:durableId="1335183363">
    <w:abstractNumId w:val="6"/>
  </w:num>
  <w:num w:numId="8" w16cid:durableId="751009171">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 Calvin">
    <w15:presenceInfo w15:providerId="AD" w15:userId="S::calvin.chan@itu.int::f9f690d2-8f91-4e5d-82d7-eb3fb71996fa"/>
  </w15:person>
  <w15:person w15:author="Sharma, Akanksha">
    <w15:presenceInfo w15:providerId="AD" w15:userId="S::akanksha.sharma@itu.int::5115b3c8-962d-4fea-b7f7-f2f2103d00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B9"/>
    <w:rsid w:val="0000102E"/>
    <w:rsid w:val="000012C5"/>
    <w:rsid w:val="00001E87"/>
    <w:rsid w:val="00012EF9"/>
    <w:rsid w:val="00014252"/>
    <w:rsid w:val="000171C0"/>
    <w:rsid w:val="00023EFE"/>
    <w:rsid w:val="00025D3E"/>
    <w:rsid w:val="00025D8D"/>
    <w:rsid w:val="00031BB9"/>
    <w:rsid w:val="00033763"/>
    <w:rsid w:val="000339EF"/>
    <w:rsid w:val="00033F67"/>
    <w:rsid w:val="00036808"/>
    <w:rsid w:val="0004107C"/>
    <w:rsid w:val="0004405D"/>
    <w:rsid w:val="0004589F"/>
    <w:rsid w:val="00046100"/>
    <w:rsid w:val="000462CE"/>
    <w:rsid w:val="00046DFD"/>
    <w:rsid w:val="00053E9C"/>
    <w:rsid w:val="000547E4"/>
    <w:rsid w:val="0005661E"/>
    <w:rsid w:val="00056BCF"/>
    <w:rsid w:val="00060B00"/>
    <w:rsid w:val="00061D4F"/>
    <w:rsid w:val="00064B4B"/>
    <w:rsid w:val="00065A3A"/>
    <w:rsid w:val="00066247"/>
    <w:rsid w:val="0006633B"/>
    <w:rsid w:val="00067B64"/>
    <w:rsid w:val="00071079"/>
    <w:rsid w:val="0007387B"/>
    <w:rsid w:val="00077121"/>
    <w:rsid w:val="0007790A"/>
    <w:rsid w:val="00077E0D"/>
    <w:rsid w:val="0008383E"/>
    <w:rsid w:val="00084C1B"/>
    <w:rsid w:val="00086034"/>
    <w:rsid w:val="00087730"/>
    <w:rsid w:val="00090D17"/>
    <w:rsid w:val="00090D84"/>
    <w:rsid w:val="000914F0"/>
    <w:rsid w:val="00094429"/>
    <w:rsid w:val="00095684"/>
    <w:rsid w:val="00096A62"/>
    <w:rsid w:val="000A0DED"/>
    <w:rsid w:val="000A1756"/>
    <w:rsid w:val="000A7EA8"/>
    <w:rsid w:val="000B2984"/>
    <w:rsid w:val="000B3127"/>
    <w:rsid w:val="000B381D"/>
    <w:rsid w:val="000B5C82"/>
    <w:rsid w:val="000B6098"/>
    <w:rsid w:val="000B6EE5"/>
    <w:rsid w:val="000B756F"/>
    <w:rsid w:val="000C1365"/>
    <w:rsid w:val="000C2E47"/>
    <w:rsid w:val="000C591E"/>
    <w:rsid w:val="000C5992"/>
    <w:rsid w:val="000C6794"/>
    <w:rsid w:val="000C7B10"/>
    <w:rsid w:val="000D0025"/>
    <w:rsid w:val="000D4B39"/>
    <w:rsid w:val="000D72A3"/>
    <w:rsid w:val="000D779E"/>
    <w:rsid w:val="000E04A5"/>
    <w:rsid w:val="000E2AE9"/>
    <w:rsid w:val="000E2C49"/>
    <w:rsid w:val="000E51C1"/>
    <w:rsid w:val="000F1B38"/>
    <w:rsid w:val="000F4D8A"/>
    <w:rsid w:val="000F61A7"/>
    <w:rsid w:val="000F78F4"/>
    <w:rsid w:val="000F7E38"/>
    <w:rsid w:val="00101272"/>
    <w:rsid w:val="00101958"/>
    <w:rsid w:val="00102B2C"/>
    <w:rsid w:val="0010716A"/>
    <w:rsid w:val="00110BD6"/>
    <w:rsid w:val="00110EB0"/>
    <w:rsid w:val="00114589"/>
    <w:rsid w:val="00114755"/>
    <w:rsid w:val="00117BB0"/>
    <w:rsid w:val="00120ACE"/>
    <w:rsid w:val="0012157C"/>
    <w:rsid w:val="0012773A"/>
    <w:rsid w:val="001311C2"/>
    <w:rsid w:val="00135619"/>
    <w:rsid w:val="00136600"/>
    <w:rsid w:val="00140AE3"/>
    <w:rsid w:val="00141038"/>
    <w:rsid w:val="001428C7"/>
    <w:rsid w:val="00142B53"/>
    <w:rsid w:val="001441A1"/>
    <w:rsid w:val="00146C7B"/>
    <w:rsid w:val="0014731A"/>
    <w:rsid w:val="00147CB8"/>
    <w:rsid w:val="001507D8"/>
    <w:rsid w:val="0015255D"/>
    <w:rsid w:val="00154DDB"/>
    <w:rsid w:val="00155D9B"/>
    <w:rsid w:val="00157267"/>
    <w:rsid w:val="001617F9"/>
    <w:rsid w:val="00162AAB"/>
    <w:rsid w:val="00166309"/>
    <w:rsid w:val="00166F40"/>
    <w:rsid w:val="00167EA1"/>
    <w:rsid w:val="001724F6"/>
    <w:rsid w:val="00174E9A"/>
    <w:rsid w:val="00177A5D"/>
    <w:rsid w:val="001840BD"/>
    <w:rsid w:val="00184C28"/>
    <w:rsid w:val="001927F4"/>
    <w:rsid w:val="001951E9"/>
    <w:rsid w:val="0019745B"/>
    <w:rsid w:val="001A21CC"/>
    <w:rsid w:val="001A2AE0"/>
    <w:rsid w:val="001A55B2"/>
    <w:rsid w:val="001A5A3B"/>
    <w:rsid w:val="001A713F"/>
    <w:rsid w:val="001B1E57"/>
    <w:rsid w:val="001B3141"/>
    <w:rsid w:val="001B6E3E"/>
    <w:rsid w:val="001C1603"/>
    <w:rsid w:val="001C226D"/>
    <w:rsid w:val="001C4622"/>
    <w:rsid w:val="001C5422"/>
    <w:rsid w:val="001C55DC"/>
    <w:rsid w:val="001C5ED3"/>
    <w:rsid w:val="001C6DDA"/>
    <w:rsid w:val="001C6DFF"/>
    <w:rsid w:val="001C70EC"/>
    <w:rsid w:val="001D1F23"/>
    <w:rsid w:val="001D4286"/>
    <w:rsid w:val="001D6E1A"/>
    <w:rsid w:val="001E10EA"/>
    <w:rsid w:val="001E1BCD"/>
    <w:rsid w:val="001E3404"/>
    <w:rsid w:val="001E64C4"/>
    <w:rsid w:val="001E7BE6"/>
    <w:rsid w:val="001F1453"/>
    <w:rsid w:val="001F3646"/>
    <w:rsid w:val="001F42C5"/>
    <w:rsid w:val="00200C7A"/>
    <w:rsid w:val="00202670"/>
    <w:rsid w:val="00203279"/>
    <w:rsid w:val="002038BE"/>
    <w:rsid w:val="002048EC"/>
    <w:rsid w:val="00207F5F"/>
    <w:rsid w:val="00212EB8"/>
    <w:rsid w:val="00213821"/>
    <w:rsid w:val="00215B37"/>
    <w:rsid w:val="00217FE5"/>
    <w:rsid w:val="002203EF"/>
    <w:rsid w:val="002229D7"/>
    <w:rsid w:val="00222C0D"/>
    <w:rsid w:val="0022429C"/>
    <w:rsid w:val="0022717C"/>
    <w:rsid w:val="002309F7"/>
    <w:rsid w:val="00230DE2"/>
    <w:rsid w:val="00231CA6"/>
    <w:rsid w:val="002403A4"/>
    <w:rsid w:val="002409CA"/>
    <w:rsid w:val="00240C9B"/>
    <w:rsid w:val="00243B41"/>
    <w:rsid w:val="00253919"/>
    <w:rsid w:val="00255251"/>
    <w:rsid w:val="002565F7"/>
    <w:rsid w:val="00266247"/>
    <w:rsid w:val="00271953"/>
    <w:rsid w:val="002757C4"/>
    <w:rsid w:val="00280BD0"/>
    <w:rsid w:val="00283F02"/>
    <w:rsid w:val="00284924"/>
    <w:rsid w:val="00285319"/>
    <w:rsid w:val="002864D1"/>
    <w:rsid w:val="0028742E"/>
    <w:rsid w:val="002878EB"/>
    <w:rsid w:val="00287BDA"/>
    <w:rsid w:val="00290E04"/>
    <w:rsid w:val="00291743"/>
    <w:rsid w:val="00291D86"/>
    <w:rsid w:val="002A2391"/>
    <w:rsid w:val="002A2889"/>
    <w:rsid w:val="002A4372"/>
    <w:rsid w:val="002A497E"/>
    <w:rsid w:val="002A5DD3"/>
    <w:rsid w:val="002B1756"/>
    <w:rsid w:val="002B2CF7"/>
    <w:rsid w:val="002B3EEC"/>
    <w:rsid w:val="002B4353"/>
    <w:rsid w:val="002B4F69"/>
    <w:rsid w:val="002B7AC4"/>
    <w:rsid w:val="002C227E"/>
    <w:rsid w:val="002C23E3"/>
    <w:rsid w:val="002C4C95"/>
    <w:rsid w:val="002C4CA3"/>
    <w:rsid w:val="002C55F0"/>
    <w:rsid w:val="002C6108"/>
    <w:rsid w:val="002D121D"/>
    <w:rsid w:val="002D6F2C"/>
    <w:rsid w:val="002E170C"/>
    <w:rsid w:val="002E3133"/>
    <w:rsid w:val="002E63CF"/>
    <w:rsid w:val="002F0AAE"/>
    <w:rsid w:val="002F0C64"/>
    <w:rsid w:val="002F1334"/>
    <w:rsid w:val="002F1FEF"/>
    <w:rsid w:val="002F3723"/>
    <w:rsid w:val="002F59DA"/>
    <w:rsid w:val="002F5F0E"/>
    <w:rsid w:val="002F65A8"/>
    <w:rsid w:val="002F6EFC"/>
    <w:rsid w:val="002F7191"/>
    <w:rsid w:val="00302459"/>
    <w:rsid w:val="003114D9"/>
    <w:rsid w:val="00311714"/>
    <w:rsid w:val="00312EAE"/>
    <w:rsid w:val="00312EE1"/>
    <w:rsid w:val="00315C02"/>
    <w:rsid w:val="00315DF3"/>
    <w:rsid w:val="00316870"/>
    <w:rsid w:val="00317522"/>
    <w:rsid w:val="00317E3B"/>
    <w:rsid w:val="003234C3"/>
    <w:rsid w:val="00324C53"/>
    <w:rsid w:val="00325EE4"/>
    <w:rsid w:val="00326348"/>
    <w:rsid w:val="0033136B"/>
    <w:rsid w:val="003328A4"/>
    <w:rsid w:val="0033468A"/>
    <w:rsid w:val="0033499F"/>
    <w:rsid w:val="003364D3"/>
    <w:rsid w:val="0033681B"/>
    <w:rsid w:val="0033685F"/>
    <w:rsid w:val="003368E8"/>
    <w:rsid w:val="00337B4E"/>
    <w:rsid w:val="00337EEC"/>
    <w:rsid w:val="003406F1"/>
    <w:rsid w:val="00341580"/>
    <w:rsid w:val="00342777"/>
    <w:rsid w:val="00342BB7"/>
    <w:rsid w:val="00342F61"/>
    <w:rsid w:val="00343786"/>
    <w:rsid w:val="00343D7B"/>
    <w:rsid w:val="00346DE5"/>
    <w:rsid w:val="00347ABE"/>
    <w:rsid w:val="003541E1"/>
    <w:rsid w:val="00354FCE"/>
    <w:rsid w:val="00357242"/>
    <w:rsid w:val="00357E0D"/>
    <w:rsid w:val="00366C44"/>
    <w:rsid w:val="003672B0"/>
    <w:rsid w:val="00367E93"/>
    <w:rsid w:val="003706A6"/>
    <w:rsid w:val="00370B80"/>
    <w:rsid w:val="00371573"/>
    <w:rsid w:val="003751FB"/>
    <w:rsid w:val="0037629C"/>
    <w:rsid w:val="00377D93"/>
    <w:rsid w:val="00380087"/>
    <w:rsid w:val="00381599"/>
    <w:rsid w:val="00382125"/>
    <w:rsid w:val="00384E99"/>
    <w:rsid w:val="00384F3D"/>
    <w:rsid w:val="003856F4"/>
    <w:rsid w:val="00386EB5"/>
    <w:rsid w:val="003904FB"/>
    <w:rsid w:val="003907BD"/>
    <w:rsid w:val="0039080F"/>
    <w:rsid w:val="00394DA7"/>
    <w:rsid w:val="00396F25"/>
    <w:rsid w:val="003A021E"/>
    <w:rsid w:val="003A040D"/>
    <w:rsid w:val="003A5873"/>
    <w:rsid w:val="003A5D4A"/>
    <w:rsid w:val="003A64F7"/>
    <w:rsid w:val="003A7828"/>
    <w:rsid w:val="003B2B3C"/>
    <w:rsid w:val="003B3A14"/>
    <w:rsid w:val="003B4D00"/>
    <w:rsid w:val="003B50F9"/>
    <w:rsid w:val="003B63DC"/>
    <w:rsid w:val="003B6F14"/>
    <w:rsid w:val="003B7945"/>
    <w:rsid w:val="003C0319"/>
    <w:rsid w:val="003C1B79"/>
    <w:rsid w:val="003C25A3"/>
    <w:rsid w:val="003C4DAD"/>
    <w:rsid w:val="003C5154"/>
    <w:rsid w:val="003C607D"/>
    <w:rsid w:val="003D2936"/>
    <w:rsid w:val="003D4551"/>
    <w:rsid w:val="003D6872"/>
    <w:rsid w:val="003E0432"/>
    <w:rsid w:val="003E0C10"/>
    <w:rsid w:val="003E0C41"/>
    <w:rsid w:val="003E0EE4"/>
    <w:rsid w:val="003E41B2"/>
    <w:rsid w:val="003F049B"/>
    <w:rsid w:val="003F143A"/>
    <w:rsid w:val="004011A0"/>
    <w:rsid w:val="0041166F"/>
    <w:rsid w:val="00411FA5"/>
    <w:rsid w:val="00415382"/>
    <w:rsid w:val="00420432"/>
    <w:rsid w:val="00420FDE"/>
    <w:rsid w:val="0042212F"/>
    <w:rsid w:val="00430AAA"/>
    <w:rsid w:val="00431E86"/>
    <w:rsid w:val="00433657"/>
    <w:rsid w:val="00433A0B"/>
    <w:rsid w:val="004359D7"/>
    <w:rsid w:val="00440EA6"/>
    <w:rsid w:val="00441A9D"/>
    <w:rsid w:val="00442058"/>
    <w:rsid w:val="00442F89"/>
    <w:rsid w:val="004477D5"/>
    <w:rsid w:val="00450E24"/>
    <w:rsid w:val="00451117"/>
    <w:rsid w:val="00456069"/>
    <w:rsid w:val="00456089"/>
    <w:rsid w:val="00462CBB"/>
    <w:rsid w:val="00463220"/>
    <w:rsid w:val="00463ABF"/>
    <w:rsid w:val="00463FB2"/>
    <w:rsid w:val="0046491F"/>
    <w:rsid w:val="00465832"/>
    <w:rsid w:val="00466248"/>
    <w:rsid w:val="00466A26"/>
    <w:rsid w:val="00470606"/>
    <w:rsid w:val="00470915"/>
    <w:rsid w:val="00471F05"/>
    <w:rsid w:val="0047257E"/>
    <w:rsid w:val="00474404"/>
    <w:rsid w:val="0048046B"/>
    <w:rsid w:val="00482972"/>
    <w:rsid w:val="004856AC"/>
    <w:rsid w:val="00485BDB"/>
    <w:rsid w:val="00486A24"/>
    <w:rsid w:val="00487C72"/>
    <w:rsid w:val="00487D1E"/>
    <w:rsid w:val="00491748"/>
    <w:rsid w:val="00492D02"/>
    <w:rsid w:val="004961F6"/>
    <w:rsid w:val="0049774E"/>
    <w:rsid w:val="004A0FE1"/>
    <w:rsid w:val="004A42F5"/>
    <w:rsid w:val="004A6DF1"/>
    <w:rsid w:val="004A72B6"/>
    <w:rsid w:val="004B263F"/>
    <w:rsid w:val="004B38BD"/>
    <w:rsid w:val="004B5850"/>
    <w:rsid w:val="004B7169"/>
    <w:rsid w:val="004B7D42"/>
    <w:rsid w:val="004C0C10"/>
    <w:rsid w:val="004C2301"/>
    <w:rsid w:val="004C4E75"/>
    <w:rsid w:val="004C646E"/>
    <w:rsid w:val="004C74A0"/>
    <w:rsid w:val="004D24AF"/>
    <w:rsid w:val="004D2CFF"/>
    <w:rsid w:val="004D46F7"/>
    <w:rsid w:val="004D4A93"/>
    <w:rsid w:val="004D6090"/>
    <w:rsid w:val="004D75E2"/>
    <w:rsid w:val="004D7AEB"/>
    <w:rsid w:val="004E6289"/>
    <w:rsid w:val="004E6B5C"/>
    <w:rsid w:val="004F2BBB"/>
    <w:rsid w:val="004F4140"/>
    <w:rsid w:val="004F473F"/>
    <w:rsid w:val="00500CCC"/>
    <w:rsid w:val="00503DC8"/>
    <w:rsid w:val="00505F42"/>
    <w:rsid w:val="00506C0E"/>
    <w:rsid w:val="005075AB"/>
    <w:rsid w:val="00513F2F"/>
    <w:rsid w:val="005158DA"/>
    <w:rsid w:val="00515902"/>
    <w:rsid w:val="00517E93"/>
    <w:rsid w:val="00520D05"/>
    <w:rsid w:val="005214A2"/>
    <w:rsid w:val="00521DEC"/>
    <w:rsid w:val="00523B0E"/>
    <w:rsid w:val="00524047"/>
    <w:rsid w:val="00524911"/>
    <w:rsid w:val="00525982"/>
    <w:rsid w:val="00525F34"/>
    <w:rsid w:val="005266B3"/>
    <w:rsid w:val="00526EFC"/>
    <w:rsid w:val="0053159D"/>
    <w:rsid w:val="00532344"/>
    <w:rsid w:val="005362B6"/>
    <w:rsid w:val="0054026A"/>
    <w:rsid w:val="00541E79"/>
    <w:rsid w:val="0054356B"/>
    <w:rsid w:val="00543D26"/>
    <w:rsid w:val="00544CE4"/>
    <w:rsid w:val="00545E1A"/>
    <w:rsid w:val="00551862"/>
    <w:rsid w:val="00552170"/>
    <w:rsid w:val="00552E21"/>
    <w:rsid w:val="00553813"/>
    <w:rsid w:val="00553C05"/>
    <w:rsid w:val="00554466"/>
    <w:rsid w:val="00554A29"/>
    <w:rsid w:val="00561A59"/>
    <w:rsid w:val="00563229"/>
    <w:rsid w:val="00567851"/>
    <w:rsid w:val="0057213E"/>
    <w:rsid w:val="005735C1"/>
    <w:rsid w:val="005770CD"/>
    <w:rsid w:val="00583930"/>
    <w:rsid w:val="00584348"/>
    <w:rsid w:val="0058471F"/>
    <w:rsid w:val="0058517E"/>
    <w:rsid w:val="00586A56"/>
    <w:rsid w:val="00586C56"/>
    <w:rsid w:val="00586E5A"/>
    <w:rsid w:val="00587F7F"/>
    <w:rsid w:val="005901C9"/>
    <w:rsid w:val="00591B10"/>
    <w:rsid w:val="00596F71"/>
    <w:rsid w:val="005976B1"/>
    <w:rsid w:val="005A0554"/>
    <w:rsid w:val="005A3ABE"/>
    <w:rsid w:val="005A59F7"/>
    <w:rsid w:val="005A5C80"/>
    <w:rsid w:val="005B0357"/>
    <w:rsid w:val="005B31EE"/>
    <w:rsid w:val="005B51F6"/>
    <w:rsid w:val="005B636A"/>
    <w:rsid w:val="005B75FC"/>
    <w:rsid w:val="005C4596"/>
    <w:rsid w:val="005C49CB"/>
    <w:rsid w:val="005C4C61"/>
    <w:rsid w:val="005C54C3"/>
    <w:rsid w:val="005C594F"/>
    <w:rsid w:val="005C76AC"/>
    <w:rsid w:val="005D04C0"/>
    <w:rsid w:val="005D3BB8"/>
    <w:rsid w:val="005D4324"/>
    <w:rsid w:val="005D5FF3"/>
    <w:rsid w:val="005E3823"/>
    <w:rsid w:val="005E4D5E"/>
    <w:rsid w:val="005F6111"/>
    <w:rsid w:val="005F7817"/>
    <w:rsid w:val="00601D08"/>
    <w:rsid w:val="00605463"/>
    <w:rsid w:val="00605936"/>
    <w:rsid w:val="00607F9B"/>
    <w:rsid w:val="00610690"/>
    <w:rsid w:val="00610FA1"/>
    <w:rsid w:val="00615F03"/>
    <w:rsid w:val="0061683B"/>
    <w:rsid w:val="006205B4"/>
    <w:rsid w:val="0062076E"/>
    <w:rsid w:val="006226DB"/>
    <w:rsid w:val="00622FCD"/>
    <w:rsid w:val="00627029"/>
    <w:rsid w:val="006312E3"/>
    <w:rsid w:val="00631A92"/>
    <w:rsid w:val="0063583D"/>
    <w:rsid w:val="00636085"/>
    <w:rsid w:val="006374DB"/>
    <w:rsid w:val="00637F66"/>
    <w:rsid w:val="006401CF"/>
    <w:rsid w:val="006408D8"/>
    <w:rsid w:val="00640AC0"/>
    <w:rsid w:val="00647C8A"/>
    <w:rsid w:val="00651F90"/>
    <w:rsid w:val="006558C2"/>
    <w:rsid w:val="006569D1"/>
    <w:rsid w:val="006576E3"/>
    <w:rsid w:val="00657E1B"/>
    <w:rsid w:val="0066031D"/>
    <w:rsid w:val="006654B4"/>
    <w:rsid w:val="00667AE1"/>
    <w:rsid w:val="00670595"/>
    <w:rsid w:val="00671E2E"/>
    <w:rsid w:val="00672484"/>
    <w:rsid w:val="00677AC1"/>
    <w:rsid w:val="00684EFE"/>
    <w:rsid w:val="006855AD"/>
    <w:rsid w:val="00685B8C"/>
    <w:rsid w:val="00686841"/>
    <w:rsid w:val="00687C4C"/>
    <w:rsid w:val="0069242D"/>
    <w:rsid w:val="006954AE"/>
    <w:rsid w:val="006A2576"/>
    <w:rsid w:val="006A61DC"/>
    <w:rsid w:val="006A7A43"/>
    <w:rsid w:val="006B1FBD"/>
    <w:rsid w:val="006B20FD"/>
    <w:rsid w:val="006B3403"/>
    <w:rsid w:val="006B4A2A"/>
    <w:rsid w:val="006B5B62"/>
    <w:rsid w:val="006B76D9"/>
    <w:rsid w:val="006C0EE6"/>
    <w:rsid w:val="006C3D7A"/>
    <w:rsid w:val="006C61C9"/>
    <w:rsid w:val="006D53C3"/>
    <w:rsid w:val="006D69F4"/>
    <w:rsid w:val="006D7B04"/>
    <w:rsid w:val="006E22FB"/>
    <w:rsid w:val="006E3291"/>
    <w:rsid w:val="006E39CB"/>
    <w:rsid w:val="006F07CD"/>
    <w:rsid w:val="006F0C0D"/>
    <w:rsid w:val="006F11A4"/>
    <w:rsid w:val="006F42B0"/>
    <w:rsid w:val="006F440E"/>
    <w:rsid w:val="006F4CFF"/>
    <w:rsid w:val="006F600D"/>
    <w:rsid w:val="00702083"/>
    <w:rsid w:val="007020FA"/>
    <w:rsid w:val="00702B91"/>
    <w:rsid w:val="00705007"/>
    <w:rsid w:val="0071051B"/>
    <w:rsid w:val="0071473F"/>
    <w:rsid w:val="0071491D"/>
    <w:rsid w:val="00716A8E"/>
    <w:rsid w:val="00717DDA"/>
    <w:rsid w:val="00722D6E"/>
    <w:rsid w:val="0072326D"/>
    <w:rsid w:val="007235B1"/>
    <w:rsid w:val="00724CBE"/>
    <w:rsid w:val="00726747"/>
    <w:rsid w:val="0072688F"/>
    <w:rsid w:val="00732061"/>
    <w:rsid w:val="00733741"/>
    <w:rsid w:val="00736D51"/>
    <w:rsid w:val="007404C4"/>
    <w:rsid w:val="00740D91"/>
    <w:rsid w:val="00745DC4"/>
    <w:rsid w:val="007467AB"/>
    <w:rsid w:val="00746C42"/>
    <w:rsid w:val="00746F11"/>
    <w:rsid w:val="00747189"/>
    <w:rsid w:val="007477B4"/>
    <w:rsid w:val="00755500"/>
    <w:rsid w:val="00755950"/>
    <w:rsid w:val="00756AF1"/>
    <w:rsid w:val="00762C91"/>
    <w:rsid w:val="007644C6"/>
    <w:rsid w:val="00764E60"/>
    <w:rsid w:val="00765552"/>
    <w:rsid w:val="00765615"/>
    <w:rsid w:val="00766CF8"/>
    <w:rsid w:val="007701E2"/>
    <w:rsid w:val="007705CB"/>
    <w:rsid w:val="00770DBD"/>
    <w:rsid w:val="00774F40"/>
    <w:rsid w:val="0078068F"/>
    <w:rsid w:val="007809E4"/>
    <w:rsid w:val="0078353E"/>
    <w:rsid w:val="00786BF8"/>
    <w:rsid w:val="0079104D"/>
    <w:rsid w:val="00791228"/>
    <w:rsid w:val="00794963"/>
    <w:rsid w:val="007960DD"/>
    <w:rsid w:val="007A1862"/>
    <w:rsid w:val="007A2EA5"/>
    <w:rsid w:val="007A3DC2"/>
    <w:rsid w:val="007A4A5B"/>
    <w:rsid w:val="007A4C1E"/>
    <w:rsid w:val="007A764D"/>
    <w:rsid w:val="007B0900"/>
    <w:rsid w:val="007B131D"/>
    <w:rsid w:val="007B16F2"/>
    <w:rsid w:val="007B4827"/>
    <w:rsid w:val="007C03B9"/>
    <w:rsid w:val="007C36AF"/>
    <w:rsid w:val="007D3C24"/>
    <w:rsid w:val="007D505C"/>
    <w:rsid w:val="007D6C4D"/>
    <w:rsid w:val="007E0697"/>
    <w:rsid w:val="007E0A75"/>
    <w:rsid w:val="007E12F7"/>
    <w:rsid w:val="007E2BF8"/>
    <w:rsid w:val="007E2E13"/>
    <w:rsid w:val="007E61CF"/>
    <w:rsid w:val="007E6570"/>
    <w:rsid w:val="007F493D"/>
    <w:rsid w:val="007F6C18"/>
    <w:rsid w:val="007F7A5D"/>
    <w:rsid w:val="00803A91"/>
    <w:rsid w:val="008125A5"/>
    <w:rsid w:val="0081542E"/>
    <w:rsid w:val="008160C4"/>
    <w:rsid w:val="00816162"/>
    <w:rsid w:val="008171F2"/>
    <w:rsid w:val="0082097B"/>
    <w:rsid w:val="00822F3E"/>
    <w:rsid w:val="00823268"/>
    <w:rsid w:val="00823A0E"/>
    <w:rsid w:val="00826E33"/>
    <w:rsid w:val="0083010B"/>
    <w:rsid w:val="008302FF"/>
    <w:rsid w:val="0083046B"/>
    <w:rsid w:val="00832528"/>
    <w:rsid w:val="008333C9"/>
    <w:rsid w:val="008337F3"/>
    <w:rsid w:val="00835DCD"/>
    <w:rsid w:val="008376A7"/>
    <w:rsid w:val="00842407"/>
    <w:rsid w:val="008467ED"/>
    <w:rsid w:val="00846AC1"/>
    <w:rsid w:val="008474AF"/>
    <w:rsid w:val="00847790"/>
    <w:rsid w:val="008513AA"/>
    <w:rsid w:val="008527C4"/>
    <w:rsid w:val="00852B9C"/>
    <w:rsid w:val="00854600"/>
    <w:rsid w:val="008547D4"/>
    <w:rsid w:val="00855D6E"/>
    <w:rsid w:val="00855E25"/>
    <w:rsid w:val="0085654E"/>
    <w:rsid w:val="00863344"/>
    <w:rsid w:val="008654CD"/>
    <w:rsid w:val="008714C7"/>
    <w:rsid w:val="00874D95"/>
    <w:rsid w:val="008760AC"/>
    <w:rsid w:val="00876215"/>
    <w:rsid w:val="008769F6"/>
    <w:rsid w:val="00883806"/>
    <w:rsid w:val="008849CB"/>
    <w:rsid w:val="00885BC5"/>
    <w:rsid w:val="0089141D"/>
    <w:rsid w:val="00894595"/>
    <w:rsid w:val="008947EB"/>
    <w:rsid w:val="008A008A"/>
    <w:rsid w:val="008A1A46"/>
    <w:rsid w:val="008A500C"/>
    <w:rsid w:val="008A6BE0"/>
    <w:rsid w:val="008A7CF2"/>
    <w:rsid w:val="008B2955"/>
    <w:rsid w:val="008B3775"/>
    <w:rsid w:val="008B5EF1"/>
    <w:rsid w:val="008C2CC1"/>
    <w:rsid w:val="008C5DAB"/>
    <w:rsid w:val="008C6B88"/>
    <w:rsid w:val="008D242A"/>
    <w:rsid w:val="008D2BC6"/>
    <w:rsid w:val="008D3834"/>
    <w:rsid w:val="008D58FA"/>
    <w:rsid w:val="008D5E68"/>
    <w:rsid w:val="008D6044"/>
    <w:rsid w:val="008E007C"/>
    <w:rsid w:val="008E2C6F"/>
    <w:rsid w:val="008E583F"/>
    <w:rsid w:val="008E5F5E"/>
    <w:rsid w:val="008F1261"/>
    <w:rsid w:val="008F5474"/>
    <w:rsid w:val="009020E5"/>
    <w:rsid w:val="0090266B"/>
    <w:rsid w:val="0090317E"/>
    <w:rsid w:val="00910CBF"/>
    <w:rsid w:val="0091553A"/>
    <w:rsid w:val="00917170"/>
    <w:rsid w:val="00917951"/>
    <w:rsid w:val="00920562"/>
    <w:rsid w:val="00922997"/>
    <w:rsid w:val="00923F37"/>
    <w:rsid w:val="0093015D"/>
    <w:rsid w:val="00930BFD"/>
    <w:rsid w:val="0093363D"/>
    <w:rsid w:val="009403EE"/>
    <w:rsid w:val="009442A8"/>
    <w:rsid w:val="00946075"/>
    <w:rsid w:val="009462B9"/>
    <w:rsid w:val="0094775F"/>
    <w:rsid w:val="00953591"/>
    <w:rsid w:val="00953611"/>
    <w:rsid w:val="009572AA"/>
    <w:rsid w:val="00957C27"/>
    <w:rsid w:val="00960A5B"/>
    <w:rsid w:val="00961631"/>
    <w:rsid w:val="00962211"/>
    <w:rsid w:val="00962742"/>
    <w:rsid w:val="009642B2"/>
    <w:rsid w:val="00964C32"/>
    <w:rsid w:val="00973178"/>
    <w:rsid w:val="009733B2"/>
    <w:rsid w:val="00974900"/>
    <w:rsid w:val="009752D0"/>
    <w:rsid w:val="00977BC2"/>
    <w:rsid w:val="00980702"/>
    <w:rsid w:val="00983873"/>
    <w:rsid w:val="009838A2"/>
    <w:rsid w:val="00983E38"/>
    <w:rsid w:val="0098458A"/>
    <w:rsid w:val="00984BDB"/>
    <w:rsid w:val="0099374B"/>
    <w:rsid w:val="00993B36"/>
    <w:rsid w:val="009A000B"/>
    <w:rsid w:val="009A297D"/>
    <w:rsid w:val="009A3926"/>
    <w:rsid w:val="009B4070"/>
    <w:rsid w:val="009C3210"/>
    <w:rsid w:val="009C7AEB"/>
    <w:rsid w:val="009D142F"/>
    <w:rsid w:val="009D220E"/>
    <w:rsid w:val="009D2424"/>
    <w:rsid w:val="009D2AD6"/>
    <w:rsid w:val="009D46E3"/>
    <w:rsid w:val="009D4B36"/>
    <w:rsid w:val="009D5A00"/>
    <w:rsid w:val="009E10BA"/>
    <w:rsid w:val="009E314D"/>
    <w:rsid w:val="009E64F8"/>
    <w:rsid w:val="009E6A56"/>
    <w:rsid w:val="009E754D"/>
    <w:rsid w:val="009F5F30"/>
    <w:rsid w:val="00A008E2"/>
    <w:rsid w:val="00A01481"/>
    <w:rsid w:val="00A02CA4"/>
    <w:rsid w:val="00A04CB3"/>
    <w:rsid w:val="00A05A3C"/>
    <w:rsid w:val="00A05FB9"/>
    <w:rsid w:val="00A06BF6"/>
    <w:rsid w:val="00A07665"/>
    <w:rsid w:val="00A10130"/>
    <w:rsid w:val="00A10B37"/>
    <w:rsid w:val="00A12891"/>
    <w:rsid w:val="00A14B0E"/>
    <w:rsid w:val="00A151D0"/>
    <w:rsid w:val="00A15737"/>
    <w:rsid w:val="00A15887"/>
    <w:rsid w:val="00A16DE6"/>
    <w:rsid w:val="00A20326"/>
    <w:rsid w:val="00A20C17"/>
    <w:rsid w:val="00A241BB"/>
    <w:rsid w:val="00A24A34"/>
    <w:rsid w:val="00A262AD"/>
    <w:rsid w:val="00A26513"/>
    <w:rsid w:val="00A31894"/>
    <w:rsid w:val="00A31CF7"/>
    <w:rsid w:val="00A32685"/>
    <w:rsid w:val="00A360BE"/>
    <w:rsid w:val="00A3747A"/>
    <w:rsid w:val="00A429C8"/>
    <w:rsid w:val="00A43A0A"/>
    <w:rsid w:val="00A43E90"/>
    <w:rsid w:val="00A45414"/>
    <w:rsid w:val="00A46073"/>
    <w:rsid w:val="00A47C4A"/>
    <w:rsid w:val="00A50BA7"/>
    <w:rsid w:val="00A53956"/>
    <w:rsid w:val="00A53969"/>
    <w:rsid w:val="00A5578B"/>
    <w:rsid w:val="00A57595"/>
    <w:rsid w:val="00A64B30"/>
    <w:rsid w:val="00A64D66"/>
    <w:rsid w:val="00A729C9"/>
    <w:rsid w:val="00A74BC1"/>
    <w:rsid w:val="00A77183"/>
    <w:rsid w:val="00A8034E"/>
    <w:rsid w:val="00A833F9"/>
    <w:rsid w:val="00A8500A"/>
    <w:rsid w:val="00A8599F"/>
    <w:rsid w:val="00A90485"/>
    <w:rsid w:val="00A9087C"/>
    <w:rsid w:val="00A90913"/>
    <w:rsid w:val="00A91372"/>
    <w:rsid w:val="00A91C7C"/>
    <w:rsid w:val="00A94C74"/>
    <w:rsid w:val="00A96452"/>
    <w:rsid w:val="00A9750E"/>
    <w:rsid w:val="00AA674E"/>
    <w:rsid w:val="00AB0757"/>
    <w:rsid w:val="00AB36E3"/>
    <w:rsid w:val="00AB3CED"/>
    <w:rsid w:val="00AC0FED"/>
    <w:rsid w:val="00AC10F5"/>
    <w:rsid w:val="00AC3668"/>
    <w:rsid w:val="00AC3CC5"/>
    <w:rsid w:val="00AC3E0C"/>
    <w:rsid w:val="00AC4959"/>
    <w:rsid w:val="00AC6084"/>
    <w:rsid w:val="00AD0468"/>
    <w:rsid w:val="00AD361D"/>
    <w:rsid w:val="00AD675D"/>
    <w:rsid w:val="00AD6D47"/>
    <w:rsid w:val="00AD72F3"/>
    <w:rsid w:val="00AE0BC5"/>
    <w:rsid w:val="00AE0D47"/>
    <w:rsid w:val="00AE439B"/>
    <w:rsid w:val="00AF25E0"/>
    <w:rsid w:val="00AF2864"/>
    <w:rsid w:val="00B022FC"/>
    <w:rsid w:val="00B05C39"/>
    <w:rsid w:val="00B06C5C"/>
    <w:rsid w:val="00B11428"/>
    <w:rsid w:val="00B14782"/>
    <w:rsid w:val="00B20B95"/>
    <w:rsid w:val="00B22F40"/>
    <w:rsid w:val="00B233B2"/>
    <w:rsid w:val="00B236B4"/>
    <w:rsid w:val="00B244C1"/>
    <w:rsid w:val="00B26978"/>
    <w:rsid w:val="00B275D7"/>
    <w:rsid w:val="00B30CE5"/>
    <w:rsid w:val="00B31873"/>
    <w:rsid w:val="00B31961"/>
    <w:rsid w:val="00B322C3"/>
    <w:rsid w:val="00B34AC1"/>
    <w:rsid w:val="00B36CA7"/>
    <w:rsid w:val="00B378F0"/>
    <w:rsid w:val="00B432A8"/>
    <w:rsid w:val="00B4549A"/>
    <w:rsid w:val="00B474F4"/>
    <w:rsid w:val="00B50CA6"/>
    <w:rsid w:val="00B51F42"/>
    <w:rsid w:val="00B53F34"/>
    <w:rsid w:val="00B54952"/>
    <w:rsid w:val="00B56169"/>
    <w:rsid w:val="00B573E4"/>
    <w:rsid w:val="00B5750D"/>
    <w:rsid w:val="00B60D6D"/>
    <w:rsid w:val="00B62C43"/>
    <w:rsid w:val="00B62E30"/>
    <w:rsid w:val="00B6612B"/>
    <w:rsid w:val="00B66746"/>
    <w:rsid w:val="00B73750"/>
    <w:rsid w:val="00B74452"/>
    <w:rsid w:val="00B75880"/>
    <w:rsid w:val="00B75FE5"/>
    <w:rsid w:val="00B771A3"/>
    <w:rsid w:val="00B80C71"/>
    <w:rsid w:val="00B80DDD"/>
    <w:rsid w:val="00B827B8"/>
    <w:rsid w:val="00B841C7"/>
    <w:rsid w:val="00B85EB1"/>
    <w:rsid w:val="00B861C4"/>
    <w:rsid w:val="00B871E3"/>
    <w:rsid w:val="00B92BB7"/>
    <w:rsid w:val="00B92F58"/>
    <w:rsid w:val="00B952B8"/>
    <w:rsid w:val="00B95D13"/>
    <w:rsid w:val="00B962B9"/>
    <w:rsid w:val="00B96895"/>
    <w:rsid w:val="00B96B7B"/>
    <w:rsid w:val="00B96E66"/>
    <w:rsid w:val="00BA0BCF"/>
    <w:rsid w:val="00BA200D"/>
    <w:rsid w:val="00BA2484"/>
    <w:rsid w:val="00BA653C"/>
    <w:rsid w:val="00BB0DAC"/>
    <w:rsid w:val="00BB4704"/>
    <w:rsid w:val="00BB759F"/>
    <w:rsid w:val="00BC06F6"/>
    <w:rsid w:val="00BC0826"/>
    <w:rsid w:val="00BC2F4B"/>
    <w:rsid w:val="00BC348E"/>
    <w:rsid w:val="00BC4659"/>
    <w:rsid w:val="00BC512B"/>
    <w:rsid w:val="00BC6640"/>
    <w:rsid w:val="00BD0344"/>
    <w:rsid w:val="00BD2731"/>
    <w:rsid w:val="00BD2EE2"/>
    <w:rsid w:val="00BD2F6F"/>
    <w:rsid w:val="00BE038F"/>
    <w:rsid w:val="00BE179B"/>
    <w:rsid w:val="00BE1999"/>
    <w:rsid w:val="00BE1E33"/>
    <w:rsid w:val="00BE2A38"/>
    <w:rsid w:val="00BE3A42"/>
    <w:rsid w:val="00BE4DFD"/>
    <w:rsid w:val="00BF190B"/>
    <w:rsid w:val="00C05885"/>
    <w:rsid w:val="00C05F71"/>
    <w:rsid w:val="00C06635"/>
    <w:rsid w:val="00C07F4D"/>
    <w:rsid w:val="00C115AF"/>
    <w:rsid w:val="00C14E9B"/>
    <w:rsid w:val="00C16D54"/>
    <w:rsid w:val="00C221E4"/>
    <w:rsid w:val="00C24B4F"/>
    <w:rsid w:val="00C24FD7"/>
    <w:rsid w:val="00C26260"/>
    <w:rsid w:val="00C31D0D"/>
    <w:rsid w:val="00C326D8"/>
    <w:rsid w:val="00C37AA6"/>
    <w:rsid w:val="00C37CBF"/>
    <w:rsid w:val="00C42A78"/>
    <w:rsid w:val="00C42E30"/>
    <w:rsid w:val="00C42F75"/>
    <w:rsid w:val="00C44639"/>
    <w:rsid w:val="00C44B64"/>
    <w:rsid w:val="00C55F94"/>
    <w:rsid w:val="00C60B25"/>
    <w:rsid w:val="00C6301D"/>
    <w:rsid w:val="00C717D3"/>
    <w:rsid w:val="00C71E3F"/>
    <w:rsid w:val="00C752DF"/>
    <w:rsid w:val="00C7544F"/>
    <w:rsid w:val="00C80F9E"/>
    <w:rsid w:val="00C811EF"/>
    <w:rsid w:val="00C81CD5"/>
    <w:rsid w:val="00C82E5B"/>
    <w:rsid w:val="00C8414E"/>
    <w:rsid w:val="00C8469A"/>
    <w:rsid w:val="00C8512A"/>
    <w:rsid w:val="00C857BC"/>
    <w:rsid w:val="00C85BFD"/>
    <w:rsid w:val="00C87AC4"/>
    <w:rsid w:val="00C87AD4"/>
    <w:rsid w:val="00C91470"/>
    <w:rsid w:val="00C91B5A"/>
    <w:rsid w:val="00C96F43"/>
    <w:rsid w:val="00CA1F1D"/>
    <w:rsid w:val="00CA2519"/>
    <w:rsid w:val="00CA28C0"/>
    <w:rsid w:val="00CA2982"/>
    <w:rsid w:val="00CA5EC1"/>
    <w:rsid w:val="00CA7C47"/>
    <w:rsid w:val="00CB29D4"/>
    <w:rsid w:val="00CB3427"/>
    <w:rsid w:val="00CB558F"/>
    <w:rsid w:val="00CC1F46"/>
    <w:rsid w:val="00CC48E3"/>
    <w:rsid w:val="00CC4A16"/>
    <w:rsid w:val="00CD1578"/>
    <w:rsid w:val="00CD2791"/>
    <w:rsid w:val="00CD4ABE"/>
    <w:rsid w:val="00CD63CA"/>
    <w:rsid w:val="00CD650D"/>
    <w:rsid w:val="00CD6B52"/>
    <w:rsid w:val="00CE06E1"/>
    <w:rsid w:val="00CE4995"/>
    <w:rsid w:val="00CE6061"/>
    <w:rsid w:val="00CE6B8B"/>
    <w:rsid w:val="00CF05C2"/>
    <w:rsid w:val="00CF18C5"/>
    <w:rsid w:val="00CF2A0A"/>
    <w:rsid w:val="00CF6579"/>
    <w:rsid w:val="00CF68E2"/>
    <w:rsid w:val="00D001C3"/>
    <w:rsid w:val="00D008F3"/>
    <w:rsid w:val="00D015D7"/>
    <w:rsid w:val="00D0465D"/>
    <w:rsid w:val="00D05D09"/>
    <w:rsid w:val="00D06DD4"/>
    <w:rsid w:val="00D11BAF"/>
    <w:rsid w:val="00D14A9F"/>
    <w:rsid w:val="00D15EB6"/>
    <w:rsid w:val="00D16CF9"/>
    <w:rsid w:val="00D21856"/>
    <w:rsid w:val="00D23980"/>
    <w:rsid w:val="00D271B1"/>
    <w:rsid w:val="00D36799"/>
    <w:rsid w:val="00D40990"/>
    <w:rsid w:val="00D42581"/>
    <w:rsid w:val="00D43B8E"/>
    <w:rsid w:val="00D45670"/>
    <w:rsid w:val="00D523D5"/>
    <w:rsid w:val="00D53FA3"/>
    <w:rsid w:val="00D540B2"/>
    <w:rsid w:val="00D55538"/>
    <w:rsid w:val="00D5576F"/>
    <w:rsid w:val="00D61A95"/>
    <w:rsid w:val="00D622EF"/>
    <w:rsid w:val="00D62ABC"/>
    <w:rsid w:val="00D62C02"/>
    <w:rsid w:val="00D646DB"/>
    <w:rsid w:val="00D6487B"/>
    <w:rsid w:val="00D6513F"/>
    <w:rsid w:val="00D67031"/>
    <w:rsid w:val="00D70645"/>
    <w:rsid w:val="00D76363"/>
    <w:rsid w:val="00D83385"/>
    <w:rsid w:val="00D84DA7"/>
    <w:rsid w:val="00D87389"/>
    <w:rsid w:val="00D87C91"/>
    <w:rsid w:val="00D90757"/>
    <w:rsid w:val="00D90EF9"/>
    <w:rsid w:val="00D9727C"/>
    <w:rsid w:val="00DA10D2"/>
    <w:rsid w:val="00DA1E2E"/>
    <w:rsid w:val="00DA1FE2"/>
    <w:rsid w:val="00DA5112"/>
    <w:rsid w:val="00DA7021"/>
    <w:rsid w:val="00DB07C4"/>
    <w:rsid w:val="00DB384F"/>
    <w:rsid w:val="00DB7920"/>
    <w:rsid w:val="00DC1D40"/>
    <w:rsid w:val="00DC2B3E"/>
    <w:rsid w:val="00DC34CA"/>
    <w:rsid w:val="00DC75E8"/>
    <w:rsid w:val="00DC79CC"/>
    <w:rsid w:val="00DD0392"/>
    <w:rsid w:val="00DD1D62"/>
    <w:rsid w:val="00DD2506"/>
    <w:rsid w:val="00DE20A9"/>
    <w:rsid w:val="00DE2787"/>
    <w:rsid w:val="00DE4DA8"/>
    <w:rsid w:val="00DF1A29"/>
    <w:rsid w:val="00DF2F8B"/>
    <w:rsid w:val="00DF3557"/>
    <w:rsid w:val="00DF54DB"/>
    <w:rsid w:val="00DF54EF"/>
    <w:rsid w:val="00DF6486"/>
    <w:rsid w:val="00DF67AC"/>
    <w:rsid w:val="00E01360"/>
    <w:rsid w:val="00E02A41"/>
    <w:rsid w:val="00E0396D"/>
    <w:rsid w:val="00E114B9"/>
    <w:rsid w:val="00E1259E"/>
    <w:rsid w:val="00E12CE6"/>
    <w:rsid w:val="00E13B48"/>
    <w:rsid w:val="00E157BD"/>
    <w:rsid w:val="00E251D6"/>
    <w:rsid w:val="00E30AFD"/>
    <w:rsid w:val="00E3118B"/>
    <w:rsid w:val="00E31654"/>
    <w:rsid w:val="00E33B42"/>
    <w:rsid w:val="00E33BC7"/>
    <w:rsid w:val="00E35817"/>
    <w:rsid w:val="00E35903"/>
    <w:rsid w:val="00E41DA7"/>
    <w:rsid w:val="00E53567"/>
    <w:rsid w:val="00E55CF0"/>
    <w:rsid w:val="00E57E4D"/>
    <w:rsid w:val="00E60BAE"/>
    <w:rsid w:val="00E61834"/>
    <w:rsid w:val="00E66A3E"/>
    <w:rsid w:val="00E7184F"/>
    <w:rsid w:val="00E738AD"/>
    <w:rsid w:val="00E7507E"/>
    <w:rsid w:val="00E76BA0"/>
    <w:rsid w:val="00E81533"/>
    <w:rsid w:val="00E8189E"/>
    <w:rsid w:val="00E82E95"/>
    <w:rsid w:val="00E83461"/>
    <w:rsid w:val="00E847EC"/>
    <w:rsid w:val="00E86C08"/>
    <w:rsid w:val="00E87881"/>
    <w:rsid w:val="00E90D66"/>
    <w:rsid w:val="00E93CD7"/>
    <w:rsid w:val="00E94A72"/>
    <w:rsid w:val="00E96844"/>
    <w:rsid w:val="00E96A34"/>
    <w:rsid w:val="00E9767F"/>
    <w:rsid w:val="00E9789C"/>
    <w:rsid w:val="00EA129B"/>
    <w:rsid w:val="00EA32A5"/>
    <w:rsid w:val="00EA43F2"/>
    <w:rsid w:val="00EA4DEC"/>
    <w:rsid w:val="00EA6925"/>
    <w:rsid w:val="00EA7CE3"/>
    <w:rsid w:val="00EB1323"/>
    <w:rsid w:val="00EB1F05"/>
    <w:rsid w:val="00EB4890"/>
    <w:rsid w:val="00EB5888"/>
    <w:rsid w:val="00EB6D73"/>
    <w:rsid w:val="00EB7096"/>
    <w:rsid w:val="00EC0EC8"/>
    <w:rsid w:val="00EC2002"/>
    <w:rsid w:val="00EC2500"/>
    <w:rsid w:val="00EC2F1A"/>
    <w:rsid w:val="00EC48CD"/>
    <w:rsid w:val="00EC5608"/>
    <w:rsid w:val="00EC62EE"/>
    <w:rsid w:val="00ED0754"/>
    <w:rsid w:val="00ED37CD"/>
    <w:rsid w:val="00ED6F8C"/>
    <w:rsid w:val="00EE2405"/>
    <w:rsid w:val="00EE3192"/>
    <w:rsid w:val="00EE49D7"/>
    <w:rsid w:val="00EE62C4"/>
    <w:rsid w:val="00EE72CC"/>
    <w:rsid w:val="00EF062D"/>
    <w:rsid w:val="00EF7F65"/>
    <w:rsid w:val="00F03B52"/>
    <w:rsid w:val="00F12179"/>
    <w:rsid w:val="00F12647"/>
    <w:rsid w:val="00F128DA"/>
    <w:rsid w:val="00F15BF4"/>
    <w:rsid w:val="00F201EB"/>
    <w:rsid w:val="00F223A3"/>
    <w:rsid w:val="00F22D11"/>
    <w:rsid w:val="00F23359"/>
    <w:rsid w:val="00F244B7"/>
    <w:rsid w:val="00F24960"/>
    <w:rsid w:val="00F30D0E"/>
    <w:rsid w:val="00F316CF"/>
    <w:rsid w:val="00F32A7E"/>
    <w:rsid w:val="00F3540A"/>
    <w:rsid w:val="00F35785"/>
    <w:rsid w:val="00F37423"/>
    <w:rsid w:val="00F40780"/>
    <w:rsid w:val="00F431D9"/>
    <w:rsid w:val="00F45EDB"/>
    <w:rsid w:val="00F472FB"/>
    <w:rsid w:val="00F473D2"/>
    <w:rsid w:val="00F525B6"/>
    <w:rsid w:val="00F53A2F"/>
    <w:rsid w:val="00F55D93"/>
    <w:rsid w:val="00F5614F"/>
    <w:rsid w:val="00F56914"/>
    <w:rsid w:val="00F56FB4"/>
    <w:rsid w:val="00F579A3"/>
    <w:rsid w:val="00F61615"/>
    <w:rsid w:val="00F64B39"/>
    <w:rsid w:val="00F64B63"/>
    <w:rsid w:val="00F66A5D"/>
    <w:rsid w:val="00F701B5"/>
    <w:rsid w:val="00F70E3D"/>
    <w:rsid w:val="00F8207B"/>
    <w:rsid w:val="00F86A52"/>
    <w:rsid w:val="00F911B3"/>
    <w:rsid w:val="00F91A6A"/>
    <w:rsid w:val="00F91B04"/>
    <w:rsid w:val="00F9428B"/>
    <w:rsid w:val="00F942CB"/>
    <w:rsid w:val="00F94C7E"/>
    <w:rsid w:val="00FA20AD"/>
    <w:rsid w:val="00FA3A56"/>
    <w:rsid w:val="00FB0372"/>
    <w:rsid w:val="00FB34E8"/>
    <w:rsid w:val="00FB3A83"/>
    <w:rsid w:val="00FB58B1"/>
    <w:rsid w:val="00FB5C3E"/>
    <w:rsid w:val="00FB5E46"/>
    <w:rsid w:val="00FB6DBF"/>
    <w:rsid w:val="00FC1ADF"/>
    <w:rsid w:val="00FC3D13"/>
    <w:rsid w:val="00FD5272"/>
    <w:rsid w:val="00FD5A3A"/>
    <w:rsid w:val="00FE01EE"/>
    <w:rsid w:val="00FE0247"/>
    <w:rsid w:val="00FE10FA"/>
    <w:rsid w:val="00FF172C"/>
    <w:rsid w:val="00FF1FB2"/>
    <w:rsid w:val="00FF54E4"/>
    <w:rsid w:val="00FF69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809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62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33F6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4">
    <w:name w:val="heading 4"/>
    <w:basedOn w:val="Normal"/>
    <w:next w:val="Normal"/>
    <w:link w:val="Heading4Char"/>
    <w:uiPriority w:val="9"/>
    <w:semiHidden/>
    <w:unhideWhenUsed/>
    <w:qFormat/>
    <w:rsid w:val="002F71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B9"/>
    <w:rPr>
      <w:rFonts w:ascii="Times New Roman" w:eastAsia="Times New Roman" w:hAnsi="Times New Roman" w:cs="Times New Roman"/>
      <w:b/>
      <w:bCs/>
      <w:kern w:val="36"/>
      <w:sz w:val="48"/>
      <w:szCs w:val="48"/>
    </w:rPr>
  </w:style>
  <w:style w:type="character" w:styleId="Hyperlink">
    <w:name w:val="Hyperlink"/>
    <w:aliases w:val="超级链接,超?级链,CEO_Hyperlink"/>
    <w:basedOn w:val="DefaultParagraphFont"/>
    <w:uiPriority w:val="99"/>
    <w:unhideWhenUsed/>
    <w:rsid w:val="009462B9"/>
    <w:rPr>
      <w:color w:val="0000FF"/>
      <w:u w:val="single"/>
    </w:rPr>
  </w:style>
  <w:style w:type="character" w:styleId="Emphasis">
    <w:name w:val="Emphasis"/>
    <w:basedOn w:val="DefaultParagraphFont"/>
    <w:uiPriority w:val="20"/>
    <w:qFormat/>
    <w:rsid w:val="009462B9"/>
    <w:rPr>
      <w:i/>
      <w:iCs/>
    </w:rPr>
  </w:style>
  <w:style w:type="character" w:styleId="Strong">
    <w:name w:val="Strong"/>
    <w:basedOn w:val="DefaultParagraphFont"/>
    <w:uiPriority w:val="22"/>
    <w:qFormat/>
    <w:rsid w:val="009462B9"/>
    <w:rPr>
      <w:b/>
      <w:bCs/>
    </w:rPr>
  </w:style>
  <w:style w:type="table" w:styleId="TableGrid">
    <w:name w:val="Table Grid"/>
    <w:basedOn w:val="TableNormal"/>
    <w:uiPriority w:val="39"/>
    <w:rsid w:val="00B3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
    <w:basedOn w:val="Normal"/>
    <w:link w:val="ListParagraphChar"/>
    <w:uiPriority w:val="34"/>
    <w:qFormat/>
    <w:rsid w:val="00A26513"/>
    <w:pPr>
      <w:ind w:left="720"/>
      <w:contextualSpacing/>
    </w:pPr>
  </w:style>
  <w:style w:type="character" w:customStyle="1" w:styleId="Heading2Char">
    <w:name w:val="Heading 2 Char"/>
    <w:basedOn w:val="DefaultParagraphFont"/>
    <w:link w:val="Heading2"/>
    <w:uiPriority w:val="9"/>
    <w:rsid w:val="00033F67"/>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3A7828"/>
    <w:pPr>
      <w:widowControl w:val="0"/>
      <w:autoSpaceDE w:val="0"/>
      <w:autoSpaceDN w:val="0"/>
      <w:adjustRightInd w:val="0"/>
      <w:spacing w:after="0" w:line="240" w:lineRule="auto"/>
    </w:pPr>
    <w:rPr>
      <w:rFonts w:ascii="Calibri" w:hAnsi="Calibri" w:cs="Calibri"/>
      <w:color w:val="000000"/>
      <w:sz w:val="24"/>
      <w:szCs w:val="24"/>
      <w:lang w:val="en-US" w:eastAsia="ja-JP"/>
    </w:rPr>
  </w:style>
  <w:style w:type="paragraph" w:styleId="BalloonText">
    <w:name w:val="Balloon Text"/>
    <w:basedOn w:val="Normal"/>
    <w:link w:val="BalloonTextChar"/>
    <w:uiPriority w:val="99"/>
    <w:semiHidden/>
    <w:unhideWhenUsed/>
    <w:rsid w:val="00B236B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236B4"/>
    <w:rPr>
      <w:rFonts w:asciiTheme="majorHAnsi" w:eastAsiaTheme="majorEastAsia" w:hAnsiTheme="majorHAnsi" w:cstheme="majorBidi"/>
      <w:sz w:val="18"/>
      <w:szCs w:val="18"/>
    </w:rPr>
  </w:style>
  <w:style w:type="character" w:customStyle="1" w:styleId="ListParagraphChar">
    <w:name w:val="List Paragraph Char"/>
    <w:aliases w:val="List Paragraph1 Char,Recommendation Char,List Paragraph11 Char"/>
    <w:link w:val="ListParagraph"/>
    <w:uiPriority w:val="34"/>
    <w:rsid w:val="008D2BC6"/>
  </w:style>
  <w:style w:type="paragraph" w:styleId="Revision">
    <w:name w:val="Revision"/>
    <w:hidden/>
    <w:uiPriority w:val="99"/>
    <w:semiHidden/>
    <w:rsid w:val="00974900"/>
    <w:pPr>
      <w:spacing w:after="0" w:line="240" w:lineRule="auto"/>
    </w:pPr>
  </w:style>
  <w:style w:type="paragraph" w:styleId="Header">
    <w:name w:val="header"/>
    <w:basedOn w:val="Normal"/>
    <w:link w:val="HeaderChar"/>
    <w:uiPriority w:val="99"/>
    <w:unhideWhenUsed/>
    <w:rsid w:val="004A7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2B6"/>
  </w:style>
  <w:style w:type="paragraph" w:styleId="Footer">
    <w:name w:val="footer"/>
    <w:basedOn w:val="Normal"/>
    <w:link w:val="FooterChar"/>
    <w:uiPriority w:val="99"/>
    <w:unhideWhenUsed/>
    <w:rsid w:val="004A7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2B6"/>
  </w:style>
  <w:style w:type="character" w:styleId="FollowedHyperlink">
    <w:name w:val="FollowedHyperlink"/>
    <w:basedOn w:val="DefaultParagraphFont"/>
    <w:uiPriority w:val="99"/>
    <w:semiHidden/>
    <w:unhideWhenUsed/>
    <w:rsid w:val="00D008F3"/>
    <w:rPr>
      <w:color w:val="954F72" w:themeColor="followedHyperlink"/>
      <w:u w:val="single"/>
    </w:rPr>
  </w:style>
  <w:style w:type="paragraph" w:customStyle="1" w:styleId="Docnumber">
    <w:name w:val="Docnumber"/>
    <w:basedOn w:val="Normal"/>
    <w:link w:val="DocnumberChar"/>
    <w:qFormat/>
    <w:rsid w:val="003E0C10"/>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b/>
      <w:bCs/>
      <w:sz w:val="40"/>
      <w:szCs w:val="20"/>
      <w:lang w:eastAsia="en-US"/>
    </w:rPr>
  </w:style>
  <w:style w:type="character" w:customStyle="1" w:styleId="DocnumberChar">
    <w:name w:val="Docnumber Char"/>
    <w:link w:val="Docnumber"/>
    <w:rsid w:val="003E0C10"/>
    <w:rPr>
      <w:rFonts w:ascii="Times New Roman" w:eastAsia="Times New Roman" w:hAnsi="Times New Roman" w:cs="Times New Roman"/>
      <w:b/>
      <w:bCs/>
      <w:sz w:val="40"/>
      <w:szCs w:val="20"/>
      <w:lang w:eastAsia="en-US"/>
    </w:rPr>
  </w:style>
  <w:style w:type="paragraph" w:customStyle="1" w:styleId="enumlev1">
    <w:name w:val="enumlev1"/>
    <w:basedOn w:val="Normal"/>
    <w:link w:val="enumlev1Char"/>
    <w:qFormat/>
    <w:rsid w:val="00AC10F5"/>
    <w:pPr>
      <w:spacing w:before="80" w:after="0" w:line="240" w:lineRule="auto"/>
      <w:ind w:left="794" w:hanging="794"/>
    </w:pPr>
    <w:rPr>
      <w:rFonts w:ascii="Times New Roman" w:hAnsi="Times New Roman" w:cs="Times New Roman"/>
      <w:sz w:val="24"/>
      <w:szCs w:val="24"/>
      <w:lang w:eastAsia="ja-JP"/>
    </w:rPr>
  </w:style>
  <w:style w:type="character" w:customStyle="1" w:styleId="enumlev1Char">
    <w:name w:val="enumlev1 Char"/>
    <w:basedOn w:val="DefaultParagraphFont"/>
    <w:link w:val="enumlev1"/>
    <w:rsid w:val="00AC10F5"/>
    <w:rPr>
      <w:rFonts w:ascii="Times New Roman" w:hAnsi="Times New Roman" w:cs="Times New Roman"/>
      <w:sz w:val="24"/>
      <w:szCs w:val="24"/>
      <w:lang w:eastAsia="ja-JP"/>
    </w:rPr>
  </w:style>
  <w:style w:type="paragraph" w:styleId="PlainText">
    <w:name w:val="Plain Text"/>
    <w:basedOn w:val="Normal"/>
    <w:link w:val="PlainTextChar"/>
    <w:uiPriority w:val="99"/>
    <w:semiHidden/>
    <w:unhideWhenUsed/>
    <w:rsid w:val="00F55D93"/>
    <w:pPr>
      <w:spacing w:after="0" w:line="240" w:lineRule="auto"/>
    </w:pPr>
    <w:rPr>
      <w:rFonts w:ascii="Calibri" w:eastAsiaTheme="minorHAnsi" w:hAnsi="Calibri" w:cs="Calibri"/>
      <w:lang w:val="en-US" w:eastAsia="en-US"/>
    </w:rPr>
  </w:style>
  <w:style w:type="character" w:customStyle="1" w:styleId="PlainTextChar">
    <w:name w:val="Plain Text Char"/>
    <w:basedOn w:val="DefaultParagraphFont"/>
    <w:link w:val="PlainText"/>
    <w:uiPriority w:val="99"/>
    <w:semiHidden/>
    <w:rsid w:val="00F55D93"/>
    <w:rPr>
      <w:rFonts w:ascii="Calibri" w:eastAsiaTheme="minorHAnsi" w:hAnsi="Calibri" w:cs="Calibri"/>
      <w:lang w:val="en-US" w:eastAsia="en-US"/>
    </w:rPr>
  </w:style>
  <w:style w:type="paragraph" w:styleId="FootnoteText">
    <w:name w:val="footnote text"/>
    <w:basedOn w:val="Normal"/>
    <w:link w:val="FootnoteTextChar"/>
    <w:uiPriority w:val="99"/>
    <w:semiHidden/>
    <w:unhideWhenUsed/>
    <w:rsid w:val="00F55D93"/>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F55D93"/>
    <w:rPr>
      <w:rFonts w:eastAsiaTheme="minorHAnsi"/>
      <w:sz w:val="20"/>
      <w:szCs w:val="20"/>
      <w:lang w:val="en-US" w:eastAsia="en-US"/>
    </w:rPr>
  </w:style>
  <w:style w:type="character" w:styleId="FootnoteReference">
    <w:name w:val="footnote reference"/>
    <w:basedOn w:val="DefaultParagraphFont"/>
    <w:uiPriority w:val="99"/>
    <w:semiHidden/>
    <w:unhideWhenUsed/>
    <w:rsid w:val="00F55D93"/>
    <w:rPr>
      <w:vertAlign w:val="superscript"/>
    </w:rPr>
  </w:style>
  <w:style w:type="character" w:styleId="CommentReference">
    <w:name w:val="annotation reference"/>
    <w:basedOn w:val="DefaultParagraphFont"/>
    <w:uiPriority w:val="99"/>
    <w:semiHidden/>
    <w:unhideWhenUsed/>
    <w:rsid w:val="00E90D66"/>
    <w:rPr>
      <w:sz w:val="16"/>
      <w:szCs w:val="16"/>
    </w:rPr>
  </w:style>
  <w:style w:type="paragraph" w:styleId="CommentText">
    <w:name w:val="annotation text"/>
    <w:basedOn w:val="Normal"/>
    <w:link w:val="CommentTextChar"/>
    <w:uiPriority w:val="99"/>
    <w:unhideWhenUsed/>
    <w:rsid w:val="00E90D66"/>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E90D66"/>
    <w:rPr>
      <w:rFonts w:eastAsiaTheme="minorHAnsi"/>
      <w:sz w:val="20"/>
      <w:szCs w:val="20"/>
      <w:lang w:val="en-US" w:eastAsia="en-US"/>
    </w:rPr>
  </w:style>
  <w:style w:type="table" w:customStyle="1" w:styleId="TableGrid1">
    <w:name w:val="Table Grid1"/>
    <w:basedOn w:val="TableNormal"/>
    <w:next w:val="TableGrid"/>
    <w:uiPriority w:val="39"/>
    <w:rsid w:val="00A31CF7"/>
    <w:pPr>
      <w:spacing w:after="0" w:line="240" w:lineRule="auto"/>
    </w:pPr>
    <w:rPr>
      <w:rFonts w:eastAsiaTheme="minorHAnsi"/>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0D05"/>
    <w:rPr>
      <w:color w:val="605E5C"/>
      <w:shd w:val="clear" w:color="auto" w:fill="E1DFDD"/>
    </w:rPr>
  </w:style>
  <w:style w:type="character" w:styleId="PlaceholderText">
    <w:name w:val="Placeholder Text"/>
    <w:basedOn w:val="DefaultParagraphFont"/>
    <w:uiPriority w:val="99"/>
    <w:semiHidden/>
    <w:rPr>
      <w:rFonts w:ascii="Times New Roman" w:hAnsi="Times New Roman"/>
      <w:color w:val="808080"/>
    </w:rPr>
  </w:style>
  <w:style w:type="character" w:customStyle="1" w:styleId="Heading4Char">
    <w:name w:val="Heading 4 Char"/>
    <w:basedOn w:val="DefaultParagraphFont"/>
    <w:link w:val="Heading4"/>
    <w:uiPriority w:val="9"/>
    <w:semiHidden/>
    <w:rsid w:val="002F7191"/>
    <w:rPr>
      <w:rFonts w:asciiTheme="majorHAnsi" w:eastAsiaTheme="majorEastAsia" w:hAnsiTheme="majorHAnsi" w:cstheme="majorBidi"/>
      <w:i/>
      <w:iCs/>
      <w:color w:val="2E74B5" w:themeColor="accent1" w:themeShade="BF"/>
    </w:rPr>
  </w:style>
  <w:style w:type="paragraph" w:customStyle="1" w:styleId="Headingb">
    <w:name w:val="Heading_b"/>
    <w:basedOn w:val="Normal"/>
    <w:next w:val="Normal"/>
    <w:qFormat/>
    <w:rsid w:val="002F7191"/>
    <w:pPr>
      <w:keepNext/>
      <w:tabs>
        <w:tab w:val="left" w:pos="794"/>
        <w:tab w:val="left" w:pos="1191"/>
        <w:tab w:val="left" w:pos="1588"/>
        <w:tab w:val="left" w:pos="1985"/>
      </w:tabs>
      <w:overflowPunct w:val="0"/>
      <w:autoSpaceDE w:val="0"/>
      <w:autoSpaceDN w:val="0"/>
      <w:adjustRightInd w:val="0"/>
      <w:spacing w:before="160" w:after="0" w:line="240" w:lineRule="auto"/>
      <w:textAlignment w:val="baseline"/>
    </w:pPr>
    <w:rPr>
      <w:rFonts w:ascii="Times New Roman" w:eastAsia="Times New Roman" w:hAnsi="Times New Roman" w:cs="Times New Roman"/>
      <w:b/>
      <w:sz w:val="24"/>
      <w:szCs w:val="20"/>
      <w:lang w:eastAsia="en-US"/>
    </w:rPr>
  </w:style>
  <w:style w:type="paragraph" w:customStyle="1" w:styleId="Call">
    <w:name w:val="Call"/>
    <w:basedOn w:val="Normal"/>
    <w:rsid w:val="002F7191"/>
    <w:pPr>
      <w:keepNext/>
      <w:overflowPunct w:val="0"/>
      <w:autoSpaceDE w:val="0"/>
      <w:autoSpaceDN w:val="0"/>
      <w:spacing w:before="160" w:after="0" w:line="240" w:lineRule="auto"/>
      <w:ind w:left="567"/>
    </w:pPr>
    <w:rPr>
      <w:rFonts w:ascii="Calibri" w:hAnsi="Calibri" w:cs="Times New Roman"/>
      <w:i/>
      <w:iCs/>
      <w:sz w:val="24"/>
      <w:szCs w:val="24"/>
      <w:lang w:val="en-US"/>
    </w:rPr>
  </w:style>
  <w:style w:type="paragraph" w:customStyle="1" w:styleId="paragraph">
    <w:name w:val="paragraph"/>
    <w:basedOn w:val="Normal"/>
    <w:rsid w:val="00FA20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20AD"/>
  </w:style>
  <w:style w:type="character" w:customStyle="1" w:styleId="eop">
    <w:name w:val="eop"/>
    <w:basedOn w:val="DefaultParagraphFont"/>
    <w:rsid w:val="00FA2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8306">
      <w:bodyDiv w:val="1"/>
      <w:marLeft w:val="0"/>
      <w:marRight w:val="0"/>
      <w:marTop w:val="0"/>
      <w:marBottom w:val="0"/>
      <w:divBdr>
        <w:top w:val="none" w:sz="0" w:space="0" w:color="auto"/>
        <w:left w:val="none" w:sz="0" w:space="0" w:color="auto"/>
        <w:bottom w:val="none" w:sz="0" w:space="0" w:color="auto"/>
        <w:right w:val="none" w:sz="0" w:space="0" w:color="auto"/>
      </w:divBdr>
    </w:div>
    <w:div w:id="160319297">
      <w:bodyDiv w:val="1"/>
      <w:marLeft w:val="0"/>
      <w:marRight w:val="0"/>
      <w:marTop w:val="0"/>
      <w:marBottom w:val="0"/>
      <w:divBdr>
        <w:top w:val="none" w:sz="0" w:space="0" w:color="auto"/>
        <w:left w:val="none" w:sz="0" w:space="0" w:color="auto"/>
        <w:bottom w:val="none" w:sz="0" w:space="0" w:color="auto"/>
        <w:right w:val="none" w:sz="0" w:space="0" w:color="auto"/>
      </w:divBdr>
    </w:div>
    <w:div w:id="166143135">
      <w:bodyDiv w:val="1"/>
      <w:marLeft w:val="0"/>
      <w:marRight w:val="0"/>
      <w:marTop w:val="0"/>
      <w:marBottom w:val="0"/>
      <w:divBdr>
        <w:top w:val="none" w:sz="0" w:space="0" w:color="auto"/>
        <w:left w:val="none" w:sz="0" w:space="0" w:color="auto"/>
        <w:bottom w:val="none" w:sz="0" w:space="0" w:color="auto"/>
        <w:right w:val="none" w:sz="0" w:space="0" w:color="auto"/>
      </w:divBdr>
    </w:div>
    <w:div w:id="199516345">
      <w:bodyDiv w:val="1"/>
      <w:marLeft w:val="0"/>
      <w:marRight w:val="0"/>
      <w:marTop w:val="0"/>
      <w:marBottom w:val="0"/>
      <w:divBdr>
        <w:top w:val="none" w:sz="0" w:space="0" w:color="auto"/>
        <w:left w:val="none" w:sz="0" w:space="0" w:color="auto"/>
        <w:bottom w:val="none" w:sz="0" w:space="0" w:color="auto"/>
        <w:right w:val="none" w:sz="0" w:space="0" w:color="auto"/>
      </w:divBdr>
    </w:div>
    <w:div w:id="238250875">
      <w:bodyDiv w:val="1"/>
      <w:marLeft w:val="0"/>
      <w:marRight w:val="0"/>
      <w:marTop w:val="0"/>
      <w:marBottom w:val="0"/>
      <w:divBdr>
        <w:top w:val="none" w:sz="0" w:space="0" w:color="auto"/>
        <w:left w:val="none" w:sz="0" w:space="0" w:color="auto"/>
        <w:bottom w:val="none" w:sz="0" w:space="0" w:color="auto"/>
        <w:right w:val="none" w:sz="0" w:space="0" w:color="auto"/>
      </w:divBdr>
      <w:divsChild>
        <w:div w:id="1207910488">
          <w:marLeft w:val="576"/>
          <w:marRight w:val="0"/>
          <w:marTop w:val="160"/>
          <w:marBottom w:val="0"/>
          <w:divBdr>
            <w:top w:val="none" w:sz="0" w:space="0" w:color="auto"/>
            <w:left w:val="none" w:sz="0" w:space="0" w:color="auto"/>
            <w:bottom w:val="none" w:sz="0" w:space="0" w:color="auto"/>
            <w:right w:val="none" w:sz="0" w:space="0" w:color="auto"/>
          </w:divBdr>
        </w:div>
        <w:div w:id="489366897">
          <w:marLeft w:val="1166"/>
          <w:marRight w:val="0"/>
          <w:marTop w:val="86"/>
          <w:marBottom w:val="0"/>
          <w:divBdr>
            <w:top w:val="none" w:sz="0" w:space="0" w:color="auto"/>
            <w:left w:val="none" w:sz="0" w:space="0" w:color="auto"/>
            <w:bottom w:val="none" w:sz="0" w:space="0" w:color="auto"/>
            <w:right w:val="none" w:sz="0" w:space="0" w:color="auto"/>
          </w:divBdr>
        </w:div>
        <w:div w:id="1156216648">
          <w:marLeft w:val="1800"/>
          <w:marRight w:val="0"/>
          <w:marTop w:val="86"/>
          <w:marBottom w:val="0"/>
          <w:divBdr>
            <w:top w:val="none" w:sz="0" w:space="0" w:color="auto"/>
            <w:left w:val="none" w:sz="0" w:space="0" w:color="auto"/>
            <w:bottom w:val="none" w:sz="0" w:space="0" w:color="auto"/>
            <w:right w:val="none" w:sz="0" w:space="0" w:color="auto"/>
          </w:divBdr>
        </w:div>
        <w:div w:id="780337723">
          <w:marLeft w:val="576"/>
          <w:marRight w:val="0"/>
          <w:marTop w:val="160"/>
          <w:marBottom w:val="0"/>
          <w:divBdr>
            <w:top w:val="none" w:sz="0" w:space="0" w:color="auto"/>
            <w:left w:val="none" w:sz="0" w:space="0" w:color="auto"/>
            <w:bottom w:val="none" w:sz="0" w:space="0" w:color="auto"/>
            <w:right w:val="none" w:sz="0" w:space="0" w:color="auto"/>
          </w:divBdr>
        </w:div>
        <w:div w:id="1184514953">
          <w:marLeft w:val="1166"/>
          <w:marRight w:val="0"/>
          <w:marTop w:val="86"/>
          <w:marBottom w:val="0"/>
          <w:divBdr>
            <w:top w:val="none" w:sz="0" w:space="0" w:color="auto"/>
            <w:left w:val="none" w:sz="0" w:space="0" w:color="auto"/>
            <w:bottom w:val="none" w:sz="0" w:space="0" w:color="auto"/>
            <w:right w:val="none" w:sz="0" w:space="0" w:color="auto"/>
          </w:divBdr>
        </w:div>
        <w:div w:id="89591330">
          <w:marLeft w:val="1800"/>
          <w:marRight w:val="0"/>
          <w:marTop w:val="86"/>
          <w:marBottom w:val="0"/>
          <w:divBdr>
            <w:top w:val="none" w:sz="0" w:space="0" w:color="auto"/>
            <w:left w:val="none" w:sz="0" w:space="0" w:color="auto"/>
            <w:bottom w:val="none" w:sz="0" w:space="0" w:color="auto"/>
            <w:right w:val="none" w:sz="0" w:space="0" w:color="auto"/>
          </w:divBdr>
        </w:div>
        <w:div w:id="1571696696">
          <w:marLeft w:val="1800"/>
          <w:marRight w:val="0"/>
          <w:marTop w:val="86"/>
          <w:marBottom w:val="0"/>
          <w:divBdr>
            <w:top w:val="none" w:sz="0" w:space="0" w:color="auto"/>
            <w:left w:val="none" w:sz="0" w:space="0" w:color="auto"/>
            <w:bottom w:val="none" w:sz="0" w:space="0" w:color="auto"/>
            <w:right w:val="none" w:sz="0" w:space="0" w:color="auto"/>
          </w:divBdr>
        </w:div>
        <w:div w:id="69423130">
          <w:marLeft w:val="1800"/>
          <w:marRight w:val="0"/>
          <w:marTop w:val="86"/>
          <w:marBottom w:val="0"/>
          <w:divBdr>
            <w:top w:val="none" w:sz="0" w:space="0" w:color="auto"/>
            <w:left w:val="none" w:sz="0" w:space="0" w:color="auto"/>
            <w:bottom w:val="none" w:sz="0" w:space="0" w:color="auto"/>
            <w:right w:val="none" w:sz="0" w:space="0" w:color="auto"/>
          </w:divBdr>
        </w:div>
      </w:divsChild>
    </w:div>
    <w:div w:id="241762446">
      <w:bodyDiv w:val="1"/>
      <w:marLeft w:val="0"/>
      <w:marRight w:val="0"/>
      <w:marTop w:val="0"/>
      <w:marBottom w:val="0"/>
      <w:divBdr>
        <w:top w:val="none" w:sz="0" w:space="0" w:color="auto"/>
        <w:left w:val="none" w:sz="0" w:space="0" w:color="auto"/>
        <w:bottom w:val="none" w:sz="0" w:space="0" w:color="auto"/>
        <w:right w:val="none" w:sz="0" w:space="0" w:color="auto"/>
      </w:divBdr>
    </w:div>
    <w:div w:id="307905597">
      <w:bodyDiv w:val="1"/>
      <w:marLeft w:val="0"/>
      <w:marRight w:val="0"/>
      <w:marTop w:val="0"/>
      <w:marBottom w:val="0"/>
      <w:divBdr>
        <w:top w:val="none" w:sz="0" w:space="0" w:color="auto"/>
        <w:left w:val="none" w:sz="0" w:space="0" w:color="auto"/>
        <w:bottom w:val="none" w:sz="0" w:space="0" w:color="auto"/>
        <w:right w:val="none" w:sz="0" w:space="0" w:color="auto"/>
      </w:divBdr>
    </w:div>
    <w:div w:id="835802595">
      <w:bodyDiv w:val="1"/>
      <w:marLeft w:val="0"/>
      <w:marRight w:val="0"/>
      <w:marTop w:val="0"/>
      <w:marBottom w:val="0"/>
      <w:divBdr>
        <w:top w:val="none" w:sz="0" w:space="0" w:color="auto"/>
        <w:left w:val="none" w:sz="0" w:space="0" w:color="auto"/>
        <w:bottom w:val="none" w:sz="0" w:space="0" w:color="auto"/>
        <w:right w:val="none" w:sz="0" w:space="0" w:color="auto"/>
      </w:divBdr>
    </w:div>
    <w:div w:id="850754889">
      <w:bodyDiv w:val="1"/>
      <w:marLeft w:val="0"/>
      <w:marRight w:val="0"/>
      <w:marTop w:val="0"/>
      <w:marBottom w:val="0"/>
      <w:divBdr>
        <w:top w:val="none" w:sz="0" w:space="0" w:color="auto"/>
        <w:left w:val="none" w:sz="0" w:space="0" w:color="auto"/>
        <w:bottom w:val="none" w:sz="0" w:space="0" w:color="auto"/>
        <w:right w:val="none" w:sz="0" w:space="0" w:color="auto"/>
      </w:divBdr>
    </w:div>
    <w:div w:id="906837275">
      <w:bodyDiv w:val="1"/>
      <w:marLeft w:val="0"/>
      <w:marRight w:val="0"/>
      <w:marTop w:val="0"/>
      <w:marBottom w:val="0"/>
      <w:divBdr>
        <w:top w:val="none" w:sz="0" w:space="0" w:color="auto"/>
        <w:left w:val="none" w:sz="0" w:space="0" w:color="auto"/>
        <w:bottom w:val="none" w:sz="0" w:space="0" w:color="auto"/>
        <w:right w:val="none" w:sz="0" w:space="0" w:color="auto"/>
      </w:divBdr>
      <w:divsChild>
        <w:div w:id="170148130">
          <w:marLeft w:val="547"/>
          <w:marRight w:val="0"/>
          <w:marTop w:val="96"/>
          <w:marBottom w:val="0"/>
          <w:divBdr>
            <w:top w:val="none" w:sz="0" w:space="0" w:color="auto"/>
            <w:left w:val="none" w:sz="0" w:space="0" w:color="auto"/>
            <w:bottom w:val="none" w:sz="0" w:space="0" w:color="auto"/>
            <w:right w:val="none" w:sz="0" w:space="0" w:color="auto"/>
          </w:divBdr>
        </w:div>
        <w:div w:id="1017149372">
          <w:marLeft w:val="547"/>
          <w:marRight w:val="0"/>
          <w:marTop w:val="96"/>
          <w:marBottom w:val="0"/>
          <w:divBdr>
            <w:top w:val="none" w:sz="0" w:space="0" w:color="auto"/>
            <w:left w:val="none" w:sz="0" w:space="0" w:color="auto"/>
            <w:bottom w:val="none" w:sz="0" w:space="0" w:color="auto"/>
            <w:right w:val="none" w:sz="0" w:space="0" w:color="auto"/>
          </w:divBdr>
        </w:div>
        <w:div w:id="396712128">
          <w:marLeft w:val="547"/>
          <w:marRight w:val="0"/>
          <w:marTop w:val="96"/>
          <w:marBottom w:val="0"/>
          <w:divBdr>
            <w:top w:val="none" w:sz="0" w:space="0" w:color="auto"/>
            <w:left w:val="none" w:sz="0" w:space="0" w:color="auto"/>
            <w:bottom w:val="none" w:sz="0" w:space="0" w:color="auto"/>
            <w:right w:val="none" w:sz="0" w:space="0" w:color="auto"/>
          </w:divBdr>
        </w:div>
        <w:div w:id="293562103">
          <w:marLeft w:val="1354"/>
          <w:marRight w:val="0"/>
          <w:marTop w:val="86"/>
          <w:marBottom w:val="0"/>
          <w:divBdr>
            <w:top w:val="none" w:sz="0" w:space="0" w:color="auto"/>
            <w:left w:val="none" w:sz="0" w:space="0" w:color="auto"/>
            <w:bottom w:val="none" w:sz="0" w:space="0" w:color="auto"/>
            <w:right w:val="none" w:sz="0" w:space="0" w:color="auto"/>
          </w:divBdr>
        </w:div>
        <w:div w:id="1201436782">
          <w:marLeft w:val="1354"/>
          <w:marRight w:val="0"/>
          <w:marTop w:val="86"/>
          <w:marBottom w:val="0"/>
          <w:divBdr>
            <w:top w:val="none" w:sz="0" w:space="0" w:color="auto"/>
            <w:left w:val="none" w:sz="0" w:space="0" w:color="auto"/>
            <w:bottom w:val="none" w:sz="0" w:space="0" w:color="auto"/>
            <w:right w:val="none" w:sz="0" w:space="0" w:color="auto"/>
          </w:divBdr>
        </w:div>
        <w:div w:id="163786069">
          <w:marLeft w:val="1354"/>
          <w:marRight w:val="0"/>
          <w:marTop w:val="86"/>
          <w:marBottom w:val="0"/>
          <w:divBdr>
            <w:top w:val="none" w:sz="0" w:space="0" w:color="auto"/>
            <w:left w:val="none" w:sz="0" w:space="0" w:color="auto"/>
            <w:bottom w:val="none" w:sz="0" w:space="0" w:color="auto"/>
            <w:right w:val="none" w:sz="0" w:space="0" w:color="auto"/>
          </w:divBdr>
        </w:div>
        <w:div w:id="833253872">
          <w:marLeft w:val="1354"/>
          <w:marRight w:val="0"/>
          <w:marTop w:val="86"/>
          <w:marBottom w:val="0"/>
          <w:divBdr>
            <w:top w:val="none" w:sz="0" w:space="0" w:color="auto"/>
            <w:left w:val="none" w:sz="0" w:space="0" w:color="auto"/>
            <w:bottom w:val="none" w:sz="0" w:space="0" w:color="auto"/>
            <w:right w:val="none" w:sz="0" w:space="0" w:color="auto"/>
          </w:divBdr>
        </w:div>
      </w:divsChild>
    </w:div>
    <w:div w:id="939871412">
      <w:bodyDiv w:val="1"/>
      <w:marLeft w:val="0"/>
      <w:marRight w:val="0"/>
      <w:marTop w:val="0"/>
      <w:marBottom w:val="0"/>
      <w:divBdr>
        <w:top w:val="none" w:sz="0" w:space="0" w:color="auto"/>
        <w:left w:val="none" w:sz="0" w:space="0" w:color="auto"/>
        <w:bottom w:val="none" w:sz="0" w:space="0" w:color="auto"/>
        <w:right w:val="none" w:sz="0" w:space="0" w:color="auto"/>
      </w:divBdr>
      <w:divsChild>
        <w:div w:id="1426463932">
          <w:marLeft w:val="576"/>
          <w:marRight w:val="0"/>
          <w:marTop w:val="160"/>
          <w:marBottom w:val="0"/>
          <w:divBdr>
            <w:top w:val="none" w:sz="0" w:space="0" w:color="auto"/>
            <w:left w:val="none" w:sz="0" w:space="0" w:color="auto"/>
            <w:bottom w:val="none" w:sz="0" w:space="0" w:color="auto"/>
            <w:right w:val="none" w:sz="0" w:space="0" w:color="auto"/>
          </w:divBdr>
        </w:div>
        <w:div w:id="680275781">
          <w:marLeft w:val="576"/>
          <w:marRight w:val="0"/>
          <w:marTop w:val="160"/>
          <w:marBottom w:val="0"/>
          <w:divBdr>
            <w:top w:val="none" w:sz="0" w:space="0" w:color="auto"/>
            <w:left w:val="none" w:sz="0" w:space="0" w:color="auto"/>
            <w:bottom w:val="none" w:sz="0" w:space="0" w:color="auto"/>
            <w:right w:val="none" w:sz="0" w:space="0" w:color="auto"/>
          </w:divBdr>
        </w:div>
        <w:div w:id="1591546964">
          <w:marLeft w:val="576"/>
          <w:marRight w:val="0"/>
          <w:marTop w:val="160"/>
          <w:marBottom w:val="0"/>
          <w:divBdr>
            <w:top w:val="none" w:sz="0" w:space="0" w:color="auto"/>
            <w:left w:val="none" w:sz="0" w:space="0" w:color="auto"/>
            <w:bottom w:val="none" w:sz="0" w:space="0" w:color="auto"/>
            <w:right w:val="none" w:sz="0" w:space="0" w:color="auto"/>
          </w:divBdr>
        </w:div>
        <w:div w:id="410202890">
          <w:marLeft w:val="1210"/>
          <w:marRight w:val="0"/>
          <w:marTop w:val="160"/>
          <w:marBottom w:val="0"/>
          <w:divBdr>
            <w:top w:val="none" w:sz="0" w:space="0" w:color="auto"/>
            <w:left w:val="none" w:sz="0" w:space="0" w:color="auto"/>
            <w:bottom w:val="none" w:sz="0" w:space="0" w:color="auto"/>
            <w:right w:val="none" w:sz="0" w:space="0" w:color="auto"/>
          </w:divBdr>
        </w:div>
        <w:div w:id="916013845">
          <w:marLeft w:val="1210"/>
          <w:marRight w:val="0"/>
          <w:marTop w:val="160"/>
          <w:marBottom w:val="0"/>
          <w:divBdr>
            <w:top w:val="none" w:sz="0" w:space="0" w:color="auto"/>
            <w:left w:val="none" w:sz="0" w:space="0" w:color="auto"/>
            <w:bottom w:val="none" w:sz="0" w:space="0" w:color="auto"/>
            <w:right w:val="none" w:sz="0" w:space="0" w:color="auto"/>
          </w:divBdr>
        </w:div>
        <w:div w:id="185337118">
          <w:marLeft w:val="1210"/>
          <w:marRight w:val="0"/>
          <w:marTop w:val="160"/>
          <w:marBottom w:val="0"/>
          <w:divBdr>
            <w:top w:val="none" w:sz="0" w:space="0" w:color="auto"/>
            <w:left w:val="none" w:sz="0" w:space="0" w:color="auto"/>
            <w:bottom w:val="none" w:sz="0" w:space="0" w:color="auto"/>
            <w:right w:val="none" w:sz="0" w:space="0" w:color="auto"/>
          </w:divBdr>
        </w:div>
        <w:div w:id="7997408">
          <w:marLeft w:val="576"/>
          <w:marRight w:val="0"/>
          <w:marTop w:val="160"/>
          <w:marBottom w:val="0"/>
          <w:divBdr>
            <w:top w:val="none" w:sz="0" w:space="0" w:color="auto"/>
            <w:left w:val="none" w:sz="0" w:space="0" w:color="auto"/>
            <w:bottom w:val="none" w:sz="0" w:space="0" w:color="auto"/>
            <w:right w:val="none" w:sz="0" w:space="0" w:color="auto"/>
          </w:divBdr>
        </w:div>
        <w:div w:id="668289207">
          <w:marLeft w:val="1210"/>
          <w:marRight w:val="0"/>
          <w:marTop w:val="160"/>
          <w:marBottom w:val="0"/>
          <w:divBdr>
            <w:top w:val="none" w:sz="0" w:space="0" w:color="auto"/>
            <w:left w:val="none" w:sz="0" w:space="0" w:color="auto"/>
            <w:bottom w:val="none" w:sz="0" w:space="0" w:color="auto"/>
            <w:right w:val="none" w:sz="0" w:space="0" w:color="auto"/>
          </w:divBdr>
        </w:div>
        <w:div w:id="689648235">
          <w:marLeft w:val="1210"/>
          <w:marRight w:val="0"/>
          <w:marTop w:val="160"/>
          <w:marBottom w:val="0"/>
          <w:divBdr>
            <w:top w:val="none" w:sz="0" w:space="0" w:color="auto"/>
            <w:left w:val="none" w:sz="0" w:space="0" w:color="auto"/>
            <w:bottom w:val="none" w:sz="0" w:space="0" w:color="auto"/>
            <w:right w:val="none" w:sz="0" w:space="0" w:color="auto"/>
          </w:divBdr>
        </w:div>
      </w:divsChild>
    </w:div>
    <w:div w:id="1057238291">
      <w:bodyDiv w:val="1"/>
      <w:marLeft w:val="0"/>
      <w:marRight w:val="0"/>
      <w:marTop w:val="0"/>
      <w:marBottom w:val="0"/>
      <w:divBdr>
        <w:top w:val="none" w:sz="0" w:space="0" w:color="auto"/>
        <w:left w:val="none" w:sz="0" w:space="0" w:color="auto"/>
        <w:bottom w:val="none" w:sz="0" w:space="0" w:color="auto"/>
        <w:right w:val="none" w:sz="0" w:space="0" w:color="auto"/>
      </w:divBdr>
      <w:divsChild>
        <w:div w:id="1463038461">
          <w:marLeft w:val="576"/>
          <w:marRight w:val="0"/>
          <w:marTop w:val="160"/>
          <w:marBottom w:val="0"/>
          <w:divBdr>
            <w:top w:val="none" w:sz="0" w:space="0" w:color="auto"/>
            <w:left w:val="none" w:sz="0" w:space="0" w:color="auto"/>
            <w:bottom w:val="none" w:sz="0" w:space="0" w:color="auto"/>
            <w:right w:val="none" w:sz="0" w:space="0" w:color="auto"/>
          </w:divBdr>
        </w:div>
        <w:div w:id="1934438238">
          <w:marLeft w:val="1210"/>
          <w:marRight w:val="0"/>
          <w:marTop w:val="160"/>
          <w:marBottom w:val="0"/>
          <w:divBdr>
            <w:top w:val="none" w:sz="0" w:space="0" w:color="auto"/>
            <w:left w:val="none" w:sz="0" w:space="0" w:color="auto"/>
            <w:bottom w:val="none" w:sz="0" w:space="0" w:color="auto"/>
            <w:right w:val="none" w:sz="0" w:space="0" w:color="auto"/>
          </w:divBdr>
        </w:div>
        <w:div w:id="1143617063">
          <w:marLeft w:val="1210"/>
          <w:marRight w:val="0"/>
          <w:marTop w:val="160"/>
          <w:marBottom w:val="0"/>
          <w:divBdr>
            <w:top w:val="none" w:sz="0" w:space="0" w:color="auto"/>
            <w:left w:val="none" w:sz="0" w:space="0" w:color="auto"/>
            <w:bottom w:val="none" w:sz="0" w:space="0" w:color="auto"/>
            <w:right w:val="none" w:sz="0" w:space="0" w:color="auto"/>
          </w:divBdr>
        </w:div>
        <w:div w:id="774986697">
          <w:marLeft w:val="576"/>
          <w:marRight w:val="0"/>
          <w:marTop w:val="160"/>
          <w:marBottom w:val="0"/>
          <w:divBdr>
            <w:top w:val="none" w:sz="0" w:space="0" w:color="auto"/>
            <w:left w:val="none" w:sz="0" w:space="0" w:color="auto"/>
            <w:bottom w:val="none" w:sz="0" w:space="0" w:color="auto"/>
            <w:right w:val="none" w:sz="0" w:space="0" w:color="auto"/>
          </w:divBdr>
        </w:div>
      </w:divsChild>
    </w:div>
    <w:div w:id="1103920773">
      <w:bodyDiv w:val="1"/>
      <w:marLeft w:val="0"/>
      <w:marRight w:val="0"/>
      <w:marTop w:val="0"/>
      <w:marBottom w:val="0"/>
      <w:divBdr>
        <w:top w:val="none" w:sz="0" w:space="0" w:color="auto"/>
        <w:left w:val="none" w:sz="0" w:space="0" w:color="auto"/>
        <w:bottom w:val="none" w:sz="0" w:space="0" w:color="auto"/>
        <w:right w:val="none" w:sz="0" w:space="0" w:color="auto"/>
      </w:divBdr>
    </w:div>
    <w:div w:id="1114981601">
      <w:bodyDiv w:val="1"/>
      <w:marLeft w:val="0"/>
      <w:marRight w:val="0"/>
      <w:marTop w:val="0"/>
      <w:marBottom w:val="0"/>
      <w:divBdr>
        <w:top w:val="none" w:sz="0" w:space="0" w:color="auto"/>
        <w:left w:val="none" w:sz="0" w:space="0" w:color="auto"/>
        <w:bottom w:val="none" w:sz="0" w:space="0" w:color="auto"/>
        <w:right w:val="none" w:sz="0" w:space="0" w:color="auto"/>
      </w:divBdr>
      <w:divsChild>
        <w:div w:id="1958103961">
          <w:marLeft w:val="576"/>
          <w:marRight w:val="0"/>
          <w:marTop w:val="160"/>
          <w:marBottom w:val="0"/>
          <w:divBdr>
            <w:top w:val="none" w:sz="0" w:space="0" w:color="auto"/>
            <w:left w:val="none" w:sz="0" w:space="0" w:color="auto"/>
            <w:bottom w:val="none" w:sz="0" w:space="0" w:color="auto"/>
            <w:right w:val="none" w:sz="0" w:space="0" w:color="auto"/>
          </w:divBdr>
        </w:div>
      </w:divsChild>
    </w:div>
    <w:div w:id="1402942459">
      <w:bodyDiv w:val="1"/>
      <w:marLeft w:val="0"/>
      <w:marRight w:val="0"/>
      <w:marTop w:val="0"/>
      <w:marBottom w:val="0"/>
      <w:divBdr>
        <w:top w:val="none" w:sz="0" w:space="0" w:color="auto"/>
        <w:left w:val="none" w:sz="0" w:space="0" w:color="auto"/>
        <w:bottom w:val="none" w:sz="0" w:space="0" w:color="auto"/>
        <w:right w:val="none" w:sz="0" w:space="0" w:color="auto"/>
      </w:divBdr>
    </w:div>
    <w:div w:id="1426225674">
      <w:bodyDiv w:val="1"/>
      <w:marLeft w:val="0"/>
      <w:marRight w:val="0"/>
      <w:marTop w:val="0"/>
      <w:marBottom w:val="0"/>
      <w:divBdr>
        <w:top w:val="none" w:sz="0" w:space="0" w:color="auto"/>
        <w:left w:val="none" w:sz="0" w:space="0" w:color="auto"/>
        <w:bottom w:val="none" w:sz="0" w:space="0" w:color="auto"/>
        <w:right w:val="none" w:sz="0" w:space="0" w:color="auto"/>
      </w:divBdr>
      <w:divsChild>
        <w:div w:id="512232221">
          <w:marLeft w:val="576"/>
          <w:marRight w:val="0"/>
          <w:marTop w:val="160"/>
          <w:marBottom w:val="0"/>
          <w:divBdr>
            <w:top w:val="none" w:sz="0" w:space="0" w:color="auto"/>
            <w:left w:val="none" w:sz="0" w:space="0" w:color="auto"/>
            <w:bottom w:val="none" w:sz="0" w:space="0" w:color="auto"/>
            <w:right w:val="none" w:sz="0" w:space="0" w:color="auto"/>
          </w:divBdr>
        </w:div>
      </w:divsChild>
    </w:div>
    <w:div w:id="1697850702">
      <w:bodyDiv w:val="1"/>
      <w:marLeft w:val="0"/>
      <w:marRight w:val="0"/>
      <w:marTop w:val="0"/>
      <w:marBottom w:val="0"/>
      <w:divBdr>
        <w:top w:val="none" w:sz="0" w:space="0" w:color="auto"/>
        <w:left w:val="none" w:sz="0" w:space="0" w:color="auto"/>
        <w:bottom w:val="none" w:sz="0" w:space="0" w:color="auto"/>
        <w:right w:val="none" w:sz="0" w:space="0" w:color="auto"/>
      </w:divBdr>
      <w:divsChild>
        <w:div w:id="83503612">
          <w:marLeft w:val="547"/>
          <w:marRight w:val="0"/>
          <w:marTop w:val="96"/>
          <w:marBottom w:val="0"/>
          <w:divBdr>
            <w:top w:val="none" w:sz="0" w:space="0" w:color="auto"/>
            <w:left w:val="none" w:sz="0" w:space="0" w:color="auto"/>
            <w:bottom w:val="none" w:sz="0" w:space="0" w:color="auto"/>
            <w:right w:val="none" w:sz="0" w:space="0" w:color="auto"/>
          </w:divBdr>
        </w:div>
        <w:div w:id="1395156281">
          <w:marLeft w:val="547"/>
          <w:marRight w:val="0"/>
          <w:marTop w:val="96"/>
          <w:marBottom w:val="0"/>
          <w:divBdr>
            <w:top w:val="none" w:sz="0" w:space="0" w:color="auto"/>
            <w:left w:val="none" w:sz="0" w:space="0" w:color="auto"/>
            <w:bottom w:val="none" w:sz="0" w:space="0" w:color="auto"/>
            <w:right w:val="none" w:sz="0" w:space="0" w:color="auto"/>
          </w:divBdr>
        </w:div>
        <w:div w:id="424963488">
          <w:marLeft w:val="547"/>
          <w:marRight w:val="0"/>
          <w:marTop w:val="96"/>
          <w:marBottom w:val="0"/>
          <w:divBdr>
            <w:top w:val="none" w:sz="0" w:space="0" w:color="auto"/>
            <w:left w:val="none" w:sz="0" w:space="0" w:color="auto"/>
            <w:bottom w:val="none" w:sz="0" w:space="0" w:color="auto"/>
            <w:right w:val="none" w:sz="0" w:space="0" w:color="auto"/>
          </w:divBdr>
        </w:div>
        <w:div w:id="1449008172">
          <w:marLeft w:val="1166"/>
          <w:marRight w:val="0"/>
          <w:marTop w:val="77"/>
          <w:marBottom w:val="0"/>
          <w:divBdr>
            <w:top w:val="none" w:sz="0" w:space="0" w:color="auto"/>
            <w:left w:val="none" w:sz="0" w:space="0" w:color="auto"/>
            <w:bottom w:val="none" w:sz="0" w:space="0" w:color="auto"/>
            <w:right w:val="none" w:sz="0" w:space="0" w:color="auto"/>
          </w:divBdr>
        </w:div>
        <w:div w:id="453409666">
          <w:marLeft w:val="1166"/>
          <w:marRight w:val="0"/>
          <w:marTop w:val="77"/>
          <w:marBottom w:val="0"/>
          <w:divBdr>
            <w:top w:val="none" w:sz="0" w:space="0" w:color="auto"/>
            <w:left w:val="none" w:sz="0" w:space="0" w:color="auto"/>
            <w:bottom w:val="none" w:sz="0" w:space="0" w:color="auto"/>
            <w:right w:val="none" w:sz="0" w:space="0" w:color="auto"/>
          </w:divBdr>
        </w:div>
      </w:divsChild>
    </w:div>
    <w:div w:id="1747343468">
      <w:bodyDiv w:val="1"/>
      <w:marLeft w:val="0"/>
      <w:marRight w:val="0"/>
      <w:marTop w:val="0"/>
      <w:marBottom w:val="0"/>
      <w:divBdr>
        <w:top w:val="none" w:sz="0" w:space="0" w:color="auto"/>
        <w:left w:val="none" w:sz="0" w:space="0" w:color="auto"/>
        <w:bottom w:val="none" w:sz="0" w:space="0" w:color="auto"/>
        <w:right w:val="none" w:sz="0" w:space="0" w:color="auto"/>
      </w:divBdr>
    </w:div>
    <w:div w:id="1866668664">
      <w:bodyDiv w:val="1"/>
      <w:marLeft w:val="0"/>
      <w:marRight w:val="0"/>
      <w:marTop w:val="0"/>
      <w:marBottom w:val="0"/>
      <w:divBdr>
        <w:top w:val="none" w:sz="0" w:space="0" w:color="auto"/>
        <w:left w:val="none" w:sz="0" w:space="0" w:color="auto"/>
        <w:bottom w:val="none" w:sz="0" w:space="0" w:color="auto"/>
        <w:right w:val="none" w:sz="0" w:space="0" w:color="auto"/>
      </w:divBdr>
      <w:divsChild>
        <w:div w:id="26535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47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25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itu-d/sites/africa/" TargetMode="External"/><Relationship Id="rId18" Type="http://schemas.openxmlformats.org/officeDocument/2006/relationships/hyperlink" Target="https://www.itu.int/en/ITU-D/Regional-Presence/Europe/Pages/default.aspx"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mailto:bdtdeputydir@itu.int" TargetMode="External"/><Relationship Id="rId17" Type="http://schemas.openxmlformats.org/officeDocument/2006/relationships/hyperlink" Target="https://www.itu.int/en/ITU-D/Regional-Presence/CIS/Pages/default.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ITU-D/Regional-Presence/asiapacific/Pages/default.aspx"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en/ITU-D/Regional-Presence/ArabStates/Pages/default.aspx"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en/ITU-D/Pages/Regional-Presen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D/Regional-Presence/Americas/Pages/default.aspx" TargetMode="External"/><Relationship Id="rId22" Type="http://schemas.microsoft.com/office/2016/09/relationships/commentsIds" Target="commentsIds.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21B92D943B4378BAF1212E85C522EB"/>
        <w:category>
          <w:name w:val="General"/>
          <w:gallery w:val="placeholder"/>
        </w:category>
        <w:types>
          <w:type w:val="bbPlcHdr"/>
        </w:types>
        <w:behaviors>
          <w:behavior w:val="content"/>
        </w:behaviors>
        <w:guid w:val="{B9881104-A563-469F-8924-58A916FA44DC}"/>
      </w:docPartPr>
      <w:docPartBody>
        <w:p w:rsidR="00C55F41" w:rsidRDefault="00C55F41" w:rsidP="00C55F41">
          <w:pPr>
            <w:pStyle w:val="6D21B92D943B4378BAF1212E85C522EB"/>
          </w:pPr>
          <w:r w:rsidRPr="00543D41">
            <w:rPr>
              <w:rStyle w:val="PlaceholderText"/>
              <w:highlight w:val="yellow"/>
            </w:rPr>
            <w:t>Insert source(s)</w:t>
          </w:r>
        </w:p>
      </w:docPartBody>
    </w:docPart>
    <w:docPart>
      <w:docPartPr>
        <w:name w:val="7999BE7BBAEC434D87CA35BA3A44F6B8"/>
        <w:category>
          <w:name w:val="General"/>
          <w:gallery w:val="placeholder"/>
        </w:category>
        <w:types>
          <w:type w:val="bbPlcHdr"/>
        </w:types>
        <w:behaviors>
          <w:behavior w:val="content"/>
        </w:behaviors>
        <w:guid w:val="{2F7B57B2-47E1-4A56-AAA3-345B7DB1C010}"/>
      </w:docPartPr>
      <w:docPartBody>
        <w:p w:rsidR="00C55F41" w:rsidRDefault="00C55F41" w:rsidP="00C55F41">
          <w:pPr>
            <w:pStyle w:val="7999BE7BBAEC434D87CA35BA3A44F6B8"/>
          </w:pPr>
          <w:r w:rsidRPr="00543D41">
            <w:rPr>
              <w:rStyle w:val="PlaceholderText"/>
              <w:highlight w:val="yellow"/>
            </w:rPr>
            <w:t>Insert title (always in ENGLISH)</w:t>
          </w:r>
        </w:p>
      </w:docPartBody>
    </w:docPart>
    <w:docPart>
      <w:docPartPr>
        <w:name w:val="0CF94C439E95403582B113277333BC17"/>
        <w:category>
          <w:name w:val="General"/>
          <w:gallery w:val="placeholder"/>
        </w:category>
        <w:types>
          <w:type w:val="bbPlcHdr"/>
        </w:types>
        <w:behaviors>
          <w:behavior w:val="content"/>
        </w:behaviors>
        <w:guid w:val="{2CCD0BAA-2C35-49B4-8EDF-31A804A5AC7C}"/>
      </w:docPartPr>
      <w:docPartBody>
        <w:p w:rsidR="00C55F41" w:rsidRDefault="00C55F41" w:rsidP="00C55F41">
          <w:pPr>
            <w:pStyle w:val="0CF94C439E95403582B113277333BC17"/>
          </w:pPr>
          <w:r w:rsidRPr="00543D41">
            <w:rPr>
              <w:rStyle w:val="PlaceholderText"/>
              <w:highlight w:val="yellow"/>
            </w:rPr>
            <w:t>Insert abstract under 200 words. See Rec.A.2, clause I.1.12 for guidance.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41"/>
    <w:rsid w:val="001E7BE6"/>
    <w:rsid w:val="003408BC"/>
    <w:rsid w:val="004477D5"/>
    <w:rsid w:val="004D4A93"/>
    <w:rsid w:val="004D75E2"/>
    <w:rsid w:val="006F42B0"/>
    <w:rsid w:val="008160C4"/>
    <w:rsid w:val="0096355E"/>
    <w:rsid w:val="00B32976"/>
    <w:rsid w:val="00B4549A"/>
    <w:rsid w:val="00C05F71"/>
    <w:rsid w:val="00C55F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F41"/>
    <w:rPr>
      <w:rFonts w:ascii="Times New Roman" w:hAnsi="Times New Roman"/>
      <w:color w:val="808080"/>
    </w:rPr>
  </w:style>
  <w:style w:type="paragraph" w:customStyle="1" w:styleId="6D21B92D943B4378BAF1212E85C522EB">
    <w:name w:val="6D21B92D943B4378BAF1212E85C522EB"/>
    <w:rsid w:val="00C55F41"/>
  </w:style>
  <w:style w:type="paragraph" w:customStyle="1" w:styleId="7999BE7BBAEC434D87CA35BA3A44F6B8">
    <w:name w:val="7999BE7BBAEC434D87CA35BA3A44F6B8"/>
    <w:rsid w:val="00C55F41"/>
  </w:style>
  <w:style w:type="paragraph" w:customStyle="1" w:styleId="0CF94C439E95403582B113277333BC17">
    <w:name w:val="0CF94C439E95403582B113277333BC17"/>
    <w:rsid w:val="00C55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4106A-3EDD-4556-A0AC-F2E6B5CA3C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EEF553-0E7B-4CF2-8D0A-D992229002C9}">
  <ds:schemaRefs>
    <ds:schemaRef ds:uri="http://schemas.microsoft.com/sharepoint/v3/contenttype/forms"/>
  </ds:schemaRefs>
</ds:datastoreItem>
</file>

<file path=customXml/itemProps3.xml><?xml version="1.0" encoding="utf-8"?>
<ds:datastoreItem xmlns:ds="http://schemas.openxmlformats.org/officeDocument/2006/customXml" ds:itemID="{F5FE7578-05E1-4B7C-9335-51B13DCED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42759-8D99-4EEE-9837-F9CF2E9E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3003</Words>
  <Characters>16818</Characters>
  <Application>Microsoft Office Word</Application>
  <DocSecurity>0</DocSecurity>
  <Lines>600</Lines>
  <Paragraphs>396</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Report on progress made by the IEC SMB/ISO TMB/ITU-T TSAG Standardization Programme Coordination Group (SPCG)</vt:lpstr>
      <vt:lpstr/>
      <vt:lpstr/>
    </vt:vector>
  </TitlesOfParts>
  <Company>ITU</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of the ITU Regional Offices to the ITU-T Operational Plan and Coordination activities with TSB (June 2025 - January 2026)</dc:title>
  <dc:creator>TSB - JB</dc:creator>
  <cp:lastModifiedBy>TSB</cp:lastModifiedBy>
  <cp:revision>3</cp:revision>
  <cp:lastPrinted>2017-07-07T16:49:00Z</cp:lastPrinted>
  <dcterms:created xsi:type="dcterms:W3CDTF">2026-01-19T16:26:00Z</dcterms:created>
  <dcterms:modified xsi:type="dcterms:W3CDTF">2026-01-19T16:30:00Z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ies>
</file>