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308"/>
        <w:gridCol w:w="3947"/>
        <w:gridCol w:w="226"/>
        <w:gridCol w:w="4026"/>
      </w:tblGrid>
      <w:tr w:rsidR="003D4D20" w:rsidRPr="003D4D20" w14:paraId="20C94B97" w14:textId="77777777" w:rsidTr="00FA3C3E">
        <w:trPr>
          <w:cantSplit/>
        </w:trPr>
        <w:tc>
          <w:tcPr>
            <w:tcW w:w="1132" w:type="dxa"/>
            <w:vMerge w:val="restart"/>
            <w:vAlign w:val="center"/>
          </w:tcPr>
          <w:p w14:paraId="75F9974C" w14:textId="77777777" w:rsidR="003D4D20" w:rsidRPr="003D4D20" w:rsidRDefault="003D4D20" w:rsidP="003D4D20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tableau"/>
            <w:r w:rsidRPr="003D4D20">
              <w:rPr>
                <w:noProof/>
              </w:rPr>
              <w:drawing>
                <wp:inline distT="0" distB="0" distL="0" distR="0" wp14:anchorId="78AD0886" wp14:editId="212CFC6F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032E379F" w14:textId="77777777" w:rsidR="003D4D20" w:rsidRPr="003D4D20" w:rsidRDefault="003D4D20" w:rsidP="003D4D20">
            <w:pPr>
              <w:rPr>
                <w:sz w:val="16"/>
                <w:szCs w:val="16"/>
              </w:rPr>
            </w:pPr>
            <w:r w:rsidRPr="003D4D20">
              <w:rPr>
                <w:sz w:val="16"/>
                <w:szCs w:val="16"/>
              </w:rPr>
              <w:t>INTERNATIONAL TELECOMMUNICATION UNION</w:t>
            </w:r>
          </w:p>
          <w:p w14:paraId="1F188FBA" w14:textId="77777777" w:rsidR="003D4D20" w:rsidRPr="003D4D20" w:rsidRDefault="003D4D20" w:rsidP="003D4D20">
            <w:pPr>
              <w:rPr>
                <w:b/>
                <w:bCs/>
                <w:sz w:val="26"/>
                <w:szCs w:val="26"/>
              </w:rPr>
            </w:pPr>
            <w:r w:rsidRPr="003D4D20">
              <w:rPr>
                <w:b/>
                <w:bCs/>
                <w:sz w:val="26"/>
                <w:szCs w:val="26"/>
              </w:rPr>
              <w:t>TELECOMMUNICATION</w:t>
            </w:r>
            <w:r w:rsidRPr="003D4D2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C4E988F" w14:textId="44F1310E" w:rsidR="003D4D20" w:rsidRPr="003D4D20" w:rsidRDefault="003D4D20" w:rsidP="003D4D20">
            <w:pPr>
              <w:rPr>
                <w:sz w:val="20"/>
              </w:rPr>
            </w:pPr>
            <w:r w:rsidRPr="003D4D20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3E3F6317" w14:textId="5943710D" w:rsidR="003D4D20" w:rsidRPr="003D4D20" w:rsidRDefault="00BE6AFF" w:rsidP="003D4D20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</w:t>
            </w:r>
            <w:r w:rsidR="003D4D20">
              <w:rPr>
                <w:sz w:val="32"/>
              </w:rPr>
              <w:t>-TD</w:t>
            </w:r>
            <w:r w:rsidR="008A63ED">
              <w:rPr>
                <w:sz w:val="32"/>
              </w:rPr>
              <w:t>199</w:t>
            </w:r>
          </w:p>
        </w:tc>
      </w:tr>
      <w:tr w:rsidR="003D4D20" w:rsidRPr="003D4D20" w14:paraId="744B81D8" w14:textId="77777777" w:rsidTr="00FA3C3E">
        <w:trPr>
          <w:cantSplit/>
        </w:trPr>
        <w:tc>
          <w:tcPr>
            <w:tcW w:w="1132" w:type="dxa"/>
            <w:vMerge/>
          </w:tcPr>
          <w:p w14:paraId="65659859" w14:textId="77777777" w:rsidR="003D4D20" w:rsidRPr="003D4D20" w:rsidRDefault="003D4D20" w:rsidP="003D4D20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3"/>
            <w:vMerge/>
          </w:tcPr>
          <w:p w14:paraId="05928CE4" w14:textId="77777777" w:rsidR="003D4D20" w:rsidRPr="003D4D20" w:rsidRDefault="003D4D20" w:rsidP="003D4D20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6233B249" w14:textId="60358CFC" w:rsidR="003D4D20" w:rsidRPr="003D4D20" w:rsidRDefault="00BE6AFF" w:rsidP="003D4D20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3D4D20" w:rsidRPr="003D4D20" w14:paraId="4CE39402" w14:textId="77777777" w:rsidTr="00FA3C3E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FC127D1" w14:textId="77777777" w:rsidR="003D4D20" w:rsidRPr="003D4D20" w:rsidRDefault="003D4D20" w:rsidP="003D4D20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00214995" w14:textId="77777777" w:rsidR="003D4D20" w:rsidRPr="003D4D20" w:rsidRDefault="003D4D20" w:rsidP="003D4D20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181085A4" w14:textId="77777777" w:rsidR="003D4D20" w:rsidRPr="003D4D20" w:rsidRDefault="003D4D20" w:rsidP="003D4D20">
            <w:pPr>
              <w:pStyle w:val="TSBHeaderRight14"/>
            </w:pPr>
            <w:r w:rsidRPr="003D4D20">
              <w:t>Original: English</w:t>
            </w:r>
          </w:p>
        </w:tc>
      </w:tr>
      <w:tr w:rsidR="003D4D20" w:rsidRPr="003D4D20" w14:paraId="5F1E538E" w14:textId="77777777" w:rsidTr="00FA3C3E">
        <w:trPr>
          <w:cantSplit/>
        </w:trPr>
        <w:tc>
          <w:tcPr>
            <w:tcW w:w="1440" w:type="dxa"/>
            <w:gridSpan w:val="2"/>
          </w:tcPr>
          <w:p w14:paraId="51B1F81C" w14:textId="266DF7E9" w:rsidR="003D4D20" w:rsidRPr="003D4D20" w:rsidRDefault="003D4D20" w:rsidP="003D4D20">
            <w:pPr>
              <w:rPr>
                <w:b/>
                <w:bCs/>
                <w:szCs w:val="24"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173" w:type="dxa"/>
            <w:gridSpan w:val="2"/>
          </w:tcPr>
          <w:p w14:paraId="33881EFE" w14:textId="38942576" w:rsidR="003D4D20" w:rsidRPr="003D4D20" w:rsidRDefault="003D4D20" w:rsidP="003D4D20">
            <w:pPr>
              <w:pStyle w:val="TSBHeaderQuestion"/>
            </w:pPr>
          </w:p>
        </w:tc>
        <w:tc>
          <w:tcPr>
            <w:tcW w:w="4026" w:type="dxa"/>
          </w:tcPr>
          <w:p w14:paraId="0819C16E" w14:textId="0B2F3368" w:rsidR="003D4D20" w:rsidRPr="003D4D20" w:rsidRDefault="003D4D20" w:rsidP="003D4D20">
            <w:pPr>
              <w:pStyle w:val="VenueDate"/>
            </w:pPr>
            <w:r w:rsidRPr="003D4D20">
              <w:t xml:space="preserve">Geneva, </w:t>
            </w:r>
            <w:r w:rsidR="00437EEB">
              <w:t xml:space="preserve">26-30 </w:t>
            </w:r>
            <w:r w:rsidR="00EE4D07">
              <w:t>January 2025</w:t>
            </w:r>
          </w:p>
        </w:tc>
      </w:tr>
      <w:tr w:rsidR="003D4D20" w:rsidRPr="003D4D20" w14:paraId="06BE8C6E" w14:textId="77777777" w:rsidTr="00FA3C3E">
        <w:trPr>
          <w:cantSplit/>
        </w:trPr>
        <w:tc>
          <w:tcPr>
            <w:tcW w:w="9639" w:type="dxa"/>
            <w:gridSpan w:val="5"/>
          </w:tcPr>
          <w:p w14:paraId="29784A13" w14:textId="2AF1BE9F" w:rsidR="003D4D20" w:rsidRPr="003D4D20" w:rsidRDefault="003D4D20" w:rsidP="003D4D20">
            <w:pPr>
              <w:jc w:val="center"/>
              <w:rPr>
                <w:b/>
                <w:bCs/>
                <w:szCs w:val="24"/>
              </w:rPr>
            </w:pPr>
            <w:bookmarkStart w:id="5" w:name="ddoctype"/>
            <w:bookmarkEnd w:id="3"/>
            <w:bookmarkEnd w:id="4"/>
            <w:r w:rsidRPr="003D4D20">
              <w:rPr>
                <w:b/>
                <w:bCs/>
                <w:szCs w:val="24"/>
              </w:rPr>
              <w:t>TD</w:t>
            </w:r>
          </w:p>
        </w:tc>
      </w:tr>
      <w:tr w:rsidR="003D4D20" w:rsidRPr="003D4D20" w14:paraId="6E9DCCCD" w14:textId="77777777" w:rsidTr="00FA3C3E">
        <w:trPr>
          <w:cantSplit/>
        </w:trPr>
        <w:tc>
          <w:tcPr>
            <w:tcW w:w="1440" w:type="dxa"/>
            <w:gridSpan w:val="2"/>
          </w:tcPr>
          <w:p w14:paraId="571DFD0D" w14:textId="77777777" w:rsidR="003D4D20" w:rsidRPr="003D4D20" w:rsidRDefault="003D4D20" w:rsidP="003D4D20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5"/>
            <w:r w:rsidRPr="003D4D20">
              <w:rPr>
                <w:b/>
                <w:bCs/>
                <w:szCs w:val="24"/>
              </w:rPr>
              <w:t>Source:</w:t>
            </w:r>
          </w:p>
        </w:tc>
        <w:tc>
          <w:tcPr>
            <w:tcW w:w="8199" w:type="dxa"/>
            <w:gridSpan w:val="3"/>
          </w:tcPr>
          <w:p w14:paraId="3481B231" w14:textId="78795DA1" w:rsidR="003D4D20" w:rsidRPr="003D4D20" w:rsidRDefault="00FA3C3E" w:rsidP="003D4D20">
            <w:pPr>
              <w:pStyle w:val="TSBHeaderSource"/>
            </w:pPr>
            <w:r w:rsidRPr="00FA3C3E">
              <w:t>Chair, ITU-T Study Group 2</w:t>
            </w:r>
          </w:p>
        </w:tc>
      </w:tr>
      <w:tr w:rsidR="003D4D20" w:rsidRPr="003D4D20" w14:paraId="7E009DA7" w14:textId="77777777" w:rsidTr="00FA3C3E">
        <w:trPr>
          <w:cantSplit/>
          <w:trHeight w:val="459"/>
        </w:trPr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36C6CDDB" w14:textId="77777777" w:rsidR="003D4D20" w:rsidRPr="0083363D" w:rsidRDefault="003D4D20" w:rsidP="003D4D20">
            <w:pPr>
              <w:rPr>
                <w:b/>
                <w:bCs/>
                <w:szCs w:val="24"/>
              </w:rPr>
            </w:pPr>
            <w:bookmarkStart w:id="7" w:name="dtitle1" w:colFirst="1" w:colLast="1"/>
            <w:bookmarkEnd w:id="6"/>
            <w:r w:rsidRPr="0083363D">
              <w:rPr>
                <w:b/>
                <w:bCs/>
                <w:szCs w:val="24"/>
              </w:rPr>
              <w:t>Title:</w:t>
            </w:r>
          </w:p>
        </w:tc>
        <w:tc>
          <w:tcPr>
            <w:tcW w:w="8199" w:type="dxa"/>
            <w:gridSpan w:val="3"/>
            <w:tcBorders>
              <w:bottom w:val="single" w:sz="8" w:space="0" w:color="auto"/>
            </w:tcBorders>
          </w:tcPr>
          <w:p w14:paraId="03D42E4B" w14:textId="46A40314" w:rsidR="003D4D20" w:rsidRPr="0083363D" w:rsidRDefault="00BE6AFF" w:rsidP="003D4D20">
            <w:pPr>
              <w:pStyle w:val="TSBHeaderTitle"/>
            </w:pPr>
            <w:r>
              <w:rPr>
                <w:rFonts w:asciiTheme="majorBidi" w:hAnsiTheme="majorBidi" w:cstheme="majorBidi"/>
                <w:lang w:val="en-US"/>
              </w:rPr>
              <w:t>ITU-T SG2 Lead Study Group Report</w:t>
            </w:r>
          </w:p>
        </w:tc>
      </w:tr>
      <w:bookmarkEnd w:id="1"/>
      <w:bookmarkEnd w:id="7"/>
      <w:tr w:rsidR="001D6688" w:rsidRPr="00E107ED" w14:paraId="3589CA4F" w14:textId="77777777" w:rsidTr="00602276">
        <w:tblPrEx>
          <w:jc w:val="center"/>
        </w:tblPrEx>
        <w:trPr>
          <w:cantSplit/>
          <w:trHeight w:val="979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1B5F6D9" w14:textId="77777777" w:rsidR="001D6688" w:rsidRPr="001D6688" w:rsidRDefault="001D6688" w:rsidP="001D6688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D6688">
              <w:rPr>
                <w:rFonts w:asciiTheme="majorBidi" w:hAnsiTheme="majorBidi" w:cstheme="majorBidi"/>
                <w:b/>
                <w:bCs/>
                <w:szCs w:val="24"/>
              </w:rPr>
              <w:t>Contact:</w:t>
            </w:r>
          </w:p>
        </w:tc>
        <w:tc>
          <w:tcPr>
            <w:tcW w:w="3947" w:type="dxa"/>
            <w:tcBorders>
              <w:top w:val="single" w:sz="8" w:space="0" w:color="auto"/>
              <w:bottom w:val="single" w:sz="8" w:space="0" w:color="auto"/>
            </w:tcBorders>
          </w:tcPr>
          <w:p w14:paraId="5CCB94A8" w14:textId="5380B039" w:rsidR="001D6688" w:rsidRPr="001D6688" w:rsidRDefault="003D4D20" w:rsidP="001D6688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Ena Dekanic</w:t>
            </w:r>
            <w:r w:rsidR="001D6688" w:rsidRPr="001D6688">
              <w:rPr>
                <w:rFonts w:asciiTheme="majorBidi" w:hAnsiTheme="majorBidi" w:cstheme="majorBidi"/>
                <w:szCs w:val="24"/>
              </w:rPr>
              <w:br/>
              <w:t>SG2 Chair</w:t>
            </w:r>
            <w:r w:rsidR="001D6688" w:rsidRPr="001D6688">
              <w:rPr>
                <w:rFonts w:asciiTheme="majorBidi" w:hAnsiTheme="majorBidi" w:cstheme="majorBidi"/>
                <w:szCs w:val="24"/>
              </w:rPr>
              <w:br/>
              <w:t xml:space="preserve">United </w:t>
            </w:r>
            <w:r>
              <w:rPr>
                <w:rFonts w:asciiTheme="majorBidi" w:hAnsiTheme="majorBidi" w:cstheme="majorBidi"/>
                <w:szCs w:val="24"/>
              </w:rPr>
              <w:t>States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912E938" w14:textId="00CAFAA8" w:rsidR="001D6688" w:rsidRPr="003D4D20" w:rsidRDefault="001D6688" w:rsidP="003D4D20">
            <w:pPr>
              <w:tabs>
                <w:tab w:val="clear" w:pos="1134"/>
                <w:tab w:val="left" w:pos="794"/>
              </w:tabs>
              <w:rPr>
                <w:lang w:val="fr-CH"/>
              </w:rPr>
            </w:pPr>
            <w:r w:rsidRPr="006C2E0A">
              <w:rPr>
                <w:rFonts w:asciiTheme="majorBidi" w:hAnsiTheme="majorBidi" w:cstheme="majorBidi"/>
                <w:szCs w:val="24"/>
                <w:lang w:val="de-AT"/>
              </w:rPr>
              <w:t xml:space="preserve">E-mail: </w:t>
            </w:r>
            <w:r w:rsidR="003D4D20">
              <w:fldChar w:fldCharType="begin"/>
            </w:r>
            <w:r w:rsidR="003D4D20" w:rsidRPr="00E107ED">
              <w:rPr>
                <w:lang w:val="fr-CH"/>
              </w:rPr>
              <w:instrText>HYPERLINK "mailto:DekanicE@state.gov"</w:instrText>
            </w:r>
            <w:r w:rsidR="003D4D20">
              <w:fldChar w:fldCharType="separate"/>
            </w:r>
            <w:r w:rsidR="003D4D20" w:rsidRPr="003D4D20">
              <w:rPr>
                <w:rStyle w:val="Hyperlink"/>
                <w:lang w:val="fr-CH"/>
              </w:rPr>
              <w:t>DekanicE@state.gov</w:t>
            </w:r>
            <w:r w:rsidR="003D4D20">
              <w:fldChar w:fldCharType="end"/>
            </w:r>
          </w:p>
        </w:tc>
      </w:tr>
      <w:tr w:rsidR="00C92BE2" w:rsidRPr="00E107ED" w14:paraId="32CC3C0D" w14:textId="77777777" w:rsidTr="00602276">
        <w:tblPrEx>
          <w:jc w:val="center"/>
        </w:tblPrEx>
        <w:trPr>
          <w:cantSplit/>
          <w:trHeight w:val="700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75B81E5" w14:textId="77777777" w:rsidR="00C92BE2" w:rsidRPr="001D6688" w:rsidRDefault="00C92BE2" w:rsidP="00BF139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D6688">
              <w:rPr>
                <w:rFonts w:asciiTheme="majorBidi" w:hAnsiTheme="majorBidi" w:cstheme="majorBidi"/>
                <w:b/>
                <w:bCs/>
                <w:szCs w:val="24"/>
              </w:rPr>
              <w:t>Contact:</w:t>
            </w:r>
          </w:p>
        </w:tc>
        <w:tc>
          <w:tcPr>
            <w:tcW w:w="3947" w:type="dxa"/>
            <w:tcBorders>
              <w:top w:val="single" w:sz="8" w:space="0" w:color="auto"/>
              <w:bottom w:val="single" w:sz="8" w:space="0" w:color="auto"/>
            </w:tcBorders>
          </w:tcPr>
          <w:p w14:paraId="3C932DCB" w14:textId="1DD59EF1" w:rsidR="00C92BE2" w:rsidRPr="001D6688" w:rsidRDefault="00C92BE2" w:rsidP="00BF139B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Maite Comas</w:t>
            </w:r>
            <w:r w:rsidR="00CE79C0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CE79C0">
              <w:rPr>
                <w:color w:val="000000" w:themeColor="text1"/>
                <w:szCs w:val="24"/>
              </w:rPr>
              <w:t>Barn</w:t>
            </w:r>
            <w:r w:rsidR="00121C3D">
              <w:rPr>
                <w:color w:val="000000" w:themeColor="text1"/>
                <w:szCs w:val="24"/>
                <w:lang w:eastAsia="en-GB"/>
              </w:rPr>
              <w:t>e</w:t>
            </w:r>
            <w:r w:rsidRPr="00CE79C0">
              <w:rPr>
                <w:color w:val="000000" w:themeColor="text1"/>
                <w:szCs w:val="24"/>
              </w:rPr>
              <w:t>s</w:t>
            </w:r>
            <w:r w:rsidRPr="001D6688">
              <w:rPr>
                <w:rFonts w:asciiTheme="majorBidi" w:hAnsiTheme="majorBidi" w:cstheme="majorBidi"/>
                <w:szCs w:val="24"/>
              </w:rPr>
              <w:br/>
              <w:t xml:space="preserve">SG2 </w:t>
            </w:r>
            <w:r>
              <w:rPr>
                <w:rFonts w:asciiTheme="majorBidi" w:hAnsiTheme="majorBidi" w:cstheme="majorBidi"/>
                <w:szCs w:val="24"/>
              </w:rPr>
              <w:t>Advisor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550AB65" w14:textId="0B46AEE1" w:rsidR="00C92BE2" w:rsidRPr="003D4D20" w:rsidRDefault="00C92BE2" w:rsidP="00BF139B">
            <w:pPr>
              <w:tabs>
                <w:tab w:val="clear" w:pos="1134"/>
                <w:tab w:val="left" w:pos="794"/>
              </w:tabs>
              <w:rPr>
                <w:lang w:val="fr-CH"/>
              </w:rPr>
            </w:pPr>
            <w:r w:rsidRPr="006C2E0A">
              <w:rPr>
                <w:rFonts w:asciiTheme="majorBidi" w:hAnsiTheme="majorBidi" w:cstheme="majorBidi"/>
                <w:szCs w:val="24"/>
                <w:lang w:val="de-AT"/>
              </w:rPr>
              <w:t xml:space="preserve">E-mail: </w:t>
            </w:r>
            <w:r w:rsidR="00F53D31">
              <w:fldChar w:fldCharType="begin"/>
            </w:r>
            <w:r w:rsidR="00F53D31" w:rsidRPr="00E107ED">
              <w:rPr>
                <w:lang w:val="fr-CH"/>
              </w:rPr>
              <w:instrText>HYPERLINK "mailto:maite.comasbarnes@itu.int"</w:instrText>
            </w:r>
            <w:r w:rsidR="00F53D31">
              <w:fldChar w:fldCharType="separate"/>
            </w:r>
            <w:r w:rsidR="00F53D31" w:rsidRPr="0053685A">
              <w:rPr>
                <w:rStyle w:val="Hyperlink"/>
                <w:rFonts w:asciiTheme="majorBidi" w:hAnsiTheme="majorBidi" w:cstheme="majorBidi"/>
                <w:szCs w:val="24"/>
                <w:lang w:val="de-AT"/>
              </w:rPr>
              <w:t>maite.comasbarnes@itu.int</w:t>
            </w:r>
            <w:r w:rsidR="00F53D31">
              <w:fldChar w:fldCharType="end"/>
            </w:r>
            <w:r w:rsidR="00F53D31">
              <w:rPr>
                <w:rFonts w:asciiTheme="majorBidi" w:hAnsiTheme="majorBidi" w:cstheme="majorBidi"/>
                <w:szCs w:val="24"/>
                <w:lang w:val="de-AT"/>
              </w:rPr>
              <w:t xml:space="preserve"> </w:t>
            </w:r>
          </w:p>
        </w:tc>
      </w:tr>
    </w:tbl>
    <w:p w14:paraId="2B0F87AC" w14:textId="77777777" w:rsidR="009A2017" w:rsidRPr="006C2E0A" w:rsidRDefault="009A2017" w:rsidP="009A2017">
      <w:pPr>
        <w:rPr>
          <w:rFonts w:asciiTheme="majorBidi" w:hAnsiTheme="majorBidi" w:cstheme="majorBidi"/>
          <w:szCs w:val="24"/>
          <w:lang w:val="de-AT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3"/>
        <w:gridCol w:w="8316"/>
      </w:tblGrid>
      <w:tr w:rsidR="009A2017" w:rsidRPr="001C0444" w14:paraId="27C80847" w14:textId="77777777" w:rsidTr="006C2E0A">
        <w:trPr>
          <w:cantSplit/>
          <w:trHeight w:val="417"/>
          <w:jc w:val="center"/>
        </w:trPr>
        <w:tc>
          <w:tcPr>
            <w:tcW w:w="1323" w:type="dxa"/>
          </w:tcPr>
          <w:p w14:paraId="50DCB447" w14:textId="77777777" w:rsidR="009A2017" w:rsidRPr="007B06B4" w:rsidRDefault="009A2017" w:rsidP="00827C01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7B06B4">
              <w:rPr>
                <w:rFonts w:asciiTheme="majorBidi" w:hAnsiTheme="majorBidi" w:cstheme="majorBidi"/>
                <w:b/>
                <w:bCs/>
                <w:szCs w:val="24"/>
              </w:rPr>
              <w:t>Abstract:</w:t>
            </w:r>
          </w:p>
        </w:tc>
        <w:tc>
          <w:tcPr>
            <w:tcW w:w="8316" w:type="dxa"/>
          </w:tcPr>
          <w:p w14:paraId="3DFCD6C5" w14:textId="306EAFCA" w:rsidR="009A2017" w:rsidRPr="004D60E6" w:rsidRDefault="00E65AC3" w:rsidP="00ED0BE7">
            <w:pPr>
              <w:rPr>
                <w:rFonts w:asciiTheme="majorBidi" w:hAnsiTheme="majorBidi" w:cstheme="majorBidi"/>
                <w:szCs w:val="24"/>
              </w:rPr>
            </w:pPr>
            <w:r w:rsidRPr="004D60E6">
              <w:rPr>
                <w:rFonts w:asciiTheme="majorBidi" w:hAnsiTheme="majorBidi" w:cstheme="majorBidi"/>
                <w:szCs w:val="24"/>
              </w:rPr>
              <w:t xml:space="preserve">This TD </w:t>
            </w:r>
            <w:r w:rsidR="00C92BE2">
              <w:rPr>
                <w:rFonts w:asciiTheme="majorBidi" w:hAnsiTheme="majorBidi" w:cstheme="majorBidi"/>
                <w:szCs w:val="24"/>
              </w:rPr>
              <w:t>contains the report on ITU-T Study Group 2 (SG2) lead study group activities.</w:t>
            </w:r>
          </w:p>
        </w:tc>
      </w:tr>
    </w:tbl>
    <w:p w14:paraId="04415C51" w14:textId="59E744C5" w:rsidR="00827CE6" w:rsidRPr="005A72D3" w:rsidRDefault="00437EEB" w:rsidP="0093527B">
      <w:pPr>
        <w:pStyle w:val="ListParagraph"/>
        <w:keepNext/>
        <w:numPr>
          <w:ilvl w:val="0"/>
          <w:numId w:val="19"/>
        </w:numPr>
        <w:spacing w:before="240"/>
        <w:ind w:left="357" w:right="-187" w:hanging="357"/>
        <w:contextualSpacing w:val="0"/>
        <w:rPr>
          <w:b/>
          <w:bCs/>
          <w:szCs w:val="24"/>
        </w:rPr>
      </w:pPr>
      <w:r w:rsidRPr="005A72D3">
        <w:rPr>
          <w:b/>
          <w:bCs/>
          <w:szCs w:val="24"/>
        </w:rPr>
        <w:t>Introduction &amp; Background</w:t>
      </w:r>
    </w:p>
    <w:p w14:paraId="4CBD7523" w14:textId="3F98E7D5" w:rsidR="00C45B51" w:rsidRDefault="005A72D3" w:rsidP="0093527B">
      <w:pPr>
        <w:ind w:right="-187"/>
        <w:rPr>
          <w:szCs w:val="24"/>
        </w:rPr>
      </w:pPr>
      <w:r>
        <w:rPr>
          <w:szCs w:val="24"/>
        </w:rPr>
        <w:t>Accordin</w:t>
      </w:r>
      <w:r w:rsidR="00063F3E">
        <w:rPr>
          <w:szCs w:val="24"/>
        </w:rPr>
        <w:t>g to WTSA Resolution 2 (Rev. New Delhi, 2024), SG2 is the</w:t>
      </w:r>
      <w:r w:rsidR="00490B4A">
        <w:rPr>
          <w:szCs w:val="24"/>
        </w:rPr>
        <w:t xml:space="preserve"> lead study group on</w:t>
      </w:r>
      <w:r w:rsidR="00C45B51">
        <w:rPr>
          <w:szCs w:val="24"/>
        </w:rPr>
        <w:t>:</w:t>
      </w:r>
    </w:p>
    <w:p w14:paraId="22C2ECAC" w14:textId="33E0245C" w:rsidR="00504032" w:rsidRDefault="005449EB" w:rsidP="0093527B">
      <w:pPr>
        <w:pStyle w:val="ListParagraph"/>
        <w:numPr>
          <w:ilvl w:val="0"/>
          <w:numId w:val="23"/>
        </w:numPr>
        <w:ind w:right="-187"/>
        <w:contextualSpacing w:val="0"/>
        <w:rPr>
          <w:rFonts w:eastAsiaTheme="minorEastAsia"/>
          <w:szCs w:val="24"/>
          <w:lang w:val="en-US" w:eastAsia="zh-CN"/>
        </w:rPr>
      </w:pPr>
      <w:r w:rsidRPr="00504032">
        <w:rPr>
          <w:rFonts w:eastAsiaTheme="minorEastAsia"/>
          <w:szCs w:val="24"/>
          <w:lang w:val="en-US" w:eastAsia="zh-CN"/>
        </w:rPr>
        <w:t xml:space="preserve">numbering, naming, addressing and identification </w:t>
      </w:r>
    </w:p>
    <w:p w14:paraId="4C695AC0" w14:textId="38DFA38E" w:rsidR="00504032" w:rsidRDefault="005449EB" w:rsidP="0093527B">
      <w:pPr>
        <w:pStyle w:val="ListParagraph"/>
        <w:numPr>
          <w:ilvl w:val="0"/>
          <w:numId w:val="23"/>
        </w:numPr>
        <w:spacing w:before="60"/>
        <w:ind w:right="-187"/>
        <w:contextualSpacing w:val="0"/>
        <w:rPr>
          <w:rFonts w:eastAsiaTheme="minorEastAsia"/>
          <w:szCs w:val="24"/>
          <w:lang w:val="en-US" w:eastAsia="zh-CN"/>
        </w:rPr>
      </w:pPr>
      <w:r w:rsidRPr="00504032">
        <w:rPr>
          <w:rFonts w:eastAsiaTheme="minorEastAsia"/>
          <w:szCs w:val="24"/>
          <w:lang w:val="en-US" w:eastAsia="zh-CN"/>
        </w:rPr>
        <w:t xml:space="preserve">administration of international numbering, naming, addressing and identification resources </w:t>
      </w:r>
    </w:p>
    <w:p w14:paraId="7BBA424D" w14:textId="76925905" w:rsidR="004D4F17" w:rsidRDefault="005449EB" w:rsidP="0093527B">
      <w:pPr>
        <w:pStyle w:val="ListParagraph"/>
        <w:numPr>
          <w:ilvl w:val="0"/>
          <w:numId w:val="23"/>
        </w:numPr>
        <w:spacing w:before="60"/>
        <w:ind w:right="-187"/>
        <w:contextualSpacing w:val="0"/>
        <w:rPr>
          <w:rFonts w:eastAsiaTheme="minorEastAsia"/>
          <w:szCs w:val="24"/>
          <w:lang w:val="en-US" w:eastAsia="zh-CN"/>
        </w:rPr>
      </w:pPr>
      <w:r w:rsidRPr="00504032">
        <w:rPr>
          <w:rFonts w:eastAsiaTheme="minorEastAsia"/>
          <w:szCs w:val="24"/>
          <w:lang w:val="en-US" w:eastAsia="zh-CN"/>
        </w:rPr>
        <w:t xml:space="preserve">routing and interworking </w:t>
      </w:r>
    </w:p>
    <w:p w14:paraId="16E59B3E" w14:textId="676E1E3C" w:rsidR="00504032" w:rsidRDefault="005449EB" w:rsidP="0093527B">
      <w:pPr>
        <w:pStyle w:val="ListParagraph"/>
        <w:numPr>
          <w:ilvl w:val="0"/>
          <w:numId w:val="23"/>
        </w:numPr>
        <w:spacing w:before="60"/>
        <w:ind w:right="-187"/>
        <w:contextualSpacing w:val="0"/>
        <w:rPr>
          <w:rFonts w:eastAsiaTheme="minorEastAsia"/>
          <w:szCs w:val="24"/>
          <w:lang w:val="en-US" w:eastAsia="zh-CN"/>
        </w:rPr>
      </w:pPr>
      <w:r w:rsidRPr="00504032">
        <w:rPr>
          <w:rFonts w:eastAsiaTheme="minorEastAsia"/>
          <w:szCs w:val="24"/>
          <w:lang w:val="en-US" w:eastAsia="zh-CN"/>
        </w:rPr>
        <w:t xml:space="preserve">number portability and carrier switching </w:t>
      </w:r>
    </w:p>
    <w:p w14:paraId="421E2094" w14:textId="068AC2BC" w:rsidR="00504032" w:rsidRDefault="005449EB" w:rsidP="0093527B">
      <w:pPr>
        <w:pStyle w:val="ListParagraph"/>
        <w:numPr>
          <w:ilvl w:val="0"/>
          <w:numId w:val="23"/>
        </w:numPr>
        <w:spacing w:before="60"/>
        <w:ind w:right="-187"/>
        <w:contextualSpacing w:val="0"/>
        <w:rPr>
          <w:rFonts w:eastAsiaTheme="minorEastAsia"/>
          <w:szCs w:val="24"/>
          <w:lang w:val="en-US" w:eastAsia="zh-CN"/>
        </w:rPr>
      </w:pPr>
      <w:r w:rsidRPr="00504032">
        <w:rPr>
          <w:rFonts w:eastAsiaTheme="minorEastAsia"/>
          <w:szCs w:val="24"/>
          <w:lang w:val="en-US" w:eastAsia="zh-CN"/>
        </w:rPr>
        <w:t xml:space="preserve">operational aspects of telecommunication/ICT capabilities and applications </w:t>
      </w:r>
    </w:p>
    <w:p w14:paraId="0F47FA2A" w14:textId="145D5F18" w:rsidR="00504032" w:rsidRDefault="005449EB" w:rsidP="0093527B">
      <w:pPr>
        <w:pStyle w:val="ListParagraph"/>
        <w:numPr>
          <w:ilvl w:val="0"/>
          <w:numId w:val="23"/>
        </w:numPr>
        <w:spacing w:before="60"/>
        <w:ind w:right="-187"/>
        <w:contextualSpacing w:val="0"/>
        <w:rPr>
          <w:rFonts w:eastAsiaTheme="minorEastAsia"/>
          <w:szCs w:val="24"/>
          <w:lang w:val="en-US" w:eastAsia="zh-CN"/>
        </w:rPr>
      </w:pPr>
      <w:r w:rsidRPr="00504032">
        <w:rPr>
          <w:rFonts w:eastAsiaTheme="minorEastAsia"/>
          <w:szCs w:val="24"/>
          <w:lang w:val="en-US" w:eastAsia="zh-CN"/>
        </w:rPr>
        <w:t xml:space="preserve">telecommunication/ICT service definition </w:t>
      </w:r>
    </w:p>
    <w:p w14:paraId="28EBD379" w14:textId="5D15E96B" w:rsidR="00504032" w:rsidRDefault="005449EB" w:rsidP="0093527B">
      <w:pPr>
        <w:pStyle w:val="ListParagraph"/>
        <w:numPr>
          <w:ilvl w:val="0"/>
          <w:numId w:val="23"/>
        </w:numPr>
        <w:spacing w:before="60"/>
        <w:ind w:right="-187"/>
        <w:contextualSpacing w:val="0"/>
        <w:rPr>
          <w:rFonts w:eastAsiaTheme="minorEastAsia"/>
          <w:szCs w:val="24"/>
          <w:lang w:val="en-US" w:eastAsia="zh-CN"/>
        </w:rPr>
      </w:pPr>
      <w:r w:rsidRPr="00504032">
        <w:rPr>
          <w:rFonts w:eastAsiaTheme="minorEastAsia"/>
          <w:szCs w:val="24"/>
          <w:lang w:val="en-US" w:eastAsia="zh-CN"/>
        </w:rPr>
        <w:t xml:space="preserve">telecommunications/ICTs for disaster relief/early warning, network resilience and recovery </w:t>
      </w:r>
    </w:p>
    <w:p w14:paraId="11D0115C" w14:textId="2CA89593" w:rsidR="00504032" w:rsidRDefault="005449EB" w:rsidP="0093527B">
      <w:pPr>
        <w:pStyle w:val="ListParagraph"/>
        <w:numPr>
          <w:ilvl w:val="0"/>
          <w:numId w:val="23"/>
        </w:numPr>
        <w:spacing w:before="60"/>
        <w:ind w:right="-187"/>
        <w:contextualSpacing w:val="0"/>
        <w:rPr>
          <w:rFonts w:eastAsiaTheme="minorEastAsia"/>
          <w:szCs w:val="24"/>
          <w:lang w:val="en-US" w:eastAsia="zh-CN"/>
        </w:rPr>
      </w:pPr>
      <w:r w:rsidRPr="00504032">
        <w:rPr>
          <w:rFonts w:eastAsiaTheme="minorEastAsia"/>
          <w:szCs w:val="24"/>
          <w:lang w:val="en-US" w:eastAsia="zh-CN"/>
        </w:rPr>
        <w:t xml:space="preserve">emergency services provision, definition and deployment </w:t>
      </w:r>
    </w:p>
    <w:p w14:paraId="62B0CD7F" w14:textId="5A7EEADD" w:rsidR="00504032" w:rsidRDefault="005449EB" w:rsidP="0093527B">
      <w:pPr>
        <w:pStyle w:val="ListParagraph"/>
        <w:numPr>
          <w:ilvl w:val="0"/>
          <w:numId w:val="23"/>
        </w:numPr>
        <w:spacing w:before="60"/>
        <w:ind w:right="-187"/>
        <w:contextualSpacing w:val="0"/>
        <w:rPr>
          <w:rFonts w:eastAsiaTheme="minorEastAsia"/>
          <w:szCs w:val="24"/>
          <w:lang w:val="en-US" w:eastAsia="zh-CN"/>
        </w:rPr>
      </w:pPr>
      <w:r w:rsidRPr="00504032">
        <w:rPr>
          <w:rFonts w:eastAsiaTheme="minorEastAsia"/>
          <w:szCs w:val="24"/>
          <w:lang w:val="en-US" w:eastAsia="zh-CN"/>
        </w:rPr>
        <w:t xml:space="preserve">telecommunication/ICT management </w:t>
      </w:r>
    </w:p>
    <w:p w14:paraId="141C1CED" w14:textId="5204FE8B" w:rsidR="00504032" w:rsidRDefault="005449EB" w:rsidP="0093527B">
      <w:pPr>
        <w:pStyle w:val="ListParagraph"/>
        <w:numPr>
          <w:ilvl w:val="0"/>
          <w:numId w:val="23"/>
        </w:numPr>
        <w:spacing w:before="60"/>
        <w:ind w:right="-187"/>
        <w:contextualSpacing w:val="0"/>
        <w:rPr>
          <w:rFonts w:eastAsiaTheme="minorEastAsia"/>
          <w:szCs w:val="24"/>
          <w:lang w:val="en-US" w:eastAsia="zh-CN"/>
        </w:rPr>
      </w:pPr>
      <w:r w:rsidRPr="00504032">
        <w:rPr>
          <w:rFonts w:eastAsiaTheme="minorEastAsia"/>
          <w:szCs w:val="24"/>
          <w:lang w:val="en-US" w:eastAsia="zh-CN"/>
        </w:rPr>
        <w:t xml:space="preserve">operational aspects of identity management </w:t>
      </w:r>
    </w:p>
    <w:p w14:paraId="37C01235" w14:textId="24A607AB" w:rsidR="00063F3E" w:rsidRPr="00504032" w:rsidRDefault="005449EB" w:rsidP="0093527B">
      <w:pPr>
        <w:pStyle w:val="ListParagraph"/>
        <w:numPr>
          <w:ilvl w:val="0"/>
          <w:numId w:val="23"/>
        </w:numPr>
        <w:spacing w:before="60"/>
        <w:ind w:right="-187"/>
        <w:contextualSpacing w:val="0"/>
        <w:rPr>
          <w:rFonts w:eastAsiaTheme="minorEastAsia"/>
          <w:szCs w:val="24"/>
          <w:lang w:val="en-US" w:eastAsia="zh-CN"/>
        </w:rPr>
      </w:pPr>
      <w:r w:rsidRPr="00504032">
        <w:rPr>
          <w:rFonts w:eastAsiaTheme="minorEastAsia"/>
          <w:szCs w:val="24"/>
          <w:lang w:val="en-US" w:eastAsia="zh-CN"/>
        </w:rPr>
        <w:t>operational aspects of Internet of Things identification</w:t>
      </w:r>
    </w:p>
    <w:p w14:paraId="0510A9A0" w14:textId="5C0406CB" w:rsidR="00FA31DD" w:rsidRPr="00851D8C" w:rsidRDefault="008F15CD" w:rsidP="00851D8C">
      <w:pPr>
        <w:rPr>
          <w:sz w:val="22"/>
        </w:rPr>
      </w:pPr>
      <w:r>
        <w:rPr>
          <w:szCs w:val="24"/>
        </w:rPr>
        <w:t xml:space="preserve">To </w:t>
      </w:r>
      <w:r w:rsidR="00201042">
        <w:rPr>
          <w:szCs w:val="24"/>
        </w:rPr>
        <w:t xml:space="preserve">continue </w:t>
      </w:r>
      <w:r>
        <w:rPr>
          <w:szCs w:val="24"/>
        </w:rPr>
        <w:t>execut</w:t>
      </w:r>
      <w:r w:rsidR="00201042">
        <w:rPr>
          <w:szCs w:val="24"/>
        </w:rPr>
        <w:t>ing</w:t>
      </w:r>
      <w:r>
        <w:rPr>
          <w:szCs w:val="24"/>
        </w:rPr>
        <w:t xml:space="preserve"> these responsibilities</w:t>
      </w:r>
      <w:r w:rsidR="00201042">
        <w:rPr>
          <w:szCs w:val="24"/>
        </w:rPr>
        <w:t xml:space="preserve"> throughout the 2025-2028 Study Period</w:t>
      </w:r>
      <w:r>
        <w:rPr>
          <w:szCs w:val="24"/>
        </w:rPr>
        <w:t xml:space="preserve">, </w:t>
      </w:r>
      <w:r w:rsidR="00FA31DD">
        <w:rPr>
          <w:szCs w:val="24"/>
        </w:rPr>
        <w:t xml:space="preserve">SG2 </w:t>
      </w:r>
      <w:r w:rsidR="004217E5">
        <w:rPr>
          <w:szCs w:val="24"/>
        </w:rPr>
        <w:t xml:space="preserve">successfully held its last </w:t>
      </w:r>
      <w:r w:rsidR="002E2DEC">
        <w:rPr>
          <w:szCs w:val="24"/>
        </w:rPr>
        <w:t>cluster of meetings from 25 August to</w:t>
      </w:r>
      <w:r w:rsidR="00201042">
        <w:rPr>
          <w:szCs w:val="24"/>
        </w:rPr>
        <w:t xml:space="preserve"> 5 September 2025 (WP2/2, WP1/2 RGMs, and a one-day SG2 decisional Plenary),</w:t>
      </w:r>
      <w:r w:rsidR="002E2DEC">
        <w:rPr>
          <w:szCs w:val="24"/>
        </w:rPr>
        <w:t xml:space="preserve"> </w:t>
      </w:r>
      <w:r w:rsidR="00CC7838">
        <w:rPr>
          <w:szCs w:val="24"/>
        </w:rPr>
        <w:t>in addition to interim virtual activities</w:t>
      </w:r>
      <w:r w:rsidR="004217E5">
        <w:rPr>
          <w:szCs w:val="24"/>
        </w:rPr>
        <w:t xml:space="preserve"> held on an ongoing basis</w:t>
      </w:r>
      <w:r w:rsidR="00CC7838">
        <w:rPr>
          <w:szCs w:val="24"/>
        </w:rPr>
        <w:t>.</w:t>
      </w:r>
      <w:r w:rsidR="004217E5">
        <w:rPr>
          <w:szCs w:val="24"/>
        </w:rPr>
        <w:t xml:space="preserve">  </w:t>
      </w:r>
      <w:r w:rsidR="0016106B">
        <w:rPr>
          <w:szCs w:val="24"/>
        </w:rPr>
        <w:t xml:space="preserve">SG2 will </w:t>
      </w:r>
      <w:r w:rsidR="005D3C76">
        <w:rPr>
          <w:szCs w:val="24"/>
        </w:rPr>
        <w:t>hold its next meeting</w:t>
      </w:r>
      <w:r w:rsidR="0016106B">
        <w:rPr>
          <w:szCs w:val="24"/>
        </w:rPr>
        <w:t xml:space="preserve"> </w:t>
      </w:r>
      <w:r w:rsidR="00296C4D">
        <w:rPr>
          <w:szCs w:val="24"/>
        </w:rPr>
        <w:t xml:space="preserve">from </w:t>
      </w:r>
      <w:r w:rsidR="00E169F1">
        <w:rPr>
          <w:szCs w:val="24"/>
        </w:rPr>
        <w:t>4-13 February 202</w:t>
      </w:r>
      <w:r w:rsidR="00851D8C">
        <w:rPr>
          <w:szCs w:val="24"/>
        </w:rPr>
        <w:t>6</w:t>
      </w:r>
      <w:r w:rsidR="00851D8C">
        <w:t xml:space="preserve">, virtually from 4-6 February and in-person at the ITU from 9-13 February </w:t>
      </w:r>
      <w:r w:rsidR="00F357CE">
        <w:rPr>
          <w:szCs w:val="24"/>
        </w:rPr>
        <w:t xml:space="preserve">(refer to </w:t>
      </w:r>
      <w:r w:rsidR="00922204">
        <w:rPr>
          <w:szCs w:val="24"/>
        </w:rPr>
        <w:t xml:space="preserve">TSB </w:t>
      </w:r>
      <w:r w:rsidR="00F357CE">
        <w:rPr>
          <w:szCs w:val="24"/>
        </w:rPr>
        <w:t>Collective Letter</w:t>
      </w:r>
      <w:r w:rsidR="00922204">
        <w:rPr>
          <w:szCs w:val="24"/>
        </w:rPr>
        <w:t xml:space="preserve"> </w:t>
      </w:r>
      <w:r w:rsidR="00D84CFF">
        <w:rPr>
          <w:szCs w:val="24"/>
        </w:rPr>
        <w:t>3</w:t>
      </w:r>
      <w:r w:rsidR="00DB1D2E">
        <w:rPr>
          <w:szCs w:val="24"/>
        </w:rPr>
        <w:t>/2</w:t>
      </w:r>
      <w:r w:rsidR="00F357CE">
        <w:rPr>
          <w:szCs w:val="24"/>
        </w:rPr>
        <w:t>)</w:t>
      </w:r>
      <w:r w:rsidR="00851D8C">
        <w:rPr>
          <w:szCs w:val="24"/>
        </w:rPr>
        <w:t xml:space="preserve">. </w:t>
      </w:r>
    </w:p>
    <w:p w14:paraId="28460EDC" w14:textId="151717E3" w:rsidR="004F4B23" w:rsidRDefault="004F4B23" w:rsidP="0093527B">
      <w:pPr>
        <w:ind w:right="-187"/>
        <w:rPr>
          <w:szCs w:val="24"/>
        </w:rPr>
      </w:pPr>
      <w:r>
        <w:rPr>
          <w:szCs w:val="24"/>
        </w:rPr>
        <w:t>SG2 has</w:t>
      </w:r>
      <w:r w:rsidR="00F64D73">
        <w:rPr>
          <w:szCs w:val="24"/>
        </w:rPr>
        <w:t xml:space="preserve"> a robust programme of</w:t>
      </w:r>
      <w:r>
        <w:rPr>
          <w:szCs w:val="24"/>
        </w:rPr>
        <w:t xml:space="preserve"> active ongoing work items </w:t>
      </w:r>
      <w:r w:rsidR="00FD628F">
        <w:rPr>
          <w:szCs w:val="24"/>
        </w:rPr>
        <w:t xml:space="preserve">to progress </w:t>
      </w:r>
      <w:r w:rsidR="00F64D73">
        <w:rPr>
          <w:szCs w:val="24"/>
        </w:rPr>
        <w:t>all</w:t>
      </w:r>
      <w:r w:rsidR="00FD628F">
        <w:rPr>
          <w:szCs w:val="24"/>
        </w:rPr>
        <w:t xml:space="preserve"> its lead study group roles</w:t>
      </w:r>
      <w:r w:rsidR="00DD1E1B">
        <w:rPr>
          <w:szCs w:val="24"/>
        </w:rPr>
        <w:t xml:space="preserve">.  </w:t>
      </w:r>
      <w:r w:rsidR="00F64D73">
        <w:rPr>
          <w:szCs w:val="24"/>
        </w:rPr>
        <w:t xml:space="preserve">(For the SG2 work programme, see </w:t>
      </w:r>
      <w:hyperlink r:id="rId12" w:history="1">
        <w:r w:rsidR="004D3327" w:rsidRPr="004F6BE5">
          <w:rPr>
            <w:rStyle w:val="Hyperlink"/>
            <w:szCs w:val="24"/>
          </w:rPr>
          <w:t>SG2-TD</w:t>
        </w:r>
        <w:r w:rsidR="00BD7D26" w:rsidRPr="004F6BE5">
          <w:rPr>
            <w:rStyle w:val="Hyperlink"/>
            <w:szCs w:val="24"/>
          </w:rPr>
          <w:t>1</w:t>
        </w:r>
        <w:r w:rsidR="00EF28EC" w:rsidRPr="004F6BE5">
          <w:rPr>
            <w:rStyle w:val="Hyperlink"/>
            <w:szCs w:val="24"/>
          </w:rPr>
          <w:t>70R1/PLEN</w:t>
        </w:r>
      </w:hyperlink>
      <w:r w:rsidR="00BD7D26">
        <w:rPr>
          <w:szCs w:val="24"/>
        </w:rPr>
        <w:t>).</w:t>
      </w:r>
    </w:p>
    <w:p w14:paraId="38191C46" w14:textId="2CD43D3F" w:rsidR="00437EEB" w:rsidRPr="00686AA8" w:rsidRDefault="00CD388A" w:rsidP="0093527B">
      <w:pPr>
        <w:pStyle w:val="ListParagraph"/>
        <w:keepNext/>
        <w:numPr>
          <w:ilvl w:val="0"/>
          <w:numId w:val="19"/>
        </w:numPr>
        <w:spacing w:before="240"/>
        <w:ind w:left="357" w:right="-187" w:hanging="357"/>
        <w:contextualSpacing w:val="0"/>
        <w:rPr>
          <w:b/>
          <w:bCs/>
          <w:szCs w:val="24"/>
        </w:rPr>
      </w:pPr>
      <w:r w:rsidRPr="00686AA8">
        <w:rPr>
          <w:b/>
          <w:bCs/>
          <w:szCs w:val="24"/>
        </w:rPr>
        <w:t>Recent SG2 Outcomes</w:t>
      </w:r>
    </w:p>
    <w:p w14:paraId="1E7DA64E" w14:textId="0C712FFC" w:rsidR="00AC1674" w:rsidRDefault="009760DB" w:rsidP="0093527B">
      <w:pPr>
        <w:contextualSpacing/>
        <w:rPr>
          <w:szCs w:val="24"/>
        </w:rPr>
      </w:pPr>
      <w:r>
        <w:rPr>
          <w:szCs w:val="24"/>
        </w:rPr>
        <w:t xml:space="preserve">At its </w:t>
      </w:r>
      <w:r w:rsidR="006C0023">
        <w:rPr>
          <w:szCs w:val="24"/>
        </w:rPr>
        <w:t>last Plenary</w:t>
      </w:r>
      <w:r>
        <w:rPr>
          <w:szCs w:val="24"/>
        </w:rPr>
        <w:t>, i</w:t>
      </w:r>
      <w:r w:rsidR="007B164B">
        <w:rPr>
          <w:szCs w:val="24"/>
        </w:rPr>
        <w:t xml:space="preserve">n support of its lead study group roles, </w:t>
      </w:r>
      <w:r w:rsidR="00C54A36">
        <w:rPr>
          <w:szCs w:val="24"/>
        </w:rPr>
        <w:t>SG2</w:t>
      </w:r>
      <w:r w:rsidR="00AC1674">
        <w:rPr>
          <w:szCs w:val="24"/>
        </w:rPr>
        <w:t xml:space="preserve"> approved </w:t>
      </w:r>
      <w:r w:rsidR="00A8741B">
        <w:rPr>
          <w:szCs w:val="24"/>
        </w:rPr>
        <w:t>two</w:t>
      </w:r>
      <w:r w:rsidR="00AC1674">
        <w:rPr>
          <w:szCs w:val="24"/>
        </w:rPr>
        <w:t xml:space="preserve"> </w:t>
      </w:r>
      <w:r w:rsidR="003057E5">
        <w:rPr>
          <w:szCs w:val="24"/>
        </w:rPr>
        <w:t>Recommendations</w:t>
      </w:r>
      <w:r w:rsidR="00732CFB">
        <w:rPr>
          <w:szCs w:val="24"/>
        </w:rPr>
        <w:t xml:space="preserve"> and</w:t>
      </w:r>
      <w:r w:rsidR="00546EC3">
        <w:rPr>
          <w:szCs w:val="24"/>
        </w:rPr>
        <w:t xml:space="preserve"> </w:t>
      </w:r>
      <w:r w:rsidR="00E1554F">
        <w:rPr>
          <w:szCs w:val="24"/>
        </w:rPr>
        <w:t>determined</w:t>
      </w:r>
      <w:r w:rsidR="00BC6A5A">
        <w:rPr>
          <w:szCs w:val="24"/>
        </w:rPr>
        <w:t xml:space="preserve"> (or re-determined)</w:t>
      </w:r>
      <w:r w:rsidR="00E1554F">
        <w:rPr>
          <w:szCs w:val="24"/>
        </w:rPr>
        <w:t xml:space="preserve"> </w:t>
      </w:r>
      <w:r w:rsidR="00A8741B">
        <w:rPr>
          <w:szCs w:val="24"/>
        </w:rPr>
        <w:t>four</w:t>
      </w:r>
      <w:r w:rsidR="00E1554F">
        <w:rPr>
          <w:szCs w:val="24"/>
        </w:rPr>
        <w:t xml:space="preserve"> </w:t>
      </w:r>
      <w:r w:rsidR="002C3F19">
        <w:rPr>
          <w:szCs w:val="24"/>
        </w:rPr>
        <w:t>Recommendations under TAP</w:t>
      </w:r>
      <w:r w:rsidR="00E1554F">
        <w:rPr>
          <w:szCs w:val="24"/>
        </w:rPr>
        <w:t>,</w:t>
      </w:r>
      <w:r w:rsidR="002C3F19">
        <w:rPr>
          <w:szCs w:val="24"/>
        </w:rPr>
        <w:t xml:space="preserve"> consented </w:t>
      </w:r>
      <w:r w:rsidR="00BC6A5A">
        <w:rPr>
          <w:szCs w:val="24"/>
        </w:rPr>
        <w:t>eight</w:t>
      </w:r>
      <w:r w:rsidR="002C3F19">
        <w:rPr>
          <w:szCs w:val="24"/>
        </w:rPr>
        <w:t xml:space="preserve"> Recommendations under AAP, </w:t>
      </w:r>
      <w:r w:rsidR="00BC6A5A">
        <w:rPr>
          <w:szCs w:val="24"/>
        </w:rPr>
        <w:t>renumbered</w:t>
      </w:r>
      <w:r w:rsidR="002C3F19">
        <w:rPr>
          <w:szCs w:val="24"/>
        </w:rPr>
        <w:t xml:space="preserve"> one Recommendation, and approved one new </w:t>
      </w:r>
      <w:r w:rsidR="002C3F19">
        <w:rPr>
          <w:szCs w:val="24"/>
        </w:rPr>
        <w:lastRenderedPageBreak/>
        <w:t>Technical Report</w:t>
      </w:r>
      <w:r w:rsidR="007B164B">
        <w:rPr>
          <w:szCs w:val="24"/>
        </w:rPr>
        <w:t>, as summarized below.</w:t>
      </w:r>
      <w:r w:rsidR="001D047D">
        <w:rPr>
          <w:szCs w:val="24"/>
        </w:rPr>
        <w:t xml:space="preserve">  </w:t>
      </w:r>
      <w:r w:rsidR="00C54A36">
        <w:rPr>
          <w:szCs w:val="24"/>
        </w:rPr>
        <w:t>(</w:t>
      </w:r>
      <w:r w:rsidR="00D1204E">
        <w:rPr>
          <w:szCs w:val="24"/>
        </w:rPr>
        <w:t xml:space="preserve">For complete details, please refer to the meeting report at </w:t>
      </w:r>
      <w:hyperlink r:id="rId13" w:history="1">
        <w:r w:rsidR="00D1204E" w:rsidRPr="00693F2B">
          <w:rPr>
            <w:rStyle w:val="Hyperlink"/>
            <w:szCs w:val="24"/>
          </w:rPr>
          <w:t>SG2-R</w:t>
        </w:r>
        <w:r w:rsidR="00FF7EC0">
          <w:rPr>
            <w:rStyle w:val="Hyperlink"/>
            <w:szCs w:val="24"/>
          </w:rPr>
          <w:t>8</w:t>
        </w:r>
      </w:hyperlink>
      <w:r w:rsidR="00D1204E">
        <w:rPr>
          <w:szCs w:val="24"/>
        </w:rPr>
        <w:t>.</w:t>
      </w:r>
      <w:r w:rsidR="00C54A36">
        <w:rPr>
          <w:szCs w:val="24"/>
        </w:rPr>
        <w:t>)</w:t>
      </w:r>
    </w:p>
    <w:p w14:paraId="5BEEB082" w14:textId="4EBE3629" w:rsidR="00732CFB" w:rsidRPr="0093527B" w:rsidRDefault="00EB7704" w:rsidP="0093527B">
      <w:pPr>
        <w:pStyle w:val="ListParagraph"/>
        <w:keepNext/>
        <w:numPr>
          <w:ilvl w:val="0"/>
          <w:numId w:val="20"/>
        </w:numPr>
        <w:spacing w:before="240" w:after="120"/>
        <w:ind w:left="714" w:hanging="357"/>
        <w:contextualSpacing w:val="0"/>
        <w:rPr>
          <w:b/>
          <w:szCs w:val="24"/>
          <w:lang w:val="en-US"/>
        </w:rPr>
      </w:pPr>
      <w:r w:rsidRPr="0093527B">
        <w:rPr>
          <w:b/>
        </w:rPr>
        <w:t>Approved Recommendations</w:t>
      </w:r>
      <w:r w:rsidR="00A8741B" w:rsidRPr="0093527B">
        <w:rPr>
          <w:b/>
        </w:rPr>
        <w:t>:</w:t>
      </w:r>
    </w:p>
    <w:tbl>
      <w:tblPr>
        <w:tblStyle w:val="TableGrid"/>
        <w:tblW w:w="96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900"/>
        <w:gridCol w:w="2190"/>
      </w:tblGrid>
      <w:tr w:rsidR="00732CFB" w:rsidRPr="00516C29" w14:paraId="2028DC63" w14:textId="77777777" w:rsidTr="00BC6A5A">
        <w:trPr>
          <w:tblHeader/>
          <w:jc w:val="center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3C87" w14:textId="77777777" w:rsidR="00732CFB" w:rsidRPr="00516C29" w:rsidRDefault="00732CFB" w:rsidP="00BF139B">
            <w:pPr>
              <w:pStyle w:val="Tablehead"/>
              <w:rPr>
                <w:lang w:val="en-US" w:eastAsia="en-GB"/>
              </w:rPr>
            </w:pPr>
            <w:r w:rsidRPr="00516C29">
              <w:rPr>
                <w:lang w:val="en-US" w:eastAsia="en-GB"/>
              </w:rPr>
              <w:t>Rec. #</w:t>
            </w:r>
          </w:p>
        </w:tc>
        <w:tc>
          <w:tcPr>
            <w:tcW w:w="5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E395" w14:textId="77777777" w:rsidR="00732CFB" w:rsidRPr="00516C29" w:rsidRDefault="00732CFB" w:rsidP="00BF139B">
            <w:pPr>
              <w:pStyle w:val="Tablehead"/>
              <w:rPr>
                <w:lang w:val="en-US" w:eastAsia="en-GB"/>
              </w:rPr>
            </w:pPr>
            <w:r w:rsidRPr="00516C29">
              <w:rPr>
                <w:lang w:val="en-US" w:eastAsia="en-GB"/>
              </w:rPr>
              <w:t>Rec. title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1F8B1E" w14:textId="77777777" w:rsidR="00732CFB" w:rsidRPr="00516C29" w:rsidRDefault="00732CFB" w:rsidP="00BF139B">
            <w:pPr>
              <w:pStyle w:val="Tablehead"/>
              <w:rPr>
                <w:lang w:val="en-US" w:eastAsia="en-GB"/>
              </w:rPr>
            </w:pPr>
            <w:r w:rsidRPr="00516C29">
              <w:rPr>
                <w:lang w:val="en-US" w:eastAsia="en-GB"/>
              </w:rPr>
              <w:t>Document(s)</w:t>
            </w:r>
          </w:p>
        </w:tc>
      </w:tr>
      <w:tr w:rsidR="00E32A54" w:rsidRPr="00BC6A5A" w14:paraId="798DA3E0" w14:textId="77777777" w:rsidTr="00BC6A5A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7750" w14:textId="06855BEA" w:rsidR="00E32A54" w:rsidRPr="00BC6A5A" w:rsidRDefault="00E32A54" w:rsidP="00E32A54">
            <w:pPr>
              <w:pStyle w:val="Tabletext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r w:rsidRPr="00BC6A5A">
              <w:rPr>
                <w:rFonts w:ascii="Times New Roman" w:hAnsi="Times New Roman" w:cs="Times New Roman"/>
                <w:lang w:eastAsia="en-GB"/>
              </w:rPr>
              <w:t>E.118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1E7E" w14:textId="09611A23" w:rsidR="00E32A54" w:rsidRPr="00BC6A5A" w:rsidRDefault="00E32A54" w:rsidP="00E32A54">
            <w:pPr>
              <w:pStyle w:val="Tabletext"/>
              <w:rPr>
                <w:rFonts w:ascii="Times New Roman" w:hAnsi="Times New Roman" w:cs="Times New Roman"/>
                <w:lang w:val="en-US" w:eastAsia="en-GB"/>
              </w:rPr>
            </w:pPr>
            <w:r w:rsidRPr="00760A73">
              <w:rPr>
                <w:rFonts w:ascii="Times New Roman" w:hAnsi="Times New Roman" w:cs="Times New Roman"/>
                <w:lang w:val="en-GB" w:eastAsia="en-GB"/>
              </w:rPr>
              <w:t>Numbering resources for Cards to identify accounts for charging telecommunication services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86DD" w14:textId="0FAF298F" w:rsidR="00E32A54" w:rsidRPr="00BC6A5A" w:rsidRDefault="00E32A54" w:rsidP="00E32A54">
            <w:pPr>
              <w:pStyle w:val="Tabletext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hyperlink r:id="rId14" w:history="1">
              <w:r w:rsidRPr="00BC6A5A">
                <w:rPr>
                  <w:rStyle w:val="Hyperlink"/>
                  <w:rFonts w:ascii="Times New Roman" w:hAnsi="Times New Roman" w:cs="Times New Roman"/>
                  <w:lang w:eastAsia="en-GB"/>
                </w:rPr>
                <w:t>SG2-TD276R2/PLEN</w:t>
              </w:r>
            </w:hyperlink>
          </w:p>
        </w:tc>
      </w:tr>
      <w:tr w:rsidR="00E32A54" w:rsidRPr="00BC6A5A" w14:paraId="67F691E7" w14:textId="77777777" w:rsidTr="00BC6A5A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AF2D" w14:textId="42C4B7C9" w:rsidR="00E32A54" w:rsidRPr="00BC6A5A" w:rsidRDefault="00E32A54" w:rsidP="00E32A54">
            <w:pPr>
              <w:pStyle w:val="Tabletext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r w:rsidRPr="00BC6A5A">
              <w:rPr>
                <w:rFonts w:ascii="Times New Roman" w:hAnsi="Times New Roman" w:cs="Times New Roman"/>
                <w:lang w:eastAsia="en-GB"/>
              </w:rPr>
              <w:t>E.156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3347" w14:textId="0842F1F7" w:rsidR="00E32A54" w:rsidRPr="00BC6A5A" w:rsidRDefault="00E32A54" w:rsidP="00E32A54">
            <w:pPr>
              <w:pStyle w:val="Tabletext"/>
              <w:rPr>
                <w:rFonts w:ascii="Times New Roman" w:hAnsi="Times New Roman" w:cs="Times New Roman"/>
                <w:highlight w:val="yellow"/>
                <w:lang w:val="en-US" w:eastAsia="en-GB"/>
              </w:rPr>
            </w:pPr>
            <w:r w:rsidRPr="00760A73">
              <w:rPr>
                <w:rFonts w:ascii="Times New Roman" w:hAnsi="Times New Roman" w:cs="Times New Roman"/>
                <w:lang w:val="en-GB" w:eastAsia="en-GB"/>
              </w:rPr>
              <w:t>Guidelines for ITU-T action on reported misuse of ITU-T E.164 number resources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1424" w14:textId="13158A96" w:rsidR="00E32A54" w:rsidRPr="00BC6A5A" w:rsidRDefault="00E32A54" w:rsidP="00E32A54">
            <w:pPr>
              <w:pStyle w:val="Tabletext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hyperlink r:id="rId15" w:history="1">
              <w:r w:rsidRPr="00BC6A5A">
                <w:rPr>
                  <w:rStyle w:val="Hyperlink"/>
                  <w:rFonts w:ascii="Times New Roman" w:hAnsi="Times New Roman" w:cs="Times New Roman"/>
                  <w:lang w:eastAsia="en-GB"/>
                </w:rPr>
                <w:t>SG2-TD279R3/PLEN</w:t>
              </w:r>
            </w:hyperlink>
          </w:p>
        </w:tc>
      </w:tr>
    </w:tbl>
    <w:p w14:paraId="62BF4B59" w14:textId="77777777" w:rsidR="00D12565" w:rsidRDefault="00D12565" w:rsidP="00D12565">
      <w:pPr>
        <w:spacing w:before="0"/>
        <w:contextualSpacing/>
      </w:pPr>
    </w:p>
    <w:p w14:paraId="1EC7FC06" w14:textId="3CD01A2C" w:rsidR="00E2236A" w:rsidRPr="00D12565" w:rsidRDefault="00000D12" w:rsidP="00D12565">
      <w:pPr>
        <w:spacing w:before="0"/>
        <w:contextualSpacing/>
      </w:pPr>
      <w:r w:rsidRPr="00D12565">
        <w:t xml:space="preserve">Of interest, note that due to the existence of </w:t>
      </w:r>
      <w:hyperlink r:id="rId16" w:history="1">
        <w:r w:rsidRPr="00D12565">
          <w:rPr>
            <w:rStyle w:val="Hyperlink"/>
          </w:rPr>
          <w:t>ITU Council Decision 601</w:t>
        </w:r>
      </w:hyperlink>
      <w:r w:rsidRPr="00D12565">
        <w:t xml:space="preserve">, which has precedence over this ITU-T Recommendation, the publication and implementation of Rec. ITU-T E.118, as approved on 5 September 2025, will be suspended until the ITU Council, at its 2026 session, abrogates said Decision 601 (see Council Document </w:t>
      </w:r>
      <w:hyperlink r:id="rId17" w:history="1">
        <w:r w:rsidRPr="00D12565">
          <w:rPr>
            <w:rStyle w:val="Hyperlink"/>
          </w:rPr>
          <w:t>C25/38</w:t>
        </w:r>
      </w:hyperlink>
      <w:r w:rsidRPr="00D12565">
        <w:t>).  In the meantime, the version of Rec</w:t>
      </w:r>
      <w:r w:rsidR="00DC4598" w:rsidRPr="00D12565">
        <w:t>.</w:t>
      </w:r>
      <w:r w:rsidRPr="00D12565">
        <w:t xml:space="preserve"> ITU-T E.118 approved in May 2006 remains in effect. </w:t>
      </w:r>
    </w:p>
    <w:p w14:paraId="425AE7E7" w14:textId="77777777" w:rsidR="00D12565" w:rsidRDefault="00D12565" w:rsidP="00D12565">
      <w:pPr>
        <w:spacing w:before="0"/>
        <w:contextualSpacing/>
      </w:pPr>
    </w:p>
    <w:p w14:paraId="2692C0EA" w14:textId="2B445E59" w:rsidR="00E2236A" w:rsidRPr="00D12565" w:rsidRDefault="00E2236A" w:rsidP="00D12565">
      <w:pPr>
        <w:spacing w:before="0"/>
        <w:contextualSpacing/>
      </w:pPr>
      <w:r w:rsidRPr="00D12565">
        <w:t xml:space="preserve">This </w:t>
      </w:r>
      <w:r w:rsidR="001967E6">
        <w:t xml:space="preserve">matter </w:t>
      </w:r>
      <w:r w:rsidR="00E80CFB">
        <w:t>will also be discussed at the</w:t>
      </w:r>
      <w:r w:rsidR="001967E6">
        <w:t xml:space="preserve"> next meeting of the</w:t>
      </w:r>
      <w:r w:rsidR="00D12565">
        <w:t xml:space="preserve"> Council Working Group </w:t>
      </w:r>
      <w:r w:rsidR="00E80CFB">
        <w:t>on Financial and Human Resources (CWG-FHR)</w:t>
      </w:r>
      <w:r w:rsidR="001967E6">
        <w:t xml:space="preserve"> (14-16 January 2026); </w:t>
      </w:r>
      <w:r w:rsidR="00E80CFB">
        <w:t>given timing, the SG2 Chair will provide any relevant updates verbally to TSAG when introducing this TD</w:t>
      </w:r>
      <w:r w:rsidR="001967E6">
        <w:t>.</w:t>
      </w:r>
    </w:p>
    <w:p w14:paraId="4E4193A2" w14:textId="1DD499A0" w:rsidR="00732CFB" w:rsidRPr="00BC6A5A" w:rsidRDefault="003057E5" w:rsidP="0093527B">
      <w:pPr>
        <w:pStyle w:val="ListParagraph"/>
        <w:keepNext/>
        <w:numPr>
          <w:ilvl w:val="0"/>
          <w:numId w:val="20"/>
        </w:numPr>
        <w:spacing w:before="240" w:after="120"/>
        <w:ind w:left="714" w:hanging="357"/>
        <w:contextualSpacing w:val="0"/>
        <w:rPr>
          <w:b/>
          <w:sz w:val="22"/>
          <w:szCs w:val="22"/>
          <w:lang w:val="en-US"/>
        </w:rPr>
      </w:pPr>
      <w:r w:rsidRPr="00BC6A5A">
        <w:rPr>
          <w:b/>
          <w:sz w:val="22"/>
          <w:szCs w:val="22"/>
          <w:lang w:val="en-US"/>
        </w:rPr>
        <w:t xml:space="preserve">Recommendations </w:t>
      </w:r>
      <w:r w:rsidR="00A8741B" w:rsidRPr="00BC6A5A">
        <w:rPr>
          <w:b/>
          <w:sz w:val="22"/>
          <w:szCs w:val="22"/>
          <w:lang w:val="en-US"/>
        </w:rPr>
        <w:t>d</w:t>
      </w:r>
      <w:r w:rsidRPr="00BC6A5A">
        <w:rPr>
          <w:b/>
          <w:sz w:val="22"/>
          <w:szCs w:val="22"/>
          <w:lang w:val="en-US"/>
        </w:rPr>
        <w:t>etermined under TAP</w:t>
      </w:r>
      <w:r w:rsidR="00A8741B" w:rsidRPr="00BC6A5A">
        <w:rPr>
          <w:b/>
          <w:sz w:val="22"/>
          <w:szCs w:val="22"/>
          <w:lang w:val="en-US"/>
        </w:rPr>
        <w:t>:</w:t>
      </w:r>
    </w:p>
    <w:tbl>
      <w:tblPr>
        <w:tblStyle w:val="TableGrid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810"/>
        <w:gridCol w:w="2280"/>
      </w:tblGrid>
      <w:tr w:rsidR="00732CFB" w:rsidRPr="00BC6A5A" w14:paraId="057DB308" w14:textId="77777777" w:rsidTr="00BC6A5A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C7808C" w14:textId="77777777" w:rsidR="00732CFB" w:rsidRPr="00BC6A5A" w:rsidRDefault="00732CFB" w:rsidP="00BF139B">
            <w:pPr>
              <w:pStyle w:val="Tablehead"/>
              <w:rPr>
                <w:szCs w:val="22"/>
                <w:lang w:val="en-US" w:eastAsia="en-GB"/>
              </w:rPr>
            </w:pPr>
            <w:r w:rsidRPr="00BC6A5A">
              <w:rPr>
                <w:szCs w:val="22"/>
                <w:lang w:val="en-US" w:eastAsia="en-GB"/>
              </w:rPr>
              <w:t>Rec. #</w:t>
            </w:r>
          </w:p>
        </w:tc>
        <w:tc>
          <w:tcPr>
            <w:tcW w:w="5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9B2B44" w14:textId="77777777" w:rsidR="00732CFB" w:rsidRPr="00BC6A5A" w:rsidRDefault="00732CFB" w:rsidP="00BF139B">
            <w:pPr>
              <w:pStyle w:val="Tablehead"/>
              <w:rPr>
                <w:szCs w:val="22"/>
                <w:lang w:val="en-US" w:eastAsia="en-GB"/>
              </w:rPr>
            </w:pPr>
            <w:r w:rsidRPr="00BC6A5A">
              <w:rPr>
                <w:szCs w:val="22"/>
                <w:lang w:val="en-US" w:eastAsia="en-GB"/>
              </w:rPr>
              <w:t>Rec. title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7D79BB7" w14:textId="77777777" w:rsidR="00732CFB" w:rsidRPr="00BC6A5A" w:rsidRDefault="00732CFB" w:rsidP="00BF139B">
            <w:pPr>
              <w:pStyle w:val="Tablehead"/>
              <w:rPr>
                <w:szCs w:val="22"/>
                <w:lang w:val="en-US" w:eastAsia="en-GB"/>
              </w:rPr>
            </w:pPr>
            <w:r w:rsidRPr="00BC6A5A">
              <w:rPr>
                <w:szCs w:val="22"/>
                <w:lang w:val="en-US" w:eastAsia="en-GB"/>
              </w:rPr>
              <w:t>Document(s)</w:t>
            </w:r>
          </w:p>
        </w:tc>
      </w:tr>
      <w:tr w:rsidR="002F0D87" w:rsidRPr="00BC6A5A" w14:paraId="28A69E5A" w14:textId="77777777" w:rsidTr="00BC6A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F925" w14:textId="581D82FA" w:rsidR="002F0D87" w:rsidRPr="00BC6A5A" w:rsidRDefault="002F0D87" w:rsidP="002F0D87">
            <w:pPr>
              <w:keepNext/>
              <w:spacing w:before="40" w:after="40"/>
              <w:jc w:val="center"/>
              <w:rPr>
                <w:sz w:val="22"/>
                <w:szCs w:val="22"/>
                <w:lang w:val="en-US" w:eastAsia="ja-JP"/>
              </w:rPr>
            </w:pPr>
            <w:bookmarkStart w:id="8" w:name="_Hlk169069856"/>
            <w:r w:rsidRPr="00BC6A5A">
              <w:rPr>
                <w:sz w:val="22"/>
                <w:szCs w:val="22"/>
                <w:lang w:eastAsia="en-GB"/>
              </w:rPr>
              <w:t>E.164.1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E5F9" w14:textId="6BC857AD" w:rsidR="002F0D87" w:rsidRPr="00BC6A5A" w:rsidRDefault="002F0D87" w:rsidP="002F0D87">
            <w:pPr>
              <w:keepNext/>
              <w:spacing w:before="40" w:after="40"/>
              <w:rPr>
                <w:bCs/>
                <w:sz w:val="22"/>
                <w:szCs w:val="22"/>
                <w:lang w:val="en-US" w:eastAsia="en-GB"/>
              </w:rPr>
            </w:pPr>
            <w:r w:rsidRPr="00BC6A5A">
              <w:rPr>
                <w:bCs/>
                <w:sz w:val="22"/>
                <w:szCs w:val="22"/>
                <w:lang w:eastAsia="en-GB"/>
              </w:rPr>
              <w:t>Criteria and procedures for the reservation, assignment and reclamation of E.164 country codes and associated identification codes (ICs)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39A8" w14:textId="2C5920FA" w:rsidR="002F0D87" w:rsidRPr="00BC6A5A" w:rsidRDefault="002F0D87" w:rsidP="002F0D87">
            <w:pPr>
              <w:keepNext/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hyperlink r:id="rId18" w:history="1">
              <w:r w:rsidRPr="00BC6A5A">
                <w:rPr>
                  <w:rStyle w:val="Hyperlink"/>
                  <w:sz w:val="22"/>
                  <w:szCs w:val="22"/>
                  <w:lang w:eastAsia="en-GB"/>
                </w:rPr>
                <w:t>SG2-TD194R5/PLEN</w:t>
              </w:r>
            </w:hyperlink>
          </w:p>
        </w:tc>
      </w:tr>
      <w:tr w:rsidR="002F0D87" w:rsidRPr="00BC6A5A" w14:paraId="05DEF160" w14:textId="77777777" w:rsidTr="00BC6A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9EA4" w14:textId="505E0CA6" w:rsidR="002F0D87" w:rsidRPr="00BC6A5A" w:rsidRDefault="002F0D87" w:rsidP="002F0D87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bookmarkStart w:id="9" w:name="_Hlk169069888"/>
            <w:r w:rsidRPr="00BC6A5A">
              <w:rPr>
                <w:sz w:val="22"/>
                <w:szCs w:val="22"/>
                <w:lang w:eastAsia="en-GB"/>
              </w:rPr>
              <w:t>E.192</w:t>
            </w:r>
            <w:r w:rsidRPr="00BC6A5A">
              <w:rPr>
                <w:sz w:val="22"/>
                <w:szCs w:val="22"/>
                <w:lang w:eastAsia="en-GB"/>
              </w:rPr>
              <w:br/>
              <w:t>(</w:t>
            </w:r>
            <w:proofErr w:type="spellStart"/>
            <w:r w:rsidRPr="00BC6A5A">
              <w:rPr>
                <w:sz w:val="22"/>
                <w:szCs w:val="22"/>
                <w:lang w:eastAsia="en-GB"/>
              </w:rPr>
              <w:t>ex.E.IoT</w:t>
            </w:r>
            <w:proofErr w:type="spellEnd"/>
            <w:r w:rsidRPr="00BC6A5A">
              <w:rPr>
                <w:sz w:val="22"/>
                <w:szCs w:val="22"/>
                <w:lang w:eastAsia="en-GB"/>
              </w:rPr>
              <w:t>-NNAI)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B90B" w14:textId="3A5080AC" w:rsidR="002F0D87" w:rsidRPr="00BC6A5A" w:rsidRDefault="002F0D87" w:rsidP="002F0D87">
            <w:pPr>
              <w:spacing w:before="40" w:after="40"/>
              <w:rPr>
                <w:bCs/>
                <w:sz w:val="22"/>
                <w:szCs w:val="22"/>
                <w:lang w:val="en-US" w:eastAsia="en-GB"/>
              </w:rPr>
            </w:pPr>
            <w:r w:rsidRPr="00BC6A5A">
              <w:rPr>
                <w:bCs/>
                <w:sz w:val="22"/>
                <w:szCs w:val="22"/>
                <w:lang w:eastAsia="en-GB"/>
              </w:rPr>
              <w:t>International telecommunications Numbering, Naming, Addressing and Identification (NNAI) resources for IoT/M2M services/applications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AF11" w14:textId="6B1487A4" w:rsidR="002F0D87" w:rsidRPr="00BC6A5A" w:rsidRDefault="002F0D87" w:rsidP="002F0D87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hyperlink r:id="rId19" w:history="1">
              <w:r w:rsidRPr="00BC6A5A">
                <w:rPr>
                  <w:rStyle w:val="Hyperlink"/>
                  <w:sz w:val="22"/>
                  <w:szCs w:val="22"/>
                  <w:lang w:eastAsia="en-GB"/>
                </w:rPr>
                <w:t>SG2-TD196R2/PLEN</w:t>
              </w:r>
            </w:hyperlink>
          </w:p>
        </w:tc>
        <w:bookmarkEnd w:id="9"/>
      </w:tr>
      <w:bookmarkEnd w:id="8"/>
      <w:tr w:rsidR="00970699" w:rsidRPr="00BC6A5A" w14:paraId="7FF86779" w14:textId="77777777" w:rsidTr="00BC6A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AD51" w14:textId="7541123D" w:rsidR="00970699" w:rsidRPr="00BC6A5A" w:rsidRDefault="00970699" w:rsidP="00970699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r w:rsidRPr="00BC6A5A">
              <w:rPr>
                <w:sz w:val="22"/>
                <w:szCs w:val="22"/>
                <w:lang w:eastAsia="en-GB"/>
              </w:rPr>
              <w:t>E.164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D42A" w14:textId="42272B65" w:rsidR="00970699" w:rsidRPr="00BC6A5A" w:rsidRDefault="00970699" w:rsidP="00970699">
            <w:pPr>
              <w:spacing w:before="40" w:after="40"/>
              <w:rPr>
                <w:bCs/>
                <w:sz w:val="22"/>
                <w:szCs w:val="22"/>
                <w:lang w:val="en-US" w:eastAsia="en-GB"/>
              </w:rPr>
            </w:pPr>
            <w:r w:rsidRPr="00BC6A5A">
              <w:rPr>
                <w:sz w:val="22"/>
                <w:szCs w:val="22"/>
                <w:lang w:eastAsia="en-GB"/>
              </w:rPr>
              <w:t>The international public telecommunication numbering plan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43FF" w14:textId="0AFA302E" w:rsidR="00970699" w:rsidRPr="00BC6A5A" w:rsidRDefault="00970699" w:rsidP="00970699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hyperlink r:id="rId20" w:history="1">
              <w:r w:rsidRPr="00BC6A5A">
                <w:rPr>
                  <w:rStyle w:val="Hyperlink"/>
                  <w:sz w:val="22"/>
                  <w:szCs w:val="22"/>
                  <w:lang w:eastAsia="en-GB"/>
                </w:rPr>
                <w:t>SG2-TD248R4/PLEN</w:t>
              </w:r>
            </w:hyperlink>
          </w:p>
        </w:tc>
      </w:tr>
      <w:tr w:rsidR="00970699" w:rsidRPr="00BC6A5A" w14:paraId="049292F5" w14:textId="77777777" w:rsidTr="00BC6A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84FD" w14:textId="7BE73F06" w:rsidR="00970699" w:rsidRPr="00BC6A5A" w:rsidRDefault="00970699" w:rsidP="00970699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r w:rsidRPr="00BC6A5A">
              <w:rPr>
                <w:sz w:val="22"/>
                <w:szCs w:val="22"/>
                <w:lang w:eastAsia="en-GB"/>
              </w:rPr>
              <w:t xml:space="preserve">E.371 (ex </w:t>
            </w:r>
            <w:proofErr w:type="spellStart"/>
            <w:r w:rsidRPr="00BC6A5A">
              <w:rPr>
                <w:sz w:val="22"/>
                <w:szCs w:val="22"/>
                <w:lang w:eastAsia="en-GB"/>
              </w:rPr>
              <w:t>E.dit</w:t>
            </w:r>
            <w:proofErr w:type="spellEnd"/>
            <w:r w:rsidRPr="00BC6A5A">
              <w:rPr>
                <w:sz w:val="22"/>
                <w:szCs w:val="22"/>
                <w:lang w:eastAsia="en-GB"/>
              </w:rPr>
              <w:t>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DDD0" w14:textId="7FADA562" w:rsidR="00970699" w:rsidRPr="00BC6A5A" w:rsidRDefault="00970699" w:rsidP="00970699">
            <w:pPr>
              <w:spacing w:before="40" w:after="40"/>
              <w:rPr>
                <w:bCs/>
                <w:sz w:val="22"/>
                <w:szCs w:val="22"/>
                <w:lang w:val="en-US" w:eastAsia="en-GB"/>
              </w:rPr>
            </w:pPr>
            <w:r w:rsidRPr="00BC6A5A">
              <w:rPr>
                <w:sz w:val="22"/>
                <w:szCs w:val="22"/>
                <w:lang w:eastAsia="en-GB"/>
              </w:rPr>
              <w:t>Deemed impermissible traffic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50CC" w14:textId="1D16D3B0" w:rsidR="00970699" w:rsidRPr="00BC6A5A" w:rsidRDefault="00970699" w:rsidP="00970699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hyperlink r:id="rId21" w:history="1">
              <w:r w:rsidRPr="00BC6A5A">
                <w:rPr>
                  <w:rStyle w:val="Hyperlink"/>
                  <w:sz w:val="22"/>
                  <w:szCs w:val="22"/>
                  <w:lang w:eastAsia="en-GB"/>
                </w:rPr>
                <w:t>SG2-TD282R2/PLEN</w:t>
              </w:r>
            </w:hyperlink>
          </w:p>
        </w:tc>
      </w:tr>
    </w:tbl>
    <w:p w14:paraId="438BB004" w14:textId="69C63325" w:rsidR="007903C2" w:rsidRPr="00964846" w:rsidRDefault="007903C2" w:rsidP="007903C2">
      <w:pPr>
        <w:keepNext/>
        <w:spacing w:before="240" w:after="120"/>
        <w:rPr>
          <w:b/>
          <w:szCs w:val="24"/>
          <w:lang w:val="en-US"/>
        </w:rPr>
      </w:pPr>
      <w:r w:rsidRPr="00964846">
        <w:rPr>
          <w:bCs/>
          <w:szCs w:val="24"/>
          <w:lang w:val="en-US"/>
        </w:rPr>
        <w:t xml:space="preserve">Note that the latter two Recommendations were originally slated for approval at the 5 September 2025 meeting, but consideration of the replies to the TAP consultation </w:t>
      </w:r>
      <w:r w:rsidR="00964846" w:rsidRPr="00964846">
        <w:rPr>
          <w:bCs/>
          <w:szCs w:val="24"/>
          <w:lang w:val="en-US"/>
        </w:rPr>
        <w:t>(</w:t>
      </w:r>
      <w:r w:rsidRPr="00964846">
        <w:rPr>
          <w:bCs/>
          <w:szCs w:val="24"/>
          <w:lang w:val="en-US"/>
        </w:rPr>
        <w:t>TSB Circular 29</w:t>
      </w:r>
      <w:r w:rsidR="00964846" w:rsidRPr="00964846">
        <w:rPr>
          <w:bCs/>
          <w:szCs w:val="24"/>
          <w:lang w:val="en-US"/>
        </w:rPr>
        <w:t>)</w:t>
      </w:r>
      <w:r w:rsidRPr="00964846">
        <w:rPr>
          <w:bCs/>
          <w:szCs w:val="24"/>
          <w:lang w:val="en-US"/>
        </w:rPr>
        <w:t xml:space="preserve"> and associated contributions resulted in significant substantive changes to the text, hence the need for re-</w:t>
      </w:r>
      <w:r w:rsidR="00BE71D3">
        <w:rPr>
          <w:bCs/>
          <w:szCs w:val="24"/>
          <w:lang w:val="en-US"/>
        </w:rPr>
        <w:t>d</w:t>
      </w:r>
      <w:r w:rsidRPr="00964846">
        <w:rPr>
          <w:bCs/>
          <w:szCs w:val="24"/>
          <w:lang w:val="en-US"/>
        </w:rPr>
        <w:t>etermination.</w:t>
      </w:r>
    </w:p>
    <w:p w14:paraId="61FA7703" w14:textId="78893A3A" w:rsidR="003057E5" w:rsidRPr="00BC6A5A" w:rsidRDefault="003057E5" w:rsidP="0093527B">
      <w:pPr>
        <w:pStyle w:val="ListParagraph"/>
        <w:keepNext/>
        <w:numPr>
          <w:ilvl w:val="0"/>
          <w:numId w:val="20"/>
        </w:numPr>
        <w:spacing w:before="240" w:after="120"/>
        <w:ind w:left="714" w:hanging="357"/>
        <w:contextualSpacing w:val="0"/>
        <w:rPr>
          <w:b/>
          <w:sz w:val="22"/>
          <w:szCs w:val="22"/>
          <w:lang w:val="en-US"/>
        </w:rPr>
      </w:pPr>
      <w:r w:rsidRPr="00BC6A5A">
        <w:rPr>
          <w:b/>
          <w:sz w:val="22"/>
          <w:szCs w:val="22"/>
          <w:lang w:val="en-US"/>
        </w:rPr>
        <w:t xml:space="preserve">Recommendations </w:t>
      </w:r>
      <w:r w:rsidR="00A8741B" w:rsidRPr="00BC6A5A">
        <w:rPr>
          <w:b/>
          <w:sz w:val="22"/>
          <w:szCs w:val="22"/>
          <w:lang w:val="en-US"/>
        </w:rPr>
        <w:t>c</w:t>
      </w:r>
      <w:r w:rsidRPr="00BC6A5A">
        <w:rPr>
          <w:b/>
          <w:sz w:val="22"/>
          <w:szCs w:val="22"/>
          <w:lang w:val="en-US"/>
        </w:rPr>
        <w:t>onsented under AAP</w:t>
      </w:r>
      <w:r w:rsidR="00A8741B" w:rsidRPr="00BC6A5A">
        <w:rPr>
          <w:b/>
          <w:sz w:val="22"/>
          <w:szCs w:val="22"/>
          <w:lang w:val="en-US"/>
        </w:rPr>
        <w:t>:</w:t>
      </w:r>
    </w:p>
    <w:tbl>
      <w:tblPr>
        <w:tblStyle w:val="TableGrid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810"/>
        <w:gridCol w:w="2280"/>
      </w:tblGrid>
      <w:tr w:rsidR="00732CFB" w:rsidRPr="00BC6A5A" w14:paraId="01FD11D7" w14:textId="77777777" w:rsidTr="00BC6A5A">
        <w:trPr>
          <w:tblHeader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2D97DB" w14:textId="77777777" w:rsidR="00732CFB" w:rsidRPr="00BC6A5A" w:rsidRDefault="00732CFB" w:rsidP="00BF139B">
            <w:pPr>
              <w:pStyle w:val="Tablehead"/>
              <w:keepLines/>
              <w:rPr>
                <w:szCs w:val="22"/>
                <w:lang w:val="en-US" w:eastAsia="en-GB"/>
              </w:rPr>
            </w:pPr>
            <w:r w:rsidRPr="00BC6A5A">
              <w:rPr>
                <w:szCs w:val="22"/>
                <w:lang w:val="en-US" w:eastAsia="en-GB"/>
              </w:rPr>
              <w:t>Rec. #</w:t>
            </w:r>
          </w:p>
        </w:tc>
        <w:tc>
          <w:tcPr>
            <w:tcW w:w="5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2785CD" w14:textId="77777777" w:rsidR="00732CFB" w:rsidRPr="00BC6A5A" w:rsidRDefault="00732CFB" w:rsidP="00BF139B">
            <w:pPr>
              <w:pStyle w:val="Tablehead"/>
              <w:keepLines/>
              <w:rPr>
                <w:szCs w:val="22"/>
                <w:lang w:val="en-US" w:eastAsia="en-GB"/>
              </w:rPr>
            </w:pPr>
            <w:r w:rsidRPr="00BC6A5A">
              <w:rPr>
                <w:szCs w:val="22"/>
                <w:lang w:val="en-US" w:eastAsia="en-GB"/>
              </w:rPr>
              <w:t>Rec. title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844C9C2" w14:textId="77777777" w:rsidR="00732CFB" w:rsidRPr="00BC6A5A" w:rsidRDefault="00732CFB" w:rsidP="00BF139B">
            <w:pPr>
              <w:pStyle w:val="Tablehead"/>
              <w:keepLines/>
              <w:rPr>
                <w:szCs w:val="22"/>
                <w:lang w:val="en-US" w:eastAsia="en-GB"/>
              </w:rPr>
            </w:pPr>
            <w:r w:rsidRPr="00BC6A5A">
              <w:rPr>
                <w:szCs w:val="22"/>
                <w:lang w:val="en-US" w:eastAsia="en-GB"/>
              </w:rPr>
              <w:t>Documents</w:t>
            </w:r>
          </w:p>
        </w:tc>
      </w:tr>
      <w:tr w:rsidR="00197D0C" w:rsidRPr="00BC6A5A" w14:paraId="32F8CF79" w14:textId="77777777" w:rsidTr="00BC6A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0A0B" w14:textId="127D4AC8" w:rsidR="00197D0C" w:rsidRPr="00BC6A5A" w:rsidRDefault="00197D0C" w:rsidP="00197D0C">
            <w:pPr>
              <w:keepNext/>
              <w:keepLines/>
              <w:spacing w:before="40" w:after="40"/>
              <w:jc w:val="center"/>
              <w:rPr>
                <w:sz w:val="22"/>
                <w:szCs w:val="22"/>
                <w:lang w:val="en-US" w:eastAsia="zh-CN"/>
              </w:rPr>
            </w:pPr>
            <w:bookmarkStart w:id="10" w:name="_Hlk169070144"/>
            <w:r w:rsidRPr="00BC6A5A">
              <w:rPr>
                <w:sz w:val="22"/>
                <w:szCs w:val="22"/>
                <w:lang w:val="en-US" w:eastAsia="en-GB"/>
              </w:rPr>
              <w:t>M.3166.1 (</w:t>
            </w:r>
            <w:proofErr w:type="spellStart"/>
            <w:r w:rsidRPr="00BC6A5A">
              <w:rPr>
                <w:sz w:val="22"/>
                <w:szCs w:val="22"/>
                <w:lang w:eastAsia="en-GB"/>
              </w:rPr>
              <w:t>M.bsm-ir</w:t>
            </w:r>
            <w:proofErr w:type="spellEnd"/>
            <w:r w:rsidRPr="00BC6A5A">
              <w:rPr>
                <w:sz w:val="22"/>
                <w:szCs w:val="22"/>
                <w:lang w:val="en-US" w:eastAsia="en-GB"/>
              </w:rPr>
              <w:t>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36E5" w14:textId="08805283" w:rsidR="00197D0C" w:rsidRPr="00BC6A5A" w:rsidRDefault="00197D0C" w:rsidP="00197D0C">
            <w:pPr>
              <w:keepNext/>
              <w:keepLines/>
              <w:spacing w:before="40" w:after="40"/>
              <w:rPr>
                <w:sz w:val="22"/>
                <w:szCs w:val="22"/>
                <w:lang w:val="en-US" w:eastAsia="ja-JP"/>
              </w:rPr>
            </w:pPr>
            <w:proofErr w:type="spellStart"/>
            <w:r w:rsidRPr="00BC6A5A">
              <w:rPr>
                <w:sz w:val="22"/>
                <w:szCs w:val="22"/>
                <w:lang w:eastAsia="en-GB"/>
              </w:rPr>
              <w:t>M.bsm-ir</w:t>
            </w:r>
            <w:proofErr w:type="spellEnd"/>
            <w:r w:rsidRPr="00BC6A5A">
              <w:rPr>
                <w:sz w:val="22"/>
                <w:szCs w:val="22"/>
                <w:lang w:eastAsia="en-GB"/>
              </w:rPr>
              <w:t>: Interface for blockchain system management - Protocol neutral requirements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B314" w14:textId="5AB39577" w:rsidR="00197D0C" w:rsidRPr="00BC6A5A" w:rsidRDefault="00197D0C" w:rsidP="00197D0C">
            <w:pPr>
              <w:keepNext/>
              <w:keepLines/>
              <w:spacing w:before="40" w:after="40"/>
              <w:jc w:val="center"/>
              <w:rPr>
                <w:bCs/>
                <w:sz w:val="22"/>
                <w:szCs w:val="22"/>
                <w:lang w:val="en-US" w:eastAsia="zh-CN"/>
              </w:rPr>
            </w:pPr>
            <w:hyperlink r:id="rId22" w:history="1">
              <w:r w:rsidRPr="00BC6A5A">
                <w:rPr>
                  <w:rStyle w:val="Hyperlink"/>
                  <w:sz w:val="22"/>
                  <w:szCs w:val="22"/>
                  <w:lang w:val="en-US" w:eastAsia="zh-CN"/>
                </w:rPr>
                <w:t>SG2-T</w:t>
              </w:r>
              <w:r w:rsidRPr="00BC6A5A">
                <w:rPr>
                  <w:rStyle w:val="Hyperlink"/>
                  <w:sz w:val="22"/>
                  <w:szCs w:val="22"/>
                  <w:lang w:val="en-US" w:eastAsia="en-GB"/>
                </w:rPr>
                <w:t>D235R</w:t>
              </w:r>
              <w:r w:rsidRPr="00BC6A5A">
                <w:rPr>
                  <w:rStyle w:val="Hyperlink"/>
                  <w:sz w:val="22"/>
                  <w:szCs w:val="22"/>
                  <w:lang w:val="en-US" w:eastAsia="zh-CN"/>
                </w:rPr>
                <w:t>3</w:t>
              </w:r>
              <w:r w:rsidRPr="00BC6A5A">
                <w:rPr>
                  <w:rStyle w:val="Hyperlink"/>
                  <w:sz w:val="22"/>
                  <w:szCs w:val="22"/>
                  <w:lang w:val="en-US" w:eastAsia="en-GB"/>
                </w:rPr>
                <w:t>/P</w:t>
              </w:r>
            </w:hyperlink>
            <w:r w:rsidRPr="00BC6A5A">
              <w:rPr>
                <w:rStyle w:val="Hyperlink"/>
                <w:sz w:val="22"/>
                <w:szCs w:val="22"/>
                <w:lang w:val="en-US" w:eastAsia="zh-CN"/>
              </w:rPr>
              <w:t>LEN</w:t>
            </w:r>
          </w:p>
        </w:tc>
      </w:tr>
      <w:tr w:rsidR="00197D0C" w:rsidRPr="00BC6A5A" w14:paraId="39135DD3" w14:textId="77777777" w:rsidTr="00BC6A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1A32" w14:textId="7D43B0C6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lang w:val="en-US" w:eastAsia="zh-CN"/>
              </w:rPr>
            </w:pPr>
            <w:r w:rsidRPr="00BC6A5A">
              <w:rPr>
                <w:sz w:val="22"/>
                <w:szCs w:val="22"/>
                <w:lang w:eastAsia="en-GB"/>
              </w:rPr>
              <w:t>M.3374</w:t>
            </w:r>
            <w:r w:rsidRPr="00BC6A5A">
              <w:rPr>
                <w:sz w:val="22"/>
                <w:szCs w:val="22"/>
                <w:lang w:val="en-US" w:eastAsia="zh-CN"/>
              </w:rPr>
              <w:t xml:space="preserve"> </w:t>
            </w:r>
            <w:r w:rsidRPr="00BC6A5A">
              <w:rPr>
                <w:sz w:val="22"/>
                <w:szCs w:val="22"/>
                <w:lang w:eastAsia="en-GB"/>
              </w:rPr>
              <w:t>(</w:t>
            </w:r>
            <w:proofErr w:type="spellStart"/>
            <w:r w:rsidRPr="00BC6A5A">
              <w:rPr>
                <w:sz w:val="22"/>
                <w:szCs w:val="22"/>
                <w:lang w:eastAsia="en-GB"/>
              </w:rPr>
              <w:t>M.rcpnm</w:t>
            </w:r>
            <w:proofErr w:type="spellEnd"/>
            <w:r w:rsidRPr="00BC6A5A">
              <w:rPr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9D59" w14:textId="6FA03395" w:rsidR="00197D0C" w:rsidRPr="00BC6A5A" w:rsidRDefault="00197D0C" w:rsidP="00197D0C">
            <w:pPr>
              <w:spacing w:before="40" w:after="40"/>
              <w:rPr>
                <w:sz w:val="22"/>
                <w:szCs w:val="22"/>
                <w:lang w:val="en-US" w:eastAsia="ja-JP"/>
              </w:rPr>
            </w:pPr>
            <w:proofErr w:type="spellStart"/>
            <w:r w:rsidRPr="00BC6A5A">
              <w:rPr>
                <w:sz w:val="22"/>
                <w:szCs w:val="22"/>
                <w:lang w:eastAsia="en-GB"/>
              </w:rPr>
              <w:t>M.rcpnm</w:t>
            </w:r>
            <w:proofErr w:type="spellEnd"/>
            <w:r w:rsidRPr="00BC6A5A">
              <w:rPr>
                <w:sz w:val="22"/>
                <w:szCs w:val="22"/>
                <w:lang w:eastAsia="en-GB"/>
              </w:rPr>
              <w:t>: Requirements for computing power network management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271D" w14:textId="2AE4D413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hyperlink r:id="rId23" w:history="1">
              <w:r w:rsidRPr="00BC6A5A">
                <w:rPr>
                  <w:rStyle w:val="Hyperlink"/>
                  <w:sz w:val="22"/>
                  <w:szCs w:val="22"/>
                  <w:lang w:val="en-US" w:eastAsia="zh-CN"/>
                </w:rPr>
                <w:t>SG2-T</w:t>
              </w:r>
              <w:r w:rsidRPr="00BC6A5A">
                <w:rPr>
                  <w:rStyle w:val="Hyperlink"/>
                  <w:sz w:val="22"/>
                  <w:szCs w:val="22"/>
                  <w:lang w:eastAsia="en-GB"/>
                </w:rPr>
                <w:t>D260R1/P</w:t>
              </w:r>
            </w:hyperlink>
            <w:r w:rsidRPr="00BC6A5A">
              <w:rPr>
                <w:rStyle w:val="Hyperlink"/>
                <w:sz w:val="22"/>
                <w:szCs w:val="22"/>
                <w:lang w:val="en-US" w:eastAsia="zh-CN"/>
              </w:rPr>
              <w:t>LEN</w:t>
            </w:r>
          </w:p>
        </w:tc>
      </w:tr>
      <w:tr w:rsidR="00197D0C" w:rsidRPr="00BC6A5A" w14:paraId="077A364A" w14:textId="77777777" w:rsidTr="00BC6A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3CC6" w14:textId="0E1B6CD6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highlight w:val="yellow"/>
                <w:lang w:val="en-US" w:eastAsia="zh-CN"/>
              </w:rPr>
            </w:pPr>
            <w:r w:rsidRPr="00BC6A5A">
              <w:rPr>
                <w:sz w:val="22"/>
                <w:szCs w:val="22"/>
                <w:lang w:val="en-US" w:eastAsia="en-GB"/>
              </w:rPr>
              <w:t>M.3164.3 (</w:t>
            </w:r>
            <w:proofErr w:type="spellStart"/>
            <w:r w:rsidRPr="00BC6A5A">
              <w:rPr>
                <w:sz w:val="22"/>
                <w:szCs w:val="22"/>
                <w:lang w:eastAsia="en-GB"/>
              </w:rPr>
              <w:t>M.tsm</w:t>
            </w:r>
            <w:proofErr w:type="spellEnd"/>
            <w:r w:rsidRPr="00BC6A5A">
              <w:rPr>
                <w:sz w:val="22"/>
                <w:szCs w:val="22"/>
                <w:lang w:eastAsia="en-GB"/>
              </w:rPr>
              <w:t>-rest</w:t>
            </w:r>
            <w:r w:rsidRPr="00BC6A5A">
              <w:rPr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3899" w14:textId="084D36D4" w:rsidR="00197D0C" w:rsidRPr="00BC6A5A" w:rsidRDefault="00197D0C" w:rsidP="00197D0C">
            <w:pPr>
              <w:spacing w:before="40" w:after="40"/>
              <w:rPr>
                <w:sz w:val="22"/>
                <w:szCs w:val="22"/>
                <w:highlight w:val="yellow"/>
                <w:lang w:val="en-US" w:eastAsia="ja-JP"/>
              </w:rPr>
            </w:pPr>
            <w:proofErr w:type="spellStart"/>
            <w:r w:rsidRPr="00BC6A5A">
              <w:rPr>
                <w:sz w:val="22"/>
                <w:szCs w:val="22"/>
                <w:lang w:eastAsia="en-GB"/>
              </w:rPr>
              <w:t>M.tsm</w:t>
            </w:r>
            <w:proofErr w:type="spellEnd"/>
            <w:r w:rsidRPr="00BC6A5A">
              <w:rPr>
                <w:sz w:val="22"/>
                <w:szCs w:val="22"/>
                <w:lang w:eastAsia="en-GB"/>
              </w:rPr>
              <w:t>-rest: Interface for on-site generic telecommunication smart maintenance - REST-based design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EFB2" w14:textId="611C4DE5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hyperlink r:id="rId24" w:history="1">
              <w:r w:rsidRPr="00BC6A5A">
                <w:rPr>
                  <w:rStyle w:val="Hyperlink"/>
                  <w:sz w:val="22"/>
                  <w:szCs w:val="22"/>
                  <w:lang w:val="en-US" w:eastAsia="zh-CN"/>
                </w:rPr>
                <w:t>SG2-TD</w:t>
              </w:r>
              <w:r w:rsidRPr="00BC6A5A">
                <w:rPr>
                  <w:rStyle w:val="Hyperlink"/>
                  <w:sz w:val="22"/>
                  <w:szCs w:val="22"/>
                  <w:lang w:val="en-US" w:eastAsia="en-GB"/>
                </w:rPr>
                <w:t>234</w:t>
              </w:r>
              <w:r w:rsidRPr="00BC6A5A">
                <w:rPr>
                  <w:rStyle w:val="Hyperlink"/>
                  <w:sz w:val="22"/>
                  <w:szCs w:val="22"/>
                  <w:lang w:val="en-US" w:eastAsia="zh-CN"/>
                </w:rPr>
                <w:t>R1/</w:t>
              </w:r>
              <w:r w:rsidRPr="00BC6A5A">
                <w:rPr>
                  <w:rStyle w:val="Hyperlink"/>
                  <w:sz w:val="22"/>
                  <w:szCs w:val="22"/>
                  <w:lang w:val="en-US" w:eastAsia="en-GB"/>
                </w:rPr>
                <w:t>P</w:t>
              </w:r>
            </w:hyperlink>
            <w:r w:rsidRPr="00BC6A5A">
              <w:rPr>
                <w:rStyle w:val="Hyperlink"/>
                <w:sz w:val="22"/>
                <w:szCs w:val="22"/>
                <w:lang w:val="en-US" w:eastAsia="zh-CN"/>
              </w:rPr>
              <w:t>LEN</w:t>
            </w:r>
          </w:p>
        </w:tc>
      </w:tr>
      <w:tr w:rsidR="00197D0C" w:rsidRPr="00BC6A5A" w14:paraId="5291C075" w14:textId="77777777" w:rsidTr="00BC6A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7851" w14:textId="16362F75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lang w:val="en-US" w:eastAsia="zh-CN"/>
              </w:rPr>
            </w:pPr>
            <w:r w:rsidRPr="00BC6A5A">
              <w:rPr>
                <w:sz w:val="22"/>
                <w:szCs w:val="22"/>
                <w:lang w:eastAsia="en-GB"/>
              </w:rPr>
              <w:t>M.3364 Amd1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A78C" w14:textId="7330D03C" w:rsidR="00197D0C" w:rsidRPr="00BC6A5A" w:rsidRDefault="00197D0C" w:rsidP="00197D0C">
            <w:pPr>
              <w:spacing w:before="40" w:after="40"/>
              <w:rPr>
                <w:sz w:val="22"/>
                <w:szCs w:val="22"/>
                <w:lang w:val="en-US" w:eastAsia="ja-JP"/>
              </w:rPr>
            </w:pPr>
            <w:r w:rsidRPr="00BC6A5A">
              <w:rPr>
                <w:sz w:val="22"/>
                <w:szCs w:val="22"/>
                <w:lang w:eastAsia="en-GB"/>
              </w:rPr>
              <w:t>M.3364 Amd1: Requirements for on-site telecommunication smart maintenance management function - Amendment 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83E5" w14:textId="5D6B4CBC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hyperlink r:id="rId25" w:history="1">
              <w:r w:rsidRPr="00BC6A5A">
                <w:rPr>
                  <w:rStyle w:val="Hyperlink"/>
                  <w:sz w:val="22"/>
                  <w:szCs w:val="22"/>
                  <w:lang w:val="en-US" w:eastAsia="zh-CN"/>
                </w:rPr>
                <w:t>SG2-T</w:t>
              </w:r>
              <w:r w:rsidRPr="00BC6A5A">
                <w:rPr>
                  <w:rStyle w:val="Hyperlink"/>
                  <w:sz w:val="22"/>
                  <w:szCs w:val="22"/>
                  <w:lang w:eastAsia="en-GB"/>
                </w:rPr>
                <w:t>D261R1/P</w:t>
              </w:r>
            </w:hyperlink>
            <w:r w:rsidRPr="00BC6A5A">
              <w:rPr>
                <w:rStyle w:val="Hyperlink"/>
                <w:sz w:val="22"/>
                <w:szCs w:val="22"/>
                <w:lang w:val="en-US" w:eastAsia="zh-CN"/>
              </w:rPr>
              <w:t>LEN</w:t>
            </w:r>
          </w:p>
        </w:tc>
      </w:tr>
      <w:tr w:rsidR="00197D0C" w:rsidRPr="00BC6A5A" w14:paraId="2833447B" w14:textId="77777777" w:rsidTr="00BC6A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214B" w14:textId="5399D180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r w:rsidRPr="00BC6A5A">
              <w:rPr>
                <w:sz w:val="22"/>
                <w:szCs w:val="22"/>
                <w:lang w:eastAsia="en-GB"/>
              </w:rPr>
              <w:lastRenderedPageBreak/>
              <w:t>M.3043</w:t>
            </w:r>
            <w:r w:rsidRPr="00BC6A5A">
              <w:rPr>
                <w:sz w:val="22"/>
                <w:szCs w:val="22"/>
                <w:lang w:val="en-US" w:eastAsia="zh-CN"/>
              </w:rPr>
              <w:t xml:space="preserve"> </w:t>
            </w:r>
            <w:r w:rsidRPr="00BC6A5A">
              <w:rPr>
                <w:sz w:val="22"/>
                <w:szCs w:val="22"/>
                <w:lang w:eastAsia="en-GB"/>
              </w:rPr>
              <w:t>(</w:t>
            </w:r>
            <w:proofErr w:type="spellStart"/>
            <w:r w:rsidRPr="00BC6A5A">
              <w:rPr>
                <w:sz w:val="22"/>
                <w:szCs w:val="22"/>
                <w:lang w:eastAsia="en-GB"/>
              </w:rPr>
              <w:t>M.fidtom</w:t>
            </w:r>
            <w:proofErr w:type="spellEnd"/>
            <w:r w:rsidRPr="00BC6A5A">
              <w:rPr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1D74" w14:textId="58696300" w:rsidR="00197D0C" w:rsidRPr="00BC6A5A" w:rsidRDefault="00197D0C" w:rsidP="00197D0C">
            <w:pPr>
              <w:spacing w:before="40" w:after="40"/>
              <w:rPr>
                <w:sz w:val="22"/>
                <w:szCs w:val="22"/>
                <w:lang w:val="en-US" w:eastAsia="en-GB"/>
              </w:rPr>
            </w:pPr>
            <w:proofErr w:type="spellStart"/>
            <w:r w:rsidRPr="00BC6A5A">
              <w:rPr>
                <w:sz w:val="22"/>
                <w:szCs w:val="22"/>
                <w:lang w:eastAsia="en-GB"/>
              </w:rPr>
              <w:t>M.fidtom</w:t>
            </w:r>
            <w:proofErr w:type="spellEnd"/>
            <w:r w:rsidRPr="00BC6A5A">
              <w:rPr>
                <w:sz w:val="22"/>
                <w:szCs w:val="22"/>
                <w:lang w:eastAsia="en-GB"/>
              </w:rPr>
              <w:t>: Framework of intent driven telecom</w:t>
            </w:r>
            <w:proofErr w:type="spellStart"/>
            <w:r w:rsidRPr="00BC6A5A">
              <w:rPr>
                <w:sz w:val="22"/>
                <w:szCs w:val="22"/>
                <w:lang w:val="en-US" w:eastAsia="zh-CN"/>
              </w:rPr>
              <w:t>munication</w:t>
            </w:r>
            <w:proofErr w:type="spellEnd"/>
            <w:r w:rsidRPr="00BC6A5A">
              <w:rPr>
                <w:sz w:val="22"/>
                <w:szCs w:val="22"/>
                <w:lang w:eastAsia="en-GB"/>
              </w:rPr>
              <w:t xml:space="preserve"> operation and management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B17F" w14:textId="7030B3C1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hyperlink r:id="rId26" w:history="1">
              <w:r w:rsidRPr="00BC6A5A">
                <w:rPr>
                  <w:rStyle w:val="Hyperlink"/>
                  <w:sz w:val="22"/>
                  <w:szCs w:val="22"/>
                  <w:lang w:val="en-US" w:eastAsia="zh-CN"/>
                </w:rPr>
                <w:t>SG2-T</w:t>
              </w:r>
              <w:r w:rsidRPr="00BC6A5A">
                <w:rPr>
                  <w:rStyle w:val="Hyperlink"/>
                  <w:sz w:val="22"/>
                  <w:szCs w:val="22"/>
                  <w:lang w:eastAsia="en-GB"/>
                </w:rPr>
                <w:t>D253R1/P</w:t>
              </w:r>
            </w:hyperlink>
            <w:r w:rsidRPr="00BC6A5A">
              <w:rPr>
                <w:rStyle w:val="Hyperlink"/>
                <w:sz w:val="22"/>
                <w:szCs w:val="22"/>
                <w:lang w:val="en-US" w:eastAsia="zh-CN"/>
              </w:rPr>
              <w:t>LEN</w:t>
            </w:r>
          </w:p>
        </w:tc>
      </w:tr>
      <w:tr w:rsidR="00197D0C" w:rsidRPr="00BC6A5A" w14:paraId="4495B1B4" w14:textId="77777777" w:rsidTr="00BC6A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F960" w14:textId="4655637D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highlight w:val="yellow"/>
                <w:lang w:val="en-US" w:eastAsia="en-GB"/>
              </w:rPr>
            </w:pPr>
            <w:r w:rsidRPr="00BC6A5A">
              <w:rPr>
                <w:sz w:val="22"/>
                <w:szCs w:val="22"/>
                <w:lang w:val="en-US" w:eastAsia="zh-CN"/>
              </w:rPr>
              <w:t>M.3351.2 (</w:t>
            </w:r>
            <w:proofErr w:type="spellStart"/>
            <w:r w:rsidRPr="00BC6A5A">
              <w:rPr>
                <w:sz w:val="22"/>
                <w:szCs w:val="22"/>
                <w:lang w:eastAsia="en-GB"/>
              </w:rPr>
              <w:t>M.ptomkgc</w:t>
            </w:r>
            <w:proofErr w:type="spellEnd"/>
            <w:r w:rsidRPr="00BC6A5A">
              <w:rPr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B7C9" w14:textId="44CF706F" w:rsidR="00197D0C" w:rsidRPr="00BC6A5A" w:rsidRDefault="00197D0C" w:rsidP="00197D0C">
            <w:pPr>
              <w:spacing w:before="40" w:after="40"/>
              <w:rPr>
                <w:sz w:val="22"/>
                <w:szCs w:val="22"/>
                <w:highlight w:val="yellow"/>
                <w:lang w:val="en-US" w:eastAsia="en-GB"/>
              </w:rPr>
            </w:pPr>
            <w:proofErr w:type="spellStart"/>
            <w:r w:rsidRPr="00BC6A5A">
              <w:rPr>
                <w:sz w:val="22"/>
                <w:szCs w:val="22"/>
                <w:lang w:eastAsia="en-GB"/>
              </w:rPr>
              <w:t>M.ptomkgc</w:t>
            </w:r>
            <w:proofErr w:type="spellEnd"/>
            <w:r w:rsidRPr="00BC6A5A">
              <w:rPr>
                <w:sz w:val="22"/>
                <w:szCs w:val="22"/>
                <w:lang w:eastAsia="en-GB"/>
              </w:rPr>
              <w:t>: Process of telecom</w:t>
            </w:r>
            <w:proofErr w:type="spellStart"/>
            <w:r w:rsidRPr="00BC6A5A">
              <w:rPr>
                <w:sz w:val="22"/>
                <w:szCs w:val="22"/>
                <w:lang w:val="en-US" w:eastAsia="zh-CN"/>
              </w:rPr>
              <w:t>munication</w:t>
            </w:r>
            <w:proofErr w:type="spellEnd"/>
            <w:r w:rsidRPr="00BC6A5A">
              <w:rPr>
                <w:sz w:val="22"/>
                <w:szCs w:val="22"/>
                <w:lang w:eastAsia="en-GB"/>
              </w:rPr>
              <w:t xml:space="preserve"> operation and management knowledge graph construction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60AD" w14:textId="0F2816CF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hyperlink r:id="rId27" w:history="1">
              <w:r w:rsidRPr="00BC6A5A">
                <w:rPr>
                  <w:rStyle w:val="Hyperlink"/>
                  <w:sz w:val="22"/>
                  <w:szCs w:val="22"/>
                  <w:lang w:val="en-US" w:eastAsia="zh-CN"/>
                </w:rPr>
                <w:t>SG2-T</w:t>
              </w:r>
              <w:r w:rsidRPr="00BC6A5A">
                <w:rPr>
                  <w:rStyle w:val="Hyperlink"/>
                  <w:sz w:val="22"/>
                  <w:szCs w:val="22"/>
                  <w:lang w:eastAsia="en-GB"/>
                </w:rPr>
                <w:t>D252</w:t>
              </w:r>
              <w:r w:rsidRPr="00BC6A5A">
                <w:rPr>
                  <w:rStyle w:val="Hyperlink"/>
                  <w:sz w:val="22"/>
                  <w:szCs w:val="22"/>
                  <w:lang w:val="en-US" w:eastAsia="zh-CN"/>
                </w:rPr>
                <w:t>R1</w:t>
              </w:r>
              <w:r w:rsidRPr="00BC6A5A">
                <w:rPr>
                  <w:rStyle w:val="Hyperlink"/>
                  <w:sz w:val="22"/>
                  <w:szCs w:val="22"/>
                  <w:lang w:eastAsia="en-GB"/>
                </w:rPr>
                <w:t>/P</w:t>
              </w:r>
            </w:hyperlink>
            <w:r w:rsidRPr="00BC6A5A">
              <w:rPr>
                <w:rStyle w:val="Hyperlink"/>
                <w:sz w:val="22"/>
                <w:szCs w:val="22"/>
                <w:lang w:val="en-US" w:eastAsia="zh-CN"/>
              </w:rPr>
              <w:t>LEN</w:t>
            </w:r>
          </w:p>
        </w:tc>
      </w:tr>
      <w:tr w:rsidR="00197D0C" w:rsidRPr="00BC6A5A" w14:paraId="50EDDFA1" w14:textId="77777777" w:rsidTr="00BC6A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0C99" w14:textId="5EED8994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highlight w:val="yellow"/>
                <w:lang w:val="en-US" w:eastAsia="en-GB"/>
              </w:rPr>
            </w:pPr>
            <w:r w:rsidRPr="00BC6A5A">
              <w:rPr>
                <w:sz w:val="22"/>
                <w:szCs w:val="22"/>
                <w:lang w:eastAsia="en-GB"/>
              </w:rPr>
              <w:t>M.3080Amd1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2AFD" w14:textId="4C5E5080" w:rsidR="00197D0C" w:rsidRPr="00BC6A5A" w:rsidRDefault="00197D0C" w:rsidP="00197D0C">
            <w:pPr>
              <w:spacing w:before="40" w:after="40"/>
              <w:rPr>
                <w:sz w:val="22"/>
                <w:szCs w:val="22"/>
                <w:highlight w:val="yellow"/>
                <w:lang w:val="en-US" w:eastAsia="en-GB"/>
              </w:rPr>
            </w:pPr>
            <w:r w:rsidRPr="00BC6A5A">
              <w:rPr>
                <w:sz w:val="22"/>
                <w:szCs w:val="22"/>
                <w:lang w:eastAsia="en-GB"/>
              </w:rPr>
              <w:t>M.3080Amd1: Additions and corrections based on telecommunication network large model (</w:t>
            </w:r>
            <w:r w:rsidRPr="00BC6A5A">
              <w:rPr>
                <w:sz w:val="22"/>
                <w:szCs w:val="22"/>
                <w:lang w:val="en-US" w:eastAsia="zh-CN"/>
              </w:rPr>
              <w:t>T</w:t>
            </w:r>
            <w:r w:rsidRPr="00BC6A5A">
              <w:rPr>
                <w:sz w:val="22"/>
                <w:szCs w:val="22"/>
                <w:lang w:eastAsia="en-GB"/>
              </w:rPr>
              <w:t>NLM)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0AD9" w14:textId="7D7CB99C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hyperlink r:id="rId28" w:history="1">
              <w:r w:rsidRPr="00BC6A5A">
                <w:rPr>
                  <w:rStyle w:val="Hyperlink"/>
                  <w:sz w:val="22"/>
                  <w:szCs w:val="22"/>
                  <w:lang w:val="en-US" w:eastAsia="zh-CN"/>
                </w:rPr>
                <w:t>SG2-T</w:t>
              </w:r>
              <w:r w:rsidRPr="00BC6A5A">
                <w:rPr>
                  <w:rStyle w:val="Hyperlink"/>
                  <w:sz w:val="22"/>
                  <w:szCs w:val="22"/>
                  <w:lang w:eastAsia="en-GB"/>
                </w:rPr>
                <w:t>D251</w:t>
              </w:r>
              <w:r w:rsidRPr="00BC6A5A">
                <w:rPr>
                  <w:rStyle w:val="Hyperlink"/>
                  <w:sz w:val="22"/>
                  <w:szCs w:val="22"/>
                  <w:lang w:val="en-US" w:eastAsia="zh-CN"/>
                </w:rPr>
                <w:t>R1</w:t>
              </w:r>
              <w:r w:rsidRPr="00BC6A5A">
                <w:rPr>
                  <w:rStyle w:val="Hyperlink"/>
                  <w:sz w:val="22"/>
                  <w:szCs w:val="22"/>
                  <w:lang w:eastAsia="en-GB"/>
                </w:rPr>
                <w:t>/P</w:t>
              </w:r>
            </w:hyperlink>
            <w:r w:rsidRPr="00BC6A5A">
              <w:rPr>
                <w:rStyle w:val="Hyperlink"/>
                <w:sz w:val="22"/>
                <w:szCs w:val="22"/>
                <w:lang w:val="en-US" w:eastAsia="zh-CN"/>
              </w:rPr>
              <w:t>LEN</w:t>
            </w:r>
          </w:p>
        </w:tc>
      </w:tr>
      <w:tr w:rsidR="00197D0C" w:rsidRPr="00BC6A5A" w14:paraId="15550D78" w14:textId="77777777" w:rsidTr="00BC6A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F130" w14:textId="019A535E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r w:rsidRPr="00BC6A5A">
              <w:rPr>
                <w:sz w:val="22"/>
                <w:szCs w:val="22"/>
                <w:lang w:eastAsia="en-GB"/>
              </w:rPr>
              <w:t>M.3393</w:t>
            </w:r>
            <w:r w:rsidRPr="00BC6A5A">
              <w:rPr>
                <w:sz w:val="22"/>
                <w:szCs w:val="22"/>
                <w:lang w:val="en-US" w:eastAsia="zh-CN"/>
              </w:rPr>
              <w:t xml:space="preserve"> </w:t>
            </w:r>
            <w:r w:rsidRPr="00BC6A5A">
              <w:rPr>
                <w:sz w:val="22"/>
                <w:szCs w:val="22"/>
                <w:lang w:eastAsia="en-GB"/>
              </w:rPr>
              <w:t>(</w:t>
            </w:r>
            <w:proofErr w:type="spellStart"/>
            <w:r w:rsidRPr="00BC6A5A">
              <w:rPr>
                <w:sz w:val="22"/>
                <w:szCs w:val="22"/>
                <w:lang w:eastAsia="en-GB"/>
              </w:rPr>
              <w:t>M.rsmca</w:t>
            </w:r>
            <w:proofErr w:type="spellEnd"/>
            <w:r w:rsidRPr="00BC6A5A">
              <w:rPr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A623" w14:textId="0CE89323" w:rsidR="00197D0C" w:rsidRPr="00BC6A5A" w:rsidRDefault="00197D0C" w:rsidP="00197D0C">
            <w:pPr>
              <w:spacing w:before="40" w:after="40"/>
              <w:rPr>
                <w:sz w:val="22"/>
                <w:szCs w:val="22"/>
                <w:lang w:val="en-US" w:eastAsia="en-GB"/>
              </w:rPr>
            </w:pPr>
            <w:proofErr w:type="spellStart"/>
            <w:r w:rsidRPr="00BC6A5A">
              <w:rPr>
                <w:sz w:val="22"/>
                <w:szCs w:val="22"/>
                <w:lang w:eastAsia="en-GB"/>
              </w:rPr>
              <w:t>M.rsmca</w:t>
            </w:r>
            <w:proofErr w:type="spellEnd"/>
            <w:r w:rsidRPr="00BC6A5A">
              <w:rPr>
                <w:sz w:val="22"/>
                <w:szCs w:val="22"/>
                <w:lang w:eastAsia="en-GB"/>
              </w:rPr>
              <w:t xml:space="preserve"> Requirements for smart maintenance of cell antenna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758A" w14:textId="1F2D2876" w:rsidR="00197D0C" w:rsidRPr="00BC6A5A" w:rsidRDefault="00197D0C" w:rsidP="00197D0C">
            <w:pPr>
              <w:spacing w:before="40" w:after="40"/>
              <w:jc w:val="center"/>
              <w:rPr>
                <w:sz w:val="22"/>
                <w:szCs w:val="22"/>
                <w:lang w:val="en-US" w:eastAsia="en-GB"/>
              </w:rPr>
            </w:pPr>
            <w:hyperlink r:id="rId29" w:history="1">
              <w:r w:rsidRPr="00BC6A5A">
                <w:rPr>
                  <w:rStyle w:val="Hyperlink"/>
                  <w:sz w:val="22"/>
                  <w:szCs w:val="22"/>
                  <w:lang w:val="en-US" w:eastAsia="zh-CN"/>
                </w:rPr>
                <w:t>SG2-T</w:t>
              </w:r>
              <w:r w:rsidRPr="00BC6A5A">
                <w:rPr>
                  <w:rStyle w:val="Hyperlink"/>
                  <w:sz w:val="22"/>
                  <w:szCs w:val="22"/>
                  <w:lang w:eastAsia="en-GB"/>
                </w:rPr>
                <w:t>D262R</w:t>
              </w:r>
              <w:r w:rsidRPr="00BC6A5A">
                <w:rPr>
                  <w:rStyle w:val="Hyperlink"/>
                  <w:sz w:val="22"/>
                  <w:szCs w:val="22"/>
                  <w:lang w:val="en-US" w:eastAsia="zh-CN"/>
                </w:rPr>
                <w:t>2</w:t>
              </w:r>
              <w:r w:rsidRPr="00BC6A5A">
                <w:rPr>
                  <w:rStyle w:val="Hyperlink"/>
                  <w:sz w:val="22"/>
                  <w:szCs w:val="22"/>
                  <w:lang w:eastAsia="en-GB"/>
                </w:rPr>
                <w:t>/P</w:t>
              </w:r>
            </w:hyperlink>
            <w:r w:rsidRPr="00BC6A5A">
              <w:rPr>
                <w:rStyle w:val="Hyperlink"/>
                <w:sz w:val="22"/>
                <w:szCs w:val="22"/>
                <w:lang w:val="en-US" w:eastAsia="zh-CN"/>
              </w:rPr>
              <w:t>LEN</w:t>
            </w:r>
          </w:p>
        </w:tc>
      </w:tr>
    </w:tbl>
    <w:bookmarkEnd w:id="10"/>
    <w:p w14:paraId="21ACFAA1" w14:textId="5D09559B" w:rsidR="00732CFB" w:rsidRPr="00BC6A5A" w:rsidRDefault="00732CFB" w:rsidP="0093527B">
      <w:pPr>
        <w:pStyle w:val="ListParagraph"/>
        <w:keepNext/>
        <w:numPr>
          <w:ilvl w:val="0"/>
          <w:numId w:val="20"/>
        </w:numPr>
        <w:spacing w:before="240" w:after="120"/>
        <w:ind w:left="714" w:hanging="357"/>
        <w:contextualSpacing w:val="0"/>
        <w:rPr>
          <w:b/>
          <w:sz w:val="22"/>
          <w:szCs w:val="22"/>
          <w:lang w:val="en-US"/>
        </w:rPr>
      </w:pPr>
      <w:r w:rsidRPr="00BC6A5A">
        <w:rPr>
          <w:b/>
          <w:sz w:val="22"/>
          <w:szCs w:val="22"/>
          <w:lang w:val="en-US"/>
        </w:rPr>
        <w:t xml:space="preserve">Recommendations to be </w:t>
      </w:r>
      <w:r w:rsidR="008B4AF8" w:rsidRPr="00BC6A5A">
        <w:rPr>
          <w:b/>
          <w:sz w:val="22"/>
          <w:szCs w:val="22"/>
          <w:lang w:val="en-US"/>
        </w:rPr>
        <w:t>renumbered: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810"/>
        <w:gridCol w:w="2166"/>
      </w:tblGrid>
      <w:tr w:rsidR="00732CFB" w:rsidRPr="00BC6A5A" w14:paraId="14BBF22F" w14:textId="77777777" w:rsidTr="00BC6A5A">
        <w:trPr>
          <w:tblHeader/>
          <w:jc w:val="center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030ADAB" w14:textId="77777777" w:rsidR="00732CFB" w:rsidRPr="00BC6A5A" w:rsidRDefault="00732CFB" w:rsidP="00BF139B">
            <w:pPr>
              <w:pStyle w:val="Tablehead"/>
              <w:rPr>
                <w:szCs w:val="22"/>
                <w:lang w:val="en-US" w:eastAsia="en-GB"/>
              </w:rPr>
            </w:pPr>
            <w:r w:rsidRPr="00BC6A5A">
              <w:rPr>
                <w:szCs w:val="22"/>
                <w:lang w:val="en-US" w:eastAsia="en-GB"/>
              </w:rPr>
              <w:t>Rec. #</w:t>
            </w:r>
          </w:p>
        </w:tc>
        <w:tc>
          <w:tcPr>
            <w:tcW w:w="5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8338CF" w14:textId="77777777" w:rsidR="00732CFB" w:rsidRPr="00BC6A5A" w:rsidRDefault="00732CFB" w:rsidP="00BF139B">
            <w:pPr>
              <w:pStyle w:val="Tablehead"/>
              <w:rPr>
                <w:szCs w:val="22"/>
                <w:lang w:val="en-US" w:eastAsia="en-GB"/>
              </w:rPr>
            </w:pPr>
            <w:r w:rsidRPr="00BC6A5A">
              <w:rPr>
                <w:szCs w:val="22"/>
                <w:lang w:val="en-US" w:eastAsia="en-GB"/>
              </w:rPr>
              <w:t>Rec. title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27462E" w14:textId="77777777" w:rsidR="00732CFB" w:rsidRPr="00BC6A5A" w:rsidRDefault="00732CFB" w:rsidP="00BF139B">
            <w:pPr>
              <w:pStyle w:val="Tablehead"/>
              <w:rPr>
                <w:szCs w:val="22"/>
                <w:lang w:val="en-US" w:eastAsia="en-GB"/>
              </w:rPr>
            </w:pPr>
            <w:r w:rsidRPr="00BC6A5A">
              <w:rPr>
                <w:szCs w:val="22"/>
                <w:lang w:val="en-US" w:eastAsia="en-GB"/>
              </w:rPr>
              <w:t>Document</w:t>
            </w:r>
          </w:p>
        </w:tc>
      </w:tr>
      <w:tr w:rsidR="002E4AA0" w:rsidRPr="00BC6A5A" w14:paraId="670308CC" w14:textId="77777777" w:rsidTr="00BC6A5A">
        <w:trPr>
          <w:jc w:val="center"/>
        </w:trPr>
        <w:tc>
          <w:tcPr>
            <w:tcW w:w="1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946B3A5" w14:textId="2C1525E5" w:rsidR="002E4AA0" w:rsidRPr="00BC6A5A" w:rsidRDefault="002E4AA0" w:rsidP="002E4AA0">
            <w:pPr>
              <w:pStyle w:val="Tabletext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r w:rsidRPr="00BC6A5A">
              <w:rPr>
                <w:rFonts w:ascii="Times New Roman" w:hAnsi="Times New Roman" w:cs="Times New Roman"/>
                <w:lang w:val="en-US" w:eastAsia="en-GB"/>
              </w:rPr>
              <w:t>M.3351</w:t>
            </w:r>
          </w:p>
        </w:tc>
        <w:tc>
          <w:tcPr>
            <w:tcW w:w="5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8667EC1" w14:textId="4FB16E40" w:rsidR="002E4AA0" w:rsidRPr="00BC6A5A" w:rsidRDefault="002E4AA0" w:rsidP="002E4AA0">
            <w:pPr>
              <w:pStyle w:val="Tabletext"/>
              <w:rPr>
                <w:rFonts w:ascii="Times New Roman" w:hAnsi="Times New Roman" w:cs="Times New Roman"/>
                <w:lang w:val="en-US" w:eastAsia="en-GB"/>
              </w:rPr>
            </w:pPr>
            <w:r w:rsidRPr="00760A73">
              <w:rPr>
                <w:rFonts w:ascii="Times New Roman" w:hAnsi="Times New Roman" w:cs="Times New Roman"/>
                <w:lang w:val="en-GB" w:eastAsia="en-GB"/>
              </w:rPr>
              <w:t>Framework of knowledge management for telecom</w:t>
            </w:r>
            <w:proofErr w:type="spellStart"/>
            <w:r w:rsidRPr="00BC6A5A">
              <w:rPr>
                <w:rFonts w:ascii="Times New Roman" w:hAnsi="Times New Roman" w:cs="Times New Roman"/>
                <w:lang w:val="en-US" w:eastAsia="en-GB"/>
              </w:rPr>
              <w:t>munication</w:t>
            </w:r>
            <w:proofErr w:type="spellEnd"/>
            <w:r w:rsidRPr="00760A73">
              <w:rPr>
                <w:rFonts w:ascii="Times New Roman" w:hAnsi="Times New Roman" w:cs="Times New Roman"/>
                <w:lang w:val="en-GB" w:eastAsia="en-GB"/>
              </w:rPr>
              <w:t xml:space="preserve"> operation and management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19ACB3" w14:textId="69D32B67" w:rsidR="002E4AA0" w:rsidRPr="00BC6A5A" w:rsidRDefault="002E4AA0" w:rsidP="002E4AA0">
            <w:pPr>
              <w:pStyle w:val="Tabletext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r w:rsidRPr="00BC6A5A">
              <w:rPr>
                <w:rFonts w:ascii="Times New Roman" w:hAnsi="Times New Roman" w:cs="Times New Roman"/>
                <w:lang w:val="en-US" w:eastAsia="en-GB"/>
              </w:rPr>
              <w:t>M.3351.1</w:t>
            </w:r>
          </w:p>
        </w:tc>
      </w:tr>
    </w:tbl>
    <w:p w14:paraId="32134FEF" w14:textId="3021E59D" w:rsidR="00EB7704" w:rsidRPr="00BC6A5A" w:rsidRDefault="00732CFB" w:rsidP="0093527B">
      <w:pPr>
        <w:pStyle w:val="ListParagraph"/>
        <w:keepNext/>
        <w:numPr>
          <w:ilvl w:val="0"/>
          <w:numId w:val="20"/>
        </w:numPr>
        <w:spacing w:before="240" w:after="120"/>
        <w:ind w:left="714" w:hanging="357"/>
        <w:contextualSpacing w:val="0"/>
        <w:rPr>
          <w:b/>
          <w:sz w:val="22"/>
          <w:szCs w:val="22"/>
          <w:lang w:val="en-US"/>
        </w:rPr>
      </w:pPr>
      <w:r w:rsidRPr="00BC6A5A">
        <w:rPr>
          <w:b/>
          <w:sz w:val="22"/>
          <w:szCs w:val="22"/>
          <w:lang w:val="en-US"/>
        </w:rPr>
        <w:t>Technical reports agreed</w:t>
      </w:r>
      <w:r w:rsidR="00A8741B" w:rsidRPr="00BC6A5A">
        <w:rPr>
          <w:b/>
          <w:sz w:val="22"/>
          <w:szCs w:val="22"/>
          <w:lang w:val="en-US"/>
        </w:rPr>
        <w:t>:</w:t>
      </w:r>
    </w:p>
    <w:tbl>
      <w:tblPr>
        <w:tblStyle w:val="TableGrid"/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781"/>
        <w:gridCol w:w="2139"/>
      </w:tblGrid>
      <w:tr w:rsidR="00EB7704" w:rsidRPr="00BC6A5A" w14:paraId="39AC0ADA" w14:textId="77777777" w:rsidTr="00BC6A5A">
        <w:trPr>
          <w:tblHeader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EE5BCB" w14:textId="77777777" w:rsidR="00EB7704" w:rsidRPr="00BC6A5A" w:rsidRDefault="00EB7704">
            <w:pPr>
              <w:pStyle w:val="Tablehead"/>
              <w:rPr>
                <w:szCs w:val="22"/>
                <w:lang w:val="en-US" w:eastAsia="en-GB"/>
              </w:rPr>
            </w:pPr>
            <w:r w:rsidRPr="00BC6A5A">
              <w:rPr>
                <w:szCs w:val="22"/>
                <w:lang w:val="en-US" w:eastAsia="en-GB"/>
              </w:rPr>
              <w:t>Rec. #</w:t>
            </w:r>
          </w:p>
        </w:tc>
        <w:tc>
          <w:tcPr>
            <w:tcW w:w="57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4437AA" w14:textId="77777777" w:rsidR="00EB7704" w:rsidRPr="00BC6A5A" w:rsidRDefault="00EB7704">
            <w:pPr>
              <w:pStyle w:val="Tablehead"/>
              <w:rPr>
                <w:szCs w:val="22"/>
                <w:lang w:val="en-US" w:eastAsia="en-GB"/>
              </w:rPr>
            </w:pPr>
            <w:r w:rsidRPr="00BC6A5A">
              <w:rPr>
                <w:szCs w:val="22"/>
                <w:lang w:val="en-US" w:eastAsia="en-GB"/>
              </w:rPr>
              <w:t>Technical report title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184216" w14:textId="77777777" w:rsidR="00EB7704" w:rsidRPr="00BC6A5A" w:rsidRDefault="00EB7704">
            <w:pPr>
              <w:pStyle w:val="Tablehead"/>
              <w:rPr>
                <w:szCs w:val="22"/>
                <w:lang w:val="en-US" w:eastAsia="en-GB"/>
              </w:rPr>
            </w:pPr>
            <w:r w:rsidRPr="00BC6A5A">
              <w:rPr>
                <w:szCs w:val="22"/>
                <w:lang w:val="en-US" w:eastAsia="en-GB"/>
              </w:rPr>
              <w:t>Documents</w:t>
            </w:r>
          </w:p>
        </w:tc>
      </w:tr>
      <w:tr w:rsidR="00BC6A5A" w:rsidRPr="00BC6A5A" w14:paraId="13DD6F47" w14:textId="77777777" w:rsidTr="00BC6A5A">
        <w:trPr>
          <w:trHeight w:val="330"/>
          <w:jc w:val="center"/>
        </w:trPr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8292444" w14:textId="4E5F2D30" w:rsidR="00BC6A5A" w:rsidRPr="00BC6A5A" w:rsidRDefault="00BC6A5A" w:rsidP="00BC6A5A">
            <w:pPr>
              <w:pStyle w:val="Tabletext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r w:rsidRPr="00BC6A5A">
              <w:rPr>
                <w:rFonts w:ascii="Times New Roman" w:eastAsia="DengXian" w:hAnsi="Times New Roman" w:cs="Times New Roman"/>
                <w:lang w:eastAsia="zh-CN"/>
              </w:rPr>
              <w:t>TR.AICN</w:t>
            </w:r>
            <w:r>
              <w:rPr>
                <w:rFonts w:ascii="Times New Roman" w:eastAsia="DengXian" w:hAnsi="Times New Roman" w:cs="Times New Roman"/>
                <w:lang w:eastAsia="zh-CN"/>
              </w:rPr>
              <w:t>H</w:t>
            </w:r>
            <w:r w:rsidRPr="00BC6A5A">
              <w:rPr>
                <w:rFonts w:ascii="Times New Roman" w:eastAsia="DengXian" w:hAnsi="Times New Roman" w:cs="Times New Roman"/>
                <w:lang w:eastAsia="zh-CN"/>
              </w:rPr>
              <w:t>M</w:t>
            </w:r>
          </w:p>
        </w:tc>
        <w:tc>
          <w:tcPr>
            <w:tcW w:w="57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D60FAB9" w14:textId="07FFF120" w:rsidR="00BC6A5A" w:rsidRPr="00BC6A5A" w:rsidRDefault="00BC6A5A" w:rsidP="00BC6A5A">
            <w:pPr>
              <w:pStyle w:val="Tabletext"/>
              <w:rPr>
                <w:rFonts w:ascii="Times New Roman" w:hAnsi="Times New Roman" w:cs="Times New Roman"/>
                <w:lang w:val="en-US" w:eastAsia="en-GB"/>
              </w:rPr>
            </w:pPr>
            <w:r w:rsidRPr="00BC6A5A">
              <w:rPr>
                <w:rFonts w:ascii="Times New Roman" w:eastAsia="DengXian" w:hAnsi="Times New Roman" w:cs="Times New Roman"/>
                <w:lang w:val="en-US" w:eastAsia="zh-CN"/>
              </w:rPr>
              <w:t>AI for communications: Towards Natural Hazard Management</w:t>
            </w:r>
          </w:p>
        </w:tc>
        <w:tc>
          <w:tcPr>
            <w:tcW w:w="21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7F89FD" w14:textId="155AD0CB" w:rsidR="00BC6A5A" w:rsidRPr="00BC6A5A" w:rsidRDefault="00BC6A5A" w:rsidP="00BC6A5A">
            <w:pPr>
              <w:pStyle w:val="Tabletext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hyperlink r:id="rId30" w:history="1">
              <w:r w:rsidRPr="00BC6A5A">
                <w:rPr>
                  <w:rStyle w:val="Hyperlink"/>
                  <w:rFonts w:ascii="Times New Roman" w:hAnsi="Times New Roman" w:cs="Times New Roman"/>
                  <w:lang w:eastAsia="en-GB"/>
                </w:rPr>
                <w:t>SG2-TD231/PLEN</w:t>
              </w:r>
            </w:hyperlink>
          </w:p>
        </w:tc>
      </w:tr>
    </w:tbl>
    <w:p w14:paraId="6FCE67C2" w14:textId="78426D58" w:rsidR="00E57B56" w:rsidRDefault="00ED1D7B" w:rsidP="0093527B">
      <w:pPr>
        <w:pStyle w:val="ListParagraph"/>
        <w:keepNext/>
        <w:numPr>
          <w:ilvl w:val="0"/>
          <w:numId w:val="19"/>
        </w:numPr>
        <w:spacing w:before="240"/>
        <w:ind w:left="357" w:right="-187" w:hanging="357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 xml:space="preserve">Administration of </w:t>
      </w:r>
      <w:r w:rsidR="00286666">
        <w:rPr>
          <w:b/>
          <w:bCs/>
          <w:szCs w:val="24"/>
        </w:rPr>
        <w:t>International Numbering, Naming, Addressing, and Identification (NNAI) Resources</w:t>
      </w:r>
    </w:p>
    <w:p w14:paraId="1545751F" w14:textId="3EA59A30" w:rsidR="0097031D" w:rsidRDefault="009D6A53" w:rsidP="0093527B">
      <w:pPr>
        <w:ind w:right="-187"/>
        <w:rPr>
          <w:lang w:val="en-AU"/>
        </w:rPr>
      </w:pPr>
      <w:r w:rsidRPr="00E57B56">
        <w:rPr>
          <w:szCs w:val="24"/>
        </w:rPr>
        <w:t>Consistent</w:t>
      </w:r>
      <w:r w:rsidR="004352E2" w:rsidRPr="00E57B56">
        <w:rPr>
          <w:szCs w:val="24"/>
        </w:rPr>
        <w:t xml:space="preserve"> with </w:t>
      </w:r>
      <w:r w:rsidRPr="00E57B56">
        <w:rPr>
          <w:rFonts w:eastAsiaTheme="minorEastAsia"/>
          <w:szCs w:val="24"/>
          <w:lang w:val="en-US" w:eastAsia="zh-CN"/>
        </w:rPr>
        <w:t xml:space="preserve">SG2’s lead role for the administration of international </w:t>
      </w:r>
      <w:r w:rsidR="00286666">
        <w:rPr>
          <w:rFonts w:eastAsiaTheme="minorEastAsia"/>
          <w:szCs w:val="24"/>
          <w:lang w:val="en-US" w:eastAsia="zh-CN"/>
        </w:rPr>
        <w:t>NNAI</w:t>
      </w:r>
      <w:r w:rsidRPr="00E57B56">
        <w:rPr>
          <w:rFonts w:eastAsiaTheme="minorEastAsia"/>
          <w:szCs w:val="24"/>
          <w:lang w:val="en-US" w:eastAsia="zh-CN"/>
        </w:rPr>
        <w:t xml:space="preserve"> resources, the </w:t>
      </w:r>
      <w:r w:rsidR="00286666">
        <w:rPr>
          <w:rFonts w:eastAsiaTheme="minorEastAsia"/>
          <w:szCs w:val="24"/>
          <w:lang w:val="en-US" w:eastAsia="zh-CN"/>
        </w:rPr>
        <w:t>Numbering Coordination Team (</w:t>
      </w:r>
      <w:r w:rsidR="007913D5" w:rsidRPr="00E57B56">
        <w:rPr>
          <w:szCs w:val="24"/>
        </w:rPr>
        <w:t>NCT</w:t>
      </w:r>
      <w:r w:rsidR="00286666">
        <w:rPr>
          <w:szCs w:val="24"/>
        </w:rPr>
        <w:t>)</w:t>
      </w:r>
      <w:r w:rsidR="007913D5" w:rsidRPr="00E57B56">
        <w:rPr>
          <w:szCs w:val="24"/>
        </w:rPr>
        <w:t xml:space="preserve"> continues</w:t>
      </w:r>
      <w:r w:rsidR="00E57B56">
        <w:rPr>
          <w:szCs w:val="24"/>
        </w:rPr>
        <w:t xml:space="preserve"> to</w:t>
      </w:r>
      <w:r w:rsidR="00BB3D39">
        <w:rPr>
          <w:szCs w:val="24"/>
        </w:rPr>
        <w:t xml:space="preserve"> meet monthly to</w:t>
      </w:r>
      <w:r w:rsidR="00E57B56">
        <w:rPr>
          <w:szCs w:val="24"/>
        </w:rPr>
        <w:t xml:space="preserve"> fulfil its duties</w:t>
      </w:r>
      <w:r w:rsidR="007913D5" w:rsidRPr="00E57B56">
        <w:rPr>
          <w:szCs w:val="24"/>
        </w:rPr>
        <w:t xml:space="preserve"> in line with the processes</w:t>
      </w:r>
      <w:r w:rsidR="004352E2" w:rsidRPr="00E57B56">
        <w:rPr>
          <w:szCs w:val="24"/>
        </w:rPr>
        <w:t xml:space="preserve"> and procedures described in </w:t>
      </w:r>
      <w:r w:rsidRPr="00E57B56">
        <w:rPr>
          <w:szCs w:val="24"/>
        </w:rPr>
        <w:t>Rec</w:t>
      </w:r>
      <w:r w:rsidR="000D1300">
        <w:rPr>
          <w:szCs w:val="24"/>
        </w:rPr>
        <w:t>ommendation</w:t>
      </w:r>
      <w:r w:rsidR="000D1300" w:rsidRPr="00E57B56">
        <w:rPr>
          <w:szCs w:val="24"/>
        </w:rPr>
        <w:t xml:space="preserve"> </w:t>
      </w:r>
      <w:r w:rsidRPr="00E57B56">
        <w:rPr>
          <w:szCs w:val="24"/>
        </w:rPr>
        <w:t>ITU-T E.1120</w:t>
      </w:r>
      <w:r w:rsidR="006B2D7F">
        <w:rPr>
          <w:lang w:val="en-AU"/>
        </w:rPr>
        <w:t>.</w:t>
      </w:r>
      <w:r w:rsidR="0016690B">
        <w:rPr>
          <w:lang w:val="en-AU"/>
        </w:rPr>
        <w:t xml:space="preserve">  </w:t>
      </w:r>
    </w:p>
    <w:p w14:paraId="05984EC4" w14:textId="2494EA55" w:rsidR="007B2862" w:rsidRDefault="00CB7EF6" w:rsidP="0093527B">
      <w:pPr>
        <w:ind w:right="-187"/>
      </w:pPr>
      <w:r>
        <w:rPr>
          <w:lang w:val="en-AU"/>
        </w:rPr>
        <w:t>The standard</w:t>
      </w:r>
      <w:r w:rsidR="0016690B">
        <w:rPr>
          <w:lang w:val="en-AU"/>
        </w:rPr>
        <w:t xml:space="preserve"> </w:t>
      </w:r>
      <w:r w:rsidR="002D01B3">
        <w:rPr>
          <w:lang w:val="en-AU"/>
        </w:rPr>
        <w:t>report on numbering issues, including NCT activities,</w:t>
      </w:r>
      <w:r w:rsidR="0016690B">
        <w:rPr>
          <w:lang w:val="en-AU"/>
        </w:rPr>
        <w:t xml:space="preserve"> from the period </w:t>
      </w:r>
      <w:r w:rsidR="00BD5AA2">
        <w:rPr>
          <w:lang w:val="en-AU"/>
        </w:rPr>
        <w:t>September 2025-</w:t>
      </w:r>
      <w:r>
        <w:rPr>
          <w:lang w:val="en-AU"/>
        </w:rPr>
        <w:t>January 2026 will be available at</w:t>
      </w:r>
      <w:r w:rsidR="0016690B">
        <w:rPr>
          <w:lang w:val="en-AU"/>
        </w:rPr>
        <w:t xml:space="preserve"> </w:t>
      </w:r>
      <w:hyperlink r:id="rId31" w:history="1">
        <w:r w:rsidR="00E35436" w:rsidRPr="002D01B3">
          <w:rPr>
            <w:rStyle w:val="Hyperlink"/>
            <w:lang w:val="en-AU"/>
          </w:rPr>
          <w:t>SG2-TD3</w:t>
        </w:r>
        <w:r>
          <w:rPr>
            <w:rStyle w:val="Hyperlink"/>
            <w:lang w:val="en-AU"/>
          </w:rPr>
          <w:t>28/PLEN</w:t>
        </w:r>
      </w:hyperlink>
      <w:r w:rsidR="00E35436">
        <w:rPr>
          <w:lang w:val="en-AU"/>
        </w:rPr>
        <w:t>.</w:t>
      </w:r>
      <w:r w:rsidR="0097031D" w:rsidRPr="0097031D">
        <w:t xml:space="preserve"> </w:t>
      </w:r>
      <w:r w:rsidR="002D01B3">
        <w:t xml:space="preserve"> </w:t>
      </w:r>
    </w:p>
    <w:p w14:paraId="7EB5873C" w14:textId="1C9C289A" w:rsidR="00437EEB" w:rsidRDefault="00437EEB" w:rsidP="0093527B">
      <w:pPr>
        <w:pStyle w:val="ListParagraph"/>
        <w:keepNext/>
        <w:numPr>
          <w:ilvl w:val="0"/>
          <w:numId w:val="19"/>
        </w:numPr>
        <w:spacing w:before="240"/>
        <w:ind w:left="357" w:right="-187" w:hanging="357"/>
        <w:contextualSpacing w:val="0"/>
        <w:rPr>
          <w:b/>
          <w:bCs/>
          <w:szCs w:val="24"/>
        </w:rPr>
      </w:pPr>
      <w:r w:rsidRPr="00BE2893">
        <w:rPr>
          <w:b/>
          <w:bCs/>
          <w:szCs w:val="24"/>
        </w:rPr>
        <w:t>Coordination with Other Study Groups</w:t>
      </w:r>
      <w:r w:rsidR="00393D83">
        <w:rPr>
          <w:b/>
          <w:bCs/>
          <w:szCs w:val="24"/>
        </w:rPr>
        <w:t xml:space="preserve"> </w:t>
      </w:r>
      <w:r w:rsidR="00824104">
        <w:rPr>
          <w:b/>
          <w:bCs/>
          <w:szCs w:val="24"/>
        </w:rPr>
        <w:t>(including WTSA Follow-Up)</w:t>
      </w:r>
    </w:p>
    <w:p w14:paraId="607F2FD4" w14:textId="0835009A" w:rsidR="009F266A" w:rsidRPr="009F266A" w:rsidRDefault="009F266A" w:rsidP="0093527B">
      <w:pPr>
        <w:keepNext/>
        <w:ind w:right="-187"/>
        <w:rPr>
          <w:szCs w:val="24"/>
        </w:rPr>
      </w:pPr>
      <w:r w:rsidRPr="009F266A">
        <w:rPr>
          <w:szCs w:val="24"/>
        </w:rPr>
        <w:t xml:space="preserve">SG2 has </w:t>
      </w:r>
      <w:r w:rsidR="00626868">
        <w:rPr>
          <w:szCs w:val="24"/>
        </w:rPr>
        <w:t>taken a p</w:t>
      </w:r>
      <w:r w:rsidR="0009448C">
        <w:rPr>
          <w:szCs w:val="24"/>
        </w:rPr>
        <w:t>ositive, p</w:t>
      </w:r>
      <w:r w:rsidR="00626868">
        <w:rPr>
          <w:szCs w:val="24"/>
        </w:rPr>
        <w:t xml:space="preserve">roactive approach </w:t>
      </w:r>
      <w:r w:rsidR="00307E8C">
        <w:rPr>
          <w:szCs w:val="24"/>
        </w:rPr>
        <w:t xml:space="preserve">towards </w:t>
      </w:r>
      <w:r w:rsidR="00DD22AA">
        <w:rPr>
          <w:szCs w:val="24"/>
        </w:rPr>
        <w:t>coordination with other Study Groups</w:t>
      </w:r>
      <w:r w:rsidR="00091F7C">
        <w:rPr>
          <w:szCs w:val="24"/>
        </w:rPr>
        <w:t xml:space="preserve">.  For example: </w:t>
      </w:r>
      <w:r w:rsidR="00DD22AA">
        <w:rPr>
          <w:szCs w:val="24"/>
        </w:rPr>
        <w:t xml:space="preserve"> </w:t>
      </w:r>
    </w:p>
    <w:p w14:paraId="3CBF2AAB" w14:textId="77777777" w:rsidR="002A01BC" w:rsidRDefault="002A01BC" w:rsidP="00531403">
      <w:pPr>
        <w:spacing w:before="0"/>
        <w:contextualSpacing/>
        <w:rPr>
          <w:b/>
          <w:bCs/>
          <w:szCs w:val="24"/>
        </w:rPr>
      </w:pPr>
    </w:p>
    <w:p w14:paraId="5D710564" w14:textId="3FBF578B" w:rsidR="00005BDF" w:rsidRPr="008F4797" w:rsidRDefault="00C8012E" w:rsidP="008F4797">
      <w:pPr>
        <w:pStyle w:val="ListParagraph"/>
        <w:numPr>
          <w:ilvl w:val="0"/>
          <w:numId w:val="29"/>
        </w:numPr>
        <w:spacing w:before="0"/>
        <w:rPr>
          <w:i/>
          <w:iCs/>
          <w:lang w:val="en-US" w:eastAsia="zh-CN"/>
        </w:rPr>
      </w:pPr>
      <w:r w:rsidRPr="002A01BC">
        <w:rPr>
          <w:b/>
          <w:bCs/>
          <w:szCs w:val="24"/>
        </w:rPr>
        <w:t>Coordination with ITU-T SG20</w:t>
      </w:r>
      <w:r w:rsidR="00C47A41" w:rsidRPr="002A01BC">
        <w:rPr>
          <w:b/>
          <w:bCs/>
          <w:szCs w:val="24"/>
        </w:rPr>
        <w:t xml:space="preserve">: </w:t>
      </w:r>
      <w:r w:rsidR="00531403" w:rsidRPr="00811120">
        <w:rPr>
          <w:szCs w:val="24"/>
        </w:rPr>
        <w:t xml:space="preserve">At the last TSAG, the SG2 and SG20 Chairs provided an update that offline consultations on </w:t>
      </w:r>
      <w:r w:rsidR="00811120">
        <w:rPr>
          <w:szCs w:val="24"/>
        </w:rPr>
        <w:t>WTSA-24 Action Item 9</w:t>
      </w:r>
      <w:r w:rsidR="00531403" w:rsidRPr="00811120">
        <w:rPr>
          <w:szCs w:val="24"/>
        </w:rPr>
        <w:t xml:space="preserve"> remained ongoing,</w:t>
      </w:r>
      <w:r w:rsidR="00531403" w:rsidRPr="00077E22">
        <w:t xml:space="preserve"> and that the management teams of the two Study Groups would continue discussions through online meetings and report back to the present TSAG meeting.</w:t>
      </w:r>
      <w:r w:rsidR="00531403" w:rsidRPr="00811120">
        <w:rPr>
          <w:szCs w:val="24"/>
        </w:rPr>
        <w:t xml:space="preserve"> (See section 5.1 of the RG-WPR report in </w:t>
      </w:r>
      <w:hyperlink r:id="rId32" w:history="1">
        <w:r w:rsidR="00531403" w:rsidRPr="00811120">
          <w:rPr>
            <w:rStyle w:val="Hyperlink"/>
            <w:szCs w:val="24"/>
          </w:rPr>
          <w:t>TSAG-TD106R2</w:t>
        </w:r>
      </w:hyperlink>
      <w:r w:rsidR="00531403" w:rsidRPr="00811120">
        <w:rPr>
          <w:szCs w:val="24"/>
        </w:rPr>
        <w:t>.)</w:t>
      </w:r>
      <w:r w:rsidR="006E46CF">
        <w:rPr>
          <w:szCs w:val="24"/>
        </w:rPr>
        <w:t xml:space="preserve"> </w:t>
      </w:r>
      <w:r w:rsidR="00531403" w:rsidRPr="006E46CF">
        <w:rPr>
          <w:szCs w:val="24"/>
        </w:rPr>
        <w:t xml:space="preserve">To this end, SG2 and SG20 held a joint management team meeting on 24 July 2025, to discuss </w:t>
      </w:r>
      <w:r w:rsidR="00531403">
        <w:t>next steps and potential ways forward</w:t>
      </w:r>
      <w:r w:rsidR="00531403" w:rsidRPr="006E46CF">
        <w:rPr>
          <w:szCs w:val="24"/>
        </w:rPr>
        <w:t>.</w:t>
      </w:r>
      <w:r w:rsidR="006E46CF">
        <w:rPr>
          <w:szCs w:val="24"/>
        </w:rPr>
        <w:t xml:space="preserve">  </w:t>
      </w:r>
      <w:r w:rsidR="00531403" w:rsidRPr="006E46CF">
        <w:rPr>
          <w:szCs w:val="24"/>
        </w:rPr>
        <w:t>Following a further exchange of liaisons between the two study groups</w:t>
      </w:r>
      <w:r w:rsidR="006E46CF" w:rsidRPr="006E46CF">
        <w:rPr>
          <w:szCs w:val="24"/>
        </w:rPr>
        <w:t xml:space="preserve">, </w:t>
      </w:r>
      <w:r w:rsidR="00531403" w:rsidRPr="006E46CF">
        <w:rPr>
          <w:szCs w:val="24"/>
        </w:rPr>
        <w:t xml:space="preserve">Q1/2 and Q6/20 held a </w:t>
      </w:r>
      <w:r w:rsidR="00EF0EB2">
        <w:rPr>
          <w:szCs w:val="24"/>
        </w:rPr>
        <w:t xml:space="preserve">productive </w:t>
      </w:r>
      <w:r w:rsidR="00531403" w:rsidRPr="006E46CF">
        <w:rPr>
          <w:szCs w:val="24"/>
        </w:rPr>
        <w:t>joint meeting on 14 November 2025</w:t>
      </w:r>
      <w:r w:rsidR="006E46CF">
        <w:rPr>
          <w:szCs w:val="24"/>
        </w:rPr>
        <w:t>.</w:t>
      </w:r>
      <w:r w:rsidR="006E46CF">
        <w:t xml:space="preserve"> </w:t>
      </w:r>
      <w:r w:rsidR="008F4797">
        <w:t xml:space="preserve">As detailed in </w:t>
      </w:r>
      <w:hyperlink r:id="rId33" w:history="1">
        <w:r w:rsidR="008F4797" w:rsidRPr="009E7755">
          <w:rPr>
            <w:rStyle w:val="Hyperlink"/>
          </w:rPr>
          <w:t>TSAG-TD</w:t>
        </w:r>
        <w:r w:rsidR="00E107ED">
          <w:rPr>
            <w:rStyle w:val="Hyperlink"/>
          </w:rPr>
          <w:t>263</w:t>
        </w:r>
      </w:hyperlink>
      <w:r w:rsidR="008F4797">
        <w:t xml:space="preserve">, </w:t>
      </w:r>
      <w:r w:rsidR="00531403" w:rsidRPr="008F4797">
        <w:rPr>
          <w:szCs w:val="24"/>
        </w:rPr>
        <w:t>WTSA-24 Action Item 9</w:t>
      </w:r>
      <w:r w:rsidR="008F4797">
        <w:rPr>
          <w:szCs w:val="24"/>
        </w:rPr>
        <w:t xml:space="preserve"> has therefore been successfully concluded and </w:t>
      </w:r>
      <w:r w:rsidR="00531403" w:rsidRPr="008F4797">
        <w:rPr>
          <w:szCs w:val="24"/>
        </w:rPr>
        <w:t xml:space="preserve">can now be marked as complete in the relevant RG-WPR and WP2 status trackers. </w:t>
      </w:r>
    </w:p>
    <w:p w14:paraId="3615EF34" w14:textId="77777777" w:rsidR="00005BDF" w:rsidRPr="00005BDF" w:rsidRDefault="00005BDF" w:rsidP="00005BDF">
      <w:pPr>
        <w:pStyle w:val="ListParagraph"/>
        <w:keepNext/>
        <w:rPr>
          <w:noProof/>
          <w:szCs w:val="24"/>
        </w:rPr>
      </w:pPr>
    </w:p>
    <w:p w14:paraId="423FA26A" w14:textId="77777777" w:rsidR="005F7BF7" w:rsidRDefault="00C8012E" w:rsidP="00E03F1C">
      <w:pPr>
        <w:pStyle w:val="ListParagraph"/>
        <w:numPr>
          <w:ilvl w:val="0"/>
          <w:numId w:val="28"/>
        </w:numPr>
        <w:spacing w:before="0"/>
        <w:ind w:right="-187"/>
        <w:rPr>
          <w:szCs w:val="24"/>
        </w:rPr>
      </w:pPr>
      <w:r w:rsidRPr="00005BDF">
        <w:rPr>
          <w:b/>
          <w:bCs/>
          <w:szCs w:val="24"/>
        </w:rPr>
        <w:t xml:space="preserve">Coordination with ITU-T SG3: </w:t>
      </w:r>
      <w:r w:rsidR="008B03DA" w:rsidRPr="008B03DA">
        <w:rPr>
          <w:szCs w:val="24"/>
        </w:rPr>
        <w:t xml:space="preserve">Following up on reporting to the last TSAG on this </w:t>
      </w:r>
      <w:r w:rsidR="00643C69">
        <w:rPr>
          <w:szCs w:val="24"/>
        </w:rPr>
        <w:t>subject</w:t>
      </w:r>
      <w:r w:rsidR="00570D1B">
        <w:rPr>
          <w:szCs w:val="24"/>
        </w:rPr>
        <w:t xml:space="preserve">, </w:t>
      </w:r>
      <w:r w:rsidR="003D13D6">
        <w:rPr>
          <w:szCs w:val="24"/>
        </w:rPr>
        <w:t xml:space="preserve">Q3/2 and Q9/3 successfully held </w:t>
      </w:r>
      <w:r w:rsidR="00545590">
        <w:rPr>
          <w:szCs w:val="24"/>
        </w:rPr>
        <w:t xml:space="preserve">a </w:t>
      </w:r>
      <w:r w:rsidR="00156253">
        <w:rPr>
          <w:szCs w:val="24"/>
        </w:rPr>
        <w:t>joint RGM</w:t>
      </w:r>
      <w:r w:rsidR="006E07B4">
        <w:rPr>
          <w:szCs w:val="24"/>
        </w:rPr>
        <w:t xml:space="preserve"> on the topic of OTT</w:t>
      </w:r>
      <w:r w:rsidR="00FE6B6C">
        <w:rPr>
          <w:szCs w:val="24"/>
        </w:rPr>
        <w:t xml:space="preserve">-related </w:t>
      </w:r>
      <w:r w:rsidR="006E07B4">
        <w:rPr>
          <w:szCs w:val="24"/>
        </w:rPr>
        <w:t>definition</w:t>
      </w:r>
      <w:r w:rsidR="00643C69">
        <w:rPr>
          <w:szCs w:val="24"/>
        </w:rPr>
        <w:t xml:space="preserve">s, largely </w:t>
      </w:r>
      <w:proofErr w:type="spellStart"/>
      <w:r w:rsidR="00643C69">
        <w:rPr>
          <w:szCs w:val="24"/>
        </w:rPr>
        <w:t>centered</w:t>
      </w:r>
      <w:proofErr w:type="spellEnd"/>
      <w:r w:rsidR="00643C69">
        <w:rPr>
          <w:szCs w:val="24"/>
        </w:rPr>
        <w:t xml:space="preserve"> on the SG2 work item to revise Rec. </w:t>
      </w:r>
      <w:r w:rsidR="00E927EC">
        <w:rPr>
          <w:szCs w:val="24"/>
        </w:rPr>
        <w:t>ITU-T E.</w:t>
      </w:r>
      <w:r w:rsidR="00E927EC">
        <w:t>100, “Definitions of terms used in international telephone operation</w:t>
      </w:r>
      <w:r w:rsidR="00E927EC">
        <w:rPr>
          <w:szCs w:val="24"/>
        </w:rPr>
        <w:t xml:space="preserve">” </w:t>
      </w:r>
      <w:r w:rsidR="00C15D6B">
        <w:rPr>
          <w:szCs w:val="24"/>
        </w:rPr>
        <w:t xml:space="preserve">(see report at </w:t>
      </w:r>
      <w:hyperlink r:id="rId34" w:history="1">
        <w:r w:rsidR="00C15D6B" w:rsidRPr="00D31281">
          <w:rPr>
            <w:rStyle w:val="Hyperlink"/>
            <w:szCs w:val="24"/>
          </w:rPr>
          <w:t>SG2-TD212/PLEN</w:t>
        </w:r>
      </w:hyperlink>
      <w:r w:rsidR="00C15D6B">
        <w:rPr>
          <w:szCs w:val="24"/>
        </w:rPr>
        <w:t>).</w:t>
      </w:r>
      <w:r w:rsidR="00CE3093">
        <w:rPr>
          <w:szCs w:val="24"/>
        </w:rPr>
        <w:t xml:space="preserve">  At its upcoming </w:t>
      </w:r>
      <w:r w:rsidR="009A2EC2">
        <w:rPr>
          <w:szCs w:val="24"/>
        </w:rPr>
        <w:lastRenderedPageBreak/>
        <w:t>meeting, SG2 will consider an incoming liaison from SG3 (</w:t>
      </w:r>
      <w:hyperlink r:id="rId35" w:history="1">
        <w:r w:rsidR="009A2EC2" w:rsidRPr="00FB79C9">
          <w:rPr>
            <w:rStyle w:val="Hyperlink"/>
            <w:szCs w:val="24"/>
          </w:rPr>
          <w:t>SG2-</w:t>
        </w:r>
        <w:r w:rsidR="00433A75" w:rsidRPr="00FB79C9">
          <w:rPr>
            <w:rStyle w:val="Hyperlink"/>
            <w:szCs w:val="24"/>
          </w:rPr>
          <w:t>TD</w:t>
        </w:r>
        <w:r w:rsidR="0007606F" w:rsidRPr="00FB79C9">
          <w:rPr>
            <w:rStyle w:val="Hyperlink"/>
            <w:szCs w:val="24"/>
          </w:rPr>
          <w:t>292/GEN</w:t>
        </w:r>
      </w:hyperlink>
      <w:r w:rsidR="0007606F">
        <w:rPr>
          <w:szCs w:val="24"/>
        </w:rPr>
        <w:t>)</w:t>
      </w:r>
      <w:r w:rsidR="00433A75">
        <w:rPr>
          <w:szCs w:val="24"/>
        </w:rPr>
        <w:t xml:space="preserve"> for continued collaboration on the same topic. </w:t>
      </w:r>
    </w:p>
    <w:p w14:paraId="506EB486" w14:textId="77777777" w:rsidR="00E03F1C" w:rsidRDefault="00E03F1C" w:rsidP="00E03F1C">
      <w:pPr>
        <w:spacing w:before="0"/>
        <w:ind w:right="-187"/>
        <w:contextualSpacing/>
        <w:rPr>
          <w:szCs w:val="24"/>
        </w:rPr>
      </w:pPr>
    </w:p>
    <w:p w14:paraId="14622549" w14:textId="1BE8E38F" w:rsidR="00D64EB3" w:rsidRPr="005F7BF7" w:rsidRDefault="00D64EB3" w:rsidP="00E03F1C">
      <w:pPr>
        <w:spacing w:before="0"/>
        <w:ind w:right="-187"/>
        <w:contextualSpacing/>
        <w:rPr>
          <w:szCs w:val="24"/>
        </w:rPr>
      </w:pPr>
      <w:r w:rsidRPr="005F7BF7">
        <w:rPr>
          <w:szCs w:val="24"/>
        </w:rPr>
        <w:t xml:space="preserve">Looking ahead, </w:t>
      </w:r>
      <w:r w:rsidR="003051EB" w:rsidRPr="005F7BF7">
        <w:rPr>
          <w:szCs w:val="24"/>
        </w:rPr>
        <w:t>the second SG2 meeting in 2026 will likely take place</w:t>
      </w:r>
      <w:r w:rsidR="000D0592" w:rsidRPr="005F7BF7">
        <w:rPr>
          <w:rFonts w:asciiTheme="majorBidi" w:hAnsiTheme="majorBidi" w:cstheme="majorBidi"/>
          <w:szCs w:val="24"/>
        </w:rPr>
        <w:t xml:space="preserve"> 2-11 September 2026 (date and venue TBC).</w:t>
      </w:r>
      <w:r w:rsidR="005F7BF7">
        <w:rPr>
          <w:rFonts w:asciiTheme="majorBidi" w:hAnsiTheme="majorBidi" w:cstheme="majorBidi"/>
          <w:szCs w:val="24"/>
        </w:rPr>
        <w:t xml:space="preserve">  </w:t>
      </w:r>
      <w:r w:rsidR="003051EB" w:rsidRPr="005F7BF7">
        <w:rPr>
          <w:szCs w:val="24"/>
        </w:rPr>
        <w:t xml:space="preserve">We note that this represents the midway point </w:t>
      </w:r>
      <w:r w:rsidR="00D85C15" w:rsidRPr="005F7BF7">
        <w:rPr>
          <w:szCs w:val="24"/>
        </w:rPr>
        <w:t xml:space="preserve">of the </w:t>
      </w:r>
      <w:r w:rsidR="000E756B" w:rsidRPr="005F7BF7">
        <w:rPr>
          <w:szCs w:val="24"/>
        </w:rPr>
        <w:t xml:space="preserve">2025-2028 </w:t>
      </w:r>
      <w:r w:rsidR="00D85C15" w:rsidRPr="005F7BF7">
        <w:rPr>
          <w:szCs w:val="24"/>
        </w:rPr>
        <w:t>Study Perio</w:t>
      </w:r>
      <w:r w:rsidR="000E756B" w:rsidRPr="005F7BF7">
        <w:rPr>
          <w:szCs w:val="24"/>
        </w:rPr>
        <w:t>d</w:t>
      </w:r>
      <w:r w:rsidR="00E17BEC" w:rsidRPr="005F7BF7">
        <w:rPr>
          <w:szCs w:val="24"/>
        </w:rPr>
        <w:t xml:space="preserve"> and so </w:t>
      </w:r>
      <w:r w:rsidR="000E756B" w:rsidRPr="005F7BF7">
        <w:rPr>
          <w:szCs w:val="24"/>
        </w:rPr>
        <w:t>expect</w:t>
      </w:r>
      <w:r w:rsidR="00E17BEC" w:rsidRPr="005F7BF7">
        <w:rPr>
          <w:szCs w:val="24"/>
        </w:rPr>
        <w:t xml:space="preserve"> to </w:t>
      </w:r>
      <w:r w:rsidR="000E756B" w:rsidRPr="005F7BF7">
        <w:rPr>
          <w:szCs w:val="24"/>
        </w:rPr>
        <w:t>begin Next</w:t>
      </w:r>
      <w:r w:rsidR="00E17BEC" w:rsidRPr="005F7BF7">
        <w:rPr>
          <w:szCs w:val="24"/>
        </w:rPr>
        <w:t xml:space="preserve"> Study Period (NSP) preparations around that time, in preparation for WTSA-28. </w:t>
      </w:r>
    </w:p>
    <w:p w14:paraId="69EF5DC0" w14:textId="74725B90" w:rsidR="00B04118" w:rsidRPr="001C0444" w:rsidRDefault="001F34F9" w:rsidP="0093527B">
      <w:pPr>
        <w:spacing w:after="120"/>
        <w:jc w:val="center"/>
        <w:rPr>
          <w:rFonts w:asciiTheme="majorBidi" w:eastAsia="SimSun" w:hAnsiTheme="majorBidi" w:cstheme="majorBidi"/>
          <w:szCs w:val="24"/>
        </w:rPr>
      </w:pPr>
      <w:r>
        <w:t>_______________________</w:t>
      </w:r>
    </w:p>
    <w:sectPr w:rsidR="00B04118" w:rsidRPr="001C0444" w:rsidSect="003D4D20">
      <w:headerReference w:type="default" r:id="rId36"/>
      <w:pgSz w:w="11909" w:h="16834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5339" w14:textId="77777777" w:rsidR="00B34246" w:rsidRDefault="00B34246" w:rsidP="00BF3F95">
      <w:pPr>
        <w:spacing w:before="0"/>
      </w:pPr>
      <w:r>
        <w:separator/>
      </w:r>
    </w:p>
  </w:endnote>
  <w:endnote w:type="continuationSeparator" w:id="0">
    <w:p w14:paraId="4749CF27" w14:textId="77777777" w:rsidR="00B34246" w:rsidRDefault="00B34246" w:rsidP="00BF3F9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2581" w14:textId="77777777" w:rsidR="00B34246" w:rsidRDefault="00B34246" w:rsidP="00BF3F95">
      <w:pPr>
        <w:spacing w:before="0"/>
      </w:pPr>
      <w:r>
        <w:separator/>
      </w:r>
    </w:p>
  </w:footnote>
  <w:footnote w:type="continuationSeparator" w:id="0">
    <w:p w14:paraId="6C4D7B53" w14:textId="77777777" w:rsidR="00B34246" w:rsidRDefault="00B34246" w:rsidP="00BF3F9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FBED" w14:textId="47797134" w:rsidR="004336B5" w:rsidRPr="003D4D20" w:rsidRDefault="003D4D20" w:rsidP="003D4D20">
    <w:pPr>
      <w:pStyle w:val="Header"/>
      <w:jc w:val="center"/>
      <w:rPr>
        <w:sz w:val="18"/>
      </w:rPr>
    </w:pPr>
    <w:r w:rsidRPr="003D4D20">
      <w:rPr>
        <w:sz w:val="18"/>
      </w:rPr>
      <w:t xml:space="preserve">- </w:t>
    </w:r>
    <w:r w:rsidRPr="003D4D20">
      <w:rPr>
        <w:sz w:val="18"/>
      </w:rPr>
      <w:fldChar w:fldCharType="begin"/>
    </w:r>
    <w:r w:rsidRPr="003D4D20">
      <w:rPr>
        <w:sz w:val="18"/>
      </w:rPr>
      <w:instrText xml:space="preserve"> PAGE  \* MERGEFORMAT </w:instrText>
    </w:r>
    <w:r w:rsidRPr="003D4D20">
      <w:rPr>
        <w:sz w:val="18"/>
      </w:rPr>
      <w:fldChar w:fldCharType="separate"/>
    </w:r>
    <w:r w:rsidRPr="003D4D20">
      <w:rPr>
        <w:noProof/>
        <w:sz w:val="18"/>
      </w:rPr>
      <w:t>1</w:t>
    </w:r>
    <w:r w:rsidRPr="003D4D20">
      <w:rPr>
        <w:sz w:val="18"/>
      </w:rPr>
      <w:fldChar w:fldCharType="end"/>
    </w:r>
    <w:r w:rsidRPr="003D4D20">
      <w:rPr>
        <w:sz w:val="18"/>
      </w:rPr>
      <w:t xml:space="preserve"> -</w:t>
    </w:r>
  </w:p>
  <w:p w14:paraId="19063641" w14:textId="7DE53A39" w:rsidR="003D4D20" w:rsidRPr="003D4D20" w:rsidRDefault="003D4D20" w:rsidP="003D4D20">
    <w:pPr>
      <w:pStyle w:val="Header"/>
      <w:spacing w:after="240"/>
      <w:jc w:val="center"/>
      <w:rPr>
        <w:sz w:val="18"/>
      </w:rPr>
    </w:pPr>
    <w:r w:rsidRPr="003D4D20">
      <w:rPr>
        <w:sz w:val="18"/>
      </w:rPr>
      <w:fldChar w:fldCharType="begin"/>
    </w:r>
    <w:r w:rsidRPr="003D4D20">
      <w:rPr>
        <w:sz w:val="18"/>
      </w:rPr>
      <w:instrText xml:space="preserve"> STYLEREF  Docnumber  </w:instrText>
    </w:r>
    <w:r w:rsidRPr="003D4D20">
      <w:rPr>
        <w:sz w:val="18"/>
      </w:rPr>
      <w:fldChar w:fldCharType="separate"/>
    </w:r>
    <w:r w:rsidR="00E107ED">
      <w:rPr>
        <w:noProof/>
        <w:sz w:val="18"/>
      </w:rPr>
      <w:t>TSAG-TD199</w:t>
    </w:r>
    <w:r w:rsidRPr="003D4D20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8AE"/>
    <w:multiLevelType w:val="hybridMultilevel"/>
    <w:tmpl w:val="E3BA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81F"/>
    <w:multiLevelType w:val="hybridMultilevel"/>
    <w:tmpl w:val="AE10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58EA"/>
    <w:multiLevelType w:val="hybridMultilevel"/>
    <w:tmpl w:val="AAC0376E"/>
    <w:lvl w:ilvl="0" w:tplc="D2709B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78F6"/>
    <w:multiLevelType w:val="hybridMultilevel"/>
    <w:tmpl w:val="7F1019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8405C"/>
    <w:multiLevelType w:val="hybridMultilevel"/>
    <w:tmpl w:val="639A8DC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395B"/>
    <w:multiLevelType w:val="hybridMultilevel"/>
    <w:tmpl w:val="AABEE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D4505"/>
    <w:multiLevelType w:val="hybridMultilevel"/>
    <w:tmpl w:val="0612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96245"/>
    <w:multiLevelType w:val="hybridMultilevel"/>
    <w:tmpl w:val="59E29DD4"/>
    <w:lvl w:ilvl="0" w:tplc="11320C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F4125"/>
    <w:multiLevelType w:val="hybridMultilevel"/>
    <w:tmpl w:val="EF648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44694"/>
    <w:multiLevelType w:val="hybridMultilevel"/>
    <w:tmpl w:val="71A06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2572"/>
    <w:multiLevelType w:val="hybridMultilevel"/>
    <w:tmpl w:val="96A00D74"/>
    <w:lvl w:ilvl="0" w:tplc="622A39A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41EE4"/>
    <w:multiLevelType w:val="hybridMultilevel"/>
    <w:tmpl w:val="2DF8EE1C"/>
    <w:lvl w:ilvl="0" w:tplc="08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2" w15:restartNumberingAfterBreak="0">
    <w:nsid w:val="31CB03D6"/>
    <w:multiLevelType w:val="hybridMultilevel"/>
    <w:tmpl w:val="D000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67C06">
      <w:numFmt w:val="bullet"/>
      <w:lvlText w:val="-"/>
      <w:lvlJc w:val="left"/>
      <w:pPr>
        <w:ind w:left="1872" w:hanging="792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A7426"/>
    <w:multiLevelType w:val="hybridMultilevel"/>
    <w:tmpl w:val="6E50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11E4A"/>
    <w:multiLevelType w:val="hybridMultilevel"/>
    <w:tmpl w:val="6C927C34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5" w15:restartNumberingAfterBreak="0">
    <w:nsid w:val="40C45A00"/>
    <w:multiLevelType w:val="hybridMultilevel"/>
    <w:tmpl w:val="7154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F1AFE"/>
    <w:multiLevelType w:val="hybridMultilevel"/>
    <w:tmpl w:val="859E5F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4C040167"/>
    <w:multiLevelType w:val="hybridMultilevel"/>
    <w:tmpl w:val="299A7DC2"/>
    <w:lvl w:ilvl="0" w:tplc="5ED0DF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751E4"/>
    <w:multiLevelType w:val="hybridMultilevel"/>
    <w:tmpl w:val="9C40C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73913"/>
    <w:multiLevelType w:val="hybridMultilevel"/>
    <w:tmpl w:val="BAFE5D16"/>
    <w:lvl w:ilvl="0" w:tplc="723851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70D82"/>
    <w:multiLevelType w:val="hybridMultilevel"/>
    <w:tmpl w:val="3DD21B4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C1F61D6"/>
    <w:multiLevelType w:val="hybridMultilevel"/>
    <w:tmpl w:val="42B6C4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415508E"/>
    <w:multiLevelType w:val="hybridMultilevel"/>
    <w:tmpl w:val="8AE0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D66DB"/>
    <w:multiLevelType w:val="hybridMultilevel"/>
    <w:tmpl w:val="65ECA034"/>
    <w:lvl w:ilvl="0" w:tplc="622A39A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00C09"/>
    <w:multiLevelType w:val="hybridMultilevel"/>
    <w:tmpl w:val="EA52F26E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A50415F"/>
    <w:multiLevelType w:val="hybridMultilevel"/>
    <w:tmpl w:val="66F2AB70"/>
    <w:lvl w:ilvl="0" w:tplc="763657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56E70"/>
    <w:multiLevelType w:val="hybridMultilevel"/>
    <w:tmpl w:val="1AB4CFDC"/>
    <w:lvl w:ilvl="0" w:tplc="3A287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67B08"/>
    <w:multiLevelType w:val="hybridMultilevel"/>
    <w:tmpl w:val="1F14B088"/>
    <w:lvl w:ilvl="0" w:tplc="C7E67B34">
      <w:start w:val="1"/>
      <w:numFmt w:val="lowerLetter"/>
      <w:lvlText w:val="%1)"/>
      <w:lvlJc w:val="left"/>
      <w:pPr>
        <w:ind w:left="1417" w:hanging="62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4" w:hanging="360"/>
      </w:pPr>
    </w:lvl>
    <w:lvl w:ilvl="2" w:tplc="0809001B" w:tentative="1">
      <w:start w:val="1"/>
      <w:numFmt w:val="lowerRoman"/>
      <w:lvlText w:val="%3."/>
      <w:lvlJc w:val="right"/>
      <w:pPr>
        <w:ind w:left="2594" w:hanging="180"/>
      </w:pPr>
    </w:lvl>
    <w:lvl w:ilvl="3" w:tplc="0809000F" w:tentative="1">
      <w:start w:val="1"/>
      <w:numFmt w:val="decimal"/>
      <w:lvlText w:val="%4."/>
      <w:lvlJc w:val="left"/>
      <w:pPr>
        <w:ind w:left="3314" w:hanging="360"/>
      </w:pPr>
    </w:lvl>
    <w:lvl w:ilvl="4" w:tplc="08090019" w:tentative="1">
      <w:start w:val="1"/>
      <w:numFmt w:val="lowerLetter"/>
      <w:lvlText w:val="%5."/>
      <w:lvlJc w:val="left"/>
      <w:pPr>
        <w:ind w:left="4034" w:hanging="360"/>
      </w:pPr>
    </w:lvl>
    <w:lvl w:ilvl="5" w:tplc="0809001B" w:tentative="1">
      <w:start w:val="1"/>
      <w:numFmt w:val="lowerRoman"/>
      <w:lvlText w:val="%6."/>
      <w:lvlJc w:val="right"/>
      <w:pPr>
        <w:ind w:left="4754" w:hanging="180"/>
      </w:pPr>
    </w:lvl>
    <w:lvl w:ilvl="6" w:tplc="0809000F" w:tentative="1">
      <w:start w:val="1"/>
      <w:numFmt w:val="decimal"/>
      <w:lvlText w:val="%7."/>
      <w:lvlJc w:val="left"/>
      <w:pPr>
        <w:ind w:left="5474" w:hanging="360"/>
      </w:pPr>
    </w:lvl>
    <w:lvl w:ilvl="7" w:tplc="08090019" w:tentative="1">
      <w:start w:val="1"/>
      <w:numFmt w:val="lowerLetter"/>
      <w:lvlText w:val="%8."/>
      <w:lvlJc w:val="left"/>
      <w:pPr>
        <w:ind w:left="6194" w:hanging="360"/>
      </w:pPr>
    </w:lvl>
    <w:lvl w:ilvl="8" w:tplc="08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8" w15:restartNumberingAfterBreak="0">
    <w:nsid w:val="7CE81325"/>
    <w:multiLevelType w:val="hybridMultilevel"/>
    <w:tmpl w:val="5580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350CC"/>
    <w:multiLevelType w:val="hybridMultilevel"/>
    <w:tmpl w:val="D3A0273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724670082">
    <w:abstractNumId w:val="3"/>
  </w:num>
  <w:num w:numId="2" w16cid:durableId="750006623">
    <w:abstractNumId w:val="24"/>
  </w:num>
  <w:num w:numId="3" w16cid:durableId="1335106614">
    <w:abstractNumId w:val="27"/>
  </w:num>
  <w:num w:numId="4" w16cid:durableId="549616395">
    <w:abstractNumId w:val="21"/>
  </w:num>
  <w:num w:numId="5" w16cid:durableId="2042708436">
    <w:abstractNumId w:val="11"/>
  </w:num>
  <w:num w:numId="6" w16cid:durableId="278145626">
    <w:abstractNumId w:val="28"/>
  </w:num>
  <w:num w:numId="7" w16cid:durableId="1018507228">
    <w:abstractNumId w:val="14"/>
  </w:num>
  <w:num w:numId="8" w16cid:durableId="1027560994">
    <w:abstractNumId w:val="6"/>
  </w:num>
  <w:num w:numId="9" w16cid:durableId="1542326533">
    <w:abstractNumId w:val="9"/>
  </w:num>
  <w:num w:numId="10" w16cid:durableId="1806655546">
    <w:abstractNumId w:val="20"/>
  </w:num>
  <w:num w:numId="11" w16cid:durableId="624314779">
    <w:abstractNumId w:val="29"/>
  </w:num>
  <w:num w:numId="12" w16cid:durableId="2022127361">
    <w:abstractNumId w:val="5"/>
  </w:num>
  <w:num w:numId="13" w16cid:durableId="727799608">
    <w:abstractNumId w:val="16"/>
  </w:num>
  <w:num w:numId="14" w16cid:durableId="268245167">
    <w:abstractNumId w:val="26"/>
  </w:num>
  <w:num w:numId="15" w16cid:durableId="2082483684">
    <w:abstractNumId w:val="25"/>
  </w:num>
  <w:num w:numId="16" w16cid:durableId="1375808145">
    <w:abstractNumId w:val="12"/>
  </w:num>
  <w:num w:numId="17" w16cid:durableId="524288669">
    <w:abstractNumId w:val="22"/>
  </w:num>
  <w:num w:numId="18" w16cid:durableId="1472594057">
    <w:abstractNumId w:val="13"/>
  </w:num>
  <w:num w:numId="19" w16cid:durableId="1575622966">
    <w:abstractNumId w:val="0"/>
  </w:num>
  <w:num w:numId="20" w16cid:durableId="1109278322">
    <w:abstractNumId w:val="18"/>
  </w:num>
  <w:num w:numId="21" w16cid:durableId="723452882">
    <w:abstractNumId w:val="4"/>
  </w:num>
  <w:num w:numId="22" w16cid:durableId="796028828">
    <w:abstractNumId w:val="1"/>
  </w:num>
  <w:num w:numId="23" w16cid:durableId="401876197">
    <w:abstractNumId w:val="10"/>
  </w:num>
  <w:num w:numId="24" w16cid:durableId="1397512229">
    <w:abstractNumId w:val="19"/>
  </w:num>
  <w:num w:numId="25" w16cid:durableId="674502774">
    <w:abstractNumId w:val="15"/>
  </w:num>
  <w:num w:numId="26" w16cid:durableId="575555547">
    <w:abstractNumId w:val="23"/>
  </w:num>
  <w:num w:numId="27" w16cid:durableId="1506703580">
    <w:abstractNumId w:val="2"/>
  </w:num>
  <w:num w:numId="28" w16cid:durableId="1040134361">
    <w:abstractNumId w:val="17"/>
  </w:num>
  <w:num w:numId="29" w16cid:durableId="1466971673">
    <w:abstractNumId w:val="7"/>
  </w:num>
  <w:num w:numId="30" w16cid:durableId="1339038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0B"/>
    <w:rsid w:val="00000A99"/>
    <w:rsid w:val="00000AAB"/>
    <w:rsid w:val="00000D12"/>
    <w:rsid w:val="00005BDF"/>
    <w:rsid w:val="000068BA"/>
    <w:rsid w:val="0001040D"/>
    <w:rsid w:val="000108D8"/>
    <w:rsid w:val="00012206"/>
    <w:rsid w:val="00017110"/>
    <w:rsid w:val="00017F90"/>
    <w:rsid w:val="000201ED"/>
    <w:rsid w:val="0002087D"/>
    <w:rsid w:val="000219BF"/>
    <w:rsid w:val="000233AC"/>
    <w:rsid w:val="000243F2"/>
    <w:rsid w:val="000245F3"/>
    <w:rsid w:val="000300A1"/>
    <w:rsid w:val="0003172E"/>
    <w:rsid w:val="000327CD"/>
    <w:rsid w:val="00043A66"/>
    <w:rsid w:val="00043A8F"/>
    <w:rsid w:val="00043E3B"/>
    <w:rsid w:val="000458D1"/>
    <w:rsid w:val="00045BD3"/>
    <w:rsid w:val="0004699A"/>
    <w:rsid w:val="00046BE9"/>
    <w:rsid w:val="00046D64"/>
    <w:rsid w:val="00047660"/>
    <w:rsid w:val="00047B79"/>
    <w:rsid w:val="0005203B"/>
    <w:rsid w:val="00053BFA"/>
    <w:rsid w:val="00055275"/>
    <w:rsid w:val="0006073F"/>
    <w:rsid w:val="00061677"/>
    <w:rsid w:val="00063322"/>
    <w:rsid w:val="00063F3E"/>
    <w:rsid w:val="000656A0"/>
    <w:rsid w:val="00070BDF"/>
    <w:rsid w:val="00070E41"/>
    <w:rsid w:val="00070FEF"/>
    <w:rsid w:val="00072EF8"/>
    <w:rsid w:val="0007606F"/>
    <w:rsid w:val="000769F3"/>
    <w:rsid w:val="00077FB0"/>
    <w:rsid w:val="000817A0"/>
    <w:rsid w:val="00082E83"/>
    <w:rsid w:val="000905CF"/>
    <w:rsid w:val="0009193F"/>
    <w:rsid w:val="00091B56"/>
    <w:rsid w:val="00091F7C"/>
    <w:rsid w:val="00092115"/>
    <w:rsid w:val="0009448C"/>
    <w:rsid w:val="000961FA"/>
    <w:rsid w:val="00096D86"/>
    <w:rsid w:val="000A1950"/>
    <w:rsid w:val="000A26D2"/>
    <w:rsid w:val="000A274C"/>
    <w:rsid w:val="000A2E61"/>
    <w:rsid w:val="000A337B"/>
    <w:rsid w:val="000A4C57"/>
    <w:rsid w:val="000A588C"/>
    <w:rsid w:val="000A6649"/>
    <w:rsid w:val="000B008A"/>
    <w:rsid w:val="000B0CB7"/>
    <w:rsid w:val="000B1298"/>
    <w:rsid w:val="000B34C2"/>
    <w:rsid w:val="000B7949"/>
    <w:rsid w:val="000C0638"/>
    <w:rsid w:val="000C1B4D"/>
    <w:rsid w:val="000C209B"/>
    <w:rsid w:val="000C20BD"/>
    <w:rsid w:val="000C253D"/>
    <w:rsid w:val="000C60D4"/>
    <w:rsid w:val="000D000A"/>
    <w:rsid w:val="000D0592"/>
    <w:rsid w:val="000D0847"/>
    <w:rsid w:val="000D1300"/>
    <w:rsid w:val="000D28BF"/>
    <w:rsid w:val="000D4A72"/>
    <w:rsid w:val="000D7DC3"/>
    <w:rsid w:val="000E1738"/>
    <w:rsid w:val="000E756B"/>
    <w:rsid w:val="000F5F66"/>
    <w:rsid w:val="000F6F7B"/>
    <w:rsid w:val="000F76C1"/>
    <w:rsid w:val="000F7EB4"/>
    <w:rsid w:val="001007DC"/>
    <w:rsid w:val="001008FD"/>
    <w:rsid w:val="00101A0D"/>
    <w:rsid w:val="00102B6A"/>
    <w:rsid w:val="00102C36"/>
    <w:rsid w:val="0010544E"/>
    <w:rsid w:val="001067BE"/>
    <w:rsid w:val="00107537"/>
    <w:rsid w:val="00110C07"/>
    <w:rsid w:val="00111638"/>
    <w:rsid w:val="00111AFC"/>
    <w:rsid w:val="00117FAC"/>
    <w:rsid w:val="001201B4"/>
    <w:rsid w:val="00121C3D"/>
    <w:rsid w:val="00124BFB"/>
    <w:rsid w:val="00125604"/>
    <w:rsid w:val="001317D2"/>
    <w:rsid w:val="00132E0E"/>
    <w:rsid w:val="0013345C"/>
    <w:rsid w:val="0013446A"/>
    <w:rsid w:val="00135E10"/>
    <w:rsid w:val="00136915"/>
    <w:rsid w:val="00137611"/>
    <w:rsid w:val="00137B96"/>
    <w:rsid w:val="00140651"/>
    <w:rsid w:val="0014119E"/>
    <w:rsid w:val="00143F19"/>
    <w:rsid w:val="00151C43"/>
    <w:rsid w:val="00153800"/>
    <w:rsid w:val="00153F42"/>
    <w:rsid w:val="00156253"/>
    <w:rsid w:val="0016106B"/>
    <w:rsid w:val="00164516"/>
    <w:rsid w:val="00165163"/>
    <w:rsid w:val="0016561A"/>
    <w:rsid w:val="00165BC5"/>
    <w:rsid w:val="0016602C"/>
    <w:rsid w:val="001665C7"/>
    <w:rsid w:val="0016690B"/>
    <w:rsid w:val="00167EA3"/>
    <w:rsid w:val="00175924"/>
    <w:rsid w:val="00175B1B"/>
    <w:rsid w:val="00177E78"/>
    <w:rsid w:val="00185EE8"/>
    <w:rsid w:val="0018667C"/>
    <w:rsid w:val="00191DF7"/>
    <w:rsid w:val="00196066"/>
    <w:rsid w:val="00196391"/>
    <w:rsid w:val="001967E6"/>
    <w:rsid w:val="00196E71"/>
    <w:rsid w:val="00197D0C"/>
    <w:rsid w:val="00197D57"/>
    <w:rsid w:val="001A1FE0"/>
    <w:rsid w:val="001A312C"/>
    <w:rsid w:val="001A571A"/>
    <w:rsid w:val="001A7E85"/>
    <w:rsid w:val="001B090D"/>
    <w:rsid w:val="001B2DBC"/>
    <w:rsid w:val="001C0444"/>
    <w:rsid w:val="001C1E32"/>
    <w:rsid w:val="001C4427"/>
    <w:rsid w:val="001C5093"/>
    <w:rsid w:val="001D047D"/>
    <w:rsid w:val="001D22F9"/>
    <w:rsid w:val="001D3A9A"/>
    <w:rsid w:val="001D6688"/>
    <w:rsid w:val="001D7F61"/>
    <w:rsid w:val="001E76D7"/>
    <w:rsid w:val="001F34F9"/>
    <w:rsid w:val="001F4CB9"/>
    <w:rsid w:val="001F5550"/>
    <w:rsid w:val="001F7762"/>
    <w:rsid w:val="0020006E"/>
    <w:rsid w:val="00201042"/>
    <w:rsid w:val="00202B2B"/>
    <w:rsid w:val="002033A9"/>
    <w:rsid w:val="00203ACA"/>
    <w:rsid w:val="00211E9C"/>
    <w:rsid w:val="00213F2B"/>
    <w:rsid w:val="0021495E"/>
    <w:rsid w:val="00216AFB"/>
    <w:rsid w:val="002211AD"/>
    <w:rsid w:val="00221EA9"/>
    <w:rsid w:val="00223640"/>
    <w:rsid w:val="00224323"/>
    <w:rsid w:val="00231D41"/>
    <w:rsid w:val="002347F3"/>
    <w:rsid w:val="00242113"/>
    <w:rsid w:val="00242556"/>
    <w:rsid w:val="002448CD"/>
    <w:rsid w:val="0025094B"/>
    <w:rsid w:val="00250B40"/>
    <w:rsid w:val="0025149B"/>
    <w:rsid w:val="00252084"/>
    <w:rsid w:val="00252112"/>
    <w:rsid w:val="0025261C"/>
    <w:rsid w:val="002537F9"/>
    <w:rsid w:val="002538E9"/>
    <w:rsid w:val="00255C4E"/>
    <w:rsid w:val="00256175"/>
    <w:rsid w:val="0025675B"/>
    <w:rsid w:val="00256D25"/>
    <w:rsid w:val="0026016E"/>
    <w:rsid w:val="002638DF"/>
    <w:rsid w:val="00263934"/>
    <w:rsid w:val="002639C5"/>
    <w:rsid w:val="00265723"/>
    <w:rsid w:val="00271BC1"/>
    <w:rsid w:val="00271FA1"/>
    <w:rsid w:val="00276744"/>
    <w:rsid w:val="00280395"/>
    <w:rsid w:val="00281BB7"/>
    <w:rsid w:val="00286666"/>
    <w:rsid w:val="0028669B"/>
    <w:rsid w:val="00287225"/>
    <w:rsid w:val="00287410"/>
    <w:rsid w:val="00291998"/>
    <w:rsid w:val="00292CEC"/>
    <w:rsid w:val="00292E47"/>
    <w:rsid w:val="00294DAA"/>
    <w:rsid w:val="00295970"/>
    <w:rsid w:val="00296056"/>
    <w:rsid w:val="002964A5"/>
    <w:rsid w:val="002966D2"/>
    <w:rsid w:val="00296C4D"/>
    <w:rsid w:val="00297558"/>
    <w:rsid w:val="002A01BC"/>
    <w:rsid w:val="002A12DB"/>
    <w:rsid w:val="002A1C80"/>
    <w:rsid w:val="002A1DAE"/>
    <w:rsid w:val="002A249B"/>
    <w:rsid w:val="002A2FEA"/>
    <w:rsid w:val="002A39DB"/>
    <w:rsid w:val="002A48D2"/>
    <w:rsid w:val="002A54AD"/>
    <w:rsid w:val="002A7670"/>
    <w:rsid w:val="002B0414"/>
    <w:rsid w:val="002B0A80"/>
    <w:rsid w:val="002B0C82"/>
    <w:rsid w:val="002B2672"/>
    <w:rsid w:val="002B2774"/>
    <w:rsid w:val="002B31B5"/>
    <w:rsid w:val="002B4AC1"/>
    <w:rsid w:val="002B5615"/>
    <w:rsid w:val="002B56B6"/>
    <w:rsid w:val="002C0A67"/>
    <w:rsid w:val="002C0B1C"/>
    <w:rsid w:val="002C1756"/>
    <w:rsid w:val="002C3F19"/>
    <w:rsid w:val="002D01B3"/>
    <w:rsid w:val="002D1475"/>
    <w:rsid w:val="002D28E6"/>
    <w:rsid w:val="002D40C3"/>
    <w:rsid w:val="002D47D8"/>
    <w:rsid w:val="002D7ECA"/>
    <w:rsid w:val="002E0858"/>
    <w:rsid w:val="002E19BA"/>
    <w:rsid w:val="002E2DEC"/>
    <w:rsid w:val="002E3B89"/>
    <w:rsid w:val="002E4AA0"/>
    <w:rsid w:val="002E5E8B"/>
    <w:rsid w:val="002F0D87"/>
    <w:rsid w:val="002F1B85"/>
    <w:rsid w:val="002F617A"/>
    <w:rsid w:val="002F70CC"/>
    <w:rsid w:val="00303336"/>
    <w:rsid w:val="00304771"/>
    <w:rsid w:val="00304B10"/>
    <w:rsid w:val="00304F31"/>
    <w:rsid w:val="003051EB"/>
    <w:rsid w:val="003057E5"/>
    <w:rsid w:val="00306CE5"/>
    <w:rsid w:val="00307E8C"/>
    <w:rsid w:val="00312A4B"/>
    <w:rsid w:val="00314F36"/>
    <w:rsid w:val="003210D0"/>
    <w:rsid w:val="00321747"/>
    <w:rsid w:val="00321F37"/>
    <w:rsid w:val="00324F4B"/>
    <w:rsid w:val="003333F3"/>
    <w:rsid w:val="00335BFC"/>
    <w:rsid w:val="0033679C"/>
    <w:rsid w:val="00337B1F"/>
    <w:rsid w:val="00337B2F"/>
    <w:rsid w:val="00337C5C"/>
    <w:rsid w:val="00337F1A"/>
    <w:rsid w:val="00341762"/>
    <w:rsid w:val="00341976"/>
    <w:rsid w:val="003421FB"/>
    <w:rsid w:val="003468FD"/>
    <w:rsid w:val="0034735E"/>
    <w:rsid w:val="00350415"/>
    <w:rsid w:val="003523D4"/>
    <w:rsid w:val="00352B24"/>
    <w:rsid w:val="003551D2"/>
    <w:rsid w:val="00355799"/>
    <w:rsid w:val="00357731"/>
    <w:rsid w:val="003614C5"/>
    <w:rsid w:val="00361B06"/>
    <w:rsid w:val="003628C4"/>
    <w:rsid w:val="00362AAD"/>
    <w:rsid w:val="003651EF"/>
    <w:rsid w:val="00366B95"/>
    <w:rsid w:val="003705CB"/>
    <w:rsid w:val="0037169E"/>
    <w:rsid w:val="003720FD"/>
    <w:rsid w:val="00377FA7"/>
    <w:rsid w:val="0038164B"/>
    <w:rsid w:val="00381BBE"/>
    <w:rsid w:val="00381CE0"/>
    <w:rsid w:val="00383163"/>
    <w:rsid w:val="00384B4B"/>
    <w:rsid w:val="00384F29"/>
    <w:rsid w:val="00385BC5"/>
    <w:rsid w:val="00387B21"/>
    <w:rsid w:val="00390B6F"/>
    <w:rsid w:val="003929F7"/>
    <w:rsid w:val="00392F13"/>
    <w:rsid w:val="00393D83"/>
    <w:rsid w:val="00394A77"/>
    <w:rsid w:val="00395BD4"/>
    <w:rsid w:val="003A02B9"/>
    <w:rsid w:val="003A3BC6"/>
    <w:rsid w:val="003A6EF4"/>
    <w:rsid w:val="003B2386"/>
    <w:rsid w:val="003B3F2E"/>
    <w:rsid w:val="003B436F"/>
    <w:rsid w:val="003B547C"/>
    <w:rsid w:val="003C004B"/>
    <w:rsid w:val="003C020A"/>
    <w:rsid w:val="003C08A5"/>
    <w:rsid w:val="003C47E3"/>
    <w:rsid w:val="003C594C"/>
    <w:rsid w:val="003C5B6F"/>
    <w:rsid w:val="003C5D26"/>
    <w:rsid w:val="003C71E8"/>
    <w:rsid w:val="003C7745"/>
    <w:rsid w:val="003D0319"/>
    <w:rsid w:val="003D0B41"/>
    <w:rsid w:val="003D13D6"/>
    <w:rsid w:val="003D2AFF"/>
    <w:rsid w:val="003D4D20"/>
    <w:rsid w:val="003D58F9"/>
    <w:rsid w:val="003D7C99"/>
    <w:rsid w:val="003E0898"/>
    <w:rsid w:val="003E4E1A"/>
    <w:rsid w:val="003F0EF2"/>
    <w:rsid w:val="003F3F2B"/>
    <w:rsid w:val="003F4AF6"/>
    <w:rsid w:val="003F7F56"/>
    <w:rsid w:val="003F7F89"/>
    <w:rsid w:val="00400C23"/>
    <w:rsid w:val="00402C62"/>
    <w:rsid w:val="00403B66"/>
    <w:rsid w:val="004041FC"/>
    <w:rsid w:val="00406E48"/>
    <w:rsid w:val="00413820"/>
    <w:rsid w:val="00416197"/>
    <w:rsid w:val="00416B9F"/>
    <w:rsid w:val="00416C5F"/>
    <w:rsid w:val="004217E5"/>
    <w:rsid w:val="00424321"/>
    <w:rsid w:val="004243AD"/>
    <w:rsid w:val="00424475"/>
    <w:rsid w:val="00424D93"/>
    <w:rsid w:val="00427CE0"/>
    <w:rsid w:val="004336B5"/>
    <w:rsid w:val="00433A75"/>
    <w:rsid w:val="004352E2"/>
    <w:rsid w:val="004367E3"/>
    <w:rsid w:val="00436FFA"/>
    <w:rsid w:val="0043702C"/>
    <w:rsid w:val="004375C0"/>
    <w:rsid w:val="00437A8A"/>
    <w:rsid w:val="00437EEB"/>
    <w:rsid w:val="00442D75"/>
    <w:rsid w:val="004442E1"/>
    <w:rsid w:val="00446A53"/>
    <w:rsid w:val="00446B8E"/>
    <w:rsid w:val="0045002B"/>
    <w:rsid w:val="00450AC2"/>
    <w:rsid w:val="0045328B"/>
    <w:rsid w:val="004539CA"/>
    <w:rsid w:val="00454672"/>
    <w:rsid w:val="0045500F"/>
    <w:rsid w:val="0045503B"/>
    <w:rsid w:val="00457A4B"/>
    <w:rsid w:val="00464520"/>
    <w:rsid w:val="00464FC8"/>
    <w:rsid w:val="00466EAB"/>
    <w:rsid w:val="00471C22"/>
    <w:rsid w:val="004743C7"/>
    <w:rsid w:val="00480380"/>
    <w:rsid w:val="00481FCD"/>
    <w:rsid w:val="00487438"/>
    <w:rsid w:val="0049084F"/>
    <w:rsid w:val="00490B4A"/>
    <w:rsid w:val="00490B5A"/>
    <w:rsid w:val="00491467"/>
    <w:rsid w:val="00491565"/>
    <w:rsid w:val="00495301"/>
    <w:rsid w:val="00496F2D"/>
    <w:rsid w:val="004A0B94"/>
    <w:rsid w:val="004A122E"/>
    <w:rsid w:val="004A15A6"/>
    <w:rsid w:val="004A3341"/>
    <w:rsid w:val="004A3F91"/>
    <w:rsid w:val="004A7753"/>
    <w:rsid w:val="004B2B8E"/>
    <w:rsid w:val="004B3831"/>
    <w:rsid w:val="004B5420"/>
    <w:rsid w:val="004B5AB5"/>
    <w:rsid w:val="004C1BC3"/>
    <w:rsid w:val="004C4A1C"/>
    <w:rsid w:val="004C6E86"/>
    <w:rsid w:val="004D06D7"/>
    <w:rsid w:val="004D0C84"/>
    <w:rsid w:val="004D31D5"/>
    <w:rsid w:val="004D3327"/>
    <w:rsid w:val="004D4F17"/>
    <w:rsid w:val="004D60E6"/>
    <w:rsid w:val="004E1005"/>
    <w:rsid w:val="004E1200"/>
    <w:rsid w:val="004E176D"/>
    <w:rsid w:val="004E2A4E"/>
    <w:rsid w:val="004F143F"/>
    <w:rsid w:val="004F1F86"/>
    <w:rsid w:val="004F2246"/>
    <w:rsid w:val="004F4B23"/>
    <w:rsid w:val="004F4D08"/>
    <w:rsid w:val="004F523D"/>
    <w:rsid w:val="004F64DB"/>
    <w:rsid w:val="004F656F"/>
    <w:rsid w:val="004F6BE5"/>
    <w:rsid w:val="00501897"/>
    <w:rsid w:val="00501BFC"/>
    <w:rsid w:val="005020BF"/>
    <w:rsid w:val="005020DE"/>
    <w:rsid w:val="00502F3A"/>
    <w:rsid w:val="00504032"/>
    <w:rsid w:val="005067D2"/>
    <w:rsid w:val="0051430C"/>
    <w:rsid w:val="00516074"/>
    <w:rsid w:val="00516C29"/>
    <w:rsid w:val="0051776E"/>
    <w:rsid w:val="00522432"/>
    <w:rsid w:val="005236C5"/>
    <w:rsid w:val="00525618"/>
    <w:rsid w:val="0052597E"/>
    <w:rsid w:val="00531403"/>
    <w:rsid w:val="00533001"/>
    <w:rsid w:val="005339F7"/>
    <w:rsid w:val="00533D88"/>
    <w:rsid w:val="00536429"/>
    <w:rsid w:val="0054065D"/>
    <w:rsid w:val="00541328"/>
    <w:rsid w:val="00542313"/>
    <w:rsid w:val="00542920"/>
    <w:rsid w:val="0054465F"/>
    <w:rsid w:val="005449EB"/>
    <w:rsid w:val="00545590"/>
    <w:rsid w:val="005465E1"/>
    <w:rsid w:val="00546EC3"/>
    <w:rsid w:val="00550703"/>
    <w:rsid w:val="00554D79"/>
    <w:rsid w:val="00555415"/>
    <w:rsid w:val="00555845"/>
    <w:rsid w:val="00557994"/>
    <w:rsid w:val="00560C72"/>
    <w:rsid w:val="00561D15"/>
    <w:rsid w:val="0056250D"/>
    <w:rsid w:val="00570D1B"/>
    <w:rsid w:val="00573AD2"/>
    <w:rsid w:val="00575597"/>
    <w:rsid w:val="00584174"/>
    <w:rsid w:val="00584217"/>
    <w:rsid w:val="00584A92"/>
    <w:rsid w:val="0058634F"/>
    <w:rsid w:val="00593123"/>
    <w:rsid w:val="00595944"/>
    <w:rsid w:val="005A3B88"/>
    <w:rsid w:val="005A4266"/>
    <w:rsid w:val="005A4B55"/>
    <w:rsid w:val="005A508E"/>
    <w:rsid w:val="005A6CE3"/>
    <w:rsid w:val="005A72D3"/>
    <w:rsid w:val="005B1775"/>
    <w:rsid w:val="005B39DB"/>
    <w:rsid w:val="005B3FD5"/>
    <w:rsid w:val="005B4C58"/>
    <w:rsid w:val="005B700F"/>
    <w:rsid w:val="005D0644"/>
    <w:rsid w:val="005D3C76"/>
    <w:rsid w:val="005D3D8C"/>
    <w:rsid w:val="005D468E"/>
    <w:rsid w:val="005D6492"/>
    <w:rsid w:val="005D6866"/>
    <w:rsid w:val="005D7CDF"/>
    <w:rsid w:val="005E0582"/>
    <w:rsid w:val="005E0F8D"/>
    <w:rsid w:val="005E25E1"/>
    <w:rsid w:val="005E5310"/>
    <w:rsid w:val="005E582E"/>
    <w:rsid w:val="005F096E"/>
    <w:rsid w:val="005F29C0"/>
    <w:rsid w:val="005F2E49"/>
    <w:rsid w:val="005F641F"/>
    <w:rsid w:val="005F7ACA"/>
    <w:rsid w:val="005F7BF7"/>
    <w:rsid w:val="00600C44"/>
    <w:rsid w:val="0060135C"/>
    <w:rsid w:val="00601776"/>
    <w:rsid w:val="00601B81"/>
    <w:rsid w:val="00602276"/>
    <w:rsid w:val="0060494C"/>
    <w:rsid w:val="00604F94"/>
    <w:rsid w:val="00605F95"/>
    <w:rsid w:val="006061BA"/>
    <w:rsid w:val="0060782F"/>
    <w:rsid w:val="00607BAA"/>
    <w:rsid w:val="00610138"/>
    <w:rsid w:val="006104A1"/>
    <w:rsid w:val="00610C7A"/>
    <w:rsid w:val="006126FD"/>
    <w:rsid w:val="006139C2"/>
    <w:rsid w:val="00616F85"/>
    <w:rsid w:val="00620572"/>
    <w:rsid w:val="00620A80"/>
    <w:rsid w:val="006222F1"/>
    <w:rsid w:val="006235CC"/>
    <w:rsid w:val="006240E8"/>
    <w:rsid w:val="0062552E"/>
    <w:rsid w:val="00625671"/>
    <w:rsid w:val="00625CF2"/>
    <w:rsid w:val="00626603"/>
    <w:rsid w:val="00626868"/>
    <w:rsid w:val="00626FD9"/>
    <w:rsid w:val="00630083"/>
    <w:rsid w:val="00630A10"/>
    <w:rsid w:val="00630A73"/>
    <w:rsid w:val="00630F76"/>
    <w:rsid w:val="0063163D"/>
    <w:rsid w:val="0063266A"/>
    <w:rsid w:val="00637B90"/>
    <w:rsid w:val="00643558"/>
    <w:rsid w:val="00643C69"/>
    <w:rsid w:val="00644508"/>
    <w:rsid w:val="00646A01"/>
    <w:rsid w:val="006470D6"/>
    <w:rsid w:val="006472A1"/>
    <w:rsid w:val="006504C4"/>
    <w:rsid w:val="00652F9C"/>
    <w:rsid w:val="00653C9E"/>
    <w:rsid w:val="00655C97"/>
    <w:rsid w:val="00660D71"/>
    <w:rsid w:val="006611FE"/>
    <w:rsid w:val="00662C2C"/>
    <w:rsid w:val="00666C57"/>
    <w:rsid w:val="00666C5F"/>
    <w:rsid w:val="00673805"/>
    <w:rsid w:val="00673865"/>
    <w:rsid w:val="00676915"/>
    <w:rsid w:val="00676BE5"/>
    <w:rsid w:val="006856C9"/>
    <w:rsid w:val="00686AA8"/>
    <w:rsid w:val="00687462"/>
    <w:rsid w:val="0069044F"/>
    <w:rsid w:val="006907C9"/>
    <w:rsid w:val="00691652"/>
    <w:rsid w:val="0069180B"/>
    <w:rsid w:val="00691C6C"/>
    <w:rsid w:val="006932C3"/>
    <w:rsid w:val="00693AFA"/>
    <w:rsid w:val="00693F2B"/>
    <w:rsid w:val="00694833"/>
    <w:rsid w:val="00695B13"/>
    <w:rsid w:val="006A0641"/>
    <w:rsid w:val="006A2A17"/>
    <w:rsid w:val="006A58FB"/>
    <w:rsid w:val="006A6F24"/>
    <w:rsid w:val="006A7114"/>
    <w:rsid w:val="006A756E"/>
    <w:rsid w:val="006A7AA4"/>
    <w:rsid w:val="006A7C18"/>
    <w:rsid w:val="006B1828"/>
    <w:rsid w:val="006B208D"/>
    <w:rsid w:val="006B217D"/>
    <w:rsid w:val="006B2D7F"/>
    <w:rsid w:val="006B4754"/>
    <w:rsid w:val="006B47C1"/>
    <w:rsid w:val="006B537C"/>
    <w:rsid w:val="006C0023"/>
    <w:rsid w:val="006C16F2"/>
    <w:rsid w:val="006C17A5"/>
    <w:rsid w:val="006C2E0A"/>
    <w:rsid w:val="006C3F4D"/>
    <w:rsid w:val="006C40E9"/>
    <w:rsid w:val="006C7F79"/>
    <w:rsid w:val="006D2A7D"/>
    <w:rsid w:val="006D39B0"/>
    <w:rsid w:val="006D4765"/>
    <w:rsid w:val="006D49B7"/>
    <w:rsid w:val="006D4A64"/>
    <w:rsid w:val="006D66F8"/>
    <w:rsid w:val="006E07B4"/>
    <w:rsid w:val="006E146B"/>
    <w:rsid w:val="006E4548"/>
    <w:rsid w:val="006E46CF"/>
    <w:rsid w:val="006F22CB"/>
    <w:rsid w:val="006F3FDA"/>
    <w:rsid w:val="006F61A8"/>
    <w:rsid w:val="00700A6A"/>
    <w:rsid w:val="0070366C"/>
    <w:rsid w:val="00703974"/>
    <w:rsid w:val="007052EB"/>
    <w:rsid w:val="00706D7B"/>
    <w:rsid w:val="00707D77"/>
    <w:rsid w:val="00710C98"/>
    <w:rsid w:val="00712576"/>
    <w:rsid w:val="00712CDC"/>
    <w:rsid w:val="0071714C"/>
    <w:rsid w:val="00722A04"/>
    <w:rsid w:val="007232C3"/>
    <w:rsid w:val="00723F5A"/>
    <w:rsid w:val="00727F09"/>
    <w:rsid w:val="007313CA"/>
    <w:rsid w:val="00732298"/>
    <w:rsid w:val="00732CFB"/>
    <w:rsid w:val="007340AD"/>
    <w:rsid w:val="0073468B"/>
    <w:rsid w:val="00735180"/>
    <w:rsid w:val="007363B0"/>
    <w:rsid w:val="0074007E"/>
    <w:rsid w:val="007405D5"/>
    <w:rsid w:val="00740ADC"/>
    <w:rsid w:val="00740F11"/>
    <w:rsid w:val="00741DF9"/>
    <w:rsid w:val="007459A7"/>
    <w:rsid w:val="00746C91"/>
    <w:rsid w:val="00747A0D"/>
    <w:rsid w:val="00750BF1"/>
    <w:rsid w:val="0075178F"/>
    <w:rsid w:val="00753FA4"/>
    <w:rsid w:val="007557BA"/>
    <w:rsid w:val="00760005"/>
    <w:rsid w:val="00760A73"/>
    <w:rsid w:val="007620D2"/>
    <w:rsid w:val="007626DD"/>
    <w:rsid w:val="00766937"/>
    <w:rsid w:val="00772F6C"/>
    <w:rsid w:val="00773026"/>
    <w:rsid w:val="007737E9"/>
    <w:rsid w:val="007745A9"/>
    <w:rsid w:val="00774A27"/>
    <w:rsid w:val="0078267A"/>
    <w:rsid w:val="00782DEE"/>
    <w:rsid w:val="00784F62"/>
    <w:rsid w:val="00785305"/>
    <w:rsid w:val="007872E1"/>
    <w:rsid w:val="007903C2"/>
    <w:rsid w:val="007913D5"/>
    <w:rsid w:val="00792845"/>
    <w:rsid w:val="00797EBD"/>
    <w:rsid w:val="007A654B"/>
    <w:rsid w:val="007A7719"/>
    <w:rsid w:val="007B06B4"/>
    <w:rsid w:val="007B159A"/>
    <w:rsid w:val="007B164B"/>
    <w:rsid w:val="007B2862"/>
    <w:rsid w:val="007B343B"/>
    <w:rsid w:val="007B3DA7"/>
    <w:rsid w:val="007B4B62"/>
    <w:rsid w:val="007B6A8E"/>
    <w:rsid w:val="007B6C54"/>
    <w:rsid w:val="007B70D2"/>
    <w:rsid w:val="007B7AC3"/>
    <w:rsid w:val="007B7AE4"/>
    <w:rsid w:val="007C019A"/>
    <w:rsid w:val="007C02F9"/>
    <w:rsid w:val="007C0832"/>
    <w:rsid w:val="007C1DD3"/>
    <w:rsid w:val="007C259B"/>
    <w:rsid w:val="007C59C5"/>
    <w:rsid w:val="007D2808"/>
    <w:rsid w:val="007D3845"/>
    <w:rsid w:val="007D4C50"/>
    <w:rsid w:val="007D5E0E"/>
    <w:rsid w:val="007E1EEB"/>
    <w:rsid w:val="007E49A0"/>
    <w:rsid w:val="007E55DF"/>
    <w:rsid w:val="007E62A9"/>
    <w:rsid w:val="007F16F2"/>
    <w:rsid w:val="007F18AD"/>
    <w:rsid w:val="007F1A2E"/>
    <w:rsid w:val="007F1F59"/>
    <w:rsid w:val="007F4A47"/>
    <w:rsid w:val="007F4EA0"/>
    <w:rsid w:val="007F4F8E"/>
    <w:rsid w:val="007F5BD8"/>
    <w:rsid w:val="007F648A"/>
    <w:rsid w:val="007F6ED3"/>
    <w:rsid w:val="00801605"/>
    <w:rsid w:val="00801CC6"/>
    <w:rsid w:val="0080512B"/>
    <w:rsid w:val="008058DB"/>
    <w:rsid w:val="008073EA"/>
    <w:rsid w:val="008106C6"/>
    <w:rsid w:val="008108D1"/>
    <w:rsid w:val="00811120"/>
    <w:rsid w:val="00812AC5"/>
    <w:rsid w:val="00816E31"/>
    <w:rsid w:val="00822891"/>
    <w:rsid w:val="00823371"/>
    <w:rsid w:val="00824104"/>
    <w:rsid w:val="008278C4"/>
    <w:rsid w:val="00827BF0"/>
    <w:rsid w:val="00827CE6"/>
    <w:rsid w:val="00827E07"/>
    <w:rsid w:val="00832E74"/>
    <w:rsid w:val="0083363D"/>
    <w:rsid w:val="00836028"/>
    <w:rsid w:val="008361CF"/>
    <w:rsid w:val="00840CB7"/>
    <w:rsid w:val="00843077"/>
    <w:rsid w:val="00844A22"/>
    <w:rsid w:val="00850502"/>
    <w:rsid w:val="00850F37"/>
    <w:rsid w:val="00851D8C"/>
    <w:rsid w:val="00852A59"/>
    <w:rsid w:val="00853EDB"/>
    <w:rsid w:val="00856941"/>
    <w:rsid w:val="00856959"/>
    <w:rsid w:val="00861A3B"/>
    <w:rsid w:val="00861D9B"/>
    <w:rsid w:val="0086769C"/>
    <w:rsid w:val="00867C38"/>
    <w:rsid w:val="00867E84"/>
    <w:rsid w:val="00870E48"/>
    <w:rsid w:val="00871C6B"/>
    <w:rsid w:val="008720E1"/>
    <w:rsid w:val="00873894"/>
    <w:rsid w:val="00873990"/>
    <w:rsid w:val="00874294"/>
    <w:rsid w:val="008762FA"/>
    <w:rsid w:val="00877E15"/>
    <w:rsid w:val="00881450"/>
    <w:rsid w:val="00881659"/>
    <w:rsid w:val="00881BAD"/>
    <w:rsid w:val="00882ACE"/>
    <w:rsid w:val="00884B2F"/>
    <w:rsid w:val="008907BB"/>
    <w:rsid w:val="008937F7"/>
    <w:rsid w:val="008955C5"/>
    <w:rsid w:val="00895DEE"/>
    <w:rsid w:val="008967BD"/>
    <w:rsid w:val="00896BE4"/>
    <w:rsid w:val="008A09E9"/>
    <w:rsid w:val="008A2AEC"/>
    <w:rsid w:val="008A3FE0"/>
    <w:rsid w:val="008A63ED"/>
    <w:rsid w:val="008A724F"/>
    <w:rsid w:val="008B0296"/>
    <w:rsid w:val="008B03DA"/>
    <w:rsid w:val="008B211D"/>
    <w:rsid w:val="008B2F1F"/>
    <w:rsid w:val="008B478B"/>
    <w:rsid w:val="008B483E"/>
    <w:rsid w:val="008B4AF8"/>
    <w:rsid w:val="008C03DF"/>
    <w:rsid w:val="008C0823"/>
    <w:rsid w:val="008C26C8"/>
    <w:rsid w:val="008C2703"/>
    <w:rsid w:val="008C4791"/>
    <w:rsid w:val="008C5B15"/>
    <w:rsid w:val="008D0A9C"/>
    <w:rsid w:val="008D19C6"/>
    <w:rsid w:val="008D1DCA"/>
    <w:rsid w:val="008D3D39"/>
    <w:rsid w:val="008D43EF"/>
    <w:rsid w:val="008E1136"/>
    <w:rsid w:val="008E1F71"/>
    <w:rsid w:val="008E7326"/>
    <w:rsid w:val="008F15CD"/>
    <w:rsid w:val="008F2216"/>
    <w:rsid w:val="008F2486"/>
    <w:rsid w:val="008F28EC"/>
    <w:rsid w:val="008F40A9"/>
    <w:rsid w:val="008F4797"/>
    <w:rsid w:val="008F4CD7"/>
    <w:rsid w:val="008F5B76"/>
    <w:rsid w:val="008F7961"/>
    <w:rsid w:val="00900995"/>
    <w:rsid w:val="00901A25"/>
    <w:rsid w:val="00906CDE"/>
    <w:rsid w:val="00912646"/>
    <w:rsid w:val="009169A5"/>
    <w:rsid w:val="00922204"/>
    <w:rsid w:val="00924469"/>
    <w:rsid w:val="00925639"/>
    <w:rsid w:val="009258D9"/>
    <w:rsid w:val="00925D49"/>
    <w:rsid w:val="00926595"/>
    <w:rsid w:val="00927D54"/>
    <w:rsid w:val="009306C8"/>
    <w:rsid w:val="0093527B"/>
    <w:rsid w:val="00936483"/>
    <w:rsid w:val="009368B9"/>
    <w:rsid w:val="00937322"/>
    <w:rsid w:val="00941642"/>
    <w:rsid w:val="00941952"/>
    <w:rsid w:val="009428B9"/>
    <w:rsid w:val="009432E4"/>
    <w:rsid w:val="00945966"/>
    <w:rsid w:val="00946CF9"/>
    <w:rsid w:val="009477C2"/>
    <w:rsid w:val="009506DA"/>
    <w:rsid w:val="0095108F"/>
    <w:rsid w:val="009578BF"/>
    <w:rsid w:val="00964846"/>
    <w:rsid w:val="0097031D"/>
    <w:rsid w:val="00970699"/>
    <w:rsid w:val="00972381"/>
    <w:rsid w:val="00975DFA"/>
    <w:rsid w:val="009760DB"/>
    <w:rsid w:val="009761F5"/>
    <w:rsid w:val="0097794E"/>
    <w:rsid w:val="00977EE9"/>
    <w:rsid w:val="009810FF"/>
    <w:rsid w:val="009815F9"/>
    <w:rsid w:val="00981772"/>
    <w:rsid w:val="00985F96"/>
    <w:rsid w:val="00987B0A"/>
    <w:rsid w:val="00996E0F"/>
    <w:rsid w:val="00996FE8"/>
    <w:rsid w:val="00997DCC"/>
    <w:rsid w:val="009A2017"/>
    <w:rsid w:val="009A2EC2"/>
    <w:rsid w:val="009A2FFB"/>
    <w:rsid w:val="009A730B"/>
    <w:rsid w:val="009A79FB"/>
    <w:rsid w:val="009B0148"/>
    <w:rsid w:val="009B21C0"/>
    <w:rsid w:val="009B4D53"/>
    <w:rsid w:val="009B5FEB"/>
    <w:rsid w:val="009C3517"/>
    <w:rsid w:val="009C3B06"/>
    <w:rsid w:val="009C45A8"/>
    <w:rsid w:val="009C4CE5"/>
    <w:rsid w:val="009C674D"/>
    <w:rsid w:val="009D0A1D"/>
    <w:rsid w:val="009D2255"/>
    <w:rsid w:val="009D3FE5"/>
    <w:rsid w:val="009D6A53"/>
    <w:rsid w:val="009D7022"/>
    <w:rsid w:val="009E3F3E"/>
    <w:rsid w:val="009E7755"/>
    <w:rsid w:val="009F240A"/>
    <w:rsid w:val="009F266A"/>
    <w:rsid w:val="009F4C52"/>
    <w:rsid w:val="009F612C"/>
    <w:rsid w:val="009F662E"/>
    <w:rsid w:val="009F7052"/>
    <w:rsid w:val="009F7F8F"/>
    <w:rsid w:val="00A01B21"/>
    <w:rsid w:val="00A01CD3"/>
    <w:rsid w:val="00A07051"/>
    <w:rsid w:val="00A07E45"/>
    <w:rsid w:val="00A10BFC"/>
    <w:rsid w:val="00A121CE"/>
    <w:rsid w:val="00A202AF"/>
    <w:rsid w:val="00A20B11"/>
    <w:rsid w:val="00A236D8"/>
    <w:rsid w:val="00A253BC"/>
    <w:rsid w:val="00A3358B"/>
    <w:rsid w:val="00A34D8D"/>
    <w:rsid w:val="00A34EA5"/>
    <w:rsid w:val="00A3743E"/>
    <w:rsid w:val="00A401D5"/>
    <w:rsid w:val="00A423E7"/>
    <w:rsid w:val="00A428FD"/>
    <w:rsid w:val="00A43817"/>
    <w:rsid w:val="00A45DD1"/>
    <w:rsid w:val="00A46959"/>
    <w:rsid w:val="00A504C5"/>
    <w:rsid w:val="00A51149"/>
    <w:rsid w:val="00A536A5"/>
    <w:rsid w:val="00A539EA"/>
    <w:rsid w:val="00A61222"/>
    <w:rsid w:val="00A621CB"/>
    <w:rsid w:val="00A6250E"/>
    <w:rsid w:val="00A62899"/>
    <w:rsid w:val="00A66330"/>
    <w:rsid w:val="00A66F00"/>
    <w:rsid w:val="00A66F25"/>
    <w:rsid w:val="00A67CEA"/>
    <w:rsid w:val="00A70A92"/>
    <w:rsid w:val="00A71437"/>
    <w:rsid w:val="00A71D3C"/>
    <w:rsid w:val="00A73CB9"/>
    <w:rsid w:val="00A7402B"/>
    <w:rsid w:val="00A74FF1"/>
    <w:rsid w:val="00A750F2"/>
    <w:rsid w:val="00A764FD"/>
    <w:rsid w:val="00A80B07"/>
    <w:rsid w:val="00A814D9"/>
    <w:rsid w:val="00A823DF"/>
    <w:rsid w:val="00A8395B"/>
    <w:rsid w:val="00A84A46"/>
    <w:rsid w:val="00A8741B"/>
    <w:rsid w:val="00A902A1"/>
    <w:rsid w:val="00A926F9"/>
    <w:rsid w:val="00A92A69"/>
    <w:rsid w:val="00A92ADD"/>
    <w:rsid w:val="00A95BE6"/>
    <w:rsid w:val="00AA154E"/>
    <w:rsid w:val="00AA2A33"/>
    <w:rsid w:val="00AA2B40"/>
    <w:rsid w:val="00AA2FB3"/>
    <w:rsid w:val="00AA3833"/>
    <w:rsid w:val="00AA5214"/>
    <w:rsid w:val="00AA6E1F"/>
    <w:rsid w:val="00AA6FE9"/>
    <w:rsid w:val="00AA7478"/>
    <w:rsid w:val="00AB35D3"/>
    <w:rsid w:val="00AB3759"/>
    <w:rsid w:val="00AB3D2D"/>
    <w:rsid w:val="00AB5B54"/>
    <w:rsid w:val="00AB772D"/>
    <w:rsid w:val="00AC0C0F"/>
    <w:rsid w:val="00AC1674"/>
    <w:rsid w:val="00AC40C5"/>
    <w:rsid w:val="00AC4ED1"/>
    <w:rsid w:val="00AC548F"/>
    <w:rsid w:val="00AC73F9"/>
    <w:rsid w:val="00AD0AAD"/>
    <w:rsid w:val="00AD2025"/>
    <w:rsid w:val="00AD65FB"/>
    <w:rsid w:val="00AE04ED"/>
    <w:rsid w:val="00AE070F"/>
    <w:rsid w:val="00AE1799"/>
    <w:rsid w:val="00AE382A"/>
    <w:rsid w:val="00AE3B32"/>
    <w:rsid w:val="00AF1405"/>
    <w:rsid w:val="00AF2AE6"/>
    <w:rsid w:val="00AF71A4"/>
    <w:rsid w:val="00B005F3"/>
    <w:rsid w:val="00B00E99"/>
    <w:rsid w:val="00B019A2"/>
    <w:rsid w:val="00B04118"/>
    <w:rsid w:val="00B060B1"/>
    <w:rsid w:val="00B0727C"/>
    <w:rsid w:val="00B1595A"/>
    <w:rsid w:val="00B159A9"/>
    <w:rsid w:val="00B17432"/>
    <w:rsid w:val="00B21599"/>
    <w:rsid w:val="00B216D2"/>
    <w:rsid w:val="00B226E7"/>
    <w:rsid w:val="00B22A03"/>
    <w:rsid w:val="00B250C3"/>
    <w:rsid w:val="00B25219"/>
    <w:rsid w:val="00B259CE"/>
    <w:rsid w:val="00B270EB"/>
    <w:rsid w:val="00B32736"/>
    <w:rsid w:val="00B34246"/>
    <w:rsid w:val="00B40152"/>
    <w:rsid w:val="00B46E6D"/>
    <w:rsid w:val="00B47A5E"/>
    <w:rsid w:val="00B47C88"/>
    <w:rsid w:val="00B50844"/>
    <w:rsid w:val="00B51295"/>
    <w:rsid w:val="00B5150A"/>
    <w:rsid w:val="00B52F69"/>
    <w:rsid w:val="00B561F9"/>
    <w:rsid w:val="00B60291"/>
    <w:rsid w:val="00B60C06"/>
    <w:rsid w:val="00B61DBB"/>
    <w:rsid w:val="00B6276D"/>
    <w:rsid w:val="00B6373E"/>
    <w:rsid w:val="00B63C37"/>
    <w:rsid w:val="00B65118"/>
    <w:rsid w:val="00B70E10"/>
    <w:rsid w:val="00B73718"/>
    <w:rsid w:val="00B73A37"/>
    <w:rsid w:val="00B802BB"/>
    <w:rsid w:val="00B809D6"/>
    <w:rsid w:val="00B81162"/>
    <w:rsid w:val="00B85F74"/>
    <w:rsid w:val="00B92323"/>
    <w:rsid w:val="00B94E62"/>
    <w:rsid w:val="00B960C6"/>
    <w:rsid w:val="00BA2375"/>
    <w:rsid w:val="00BA2F15"/>
    <w:rsid w:val="00BA350F"/>
    <w:rsid w:val="00BA3A63"/>
    <w:rsid w:val="00BB3D39"/>
    <w:rsid w:val="00BB5369"/>
    <w:rsid w:val="00BC627D"/>
    <w:rsid w:val="00BC6A5A"/>
    <w:rsid w:val="00BC7470"/>
    <w:rsid w:val="00BD25FC"/>
    <w:rsid w:val="00BD3B63"/>
    <w:rsid w:val="00BD462F"/>
    <w:rsid w:val="00BD5AA2"/>
    <w:rsid w:val="00BD6FE5"/>
    <w:rsid w:val="00BD742E"/>
    <w:rsid w:val="00BD7D26"/>
    <w:rsid w:val="00BE2893"/>
    <w:rsid w:val="00BE6AFF"/>
    <w:rsid w:val="00BE71D3"/>
    <w:rsid w:val="00BF0E18"/>
    <w:rsid w:val="00BF14F7"/>
    <w:rsid w:val="00BF19FD"/>
    <w:rsid w:val="00BF3F95"/>
    <w:rsid w:val="00BF5581"/>
    <w:rsid w:val="00C050EF"/>
    <w:rsid w:val="00C05217"/>
    <w:rsid w:val="00C06E0B"/>
    <w:rsid w:val="00C12DA8"/>
    <w:rsid w:val="00C15D6B"/>
    <w:rsid w:val="00C23643"/>
    <w:rsid w:val="00C25368"/>
    <w:rsid w:val="00C257EA"/>
    <w:rsid w:val="00C3010E"/>
    <w:rsid w:val="00C31143"/>
    <w:rsid w:val="00C34DDB"/>
    <w:rsid w:val="00C357A1"/>
    <w:rsid w:val="00C35ECF"/>
    <w:rsid w:val="00C372D8"/>
    <w:rsid w:val="00C42A4D"/>
    <w:rsid w:val="00C43494"/>
    <w:rsid w:val="00C43BC7"/>
    <w:rsid w:val="00C4424F"/>
    <w:rsid w:val="00C45B51"/>
    <w:rsid w:val="00C460F0"/>
    <w:rsid w:val="00C47A41"/>
    <w:rsid w:val="00C51438"/>
    <w:rsid w:val="00C52D58"/>
    <w:rsid w:val="00C54A36"/>
    <w:rsid w:val="00C565D0"/>
    <w:rsid w:val="00C5703A"/>
    <w:rsid w:val="00C57FCD"/>
    <w:rsid w:val="00C60721"/>
    <w:rsid w:val="00C650BA"/>
    <w:rsid w:val="00C70B64"/>
    <w:rsid w:val="00C70D15"/>
    <w:rsid w:val="00C7255F"/>
    <w:rsid w:val="00C76671"/>
    <w:rsid w:val="00C76B2D"/>
    <w:rsid w:val="00C77B96"/>
    <w:rsid w:val="00C8012E"/>
    <w:rsid w:val="00C80323"/>
    <w:rsid w:val="00C80B5E"/>
    <w:rsid w:val="00C87D1F"/>
    <w:rsid w:val="00C918F6"/>
    <w:rsid w:val="00C92BE2"/>
    <w:rsid w:val="00C97690"/>
    <w:rsid w:val="00CA39C6"/>
    <w:rsid w:val="00CA52CC"/>
    <w:rsid w:val="00CB08B7"/>
    <w:rsid w:val="00CB233C"/>
    <w:rsid w:val="00CB25C7"/>
    <w:rsid w:val="00CB37BF"/>
    <w:rsid w:val="00CB6205"/>
    <w:rsid w:val="00CB7EF6"/>
    <w:rsid w:val="00CC04C6"/>
    <w:rsid w:val="00CC0F41"/>
    <w:rsid w:val="00CC383A"/>
    <w:rsid w:val="00CC7838"/>
    <w:rsid w:val="00CD002A"/>
    <w:rsid w:val="00CD22AB"/>
    <w:rsid w:val="00CD3108"/>
    <w:rsid w:val="00CD388A"/>
    <w:rsid w:val="00CD4190"/>
    <w:rsid w:val="00CD5C6B"/>
    <w:rsid w:val="00CD754B"/>
    <w:rsid w:val="00CE094F"/>
    <w:rsid w:val="00CE21FC"/>
    <w:rsid w:val="00CE3093"/>
    <w:rsid w:val="00CE32F9"/>
    <w:rsid w:val="00CE38E0"/>
    <w:rsid w:val="00CE4715"/>
    <w:rsid w:val="00CE56F9"/>
    <w:rsid w:val="00CE62FC"/>
    <w:rsid w:val="00CE749C"/>
    <w:rsid w:val="00CE79C0"/>
    <w:rsid w:val="00CF0978"/>
    <w:rsid w:val="00CF220E"/>
    <w:rsid w:val="00CF2456"/>
    <w:rsid w:val="00CF52C3"/>
    <w:rsid w:val="00CF6D37"/>
    <w:rsid w:val="00D01547"/>
    <w:rsid w:val="00D01761"/>
    <w:rsid w:val="00D01965"/>
    <w:rsid w:val="00D03B84"/>
    <w:rsid w:val="00D05739"/>
    <w:rsid w:val="00D10F85"/>
    <w:rsid w:val="00D1204E"/>
    <w:rsid w:val="00D12565"/>
    <w:rsid w:val="00D12BF3"/>
    <w:rsid w:val="00D152E3"/>
    <w:rsid w:val="00D17D7C"/>
    <w:rsid w:val="00D200A2"/>
    <w:rsid w:val="00D203A2"/>
    <w:rsid w:val="00D20428"/>
    <w:rsid w:val="00D20C70"/>
    <w:rsid w:val="00D2269B"/>
    <w:rsid w:val="00D239ED"/>
    <w:rsid w:val="00D2487A"/>
    <w:rsid w:val="00D248C1"/>
    <w:rsid w:val="00D25ADF"/>
    <w:rsid w:val="00D26608"/>
    <w:rsid w:val="00D272FD"/>
    <w:rsid w:val="00D31281"/>
    <w:rsid w:val="00D321AF"/>
    <w:rsid w:val="00D32E05"/>
    <w:rsid w:val="00D34783"/>
    <w:rsid w:val="00D356BB"/>
    <w:rsid w:val="00D37EE3"/>
    <w:rsid w:val="00D413BE"/>
    <w:rsid w:val="00D417D0"/>
    <w:rsid w:val="00D4236F"/>
    <w:rsid w:val="00D50A73"/>
    <w:rsid w:val="00D527A8"/>
    <w:rsid w:val="00D529C5"/>
    <w:rsid w:val="00D52A58"/>
    <w:rsid w:val="00D53CF1"/>
    <w:rsid w:val="00D546F5"/>
    <w:rsid w:val="00D552FE"/>
    <w:rsid w:val="00D557B5"/>
    <w:rsid w:val="00D55FB9"/>
    <w:rsid w:val="00D60BAA"/>
    <w:rsid w:val="00D632BD"/>
    <w:rsid w:val="00D63440"/>
    <w:rsid w:val="00D63478"/>
    <w:rsid w:val="00D64EB3"/>
    <w:rsid w:val="00D6798A"/>
    <w:rsid w:val="00D67A57"/>
    <w:rsid w:val="00D712BE"/>
    <w:rsid w:val="00D72F51"/>
    <w:rsid w:val="00D80BF0"/>
    <w:rsid w:val="00D81461"/>
    <w:rsid w:val="00D81EC7"/>
    <w:rsid w:val="00D8447D"/>
    <w:rsid w:val="00D84CFF"/>
    <w:rsid w:val="00D85279"/>
    <w:rsid w:val="00D8528A"/>
    <w:rsid w:val="00D85C15"/>
    <w:rsid w:val="00D90433"/>
    <w:rsid w:val="00D92A99"/>
    <w:rsid w:val="00D943A5"/>
    <w:rsid w:val="00D95210"/>
    <w:rsid w:val="00D97A90"/>
    <w:rsid w:val="00DA03E0"/>
    <w:rsid w:val="00DA10CA"/>
    <w:rsid w:val="00DA1724"/>
    <w:rsid w:val="00DA1EC2"/>
    <w:rsid w:val="00DA2F8D"/>
    <w:rsid w:val="00DA4D3E"/>
    <w:rsid w:val="00DA65E5"/>
    <w:rsid w:val="00DB1D2E"/>
    <w:rsid w:val="00DB573C"/>
    <w:rsid w:val="00DB5EF8"/>
    <w:rsid w:val="00DC0B4B"/>
    <w:rsid w:val="00DC33A1"/>
    <w:rsid w:val="00DC4598"/>
    <w:rsid w:val="00DC4851"/>
    <w:rsid w:val="00DC4D44"/>
    <w:rsid w:val="00DC5C08"/>
    <w:rsid w:val="00DD182C"/>
    <w:rsid w:val="00DD1C20"/>
    <w:rsid w:val="00DD1E1B"/>
    <w:rsid w:val="00DD22AA"/>
    <w:rsid w:val="00DD24A6"/>
    <w:rsid w:val="00DD4AE0"/>
    <w:rsid w:val="00DD5FCE"/>
    <w:rsid w:val="00DD7C9B"/>
    <w:rsid w:val="00DE4474"/>
    <w:rsid w:val="00DE6520"/>
    <w:rsid w:val="00DF0432"/>
    <w:rsid w:val="00DF0632"/>
    <w:rsid w:val="00DF2155"/>
    <w:rsid w:val="00DF33C1"/>
    <w:rsid w:val="00DF3E89"/>
    <w:rsid w:val="00DF50DE"/>
    <w:rsid w:val="00DF540B"/>
    <w:rsid w:val="00DF5572"/>
    <w:rsid w:val="00DF60F1"/>
    <w:rsid w:val="00DF6B03"/>
    <w:rsid w:val="00E03F1C"/>
    <w:rsid w:val="00E05438"/>
    <w:rsid w:val="00E107ED"/>
    <w:rsid w:val="00E1554F"/>
    <w:rsid w:val="00E169F1"/>
    <w:rsid w:val="00E17BEC"/>
    <w:rsid w:val="00E2236A"/>
    <w:rsid w:val="00E25951"/>
    <w:rsid w:val="00E31422"/>
    <w:rsid w:val="00E3260B"/>
    <w:rsid w:val="00E32A54"/>
    <w:rsid w:val="00E35436"/>
    <w:rsid w:val="00E35AE3"/>
    <w:rsid w:val="00E35E2B"/>
    <w:rsid w:val="00E42D7A"/>
    <w:rsid w:val="00E434DB"/>
    <w:rsid w:val="00E43B32"/>
    <w:rsid w:val="00E43F69"/>
    <w:rsid w:val="00E44FF1"/>
    <w:rsid w:val="00E56773"/>
    <w:rsid w:val="00E57027"/>
    <w:rsid w:val="00E57B56"/>
    <w:rsid w:val="00E61E02"/>
    <w:rsid w:val="00E625ED"/>
    <w:rsid w:val="00E62827"/>
    <w:rsid w:val="00E62B7F"/>
    <w:rsid w:val="00E63F0B"/>
    <w:rsid w:val="00E65263"/>
    <w:rsid w:val="00E65AC3"/>
    <w:rsid w:val="00E66D6B"/>
    <w:rsid w:val="00E66DD0"/>
    <w:rsid w:val="00E67358"/>
    <w:rsid w:val="00E675CC"/>
    <w:rsid w:val="00E679C3"/>
    <w:rsid w:val="00E72AAD"/>
    <w:rsid w:val="00E74DAA"/>
    <w:rsid w:val="00E7653C"/>
    <w:rsid w:val="00E773AD"/>
    <w:rsid w:val="00E80CFB"/>
    <w:rsid w:val="00E82466"/>
    <w:rsid w:val="00E829DF"/>
    <w:rsid w:val="00E82ADB"/>
    <w:rsid w:val="00E831E1"/>
    <w:rsid w:val="00E840B7"/>
    <w:rsid w:val="00E86745"/>
    <w:rsid w:val="00E86B82"/>
    <w:rsid w:val="00E86C49"/>
    <w:rsid w:val="00E927EC"/>
    <w:rsid w:val="00E929D2"/>
    <w:rsid w:val="00EA129D"/>
    <w:rsid w:val="00EA1AD5"/>
    <w:rsid w:val="00EA35FD"/>
    <w:rsid w:val="00EB11E8"/>
    <w:rsid w:val="00EB28DB"/>
    <w:rsid w:val="00EB5603"/>
    <w:rsid w:val="00EB57A6"/>
    <w:rsid w:val="00EB7704"/>
    <w:rsid w:val="00EC00D4"/>
    <w:rsid w:val="00EC6D40"/>
    <w:rsid w:val="00EC701F"/>
    <w:rsid w:val="00ED0BE7"/>
    <w:rsid w:val="00ED15BD"/>
    <w:rsid w:val="00ED1D7B"/>
    <w:rsid w:val="00ED2284"/>
    <w:rsid w:val="00ED285F"/>
    <w:rsid w:val="00ED3B4A"/>
    <w:rsid w:val="00ED54A9"/>
    <w:rsid w:val="00ED6E12"/>
    <w:rsid w:val="00EE290B"/>
    <w:rsid w:val="00EE47F3"/>
    <w:rsid w:val="00EE4C43"/>
    <w:rsid w:val="00EE4D07"/>
    <w:rsid w:val="00EF0EB2"/>
    <w:rsid w:val="00EF28EC"/>
    <w:rsid w:val="00EF2C45"/>
    <w:rsid w:val="00EF3CC1"/>
    <w:rsid w:val="00EF5D37"/>
    <w:rsid w:val="00EF60EA"/>
    <w:rsid w:val="00F00761"/>
    <w:rsid w:val="00F01884"/>
    <w:rsid w:val="00F025D0"/>
    <w:rsid w:val="00F03F93"/>
    <w:rsid w:val="00F055EC"/>
    <w:rsid w:val="00F055EE"/>
    <w:rsid w:val="00F056CE"/>
    <w:rsid w:val="00F064A0"/>
    <w:rsid w:val="00F06F4B"/>
    <w:rsid w:val="00F06F8C"/>
    <w:rsid w:val="00F074CF"/>
    <w:rsid w:val="00F12E1C"/>
    <w:rsid w:val="00F13930"/>
    <w:rsid w:val="00F13C07"/>
    <w:rsid w:val="00F15BA9"/>
    <w:rsid w:val="00F15CED"/>
    <w:rsid w:val="00F2082F"/>
    <w:rsid w:val="00F260E1"/>
    <w:rsid w:val="00F26434"/>
    <w:rsid w:val="00F26770"/>
    <w:rsid w:val="00F27BC6"/>
    <w:rsid w:val="00F3050B"/>
    <w:rsid w:val="00F30B57"/>
    <w:rsid w:val="00F32892"/>
    <w:rsid w:val="00F357CE"/>
    <w:rsid w:val="00F403A0"/>
    <w:rsid w:val="00F50FAB"/>
    <w:rsid w:val="00F515FF"/>
    <w:rsid w:val="00F5173F"/>
    <w:rsid w:val="00F53207"/>
    <w:rsid w:val="00F53D31"/>
    <w:rsid w:val="00F543BF"/>
    <w:rsid w:val="00F545AC"/>
    <w:rsid w:val="00F565EF"/>
    <w:rsid w:val="00F56D71"/>
    <w:rsid w:val="00F60132"/>
    <w:rsid w:val="00F60739"/>
    <w:rsid w:val="00F617E5"/>
    <w:rsid w:val="00F6264F"/>
    <w:rsid w:val="00F642C2"/>
    <w:rsid w:val="00F647E8"/>
    <w:rsid w:val="00F64D73"/>
    <w:rsid w:val="00F65F11"/>
    <w:rsid w:val="00F675CC"/>
    <w:rsid w:val="00F711BA"/>
    <w:rsid w:val="00F71554"/>
    <w:rsid w:val="00F74E01"/>
    <w:rsid w:val="00F75B7D"/>
    <w:rsid w:val="00F761D2"/>
    <w:rsid w:val="00F76C34"/>
    <w:rsid w:val="00F810B6"/>
    <w:rsid w:val="00F95CFD"/>
    <w:rsid w:val="00FA31DD"/>
    <w:rsid w:val="00FA3915"/>
    <w:rsid w:val="00FA3C3E"/>
    <w:rsid w:val="00FA3E9B"/>
    <w:rsid w:val="00FA5152"/>
    <w:rsid w:val="00FB1E34"/>
    <w:rsid w:val="00FB29D2"/>
    <w:rsid w:val="00FB5C89"/>
    <w:rsid w:val="00FB79C9"/>
    <w:rsid w:val="00FC0C0F"/>
    <w:rsid w:val="00FC29AC"/>
    <w:rsid w:val="00FC2AB3"/>
    <w:rsid w:val="00FC2CCE"/>
    <w:rsid w:val="00FC331C"/>
    <w:rsid w:val="00FC392F"/>
    <w:rsid w:val="00FC4F9B"/>
    <w:rsid w:val="00FC5424"/>
    <w:rsid w:val="00FC769E"/>
    <w:rsid w:val="00FD4DB1"/>
    <w:rsid w:val="00FD628F"/>
    <w:rsid w:val="00FD7421"/>
    <w:rsid w:val="00FE1EF8"/>
    <w:rsid w:val="00FE250F"/>
    <w:rsid w:val="00FE6B6C"/>
    <w:rsid w:val="00FF1AC5"/>
    <w:rsid w:val="00FF1D76"/>
    <w:rsid w:val="00FF2C33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51FB"/>
  <w15:chartTrackingRefBased/>
  <w15:docId w15:val="{1DB63E27-85C8-464F-9380-E077D006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超级链接,Style 58,超????,하이퍼링크2,超?级链,CEO_Hyperlink,超链接1,하이퍼링크21,超??级链Ú,fL????,fL?级,超??级链,超?级链Ú,’´?级链,’´????,’´??级链Ú,’´??级,超?级链?,Style?,S"/>
    <w:basedOn w:val="DefaultParagraphFont"/>
    <w:qFormat/>
    <w:rsid w:val="009A2017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qFormat/>
    <w:rsid w:val="009A201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qFormat/>
    <w:rsid w:val="009A2017"/>
    <w:rPr>
      <w:rFonts w:ascii="Times New Roman" w:eastAsia="Times New Roman" w:hAnsi="Times New Roman" w:cs="Times New Roman"/>
      <w:b/>
      <w:bCs/>
      <w:sz w:val="40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A2017"/>
    <w:rPr>
      <w:rFonts w:ascii="Times New Roman" w:hAnsi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3F95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F3F9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F3F95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F3F9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7438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A2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6F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FD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AnnexNo">
    <w:name w:val="Annex_No"/>
    <w:basedOn w:val="Normal"/>
    <w:next w:val="Normal"/>
    <w:rsid w:val="00F1393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Theme="minorHAnsi" w:hAnsiTheme="minorHAnsi"/>
      <w:bCs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317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1A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4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TSBHeaderQuestion">
    <w:name w:val="TSBHeaderQuestion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Source">
    <w:name w:val="TSBHeaderSourc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Title">
    <w:name w:val="TSBHeaderTitl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Right14">
    <w:name w:val="TSBHeaderRight14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6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B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B95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B95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enumlev1Char">
    <w:name w:val="enumlev1 Char"/>
    <w:link w:val="enumlev1"/>
    <w:locked/>
    <w:rsid w:val="00AC40C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AC40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textAlignment w:val="auto"/>
    </w:pPr>
  </w:style>
  <w:style w:type="paragraph" w:customStyle="1" w:styleId="LSDeadline">
    <w:name w:val="LSDeadline"/>
    <w:basedOn w:val="LSForAction"/>
    <w:next w:val="Normal"/>
    <w:qFormat/>
    <w:rsid w:val="001F34F9"/>
    <w:rPr>
      <w:bCs w:val="0"/>
    </w:rPr>
  </w:style>
  <w:style w:type="paragraph" w:customStyle="1" w:styleId="LSForAction">
    <w:name w:val="LSForAction"/>
    <w:basedOn w:val="Normal"/>
    <w:qFormat/>
    <w:rsid w:val="001F34F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Cs/>
    </w:rPr>
  </w:style>
  <w:style w:type="paragraph" w:customStyle="1" w:styleId="LSForInfo">
    <w:name w:val="LSForInfo"/>
    <w:basedOn w:val="LSForAction"/>
    <w:next w:val="Normal"/>
    <w:qFormat/>
    <w:rsid w:val="001F34F9"/>
  </w:style>
  <w:style w:type="paragraph" w:customStyle="1" w:styleId="Tablehead">
    <w:name w:val="Table_head"/>
    <w:basedOn w:val="Normal"/>
    <w:next w:val="Normal"/>
    <w:qFormat/>
    <w:rsid w:val="00EB7704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rFonts w:eastAsia="SimSun"/>
      <w:b/>
      <w:sz w:val="22"/>
    </w:rPr>
  </w:style>
  <w:style w:type="character" w:customStyle="1" w:styleId="TabletextChar">
    <w:name w:val="Table_text Char"/>
    <w:link w:val="Tabletext"/>
    <w:locked/>
    <w:rsid w:val="00EB7704"/>
    <w:rPr>
      <w:lang w:eastAsia="en-US"/>
    </w:rPr>
  </w:style>
  <w:style w:type="paragraph" w:customStyle="1" w:styleId="Tabletext">
    <w:name w:val="Table_text"/>
    <w:basedOn w:val="Normal"/>
    <w:link w:val="TabletextChar"/>
    <w:qFormat/>
    <w:rsid w:val="00EB7704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rFonts w:asciiTheme="minorHAnsi" w:eastAsiaTheme="minorEastAsia" w:hAnsiTheme="minorHAnsi" w:cstheme="minorBidi"/>
      <w:sz w:val="22"/>
      <w:szCs w:val="22"/>
      <w:lang w:val="fr-CH"/>
    </w:rPr>
  </w:style>
  <w:style w:type="paragraph" w:customStyle="1" w:styleId="Rectitle">
    <w:name w:val="Rec_title"/>
    <w:basedOn w:val="Normal"/>
    <w:next w:val="Normal"/>
    <w:rsid w:val="00E57B5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jc w:val="center"/>
      <w:textAlignment w:val="auto"/>
    </w:pPr>
    <w:rPr>
      <w:rFonts w:eastAsiaTheme="minorEastAsia"/>
      <w:b/>
      <w:sz w:val="28"/>
      <w:lang w:eastAsia="ja-JP"/>
    </w:rPr>
  </w:style>
  <w:style w:type="character" w:customStyle="1" w:styleId="ListParagraphChar">
    <w:name w:val="List Paragraph Char"/>
    <w:link w:val="ListParagraph"/>
    <w:uiPriority w:val="34"/>
    <w:locked/>
    <w:rsid w:val="00E86C49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normaltextrun">
    <w:name w:val="normaltextrun"/>
    <w:basedOn w:val="DefaultParagraphFont"/>
    <w:rsid w:val="00E6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dms_ties/itu-t/md/25/sg02/r/T25-SG02-R-0008!!MSW-E.docx" TargetMode="External"/><Relationship Id="rId18" Type="http://schemas.openxmlformats.org/officeDocument/2006/relationships/hyperlink" Target="https://www.itu.int/md/meetingdoc.asp?lang=en&amp;parent=T25-SG02-250825-TD-PLEN-0194" TargetMode="External"/><Relationship Id="rId26" Type="http://schemas.openxmlformats.org/officeDocument/2006/relationships/hyperlink" Target="https://www.itu.int/md/T25-SG02-250825-TD-PLEN-0253/en" TargetMode="External"/><Relationship Id="rId21" Type="http://schemas.openxmlformats.org/officeDocument/2006/relationships/hyperlink" Target="https://www.itu.int/md/meetingdoc.asp?lang=en&amp;parent=T25-SG02-250825-TD-PLEN-0282" TargetMode="External"/><Relationship Id="rId34" Type="http://schemas.openxmlformats.org/officeDocument/2006/relationships/hyperlink" Target="https://www.itu.int/dms_inf/itu-t/md/25/sg02/td/250825/PLEN/T25-SG02-250825-TD-PLEN-0212!!MSW-E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T25-SG02-250825-TD-PLEN-0170/en" TargetMode="External"/><Relationship Id="rId17" Type="http://schemas.openxmlformats.org/officeDocument/2006/relationships/hyperlink" Target="https://www.itu.int/md/meetingdoc.asp?lang=en&amp;parent=S25-CL-C-0038" TargetMode="External"/><Relationship Id="rId25" Type="http://schemas.openxmlformats.org/officeDocument/2006/relationships/hyperlink" Target="https://www.itu.int/md/T25-SG02-250825-TD-PLEN-0261/en" TargetMode="External"/><Relationship Id="rId33" Type="http://schemas.openxmlformats.org/officeDocument/2006/relationships/hyperlink" Target="https://www.itu.int/md/T25-TSAG-260126-TD-GEN-0263/en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cc02.safelinks.protection.outlook.com/?url=https%3A%2F%2Fwww.itu.int%2Fdms_pub%2Fitu-s%2Fopb%2Fconf%2FS-CONF-CL-2024-PDF-E.pdf&amp;data=05%7C02%7Cdekanice%40state.gov%7Cf2c224bc494a4cc67da808ddebde8dc3%7C66cf50745afe48d1a691a12b2121f44b%7C0%7C0%7C638926063270078748%7CUnknown%7CTWFpbGZsb3d8eyJFbXB0eU1hcGkiOnRydWUsIlYiOiIwLjAuMDAwMCIsIlAiOiJXaW4zMiIsIkFOIjoiTWFpbCIsIldUIjoyfQ%3D%3D%7C0%7C%7C%7C&amp;sdata=2HBgbIf8l%2BIlKrlNLApoBOukdujKOK%2FE48Vm5JqkuAk%3D&amp;reserved=0" TargetMode="External"/><Relationship Id="rId20" Type="http://schemas.openxmlformats.org/officeDocument/2006/relationships/hyperlink" Target="https://www.itu.int/md/meetingdoc.asp?lang=en&amp;parent=T25-SG02-250825-TD-PLEN-0248" TargetMode="External"/><Relationship Id="rId29" Type="http://schemas.openxmlformats.org/officeDocument/2006/relationships/hyperlink" Target="https://www.itu.int/md/T25-SG02-250825-TD-PLEN-0262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meetingdoc.asp?lang=en&amp;parent=T25-SG02-250825-TD-PLEN-0234" TargetMode="External"/><Relationship Id="rId32" Type="http://schemas.openxmlformats.org/officeDocument/2006/relationships/hyperlink" Target="https://www.itu.int/dms_pub/itu-t/md/25/tsag/td/250526/GEN/T25-TSAG-250526-TD-GEN-0106!R2!MSW-E.doc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T25-SG02-250825-TD-PLEN-0279" TargetMode="External"/><Relationship Id="rId23" Type="http://schemas.openxmlformats.org/officeDocument/2006/relationships/hyperlink" Target="https://www.itu.int/md/T25-SG02-250825-TD-PLEN-0260/en" TargetMode="External"/><Relationship Id="rId28" Type="http://schemas.openxmlformats.org/officeDocument/2006/relationships/hyperlink" Target="https://www.itu.int/md/T25-SG02-250825-TD-PLEN-0251/en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meetingdoc.asp?lang=en&amp;parent=T25-SG02-250825-TD-PLEN-0196" TargetMode="External"/><Relationship Id="rId31" Type="http://schemas.openxmlformats.org/officeDocument/2006/relationships/hyperlink" Target="https://www.itu.int/md/T25-SG02-260204-TD-PLEN-0328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meetingdoc.asp?lang=en&amp;parent=T25-SG02-250825-TD-PLEN-0276" TargetMode="External"/><Relationship Id="rId22" Type="http://schemas.openxmlformats.org/officeDocument/2006/relationships/hyperlink" Target="https://www.itu.int/md/meetingdoc.asp?lang=en&amp;parent=T25-SG02-250825-TD-PLEN-0235" TargetMode="External"/><Relationship Id="rId27" Type="http://schemas.openxmlformats.org/officeDocument/2006/relationships/hyperlink" Target="https://www.itu.int/md/T25-SG02-250825-TD-PLEN-0252/en" TargetMode="External"/><Relationship Id="rId30" Type="http://schemas.openxmlformats.org/officeDocument/2006/relationships/hyperlink" Target="https://www.itu.int/md/T25-SG02-250825-TD-PLEN-0231/en" TargetMode="External"/><Relationship Id="rId35" Type="http://schemas.openxmlformats.org/officeDocument/2006/relationships/hyperlink" Target="https://www.itu.int/dms_inf/itu-t/md/25/sg02/td/260204/GEN/T25-SG02-260204-TD-GEN-0292!!ZIP-E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de00b352c05b58cef17abb3499389e64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b8e52e1c64bb159f512eb49ac7e5cabf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E77F5-FBD1-4C5B-8EB8-71F951EFDE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99B786-DBD8-41AD-B2E3-9416F24D2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DB151-28B9-4ED9-BBD1-8C8176CF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A1FB0-93E7-4563-BDAE-210D18A1F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- ITU-T Study Group 2 meeting (Geneva, 19-28 June 2024)</vt:lpstr>
    </vt:vector>
  </TitlesOfParts>
  <Manager>ITU-T</Manager>
  <Company>International Telecommunication Union (ITU)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- ITU-T Study Group 2 meeting (Geneva, 19-28 June 2024)</dc:title>
  <dc:subject/>
  <dc:creator>Chair, SG2</dc:creator>
  <cp:keywords>SG2; draft agenda.</cp:keywords>
  <dc:description>SG2-TD1/PLEN  For: Geneva, 5-14 February 2025_x000d_Document date: _x000d_Saved by ITU51017913 at 10:08:27 AM on 11/25/2024</dc:description>
  <cp:lastModifiedBy>TSB</cp:lastModifiedBy>
  <cp:revision>9</cp:revision>
  <cp:lastPrinted>2019-12-13T12:42:00Z</cp:lastPrinted>
  <dcterms:created xsi:type="dcterms:W3CDTF">2025-12-15T11:09:00Z</dcterms:created>
  <dcterms:modified xsi:type="dcterms:W3CDTF">2025-12-16T08:33:00Z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SG2-TD1/PLEN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All/2</vt:lpwstr>
  </property>
  <property fmtid="{D5CDD505-2E9C-101B-9397-08002B2CF9AE}" pid="6" name="Docdest">
    <vt:lpwstr>Geneva, 5-14 February 2025</vt:lpwstr>
  </property>
  <property fmtid="{D5CDD505-2E9C-101B-9397-08002B2CF9AE}" pid="7" name="Docauthor">
    <vt:lpwstr>Chair, SG2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etDate">
    <vt:lpwstr>2025-01-14T14:43:22Z</vt:lpwstr>
  </property>
  <property fmtid="{D5CDD505-2E9C-101B-9397-08002B2CF9AE}" pid="10" name="MSIP_Label_1665d9ee-429a-4d5f-97cc-cfb56e044a6e_Method">
    <vt:lpwstr>Privileged</vt:lpwstr>
  </property>
  <property fmtid="{D5CDD505-2E9C-101B-9397-08002B2CF9AE}" pid="11" name="MSIP_Label_1665d9ee-429a-4d5f-97cc-cfb56e044a6e_Name">
    <vt:lpwstr>1665d9ee-429a-4d5f-97cc-cfb56e044a6e</vt:lpwstr>
  </property>
  <property fmtid="{D5CDD505-2E9C-101B-9397-08002B2CF9AE}" pid="12" name="MSIP_Label_1665d9ee-429a-4d5f-97cc-cfb56e044a6e_SiteId">
    <vt:lpwstr>66cf5074-5afe-48d1-a691-a12b2121f44b</vt:lpwstr>
  </property>
  <property fmtid="{D5CDD505-2E9C-101B-9397-08002B2CF9AE}" pid="13" name="MSIP_Label_1665d9ee-429a-4d5f-97cc-cfb56e044a6e_ActionId">
    <vt:lpwstr>c440d81a-4f0b-4af9-b76f-e74412c140b6</vt:lpwstr>
  </property>
  <property fmtid="{D5CDD505-2E9C-101B-9397-08002B2CF9AE}" pid="14" name="MSIP_Label_1665d9ee-429a-4d5f-97cc-cfb56e044a6e_ContentBits">
    <vt:lpwstr>0</vt:lpwstr>
  </property>
  <property fmtid="{D5CDD505-2E9C-101B-9397-08002B2CF9AE}" pid="15" name="ContentTypeId">
    <vt:lpwstr>0x010100A77651819BF4BD4A99FFF36FD7E4E96D</vt:lpwstr>
  </property>
</Properties>
</file>