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9"/>
        <w:gridCol w:w="3627"/>
        <w:gridCol w:w="370"/>
        <w:gridCol w:w="4026"/>
      </w:tblGrid>
      <w:tr w:rsidR="005005DC" w:rsidRPr="005005DC" w14:paraId="1347446E" w14:textId="77777777" w:rsidTr="005005DC">
        <w:trPr>
          <w:cantSplit/>
        </w:trPr>
        <w:tc>
          <w:tcPr>
            <w:tcW w:w="1132" w:type="dxa"/>
            <w:vMerge w:val="restart"/>
            <w:vAlign w:val="center"/>
          </w:tcPr>
          <w:p w14:paraId="76EA45F1" w14:textId="3E479668" w:rsidR="005005DC" w:rsidRPr="005005DC" w:rsidRDefault="005005DC" w:rsidP="000959E2">
            <w:pPr>
              <w:spacing w:before="0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5005DC">
              <w:rPr>
                <w:noProof/>
              </w:rPr>
              <w:drawing>
                <wp:inline distT="0" distB="0" distL="0" distR="0" wp14:anchorId="67CA8F6D" wp14:editId="60ED32EB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48A26D0" w14:textId="77777777" w:rsidR="005005DC" w:rsidRPr="005005DC" w:rsidRDefault="005005DC" w:rsidP="005005DC">
            <w:pPr>
              <w:rPr>
                <w:sz w:val="16"/>
                <w:szCs w:val="16"/>
              </w:rPr>
            </w:pPr>
            <w:r w:rsidRPr="005005DC">
              <w:rPr>
                <w:sz w:val="16"/>
                <w:szCs w:val="16"/>
              </w:rPr>
              <w:t>INTERNATIONAL TELECOMMUNICATION UNION</w:t>
            </w:r>
          </w:p>
          <w:p w14:paraId="12FFC192" w14:textId="77777777" w:rsidR="005005DC" w:rsidRPr="005005DC" w:rsidRDefault="005005DC" w:rsidP="005005DC">
            <w:pPr>
              <w:rPr>
                <w:b/>
                <w:bCs/>
                <w:sz w:val="26"/>
                <w:szCs w:val="26"/>
              </w:rPr>
            </w:pPr>
            <w:r w:rsidRPr="005005DC">
              <w:rPr>
                <w:b/>
                <w:bCs/>
                <w:sz w:val="26"/>
                <w:szCs w:val="26"/>
              </w:rPr>
              <w:t>TELECOMMUNICATION</w:t>
            </w:r>
            <w:r w:rsidRPr="005005D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B1C6DE" w14:textId="0BA77720" w:rsidR="005005DC" w:rsidRPr="005005DC" w:rsidRDefault="005005DC" w:rsidP="005005DC">
            <w:pPr>
              <w:rPr>
                <w:sz w:val="20"/>
                <w:szCs w:val="20"/>
              </w:rPr>
            </w:pPr>
            <w:r w:rsidRPr="005005DC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572721C4" w14:textId="5680A52B" w:rsidR="005005DC" w:rsidRPr="005005DC" w:rsidRDefault="005005DC" w:rsidP="005005DC">
            <w:pPr>
              <w:pStyle w:val="Docnumber"/>
            </w:pPr>
            <w:r>
              <w:t>TSAG-TD174</w:t>
            </w:r>
          </w:p>
        </w:tc>
      </w:tr>
      <w:tr w:rsidR="005005DC" w:rsidRPr="005005DC" w14:paraId="4BB76186" w14:textId="77777777" w:rsidTr="005005DC">
        <w:trPr>
          <w:cantSplit/>
        </w:trPr>
        <w:tc>
          <w:tcPr>
            <w:tcW w:w="1132" w:type="dxa"/>
            <w:vMerge/>
          </w:tcPr>
          <w:p w14:paraId="3018FCD7" w14:textId="77777777" w:rsidR="005005DC" w:rsidRPr="005005DC" w:rsidRDefault="005005DC" w:rsidP="005005DC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49A88585" w14:textId="77777777" w:rsidR="005005DC" w:rsidRPr="005005DC" w:rsidRDefault="005005DC" w:rsidP="005005DC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11708BF" w14:textId="67919150" w:rsidR="005005DC" w:rsidRPr="005005DC" w:rsidRDefault="005005DC" w:rsidP="005005DC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5005DC" w:rsidRPr="005005DC" w14:paraId="07EC6287" w14:textId="77777777" w:rsidTr="005005DC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55253F39" w14:textId="77777777" w:rsidR="005005DC" w:rsidRPr="005005DC" w:rsidRDefault="005005DC" w:rsidP="005005DC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10F75CFB" w14:textId="77777777" w:rsidR="005005DC" w:rsidRPr="005005DC" w:rsidRDefault="005005DC" w:rsidP="005005DC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CB6B28A" w14:textId="77777777" w:rsidR="005005DC" w:rsidRPr="005005DC" w:rsidRDefault="005005DC" w:rsidP="005005DC">
            <w:pPr>
              <w:pStyle w:val="TSBHeaderRight14"/>
            </w:pPr>
            <w:r w:rsidRPr="005005DC">
              <w:t>Original: English</w:t>
            </w:r>
          </w:p>
        </w:tc>
      </w:tr>
      <w:tr w:rsidR="005005DC" w:rsidRPr="005005DC" w14:paraId="7E51C14B" w14:textId="77777777" w:rsidTr="005005DC">
        <w:trPr>
          <w:cantSplit/>
        </w:trPr>
        <w:tc>
          <w:tcPr>
            <w:tcW w:w="1587" w:type="dxa"/>
            <w:gridSpan w:val="2"/>
          </w:tcPr>
          <w:p w14:paraId="128C9B67" w14:textId="3767AA0F" w:rsidR="005005DC" w:rsidRPr="005005DC" w:rsidRDefault="005005DC" w:rsidP="005005DC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37328766" w14:textId="77777777" w:rsidR="005005DC" w:rsidRPr="005005DC" w:rsidRDefault="005005DC" w:rsidP="005005DC">
            <w:pPr>
              <w:pStyle w:val="TSBHeaderQuestion"/>
            </w:pPr>
          </w:p>
        </w:tc>
        <w:tc>
          <w:tcPr>
            <w:tcW w:w="4026" w:type="dxa"/>
          </w:tcPr>
          <w:p w14:paraId="28812AC0" w14:textId="204D4D2C" w:rsidR="005005DC" w:rsidRPr="005005DC" w:rsidRDefault="005005DC" w:rsidP="005005DC">
            <w:pPr>
              <w:pStyle w:val="VenueDate"/>
            </w:pPr>
            <w:r w:rsidRPr="005005DC">
              <w:t>Geneva, 26-30 January 2026</w:t>
            </w:r>
          </w:p>
        </w:tc>
      </w:tr>
      <w:tr w:rsidR="005005DC" w:rsidRPr="005005DC" w14:paraId="11C7E0A2" w14:textId="77777777" w:rsidTr="005F7827">
        <w:trPr>
          <w:cantSplit/>
        </w:trPr>
        <w:tc>
          <w:tcPr>
            <w:tcW w:w="9639" w:type="dxa"/>
            <w:gridSpan w:val="7"/>
          </w:tcPr>
          <w:p w14:paraId="21714745" w14:textId="50964FB3" w:rsidR="005005DC" w:rsidRPr="005005DC" w:rsidRDefault="005005DC" w:rsidP="005005DC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5005DC">
              <w:rPr>
                <w:b/>
                <w:bCs/>
              </w:rPr>
              <w:t>TD</w:t>
            </w:r>
          </w:p>
        </w:tc>
      </w:tr>
      <w:bookmarkEnd w:id="1"/>
      <w:bookmarkEnd w:id="5"/>
      <w:tr w:rsidR="003D3328" w:rsidRPr="00280AFA" w14:paraId="4791D089" w14:textId="77777777" w:rsidTr="006905F3">
        <w:trPr>
          <w:cantSplit/>
        </w:trPr>
        <w:tc>
          <w:tcPr>
            <w:tcW w:w="1616" w:type="dxa"/>
            <w:gridSpan w:val="4"/>
          </w:tcPr>
          <w:p w14:paraId="4AE216C0" w14:textId="77777777" w:rsidR="003D3328" w:rsidRPr="00280AFA" w:rsidRDefault="003D3328" w:rsidP="006905F3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3"/>
          </w:tcPr>
          <w:p w14:paraId="5E8FA3F5" w14:textId="4E6A860F" w:rsidR="003D3328" w:rsidRPr="00280AFA" w:rsidRDefault="003D3328" w:rsidP="006905F3">
            <w:pPr>
              <w:pStyle w:val="TSBHeaderSource"/>
            </w:pPr>
            <w:r>
              <w:rPr>
                <w:rFonts w:eastAsia="Malgun Gothic" w:hint="eastAsia"/>
                <w:lang w:eastAsia="ko-KR"/>
              </w:rPr>
              <w:t>Co-chair</w:t>
            </w:r>
            <w:r w:rsidR="00064D43"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, JCA-VHC</w:t>
            </w:r>
          </w:p>
        </w:tc>
      </w:tr>
      <w:tr w:rsidR="003D3328" w:rsidRPr="00280AFA" w14:paraId="75C33A56" w14:textId="77777777" w:rsidTr="006905F3">
        <w:trPr>
          <w:cantSplit/>
        </w:trPr>
        <w:tc>
          <w:tcPr>
            <w:tcW w:w="1616" w:type="dxa"/>
            <w:gridSpan w:val="4"/>
          </w:tcPr>
          <w:p w14:paraId="3FF9EC24" w14:textId="77777777" w:rsidR="003D3328" w:rsidRPr="00280AFA" w:rsidRDefault="003D3328" w:rsidP="006905F3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3"/>
          </w:tcPr>
          <w:p w14:paraId="71E4E8C8" w14:textId="5EE2DB88" w:rsidR="003D3328" w:rsidRPr="00280AFA" w:rsidRDefault="003D3328" w:rsidP="006905F3">
            <w:pPr>
              <w:pStyle w:val="TSBHeaderTitle"/>
            </w:pPr>
            <w:r>
              <w:rPr>
                <w:rFonts w:eastAsia="Malgun Gothic" w:hint="eastAsia"/>
                <w:lang w:eastAsia="ko-KR"/>
              </w:rPr>
              <w:t xml:space="preserve">Continuation of </w:t>
            </w:r>
            <w:r>
              <w:t>JCA</w:t>
            </w:r>
            <w:r>
              <w:rPr>
                <w:rFonts w:eastAsia="Malgun Gothic" w:hint="eastAsia"/>
                <w:lang w:eastAsia="ko-KR"/>
              </w:rPr>
              <w:t>-VHC</w:t>
            </w:r>
            <w:r>
              <w:t xml:space="preserve"> </w:t>
            </w:r>
            <w:r>
              <w:rPr>
                <w:rFonts w:eastAsia="Malgun Gothic" w:hint="eastAsia"/>
                <w:lang w:eastAsia="ko-KR"/>
              </w:rPr>
              <w:t>in this study period (2025-2028)</w:t>
            </w:r>
          </w:p>
        </w:tc>
      </w:tr>
      <w:tr w:rsidR="003D3328" w:rsidRPr="00C24445" w14:paraId="2AF1FF19" w14:textId="77777777" w:rsidTr="006905F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DA1F4D8" w14:textId="77777777" w:rsidR="003D3328" w:rsidRPr="00280AFA" w:rsidRDefault="003D3328" w:rsidP="006905F3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3AE932" w14:textId="328850CD" w:rsidR="003D3328" w:rsidRPr="009D1EB8" w:rsidRDefault="003D3328" w:rsidP="006905F3">
            <w:pPr>
              <w:tabs>
                <w:tab w:val="left" w:pos="794"/>
              </w:tabs>
            </w:pPr>
            <w:r>
              <w:rPr>
                <w:rFonts w:eastAsia="Malgun Gothic" w:hint="eastAsia"/>
                <w:lang w:eastAsia="ko-KR"/>
              </w:rPr>
              <w:t>Heung Youl YOUM</w:t>
            </w:r>
            <w:r>
              <w:rPr>
                <w:rFonts w:eastAsia="Malgun Gothic"/>
                <w:lang w:eastAsia="ko-KR"/>
              </w:rPr>
              <w:br/>
            </w:r>
            <w:r>
              <w:rPr>
                <w:rFonts w:eastAsia="Malgun Gothic" w:hint="eastAsia"/>
                <w:lang w:eastAsia="ko-KR"/>
              </w:rPr>
              <w:t>Co-chair, JCA-VHC</w:t>
            </w:r>
            <w:r w:rsidRPr="009D1EB8">
              <w:br/>
            </w:r>
            <w:r>
              <w:rPr>
                <w:rFonts w:eastAsia="Malgun Gothic" w:hint="eastAsia"/>
                <w:lang w:eastAsia="ko-KR"/>
              </w:rPr>
              <w:t>Korea (Republic of)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410FE20" w14:textId="303BD7A5" w:rsidR="003D3328" w:rsidRPr="003D3328" w:rsidRDefault="003D3328" w:rsidP="006905F3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1" w:history="1">
              <w:r w:rsidRPr="00CC7990">
                <w:rPr>
                  <w:rStyle w:val="Hyperlink"/>
                  <w:rFonts w:eastAsia="Malgun Gothic" w:hint="eastAsia"/>
                  <w:lang w:eastAsia="ko-KR"/>
                </w:rPr>
                <w:t>hyyoum@sch.ac.kr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3D3328" w:rsidRPr="00C24445" w14:paraId="2DEE21B5" w14:textId="77777777" w:rsidTr="006905F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F566502" w14:textId="24E49593" w:rsidR="003D3328" w:rsidRPr="00280AFA" w:rsidRDefault="003D3328" w:rsidP="003D3328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6DD6E5" w14:textId="31B438FE" w:rsidR="003D3328" w:rsidRDefault="003D3328" w:rsidP="003D3328">
            <w:pPr>
              <w:tabs>
                <w:tab w:val="left" w:pos="794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Carl Leitner</w:t>
            </w:r>
            <w:r>
              <w:rPr>
                <w:rFonts w:eastAsia="Malgun Gothic"/>
                <w:lang w:eastAsia="ko-KR"/>
              </w:rPr>
              <w:br/>
            </w:r>
            <w:r>
              <w:rPr>
                <w:rFonts w:eastAsia="Malgun Gothic" w:hint="eastAsia"/>
                <w:lang w:eastAsia="ko-KR"/>
              </w:rPr>
              <w:t>Co-chair, JCA-VHC</w:t>
            </w:r>
            <w:r w:rsidRPr="009D1EB8">
              <w:br/>
            </w:r>
            <w:r>
              <w:rPr>
                <w:rFonts w:eastAsia="Malgun Gothic" w:hint="eastAsia"/>
                <w:lang w:eastAsia="ko-KR"/>
              </w:rPr>
              <w:t>WHO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D9C883" w14:textId="7FC55455" w:rsidR="003D3328" w:rsidRPr="00894C8A" w:rsidRDefault="003D3328" w:rsidP="003D332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894C8A" w:rsidRPr="00160607">
                <w:rPr>
                  <w:rStyle w:val="Hyperlink"/>
                  <w:rFonts w:eastAsia="Malgun Gothic" w:hint="eastAsia"/>
                  <w:lang w:eastAsia="ko-KR"/>
                </w:rPr>
                <w:t>leitnerc@who.int</w:t>
              </w:r>
            </w:hyperlink>
            <w:r w:rsidR="00894C8A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A41A9E" w:rsidRPr="000959E2" w14:paraId="2267F36F" w14:textId="77777777" w:rsidTr="006905F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34678C2" w14:textId="08B8BC9D" w:rsidR="00A41A9E" w:rsidRPr="00280AFA" w:rsidRDefault="00A41A9E" w:rsidP="00A41A9E">
            <w:pPr>
              <w:rPr>
                <w:b/>
              </w:rPr>
            </w:pPr>
            <w:r w:rsidRPr="008A510F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288C82" w14:textId="77777777" w:rsidR="00A41A9E" w:rsidRPr="008151BC" w:rsidRDefault="00A41A9E" w:rsidP="00A41A9E">
            <w:pPr>
              <w:rPr>
                <w:rFonts w:asciiTheme="majorBidi" w:hAnsiTheme="majorBidi" w:cstheme="majorBidi"/>
              </w:rPr>
            </w:pPr>
            <w:r w:rsidRPr="008151BC">
              <w:rPr>
                <w:rFonts w:asciiTheme="majorBidi" w:hAnsiTheme="majorBidi" w:cstheme="majorBidi"/>
              </w:rPr>
              <w:t>Gillian Makamara</w:t>
            </w:r>
          </w:p>
          <w:p w14:paraId="7193A116" w14:textId="23645CB0" w:rsidR="00A41A9E" w:rsidRDefault="00A41A9E" w:rsidP="00C66DCB">
            <w:pPr>
              <w:tabs>
                <w:tab w:val="left" w:pos="794"/>
              </w:tabs>
              <w:spacing w:before="0"/>
              <w:rPr>
                <w:rFonts w:eastAsia="Malgun Gothic"/>
                <w:lang w:eastAsia="ko-KR"/>
              </w:rPr>
            </w:pPr>
            <w:r w:rsidRPr="008151BC">
              <w:rPr>
                <w:rFonts w:asciiTheme="majorBidi" w:hAnsiTheme="majorBidi" w:cstheme="majorBidi"/>
              </w:rPr>
              <w:t>TSB; Secretary JCA-</w:t>
            </w:r>
            <w:r w:rsidR="00C66DCB">
              <w:rPr>
                <w:rFonts w:asciiTheme="majorBidi" w:hAnsiTheme="majorBidi" w:cstheme="majorBidi"/>
              </w:rPr>
              <w:t xml:space="preserve">VHC 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97B783" w14:textId="03B2F7FD" w:rsidR="00A41A9E" w:rsidRPr="00C66DCB" w:rsidRDefault="00A41A9E" w:rsidP="00A41A9E">
            <w:pPr>
              <w:tabs>
                <w:tab w:val="left" w:pos="794"/>
              </w:tabs>
              <w:rPr>
                <w:lang w:val="fr-FR"/>
              </w:rPr>
            </w:pPr>
            <w:r w:rsidRPr="008151BC">
              <w:rPr>
                <w:rFonts w:asciiTheme="majorBidi" w:hAnsiTheme="majorBidi" w:cstheme="majorBidi"/>
                <w:lang w:val="fr-FR"/>
              </w:rPr>
              <w:t xml:space="preserve">E-mail: </w:t>
            </w:r>
            <w:hyperlink r:id="rId13" w:history="1">
              <w:r w:rsidRPr="008151BC">
                <w:rPr>
                  <w:rStyle w:val="Hyperlink"/>
                  <w:rFonts w:asciiTheme="majorBidi" w:hAnsiTheme="majorBidi" w:cstheme="majorBidi"/>
                  <w:lang w:val="fr-FR"/>
                </w:rPr>
                <w:t>gillian.makamara@itu.int</w:t>
              </w:r>
            </w:hyperlink>
            <w:r w:rsidRPr="008151BC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</w:tbl>
    <w:p w14:paraId="20D42405" w14:textId="77777777" w:rsidR="003D3328" w:rsidRPr="00C66DCB" w:rsidRDefault="003D3328" w:rsidP="003D3328">
      <w:pPr>
        <w:spacing w:before="240"/>
        <w:rPr>
          <w:b/>
          <w:lang w:val="fr-FR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3D3328" w:rsidRPr="00E95B01" w14:paraId="208ED687" w14:textId="77777777" w:rsidTr="006905F3">
        <w:trPr>
          <w:cantSplit/>
        </w:trPr>
        <w:tc>
          <w:tcPr>
            <w:tcW w:w="1607" w:type="dxa"/>
          </w:tcPr>
          <w:p w14:paraId="0576A7AA" w14:textId="77777777" w:rsidR="003D3328" w:rsidRPr="00E95B01" w:rsidRDefault="003D3328" w:rsidP="006905F3">
            <w:pPr>
              <w:rPr>
                <w:b/>
              </w:rPr>
            </w:pPr>
            <w:r w:rsidRPr="00E95B01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03CD5891" w14:textId="77CB688C" w:rsidR="00C66DCB" w:rsidRPr="00E95B01" w:rsidRDefault="003D3328" w:rsidP="00C66DCB">
            <w:pPr>
              <w:rPr>
                <w:rFonts w:eastAsia="Malgun Gothic"/>
                <w:lang w:eastAsia="ko-KR"/>
              </w:rPr>
            </w:pPr>
            <w:r w:rsidRPr="00E95B01">
              <w:t>This TD provides the</w:t>
            </w:r>
            <w:r w:rsidR="00894C8A" w:rsidRPr="00E95B01">
              <w:rPr>
                <w:rFonts w:eastAsia="Malgun Gothic" w:hint="eastAsia"/>
                <w:lang w:eastAsia="ko-KR"/>
              </w:rPr>
              <w:t xml:space="preserve"> response to </w:t>
            </w:r>
            <w:r w:rsidR="00894C8A" w:rsidRPr="00E95B01">
              <w:t>TSAG-LS9 on streamlining JCA operations</w:t>
            </w:r>
            <w:r w:rsidR="00894C8A" w:rsidRPr="00E95B01">
              <w:rPr>
                <w:rFonts w:eastAsia="Malgun Gothic" w:hint="eastAsia"/>
                <w:lang w:eastAsia="ko-KR"/>
              </w:rPr>
              <w:t xml:space="preserve"> with the intention to continue </w:t>
            </w:r>
            <w:r w:rsidR="00894C8A" w:rsidRPr="00E95B01">
              <w:t>JCA</w:t>
            </w:r>
            <w:r w:rsidR="00894C8A" w:rsidRPr="00E95B01">
              <w:rPr>
                <w:rFonts w:eastAsia="Malgun Gothic" w:hint="eastAsia"/>
                <w:lang w:eastAsia="ko-KR"/>
              </w:rPr>
              <w:t>-VHC</w:t>
            </w:r>
            <w:r w:rsidR="00894C8A" w:rsidRPr="00E95B01">
              <w:t xml:space="preserve"> </w:t>
            </w:r>
            <w:r w:rsidR="00894C8A" w:rsidRPr="00E95B01">
              <w:rPr>
                <w:rFonts w:eastAsia="Malgun Gothic" w:hint="eastAsia"/>
                <w:lang w:eastAsia="ko-KR"/>
              </w:rPr>
              <w:t>operation in this study period (2025-2028)</w:t>
            </w:r>
            <w:r w:rsidRPr="00E95B01">
              <w:t>.</w:t>
            </w:r>
            <w:r w:rsidR="00894C8A" w:rsidRPr="00E95B01">
              <w:rPr>
                <w:rFonts w:eastAsia="Malgun Gothic" w:hint="eastAsia"/>
                <w:lang w:eastAsia="ko-KR"/>
              </w:rPr>
              <w:t xml:space="preserve"> </w:t>
            </w:r>
          </w:p>
          <w:p w14:paraId="340AE20D" w14:textId="1E9FA460" w:rsidR="003D3328" w:rsidRPr="00E95B01" w:rsidRDefault="000B3CA1" w:rsidP="00C66DCB">
            <w:r w:rsidRPr="00E95B01">
              <w:rPr>
                <w:rFonts w:asciiTheme="majorBidi" w:hAnsiTheme="majorBidi" w:cstheme="majorBidi"/>
                <w:b/>
                <w:bCs/>
              </w:rPr>
              <w:t xml:space="preserve">Action requested: </w:t>
            </w:r>
            <w:r w:rsidRPr="00E95B01">
              <w:rPr>
                <w:rFonts w:asciiTheme="majorBidi" w:hAnsiTheme="majorBidi" w:cstheme="majorBidi"/>
              </w:rPr>
              <w:t>TSAG is requested to endorse the operation of JCA-VHC (as a continuation of the activities of JCA-DCC) in the 2025-2028 Study Period</w:t>
            </w:r>
            <w:r w:rsidR="00BA20E8" w:rsidRPr="00E95B01">
              <w:rPr>
                <w:rFonts w:asciiTheme="majorBidi" w:eastAsia="Malgun Gothic" w:hAnsiTheme="majorBidi" w:cstheme="majorBidi" w:hint="eastAsia"/>
                <w:lang w:eastAsia="ko-KR"/>
              </w:rPr>
              <w:t xml:space="preserve"> </w:t>
            </w:r>
            <w:r w:rsidR="00BA20E8" w:rsidRPr="00E95B01">
              <w:rPr>
                <w:rFonts w:asciiTheme="majorBidi" w:eastAsia="Malgun Gothic" w:hAnsiTheme="majorBidi" w:cstheme="majorBidi"/>
                <w:lang w:eastAsia="ko-KR"/>
              </w:rPr>
              <w:t>or to advise the way forward meeting its objective</w:t>
            </w:r>
            <w:r w:rsidRPr="00E95B01">
              <w:rPr>
                <w:rFonts w:asciiTheme="majorBidi" w:eastAsia="Malgun Gothic" w:hAnsiTheme="majorBidi" w:cstheme="majorBidi"/>
                <w:lang w:eastAsia="ko-KR"/>
              </w:rPr>
              <w:t>.</w:t>
            </w:r>
          </w:p>
        </w:tc>
      </w:tr>
    </w:tbl>
    <w:p w14:paraId="39BD9B7E" w14:textId="360ED416" w:rsidR="009F31AC" w:rsidRPr="009F31AC" w:rsidRDefault="009F31AC" w:rsidP="009F31A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E95B01">
        <w:rPr>
          <w:rFonts w:eastAsia="Malgun Gothic" w:hint="eastAsia"/>
          <w:lang w:eastAsia="ko-KR"/>
        </w:rPr>
        <w:t xml:space="preserve">There is a need to work to meet the instruction from </w:t>
      </w:r>
      <w:r w:rsidRPr="00E95B01">
        <w:rPr>
          <w:rFonts w:eastAsia="Malgun Gothic"/>
          <w:lang w:eastAsia="ko-KR"/>
        </w:rPr>
        <w:t>PP-22 Resolution 215 on the “</w:t>
      </w:r>
      <w:r w:rsidRPr="00064D43">
        <w:rPr>
          <w:rFonts w:eastAsia="Malgun Gothic"/>
          <w:i/>
          <w:iCs/>
          <w:lang w:eastAsia="ko-KR"/>
        </w:rPr>
        <w:t>Role of telecommunications/ICTs in mitigating global pandemics</w:t>
      </w:r>
      <w:r w:rsidRPr="00E95B01">
        <w:rPr>
          <w:rFonts w:eastAsia="Malgun Gothic"/>
          <w:lang w:eastAsia="ko-KR"/>
        </w:rPr>
        <w:t>"</w:t>
      </w:r>
      <w:r>
        <w:rPr>
          <w:rFonts w:eastAsia="Malgun Gothic" w:hint="eastAsia"/>
          <w:lang w:eastAsia="ko-KR"/>
        </w:rPr>
        <w:t xml:space="preserve">, i.e., </w:t>
      </w:r>
      <w:r w:rsidRPr="00F612DA">
        <w:rPr>
          <w:rFonts w:eastAsia="Malgun Gothic" w:hint="eastAsia"/>
          <w:i/>
          <w:iCs/>
          <w:lang w:eastAsia="ko-KR"/>
        </w:rPr>
        <w:t>resolve</w:t>
      </w:r>
      <w:r w:rsidR="00F612DA">
        <w:rPr>
          <w:rFonts w:eastAsia="Malgun Gothic"/>
          <w:i/>
          <w:iCs/>
          <w:lang w:eastAsia="ko-KR"/>
        </w:rPr>
        <w:t>s</w:t>
      </w:r>
      <w:r w:rsidRPr="00F612DA">
        <w:rPr>
          <w:rFonts w:eastAsia="Malgun Gothic" w:hint="eastAsia"/>
          <w:i/>
          <w:iCs/>
          <w:lang w:eastAsia="ko-KR"/>
        </w:rPr>
        <w:t xml:space="preserve"> 1</w:t>
      </w:r>
      <w:r>
        <w:rPr>
          <w:rFonts w:eastAsia="Malgun Gothic" w:hint="eastAsia"/>
          <w:lang w:eastAsia="ko-KR"/>
        </w:rPr>
        <w:t xml:space="preserve"> (</w:t>
      </w:r>
      <w:r w:rsidRPr="009F31AC">
        <w:rPr>
          <w:rFonts w:eastAsia="Malgun Gothic"/>
          <w:lang w:eastAsia="ko-KR"/>
        </w:rPr>
        <w:t>to cooperate and offer assistance, in collaboration with WHO and other United Nations organizations and stakeholders, in work related to existing, new and emerging telecommunications/ICTs</w:t>
      </w:r>
      <w:r>
        <w:rPr>
          <w:rFonts w:eastAsia="Malgun Gothic" w:hint="eastAsia"/>
          <w:lang w:eastAsia="ko-KR"/>
        </w:rPr>
        <w:t>)</w:t>
      </w:r>
      <w:r w:rsidRPr="00E95B01">
        <w:rPr>
          <w:rFonts w:eastAsia="Malgun Gothic" w:hint="eastAsia"/>
          <w:lang w:eastAsia="ko-KR"/>
        </w:rPr>
        <w:t xml:space="preserve"> and to </w:t>
      </w:r>
      <w:r w:rsidRPr="00E95B01">
        <w:rPr>
          <w:rFonts w:eastAsia="Malgun Gothic"/>
          <w:lang w:eastAsia="ko-KR"/>
        </w:rPr>
        <w:t>continue maintaining the</w:t>
      </w:r>
      <w:r w:rsidRPr="00E95B01">
        <w:rPr>
          <w:rFonts w:eastAsia="Malgun Gothic" w:hint="eastAsia"/>
          <w:lang w:eastAsia="ko-KR"/>
        </w:rPr>
        <w:t xml:space="preserve"> </w:t>
      </w:r>
      <w:hyperlink r:id="rId14" w:history="1">
        <w:r w:rsidRPr="00F612DA">
          <w:rPr>
            <w:rStyle w:val="Hyperlink"/>
            <w:rFonts w:eastAsia="Malgun Gothic" w:hint="eastAsia"/>
            <w:lang w:eastAsia="ko-KR"/>
          </w:rPr>
          <w:t xml:space="preserve">VHC </w:t>
        </w:r>
        <w:r w:rsidRPr="00F612DA">
          <w:rPr>
            <w:rStyle w:val="Hyperlink"/>
            <w:rFonts w:eastAsia="Malgun Gothic"/>
            <w:lang w:eastAsia="ko-KR"/>
          </w:rPr>
          <w:t>standardization</w:t>
        </w:r>
        <w:r w:rsidRPr="00F612DA">
          <w:rPr>
            <w:rStyle w:val="Hyperlink"/>
            <w:rFonts w:eastAsia="Malgun Gothic" w:hint="eastAsia"/>
            <w:lang w:eastAsia="ko-KR"/>
          </w:rPr>
          <w:t xml:space="preserve"> roadmap</w:t>
        </w:r>
      </w:hyperlink>
      <w:r w:rsidRPr="00E95B01">
        <w:rPr>
          <w:rFonts w:eastAsia="Malgun Gothic" w:hint="eastAsia"/>
          <w:lang w:eastAsia="ko-KR"/>
        </w:rPr>
        <w:t>.</w:t>
      </w:r>
      <w:r w:rsidRPr="00E95B01">
        <w:rPr>
          <w:rFonts w:eastAsia="Malgun Gothic"/>
          <w:lang w:eastAsia="ko-KR"/>
        </w:rPr>
        <w:t> </w:t>
      </w:r>
      <w:r w:rsidRPr="00E95B01">
        <w:rPr>
          <w:rFonts w:eastAsia="Malgun Gothic" w:hint="eastAsia"/>
          <w:lang w:eastAsia="ko-KR"/>
        </w:rPr>
        <w:t>In addition, there is a strong need to continue its operation from participating group</w:t>
      </w:r>
      <w:r>
        <w:rPr>
          <w:rFonts w:eastAsia="Malgun Gothic" w:hint="eastAsia"/>
          <w:lang w:eastAsia="ko-KR"/>
        </w:rPr>
        <w:t xml:space="preserve">s such as </w:t>
      </w:r>
      <w:r w:rsidRPr="00E95B01">
        <w:rPr>
          <w:rFonts w:eastAsia="Gulim" w:hint="eastAsia"/>
          <w:color w:val="222222"/>
          <w:shd w:val="clear" w:color="auto" w:fill="FFFFFF"/>
          <w:lang w:eastAsia="ko-KR"/>
        </w:rPr>
        <w:t>ECMA</w:t>
      </w:r>
      <w:r w:rsidRPr="00E95B01">
        <w:rPr>
          <w:rFonts w:eastAsia="Malgun Gothic" w:hint="eastAsia"/>
          <w:lang w:eastAsia="ko-KR"/>
        </w:rPr>
        <w:t xml:space="preserve">.  </w:t>
      </w:r>
    </w:p>
    <w:p w14:paraId="4ABCB7F4" w14:textId="73E77DDE" w:rsidR="00D47838" w:rsidRPr="00E95B01" w:rsidRDefault="00D41645" w:rsidP="00BF1C1D">
      <w:r w:rsidRPr="00E95B01">
        <w:rPr>
          <w:rFonts w:eastAsia="Malgun Gothic" w:hint="eastAsia"/>
          <w:lang w:eastAsia="ko-KR"/>
        </w:rPr>
        <w:t xml:space="preserve">JCA-VHC </w:t>
      </w:r>
      <w:r w:rsidR="00894C8A" w:rsidRPr="00E95B01">
        <w:rPr>
          <w:rFonts w:eastAsia="Malgun Gothic" w:hint="eastAsia"/>
          <w:lang w:eastAsia="ko-KR"/>
        </w:rPr>
        <w:t xml:space="preserve">notes </w:t>
      </w:r>
      <w:hyperlink r:id="rId15" w:history="1">
        <w:r w:rsidR="00D47838" w:rsidRPr="00E95B01">
          <w:rPr>
            <w:rStyle w:val="Hyperlink"/>
          </w:rPr>
          <w:t>TSAG-LS9</w:t>
        </w:r>
      </w:hyperlink>
      <w:r w:rsidR="00D47838" w:rsidRPr="00E95B01">
        <w:t xml:space="preserve"> on streamlining JCA operations.</w:t>
      </w:r>
    </w:p>
    <w:p w14:paraId="5EF2F071" w14:textId="39E2A8AB" w:rsidR="00E1178F" w:rsidRPr="00E95B01" w:rsidRDefault="00D47838" w:rsidP="00D47838">
      <w:pPr>
        <w:rPr>
          <w:rFonts w:eastAsia="SimSun"/>
        </w:rPr>
      </w:pPr>
      <w:r w:rsidRPr="00E95B01">
        <w:t xml:space="preserve">This </w:t>
      </w:r>
      <w:r w:rsidR="00D41645" w:rsidRPr="00E95B01">
        <w:rPr>
          <w:rFonts w:eastAsia="Malgun Gothic" w:hint="eastAsia"/>
          <w:lang w:eastAsia="ko-KR"/>
        </w:rPr>
        <w:t>TD</w:t>
      </w:r>
      <w:r w:rsidRPr="00E95B01">
        <w:t xml:space="preserve"> </w:t>
      </w:r>
      <w:r w:rsidR="00D41645" w:rsidRPr="00E95B01">
        <w:rPr>
          <w:rFonts w:eastAsia="Malgun Gothic" w:hint="eastAsia"/>
          <w:lang w:eastAsia="ko-KR"/>
        </w:rPr>
        <w:t xml:space="preserve">conducted </w:t>
      </w:r>
      <w:r w:rsidRPr="00E95B01">
        <w:t xml:space="preserve">a thorough analysis leveraging </w:t>
      </w:r>
      <w:r w:rsidR="00E1178F" w:rsidRPr="00E95B01">
        <w:t xml:space="preserve">the </w:t>
      </w:r>
      <w:r w:rsidR="00E1178F" w:rsidRPr="00E95B01">
        <w:rPr>
          <w:rFonts w:eastAsia="SimSun"/>
        </w:rPr>
        <w:t>guiding principles in the new Appendix I:</w:t>
      </w:r>
    </w:p>
    <w:p w14:paraId="4179D34C" w14:textId="40F021D5" w:rsidR="00E1178F" w:rsidRPr="00E95B01" w:rsidRDefault="00C77E9A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I</w:t>
      </w:r>
      <w:r w:rsidR="00E1178F" w:rsidRPr="00E95B01">
        <w:t>mpact of JCA</w:t>
      </w:r>
      <w:r w:rsidRPr="00E95B01">
        <w:t>-VHC:</w:t>
      </w:r>
    </w:p>
    <w:p w14:paraId="09F784E0" w14:textId="6395A649" w:rsidR="000C48E1" w:rsidRPr="00E95B01" w:rsidRDefault="00C77E9A" w:rsidP="00C77E9A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Malgun Gothic"/>
          <w:lang w:eastAsia="ko-KR"/>
        </w:rPr>
      </w:pPr>
      <w:r w:rsidRPr="00E95B01">
        <w:t>The impact of JCA-VHC lies precisely in its ability to provide a neutral, cross-cutting coordination mechanism in a domain that is inherently</w:t>
      </w:r>
      <w:r w:rsidR="006B522A" w:rsidRPr="00E95B01">
        <w:t xml:space="preserve"> fragmented across </w:t>
      </w:r>
      <w:r w:rsidRPr="00E95B01">
        <w:t xml:space="preserve">multiple </w:t>
      </w:r>
      <w:r w:rsidR="006B522A" w:rsidRPr="00E95B01">
        <w:t xml:space="preserve">SDOs. </w:t>
      </w:r>
      <w:r w:rsidR="00E1178F" w:rsidRPr="00E95B01">
        <w:rPr>
          <w:rFonts w:eastAsia="Gulim"/>
          <w:color w:val="000000"/>
          <w:shd w:val="clear" w:color="auto" w:fill="FFFFFF"/>
        </w:rPr>
        <w:t xml:space="preserve">From </w:t>
      </w:r>
      <w:r w:rsidR="006B522A" w:rsidRPr="00E95B01">
        <w:rPr>
          <w:rFonts w:eastAsia="Gulim"/>
          <w:color w:val="000000"/>
          <w:shd w:val="clear" w:color="auto" w:fill="FFFFFF"/>
        </w:rPr>
        <w:t xml:space="preserve">a </w:t>
      </w:r>
      <w:r w:rsidR="00E1178F" w:rsidRPr="00E95B01">
        <w:rPr>
          <w:rFonts w:eastAsia="Gulim"/>
          <w:color w:val="000000"/>
          <w:shd w:val="clear" w:color="auto" w:fill="FFFFFF"/>
        </w:rPr>
        <w:t xml:space="preserve">practical </w:t>
      </w:r>
      <w:r w:rsidRPr="00E95B01">
        <w:rPr>
          <w:rFonts w:eastAsia="Gulim"/>
          <w:color w:val="000000"/>
          <w:shd w:val="clear" w:color="auto" w:fill="FFFFFF"/>
        </w:rPr>
        <w:t xml:space="preserve">and operational </w:t>
      </w:r>
      <w:r w:rsidR="00E1178F" w:rsidRPr="00E95B01">
        <w:rPr>
          <w:rFonts w:eastAsia="Gulim"/>
          <w:color w:val="000000"/>
          <w:shd w:val="clear" w:color="auto" w:fill="FFFFFF"/>
        </w:rPr>
        <w:t xml:space="preserve">point of view, </w:t>
      </w:r>
      <w:r w:rsidRPr="00E95B01">
        <w:rPr>
          <w:rFonts w:eastAsia="Gulim"/>
          <w:color w:val="000000"/>
          <w:shd w:val="clear" w:color="auto" w:fill="FFFFFF"/>
        </w:rPr>
        <w:t>the objectives of JCA-VHC cannot be achieved through other ITU-T structures, as none are designed to convene, align, and sustain engagement across the breadth of internal and external stakeholders required for verifiable health credentials.</w:t>
      </w:r>
      <w:r w:rsidRPr="00E95B01">
        <w:t xml:space="preserve"> </w:t>
      </w:r>
      <w:r w:rsidRPr="00E95B01">
        <w:rPr>
          <w:rFonts w:eastAsia="Gulim"/>
          <w:color w:val="000000"/>
          <w:shd w:val="clear" w:color="auto" w:fill="FFFFFF"/>
        </w:rPr>
        <w:t>The market, regulatory, and public-health environments are exerting increasing pressure for interoperable solutions in this space. In this context, JCA-VHC plays a unique and necessary role by enabling coherence, avoiding duplication, and accelerating alignment across standards efforts that would otherwise evolve in isolation.</w:t>
      </w:r>
      <w:r w:rsidR="00C66DCB" w:rsidRPr="00E95B01">
        <w:t xml:space="preserve"> </w:t>
      </w:r>
      <w:r w:rsidRPr="00E95B01">
        <w:t>JCA-VHC also represents the natural and mandate-driven continuation of the work initiated under JCA-DCC. Its establishment is grounded in PP-22 Resolution 215 on “</w:t>
      </w:r>
      <w:r w:rsidRPr="003C525F">
        <w:rPr>
          <w:i/>
          <w:iCs/>
        </w:rPr>
        <w:t>The role of telecommunications/ICTs in mitigating global pandemics</w:t>
      </w:r>
      <w:r w:rsidRPr="00E95B01">
        <w:t xml:space="preserve">”, particularly the calls to cooperate </w:t>
      </w:r>
      <w:r w:rsidRPr="00E95B01">
        <w:lastRenderedPageBreak/>
        <w:t xml:space="preserve">with WHO and other UN entities, to institute an effective framework for addressing future pandemics, and to facilitate the exchange of best practices across standards bodies. In this respect, JCA-VHC is not an additional layer, but an enabling structure that operationalizes the Resolution’s objectives and ensures their sustained implementation. </w:t>
      </w:r>
    </w:p>
    <w:p w14:paraId="79ABE113" w14:textId="77777777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The lifetime of the JCA should not exceed two years renewable once.</w:t>
      </w:r>
    </w:p>
    <w:p w14:paraId="5FB84D63" w14:textId="7087F48E" w:rsidR="00E1178F" w:rsidRPr="00E95B01" w:rsidRDefault="00E1178F" w:rsidP="00E1178F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>JCA-</w:t>
      </w:r>
      <w:r w:rsidR="00A41A9E" w:rsidRPr="00E95B01">
        <w:rPr>
          <w:rFonts w:eastAsia="Malgun Gothic" w:hint="eastAsia"/>
          <w:lang w:eastAsia="ko-KR"/>
        </w:rPr>
        <w:t>VHC</w:t>
      </w:r>
      <w:r w:rsidR="004E2982" w:rsidRPr="00E95B01">
        <w:rPr>
          <w:rFonts w:eastAsia="Malgun Gothic"/>
          <w:lang w:eastAsia="ko-KR"/>
        </w:rPr>
        <w:t xml:space="preserve"> i</w:t>
      </w:r>
      <w:r w:rsidR="00C66DCB" w:rsidRPr="00E95B01">
        <w:rPr>
          <w:rFonts w:eastAsia="Malgun Gothic"/>
          <w:lang w:eastAsia="ko-KR"/>
        </w:rPr>
        <w:t xml:space="preserve">s </w:t>
      </w:r>
      <w:r w:rsidR="004E2982" w:rsidRPr="00E95B01">
        <w:rPr>
          <w:rFonts w:eastAsia="Malgun Gothic"/>
          <w:lang w:eastAsia="ko-KR"/>
        </w:rPr>
        <w:t>the succ</w:t>
      </w:r>
      <w:r w:rsidR="00C66DCB" w:rsidRPr="00E95B01">
        <w:rPr>
          <w:rFonts w:eastAsia="Malgun Gothic"/>
          <w:lang w:eastAsia="ko-KR"/>
        </w:rPr>
        <w:t>essor</w:t>
      </w:r>
      <w:r w:rsidR="004E2982" w:rsidRPr="00E95B01">
        <w:rPr>
          <w:rFonts w:eastAsia="Malgun Gothic"/>
          <w:lang w:eastAsia="ko-KR"/>
        </w:rPr>
        <w:t xml:space="preserve"> to</w:t>
      </w:r>
      <w:r w:rsidR="00C66DCB" w:rsidRPr="00E95B01">
        <w:rPr>
          <w:rFonts w:eastAsia="Malgun Gothic"/>
          <w:lang w:eastAsia="ko-KR"/>
        </w:rPr>
        <w:t xml:space="preserve"> JCA-DCC</w:t>
      </w:r>
      <w:r w:rsidR="004E2982" w:rsidRPr="00E95B01">
        <w:rPr>
          <w:rFonts w:eastAsia="Malgun Gothic"/>
          <w:lang w:eastAsia="ko-KR"/>
        </w:rPr>
        <w:t xml:space="preserve"> which</w:t>
      </w:r>
      <w:r w:rsidR="00A41A9E" w:rsidRPr="00E95B01">
        <w:rPr>
          <w:rFonts w:eastAsia="Malgun Gothic" w:hint="eastAsia"/>
          <w:lang w:eastAsia="ko-KR"/>
        </w:rPr>
        <w:t xml:space="preserve"> </w:t>
      </w:r>
      <w:r w:rsidR="00C66DCB" w:rsidRPr="00E95B01">
        <w:t xml:space="preserve">held </w:t>
      </w:r>
      <w:r w:rsidR="00E1123D" w:rsidRPr="00E95B01">
        <w:rPr>
          <w:rFonts w:eastAsia="Malgun Gothic" w:hint="eastAsia"/>
          <w:lang w:eastAsia="ko-KR"/>
        </w:rPr>
        <w:t>7</w:t>
      </w:r>
      <w:r w:rsidRPr="00E95B01">
        <w:t xml:space="preserve"> meetings since its establishment.</w:t>
      </w:r>
      <w:r w:rsidR="00C66DCB" w:rsidRPr="00E95B01">
        <w:t xml:space="preserve"> </w:t>
      </w:r>
      <w:r w:rsidR="004E2982" w:rsidRPr="00E95B01">
        <w:t xml:space="preserve">At its </w:t>
      </w:r>
      <w:r w:rsidR="00C66DCB" w:rsidRPr="00E95B01">
        <w:t>fifth meeting</w:t>
      </w:r>
      <w:r w:rsidR="004E2982" w:rsidRPr="00E95B01">
        <w:t xml:space="preserve">, JCA-DCC </w:t>
      </w:r>
      <w:r w:rsidR="00C66DCB" w:rsidRPr="00E95B01">
        <w:t xml:space="preserve">held a workshop on “Future of </w:t>
      </w:r>
      <w:r w:rsidR="004E2982" w:rsidRPr="00E95B01">
        <w:t xml:space="preserve">verifiable health credentials beyond </w:t>
      </w:r>
      <w:r w:rsidR="00C66DCB" w:rsidRPr="00E95B01">
        <w:t>COVID-19” where, based on discussion</w:t>
      </w:r>
      <w:r w:rsidR="004E2982" w:rsidRPr="00E95B01">
        <w:t>s</w:t>
      </w:r>
      <w:r w:rsidR="00C66DCB" w:rsidRPr="00E95B01">
        <w:t xml:space="preserve">, </w:t>
      </w:r>
      <w:r w:rsidR="004E2982" w:rsidRPr="00E95B01">
        <w:t xml:space="preserve">an extension of the scope of JCA-DCC to verifiable health credentials was considered and subsequently agreed at the following meeting. The transition from JCA-DCC to JCA-VHC, effective in the current study period, was thereafter proposed to and endorsed by TSAG. </w:t>
      </w:r>
      <w:r w:rsidRPr="00E95B01">
        <w:t>JCA-</w:t>
      </w:r>
      <w:r w:rsidR="000B3CA1" w:rsidRPr="00E95B01">
        <w:rPr>
          <w:rFonts w:eastAsia="Malgun Gothic" w:hint="eastAsia"/>
          <w:lang w:eastAsia="ko-KR"/>
        </w:rPr>
        <w:t>VHC</w:t>
      </w:r>
      <w:r w:rsidR="004E2982" w:rsidRPr="00E95B01">
        <w:rPr>
          <w:rFonts w:eastAsia="Malgun Gothic"/>
          <w:lang w:eastAsia="ko-KR"/>
        </w:rPr>
        <w:t xml:space="preserve"> was renewed once at the May 2025 TSAG meeting and remains eligible for one further renewal. </w:t>
      </w:r>
      <w:r w:rsidR="000B3CA1" w:rsidRPr="00E95B01">
        <w:rPr>
          <w:rFonts w:eastAsia="Malgun Gothic" w:hint="eastAsia"/>
          <w:lang w:eastAsia="ko-KR"/>
        </w:rPr>
        <w:t xml:space="preserve">It is </w:t>
      </w:r>
      <w:r w:rsidR="004E2982" w:rsidRPr="00E95B01">
        <w:rPr>
          <w:rFonts w:eastAsia="Malgun Gothic"/>
          <w:lang w:eastAsia="ko-KR"/>
        </w:rPr>
        <w:t>therefore</w:t>
      </w:r>
      <w:r w:rsidR="00C66DCB" w:rsidRPr="00E95B01">
        <w:rPr>
          <w:rFonts w:eastAsia="Malgun Gothic"/>
          <w:lang w:eastAsia="ko-KR"/>
        </w:rPr>
        <w:t xml:space="preserve"> </w:t>
      </w:r>
      <w:r w:rsidR="000B3CA1" w:rsidRPr="00E95B01">
        <w:rPr>
          <w:rFonts w:eastAsia="Malgun Gothic" w:hint="eastAsia"/>
          <w:lang w:eastAsia="ko-KR"/>
        </w:rPr>
        <w:t xml:space="preserve">proposed </w:t>
      </w:r>
      <w:r w:rsidR="004E2982" w:rsidRPr="00E95B01">
        <w:rPr>
          <w:rFonts w:eastAsia="Malgun Gothic"/>
          <w:lang w:eastAsia="ko-KR"/>
        </w:rPr>
        <w:t xml:space="preserve">that JCA-VHC </w:t>
      </w:r>
      <w:r w:rsidR="000B3CA1" w:rsidRPr="00E95B01">
        <w:rPr>
          <w:rFonts w:eastAsia="Malgun Gothic" w:hint="eastAsia"/>
          <w:lang w:eastAsia="ko-KR"/>
        </w:rPr>
        <w:t xml:space="preserve">continue </w:t>
      </w:r>
      <w:r w:rsidR="004E2982" w:rsidRPr="00E95B01">
        <w:rPr>
          <w:rFonts w:eastAsia="Malgun Gothic"/>
          <w:lang w:eastAsia="ko-KR"/>
        </w:rPr>
        <w:t>its</w:t>
      </w:r>
      <w:r w:rsidR="004E2982" w:rsidRPr="00E95B01">
        <w:rPr>
          <w:rFonts w:eastAsia="Malgun Gothic" w:hint="eastAsia"/>
          <w:lang w:eastAsia="ko-KR"/>
        </w:rPr>
        <w:t xml:space="preserve"> </w:t>
      </w:r>
      <w:r w:rsidR="000B3CA1" w:rsidRPr="00E95B01">
        <w:rPr>
          <w:rFonts w:eastAsia="Malgun Gothic" w:hint="eastAsia"/>
          <w:lang w:eastAsia="ko-KR"/>
        </w:rPr>
        <w:t>operation</w:t>
      </w:r>
      <w:r w:rsidR="004E2982" w:rsidRPr="00E95B01">
        <w:rPr>
          <w:rFonts w:eastAsia="Malgun Gothic"/>
          <w:lang w:eastAsia="ko-KR"/>
        </w:rPr>
        <w:t>s</w:t>
      </w:r>
      <w:r w:rsidR="000B3CA1" w:rsidRPr="00E95B01">
        <w:rPr>
          <w:rFonts w:eastAsia="Malgun Gothic" w:hint="eastAsia"/>
          <w:lang w:eastAsia="ko-KR"/>
        </w:rPr>
        <w:t xml:space="preserve"> </w:t>
      </w:r>
      <w:r w:rsidR="00C66DCB" w:rsidRPr="00E95B01">
        <w:rPr>
          <w:rFonts w:eastAsia="Malgun Gothic"/>
          <w:lang w:eastAsia="ko-KR"/>
        </w:rPr>
        <w:t xml:space="preserve">for the </w:t>
      </w:r>
      <w:r w:rsidR="004E2982" w:rsidRPr="00E95B01">
        <w:rPr>
          <w:rFonts w:eastAsia="Malgun Gothic"/>
          <w:lang w:eastAsia="ko-KR"/>
        </w:rPr>
        <w:t>remainder</w:t>
      </w:r>
      <w:r w:rsidR="00C66DCB" w:rsidRPr="00E95B01">
        <w:rPr>
          <w:rFonts w:eastAsia="Malgun Gothic"/>
          <w:lang w:eastAsia="ko-KR"/>
        </w:rPr>
        <w:t xml:space="preserve"> of the</w:t>
      </w:r>
      <w:r w:rsidR="000C48E1" w:rsidRPr="00E95B01">
        <w:rPr>
          <w:rFonts w:eastAsia="Malgun Gothic" w:hint="eastAsia"/>
          <w:lang w:eastAsia="ko-KR"/>
        </w:rPr>
        <w:t xml:space="preserve"> </w:t>
      </w:r>
      <w:r w:rsidR="004E2982" w:rsidRPr="00E95B01">
        <w:rPr>
          <w:rFonts w:eastAsia="Malgun Gothic"/>
          <w:lang w:eastAsia="ko-KR"/>
        </w:rPr>
        <w:t xml:space="preserve">current </w:t>
      </w:r>
      <w:r w:rsidR="000B3CA1" w:rsidRPr="00E95B01">
        <w:rPr>
          <w:rFonts w:eastAsia="Malgun Gothic" w:hint="eastAsia"/>
          <w:lang w:eastAsia="ko-KR"/>
        </w:rPr>
        <w:t xml:space="preserve">study period (2025-2028). </w:t>
      </w:r>
    </w:p>
    <w:p w14:paraId="51E68745" w14:textId="77777777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The need to continue, update the terms of reference, or terminate the JCA</w:t>
      </w:r>
    </w:p>
    <w:p w14:paraId="132D5B60" w14:textId="13222F88" w:rsidR="00E1178F" w:rsidRPr="00E95B01" w:rsidRDefault="004E2982" w:rsidP="00E1178F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 xml:space="preserve">It is proposed that </w:t>
      </w:r>
      <w:r w:rsidR="00E1178F" w:rsidRPr="00E95B01">
        <w:t>JCA-</w:t>
      </w:r>
      <w:r w:rsidR="000B3CA1" w:rsidRPr="00E95B01">
        <w:rPr>
          <w:rFonts w:eastAsia="Malgun Gothic" w:hint="eastAsia"/>
          <w:lang w:eastAsia="ko-KR"/>
        </w:rPr>
        <w:t>VHC</w:t>
      </w:r>
      <w:r w:rsidR="00E1178F" w:rsidRPr="00E95B01">
        <w:t xml:space="preserve"> should be continued</w:t>
      </w:r>
      <w:r w:rsidRPr="00E95B01">
        <w:t>. At present, there is no identified need</w:t>
      </w:r>
      <w:r w:rsidR="000C48E1" w:rsidRPr="00E95B01">
        <w:rPr>
          <w:rFonts w:eastAsia="Malgun Gothic" w:hint="eastAsia"/>
          <w:lang w:eastAsia="ko-KR"/>
        </w:rPr>
        <w:t xml:space="preserve"> </w:t>
      </w:r>
      <w:r w:rsidR="00E1178F" w:rsidRPr="00E95B01">
        <w:t>to update its terms of reference. However</w:t>
      </w:r>
      <w:r w:rsidR="00BF3F8C" w:rsidRPr="00E95B01">
        <w:rPr>
          <w:rFonts w:eastAsia="Malgun Gothic" w:hint="eastAsia"/>
          <w:lang w:eastAsia="ko-KR"/>
        </w:rPr>
        <w:t>,</w:t>
      </w:r>
      <w:r w:rsidR="00E1178F" w:rsidRPr="00E95B01">
        <w:t xml:space="preserve"> </w:t>
      </w:r>
      <w:r w:rsidR="000B3CA1" w:rsidRPr="00E95B01">
        <w:rPr>
          <w:rFonts w:eastAsia="Malgun Gothic" w:hint="eastAsia"/>
          <w:lang w:eastAsia="ko-KR"/>
        </w:rPr>
        <w:t>JCA-VHC</w:t>
      </w:r>
      <w:r w:rsidR="00E1178F" w:rsidRPr="00E95B01">
        <w:t xml:space="preserve"> will </w:t>
      </w:r>
      <w:r w:rsidRPr="00E95B01">
        <w:t xml:space="preserve">review the potential need to modify </w:t>
      </w:r>
      <w:r w:rsidR="00E1178F" w:rsidRPr="00E95B01">
        <w:t xml:space="preserve">its title and terms of reference to adapt to the </w:t>
      </w:r>
      <w:r w:rsidRPr="00E95B01">
        <w:t>evolving nature</w:t>
      </w:r>
      <w:r w:rsidR="00E1178F" w:rsidRPr="00E95B01">
        <w:t xml:space="preserve"> </w:t>
      </w:r>
      <w:r w:rsidRPr="00E95B01">
        <w:t xml:space="preserve">of </w:t>
      </w:r>
      <w:r w:rsidR="00E1178F" w:rsidRPr="00E95B01">
        <w:t>this domain.</w:t>
      </w:r>
    </w:p>
    <w:p w14:paraId="19A50BE3" w14:textId="163B22A6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Coordination issues addressed by the JCA during the reporting period, or on a yearly basis (as applicable)</w:t>
      </w:r>
    </w:p>
    <w:p w14:paraId="08F6A321" w14:textId="457B02D4" w:rsidR="00E1178F" w:rsidRPr="00E95B01" w:rsidRDefault="00E1178F" w:rsidP="00E1178F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>JCA-</w:t>
      </w:r>
      <w:r w:rsidR="000B3CA1" w:rsidRPr="00E95B01">
        <w:rPr>
          <w:rFonts w:eastAsia="Malgun Gothic" w:hint="eastAsia"/>
          <w:lang w:eastAsia="ko-KR"/>
        </w:rPr>
        <w:t xml:space="preserve">VHC </w:t>
      </w:r>
      <w:r w:rsidRPr="00E95B01">
        <w:t>addresses</w:t>
      </w:r>
      <w:r w:rsidR="000B3CA1" w:rsidRPr="00E95B01">
        <w:rPr>
          <w:rFonts w:eastAsia="Malgun Gothic" w:hint="eastAsia"/>
          <w:lang w:eastAsia="ko-KR"/>
        </w:rPr>
        <w:t xml:space="preserve"> standardization </w:t>
      </w:r>
      <w:r w:rsidR="004E2982" w:rsidRPr="00E95B01">
        <w:rPr>
          <w:rFonts w:eastAsia="Malgun Gothic"/>
          <w:lang w:eastAsia="ko-KR"/>
        </w:rPr>
        <w:t xml:space="preserve">coordination related to verifiable health credentials </w:t>
      </w:r>
      <w:r w:rsidR="004E2982" w:rsidRPr="00E95B01">
        <w:t>,</w:t>
      </w:r>
      <w:r w:rsidR="000B3CA1" w:rsidRPr="00E95B01">
        <w:rPr>
          <w:rFonts w:eastAsia="Malgun Gothic" w:hint="eastAsia"/>
          <w:lang w:eastAsia="ko-KR"/>
        </w:rPr>
        <w:t xml:space="preserve"> including digital COVID-19 certificates based on </w:t>
      </w:r>
      <w:r w:rsidRPr="00E95B01">
        <w:rPr>
          <w:rFonts w:eastAsia="Gulim"/>
          <w:color w:val="000000"/>
          <w:shd w:val="clear" w:color="auto" w:fill="FFFFFF"/>
        </w:rPr>
        <w:t xml:space="preserve">verifiable </w:t>
      </w:r>
      <w:r w:rsidR="000C48E1" w:rsidRPr="00E95B01">
        <w:rPr>
          <w:rFonts w:eastAsia="Gulim" w:hint="eastAsia"/>
          <w:color w:val="000000"/>
          <w:shd w:val="clear" w:color="auto" w:fill="FFFFFF"/>
          <w:lang w:eastAsia="ko-KR"/>
        </w:rPr>
        <w:t xml:space="preserve">health </w:t>
      </w:r>
      <w:r w:rsidRPr="00E95B01">
        <w:rPr>
          <w:rFonts w:eastAsia="Gulim"/>
          <w:color w:val="000000"/>
          <w:shd w:val="clear" w:color="auto" w:fill="FFFFFF"/>
        </w:rPr>
        <w:t>credential</w:t>
      </w:r>
      <w:r w:rsidR="004E2982" w:rsidRPr="00E95B01">
        <w:rPr>
          <w:rFonts w:eastAsia="Gulim"/>
          <w:color w:val="000000"/>
          <w:shd w:val="clear" w:color="auto" w:fill="FFFFFF"/>
        </w:rPr>
        <w:t>s</w:t>
      </w:r>
      <w:r w:rsidR="004E2982" w:rsidRPr="00E95B01">
        <w:rPr>
          <w:rFonts w:eastAsia="Gulim"/>
          <w:color w:val="000000"/>
          <w:shd w:val="clear" w:color="auto" w:fill="FFFFFF"/>
          <w:lang w:eastAsia="ko-KR"/>
        </w:rPr>
        <w:t xml:space="preserve">, </w:t>
      </w:r>
      <w:r w:rsidRPr="00E95B01">
        <w:rPr>
          <w:rFonts w:eastAsia="Gulim"/>
          <w:color w:val="000000"/>
          <w:shd w:val="clear" w:color="auto" w:fill="FFFFFF"/>
        </w:rPr>
        <w:t xml:space="preserve">digital </w:t>
      </w:r>
      <w:r w:rsidR="000B3CA1" w:rsidRPr="00E95B01">
        <w:rPr>
          <w:rFonts w:eastAsia="Gulim" w:hint="eastAsia"/>
          <w:color w:val="000000"/>
          <w:shd w:val="clear" w:color="auto" w:fill="FFFFFF"/>
          <w:lang w:eastAsia="ko-KR"/>
        </w:rPr>
        <w:t xml:space="preserve">health </w:t>
      </w:r>
      <w:r w:rsidRPr="00E95B01">
        <w:rPr>
          <w:rFonts w:eastAsia="Gulim"/>
          <w:color w:val="000000"/>
          <w:shd w:val="clear" w:color="auto" w:fill="FFFFFF"/>
        </w:rPr>
        <w:t>wallet</w:t>
      </w:r>
      <w:r w:rsidR="004E2982" w:rsidRPr="00E95B01">
        <w:rPr>
          <w:rFonts w:eastAsia="Gulim"/>
          <w:color w:val="000000"/>
          <w:shd w:val="clear" w:color="auto" w:fill="FFFFFF"/>
        </w:rPr>
        <w:t>s and related enabling technologies</w:t>
      </w:r>
      <w:r w:rsidRPr="00E95B01">
        <w:rPr>
          <w:rFonts w:eastAsia="Gulim"/>
          <w:color w:val="000000"/>
          <w:shd w:val="clear" w:color="auto" w:fill="FFFFFF"/>
        </w:rPr>
        <w:t>.</w:t>
      </w:r>
    </w:p>
    <w:p w14:paraId="1B645098" w14:textId="77777777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Number of meetings held and the concrete outcomes achieved at each meeting</w:t>
      </w:r>
    </w:p>
    <w:p w14:paraId="324927CE" w14:textId="6A351C65" w:rsidR="006B522A" w:rsidRPr="00E95B01" w:rsidRDefault="006B522A" w:rsidP="004E2982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rPr>
          <w:color w:val="222222"/>
          <w:shd w:val="clear" w:color="auto" w:fill="FFFFFF"/>
        </w:rPr>
        <w:t>JCA-</w:t>
      </w:r>
      <w:r w:rsidR="00E1123D" w:rsidRPr="00E95B01">
        <w:rPr>
          <w:rFonts w:eastAsia="Malgun Gothic" w:hint="eastAsia"/>
          <w:color w:val="222222"/>
          <w:shd w:val="clear" w:color="auto" w:fill="FFFFFF"/>
          <w:lang w:eastAsia="ko-KR"/>
        </w:rPr>
        <w:t xml:space="preserve">VHC started as </w:t>
      </w:r>
      <w:hyperlink r:id="rId16" w:history="1">
        <w:r w:rsidR="00E1123D" w:rsidRPr="00E95B01">
          <w:rPr>
            <w:rStyle w:val="Hyperlink"/>
            <w:rFonts w:eastAsia="Malgun Gothic" w:hint="eastAsia"/>
            <w:shd w:val="clear" w:color="auto" w:fill="FFFFFF"/>
            <w:lang w:eastAsia="ko-KR"/>
          </w:rPr>
          <w:t>JCA-DCC</w:t>
        </w:r>
      </w:hyperlink>
      <w:r w:rsidR="004E2982" w:rsidRPr="00E95B01">
        <w:t xml:space="preserve"> </w:t>
      </w:r>
      <w:r w:rsidR="004E2982" w:rsidRPr="00E95B01">
        <w:rPr>
          <w:rFonts w:eastAsia="Malgun Gothic"/>
          <w:color w:val="222222"/>
          <w:shd w:val="clear" w:color="auto" w:fill="FFFFFF"/>
          <w:lang w:eastAsia="ko-KR"/>
        </w:rPr>
        <w:t>and</w:t>
      </w:r>
      <w:r w:rsidRPr="00E95B01">
        <w:rPr>
          <w:color w:val="222222"/>
          <w:shd w:val="clear" w:color="auto" w:fill="FFFFFF"/>
        </w:rPr>
        <w:t xml:space="preserve"> has a </w:t>
      </w:r>
      <w:r w:rsidR="00E1123D" w:rsidRPr="00E95B01">
        <w:rPr>
          <w:rFonts w:eastAsia="Malgun Gothic" w:hint="eastAsia"/>
          <w:color w:val="222222"/>
          <w:shd w:val="clear" w:color="auto" w:fill="FFFFFF"/>
          <w:lang w:eastAsia="ko-KR"/>
        </w:rPr>
        <w:t xml:space="preserve">relatively short </w:t>
      </w:r>
      <w:r w:rsidRPr="00E95B01">
        <w:rPr>
          <w:color w:val="222222"/>
          <w:shd w:val="clear" w:color="auto" w:fill="FFFFFF"/>
        </w:rPr>
        <w:t xml:space="preserve">history. Since </w:t>
      </w:r>
      <w:r w:rsidR="00C66DCB" w:rsidRPr="00E95B01">
        <w:rPr>
          <w:color w:val="222222"/>
          <w:shd w:val="clear" w:color="auto" w:fill="FFFFFF"/>
        </w:rPr>
        <w:t xml:space="preserve">JCA-DCC’s </w:t>
      </w:r>
      <w:r w:rsidRPr="00E95B01">
        <w:rPr>
          <w:color w:val="222222"/>
          <w:shd w:val="clear" w:color="auto" w:fill="FFFFFF"/>
        </w:rPr>
        <w:t>1</w:t>
      </w:r>
      <w:r w:rsidRPr="00E95B01">
        <w:rPr>
          <w:color w:val="222222"/>
          <w:shd w:val="clear" w:color="auto" w:fill="FFFFFF"/>
          <w:vertAlign w:val="superscript"/>
        </w:rPr>
        <w:t>st</w:t>
      </w:r>
      <w:r w:rsidRPr="00E95B01">
        <w:rPr>
          <w:color w:val="222222"/>
          <w:shd w:val="clear" w:color="auto" w:fill="FFFFFF"/>
        </w:rPr>
        <w:t xml:space="preserve"> meeting in </w:t>
      </w:r>
      <w:r w:rsidR="00E1123D" w:rsidRPr="00E95B01">
        <w:rPr>
          <w:rFonts w:eastAsia="Malgun Gothic" w:hint="eastAsia"/>
          <w:color w:val="222222"/>
          <w:shd w:val="clear" w:color="auto" w:fill="FFFFFF"/>
          <w:lang w:eastAsia="ko-KR"/>
        </w:rPr>
        <w:t xml:space="preserve">February </w:t>
      </w:r>
      <w:r w:rsidRPr="00E95B01">
        <w:rPr>
          <w:color w:val="222222"/>
          <w:shd w:val="clear" w:color="auto" w:fill="FFFFFF"/>
        </w:rPr>
        <w:t>20</w:t>
      </w:r>
      <w:r w:rsidR="00E1123D" w:rsidRPr="00E95B01">
        <w:rPr>
          <w:rFonts w:eastAsia="Malgun Gothic" w:hint="eastAsia"/>
          <w:color w:val="222222"/>
          <w:shd w:val="clear" w:color="auto" w:fill="FFFFFF"/>
          <w:lang w:eastAsia="ko-KR"/>
        </w:rPr>
        <w:t>23</w:t>
      </w:r>
      <w:r w:rsidRPr="00E95B01">
        <w:rPr>
          <w:color w:val="222222"/>
          <w:shd w:val="clear" w:color="auto" w:fill="FFFFFF"/>
        </w:rPr>
        <w:t xml:space="preserve">, </w:t>
      </w:r>
      <w:r w:rsidR="00173F06" w:rsidRPr="00E95B01">
        <w:rPr>
          <w:color w:val="222222"/>
          <w:shd w:val="clear" w:color="auto" w:fill="FFFFFF"/>
        </w:rPr>
        <w:t>a total of</w:t>
      </w:r>
      <w:r w:rsidRPr="00E95B01">
        <w:rPr>
          <w:color w:val="222222"/>
          <w:shd w:val="clear" w:color="auto" w:fill="FFFFFF"/>
        </w:rPr>
        <w:t xml:space="preserve"> </w:t>
      </w:r>
      <w:r w:rsidR="00E1123D" w:rsidRPr="00E95B01">
        <w:rPr>
          <w:rFonts w:eastAsia="Malgun Gothic" w:hint="eastAsia"/>
          <w:color w:val="222222"/>
          <w:shd w:val="clear" w:color="auto" w:fill="FFFFFF"/>
          <w:lang w:eastAsia="ko-KR"/>
        </w:rPr>
        <w:t>7</w:t>
      </w:r>
      <w:r w:rsidRPr="00E95B01">
        <w:rPr>
          <w:color w:val="222222"/>
          <w:shd w:val="clear" w:color="auto" w:fill="FFFFFF"/>
        </w:rPr>
        <w:t xml:space="preserve"> meetings so far. All info, docs and reports of its meetings are available at its </w:t>
      </w:r>
      <w:hyperlink r:id="rId17" w:history="1">
        <w:r w:rsidRPr="00E95B01">
          <w:rPr>
            <w:rStyle w:val="Hyperlink"/>
            <w:shd w:val="clear" w:color="auto" w:fill="FFFFFF"/>
          </w:rPr>
          <w:t>homepage</w:t>
        </w:r>
      </w:hyperlink>
      <w:r w:rsidRPr="00E95B01">
        <w:rPr>
          <w:color w:val="222222"/>
          <w:shd w:val="clear" w:color="auto" w:fill="FFFFFF"/>
        </w:rPr>
        <w:t xml:space="preserve">. </w:t>
      </w:r>
      <w:r w:rsidRPr="00E95B01">
        <w:t xml:space="preserve"> </w:t>
      </w:r>
      <w:r w:rsidR="00E1123D" w:rsidRPr="00E95B01">
        <w:t xml:space="preserve">In May 2025, JCA-DCC was terminated and TSAG established </w:t>
      </w:r>
      <w:hyperlink r:id="rId18" w:history="1">
        <w:r w:rsidR="00E1123D" w:rsidRPr="00E95B01">
          <w:rPr>
            <w:rStyle w:val="Hyperlink"/>
          </w:rPr>
          <w:t>Joint Coordination Activity on Verifiable Health Credentials (JCA-VHC)</w:t>
        </w:r>
      </w:hyperlink>
      <w:r w:rsidR="00E1123D" w:rsidRPr="00E95B01">
        <w:t xml:space="preserve"> to continue under a new ToR</w:t>
      </w:r>
      <w:r w:rsidR="00E1123D" w:rsidRPr="00E95B01">
        <w:rPr>
          <w:rFonts w:eastAsia="Malgun Gothic" w:hint="eastAsia"/>
          <w:lang w:eastAsia="ko-KR"/>
        </w:rPr>
        <w:t>.</w:t>
      </w:r>
    </w:p>
    <w:p w14:paraId="7274A3DE" w14:textId="4AE581B3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Deliverables developed and maintained under the JCA (e.g., roadmaps, gap analyses)</w:t>
      </w:r>
    </w:p>
    <w:p w14:paraId="14599892" w14:textId="1BD01B86" w:rsidR="006B522A" w:rsidRPr="00E95B01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 xml:space="preserve">Over the </w:t>
      </w:r>
      <w:r w:rsidR="00E1123D" w:rsidRPr="00E95B01">
        <w:rPr>
          <w:rFonts w:eastAsia="Malgun Gothic" w:hint="eastAsia"/>
          <w:lang w:eastAsia="ko-KR"/>
        </w:rPr>
        <w:t>7</w:t>
      </w:r>
      <w:r w:rsidRPr="00E95B01">
        <w:t xml:space="preserve"> meetings, </w:t>
      </w:r>
      <w:r w:rsidR="00173F06" w:rsidRPr="00E95B01">
        <w:t>the</w:t>
      </w:r>
      <w:r w:rsidRPr="00E95B01">
        <w:t xml:space="preserve"> outcomes can be summarised as:</w:t>
      </w:r>
    </w:p>
    <w:p w14:paraId="44BAB626" w14:textId="77777777" w:rsidR="006B522A" w:rsidRPr="00E95B01" w:rsidRDefault="006B522A" w:rsidP="006B522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rPr>
          <w:color w:val="222222"/>
          <w:lang w:val="en-US" w:eastAsia="en-US"/>
        </w:rPr>
      </w:pPr>
      <w:r w:rsidRPr="00E95B01">
        <w:rPr>
          <w:color w:val="222222"/>
        </w:rPr>
        <w:t>participating organizations shared information of their activities and work progress, and</w:t>
      </w:r>
    </w:p>
    <w:p w14:paraId="76938D6E" w14:textId="2ABDEE56" w:rsidR="006B522A" w:rsidRPr="00E95B01" w:rsidRDefault="00173F06" w:rsidP="006B522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hyperlink r:id="rId19" w:history="1">
        <w:r w:rsidRPr="00E95B01">
          <w:rPr>
            <w:rStyle w:val="Hyperlink"/>
          </w:rPr>
          <w:t>JCA-VHC roadmap</w:t>
        </w:r>
      </w:hyperlink>
      <w:r w:rsidR="006B522A" w:rsidRPr="00E95B01">
        <w:rPr>
          <w:color w:val="222222"/>
        </w:rPr>
        <w:t xml:space="preserve"> was reviewed and updated after each meeting and kept up to date.</w:t>
      </w:r>
    </w:p>
    <w:p w14:paraId="7FBF74E1" w14:textId="24EF1FDF" w:rsidR="00E1178F" w:rsidRPr="00E95B01" w:rsidRDefault="00CC20DB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rPr>
          <w:rFonts w:eastAsia="Malgun Gothic" w:hint="eastAsia"/>
          <w:lang w:eastAsia="ko-KR"/>
        </w:rPr>
        <w:t>N</w:t>
      </w:r>
      <w:r w:rsidR="00E1178F" w:rsidRPr="00E95B01">
        <w:t>umber of participants and different entities represented at JCA meetings</w:t>
      </w:r>
    </w:p>
    <w:p w14:paraId="172213D1" w14:textId="7C7E91C5" w:rsidR="006B522A" w:rsidRPr="00E95B01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 xml:space="preserve">Across its </w:t>
      </w:r>
      <w:r w:rsidR="00E1123D" w:rsidRPr="00E95B01">
        <w:rPr>
          <w:rFonts w:eastAsia="Malgun Gothic" w:hint="eastAsia"/>
          <w:lang w:eastAsia="ko-KR"/>
        </w:rPr>
        <w:t>7</w:t>
      </w:r>
      <w:r w:rsidRPr="00E95B01">
        <w:t xml:space="preserve"> meetings 10-</w:t>
      </w:r>
      <w:r w:rsidR="000E7E5E" w:rsidRPr="00E95B01">
        <w:rPr>
          <w:rFonts w:eastAsia="Malgun Gothic" w:hint="eastAsia"/>
          <w:lang w:eastAsia="ko-KR"/>
        </w:rPr>
        <w:t>45</w:t>
      </w:r>
      <w:r w:rsidRPr="00E95B01">
        <w:t xml:space="preserve"> persons participated with an average estimated at </w:t>
      </w:r>
      <w:r w:rsidR="000E7E5E" w:rsidRPr="00E95B01">
        <w:rPr>
          <w:rFonts w:eastAsia="Malgun Gothic" w:hint="eastAsia"/>
          <w:lang w:eastAsia="ko-KR"/>
        </w:rPr>
        <w:t>25</w:t>
      </w:r>
      <w:r w:rsidRPr="00E95B01">
        <w:t xml:space="preserve"> participants. </w:t>
      </w:r>
      <w:r w:rsidRPr="00E95B01">
        <w:rPr>
          <w:rFonts w:eastAsia="Gulim"/>
          <w:color w:val="222222"/>
          <w:shd w:val="clear" w:color="auto" w:fill="FFFFFF"/>
        </w:rPr>
        <w:t>Representatives from the following entities participated: ITU-T internal from ITU-T SGs (1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>6</w:t>
      </w:r>
      <w:r w:rsidRPr="00E95B01">
        <w:rPr>
          <w:rFonts w:eastAsia="Gulim"/>
          <w:color w:val="222222"/>
          <w:shd w:val="clear" w:color="auto" w:fill="FFFFFF"/>
        </w:rPr>
        <w:t xml:space="preserve">, 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>20</w:t>
      </w:r>
      <w:r w:rsidRPr="00E95B01">
        <w:rPr>
          <w:rFonts w:eastAsia="Gulim"/>
          <w:color w:val="222222"/>
          <w:shd w:val="clear" w:color="auto" w:fill="FFFFFF"/>
        </w:rPr>
        <w:t xml:space="preserve">); and external organizations 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>ECMA, ETS</w:t>
      </w:r>
      <w:r w:rsidR="00C454BB" w:rsidRPr="00E95B01">
        <w:rPr>
          <w:rFonts w:eastAsia="Gulim" w:hint="eastAsia"/>
          <w:color w:val="222222"/>
          <w:shd w:val="clear" w:color="auto" w:fill="FFFFFF"/>
          <w:lang w:eastAsia="ko-KR"/>
        </w:rPr>
        <w:t>I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 xml:space="preserve">, EC, ICAO, </w:t>
      </w:r>
      <w:r w:rsidRPr="00E95B01">
        <w:rPr>
          <w:rFonts w:eastAsia="Gulim"/>
          <w:color w:val="222222"/>
          <w:shd w:val="clear" w:color="auto" w:fill="FFFFFF"/>
        </w:rPr>
        <w:t xml:space="preserve">ISO/IEC JTC 1/SCs (7, 27), 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>W3C, WHO</w:t>
      </w:r>
      <w:r w:rsidRPr="00E95B01">
        <w:rPr>
          <w:rFonts w:eastAsia="Gulim"/>
          <w:color w:val="222222"/>
          <w:shd w:val="clear" w:color="auto" w:fill="FFFFFF"/>
        </w:rPr>
        <w:t>.</w:t>
      </w:r>
    </w:p>
    <w:p w14:paraId="6EF3D7E4" w14:textId="77777777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>Number of input documents submitted to JCA meetings</w:t>
      </w:r>
    </w:p>
    <w:p w14:paraId="7158BB2E" w14:textId="031C4F9D" w:rsidR="006B522A" w:rsidRPr="00E95B01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r w:rsidRPr="00E95B01">
        <w:t>JCA-</w:t>
      </w:r>
      <w:r w:rsidR="009C3BE1" w:rsidRPr="00E95B01">
        <w:rPr>
          <w:rFonts w:eastAsia="Malgun Gothic" w:hint="eastAsia"/>
          <w:lang w:eastAsia="ko-KR"/>
        </w:rPr>
        <w:t>VHC</w:t>
      </w:r>
      <w:r w:rsidR="00C66DCB" w:rsidRPr="00E95B01">
        <w:rPr>
          <w:rFonts w:eastAsia="Malgun Gothic"/>
          <w:lang w:eastAsia="ko-KR"/>
        </w:rPr>
        <w:t xml:space="preserve"> has not received any input documents, however, looking at the history, JCA-DCC</w:t>
      </w:r>
      <w:r w:rsidRPr="00E95B01">
        <w:t xml:space="preserve"> received </w:t>
      </w:r>
      <w:r w:rsidR="00C66DCB" w:rsidRPr="00E95B01">
        <w:rPr>
          <w:rFonts w:eastAsia="Malgun Gothic"/>
          <w:lang w:eastAsia="ko-KR"/>
        </w:rPr>
        <w:t>79</w:t>
      </w:r>
      <w:r w:rsidR="00C66DCB" w:rsidRPr="00E95B01">
        <w:t xml:space="preserve"> </w:t>
      </w:r>
      <w:r w:rsidRPr="00E95B01">
        <w:t xml:space="preserve">input documents </w:t>
      </w:r>
      <w:r w:rsidR="000E7E5E" w:rsidRPr="00E95B01">
        <w:rPr>
          <w:rFonts w:eastAsia="Malgun Gothic" w:hint="eastAsia"/>
          <w:lang w:eastAsia="ko-KR"/>
        </w:rPr>
        <w:t>(including revision</w:t>
      </w:r>
      <w:r w:rsidR="00C66DCB" w:rsidRPr="00E95B01">
        <w:rPr>
          <w:rFonts w:eastAsia="Malgun Gothic"/>
          <w:lang w:eastAsia="ko-KR"/>
        </w:rPr>
        <w:t>s</w:t>
      </w:r>
      <w:r w:rsidR="000E7E5E" w:rsidRPr="00E95B01">
        <w:rPr>
          <w:rFonts w:eastAsia="Malgun Gothic" w:hint="eastAsia"/>
          <w:lang w:eastAsia="ko-KR"/>
        </w:rPr>
        <w:t xml:space="preserve">) </w:t>
      </w:r>
      <w:r w:rsidRPr="00E95B01">
        <w:t xml:space="preserve">in </w:t>
      </w:r>
      <w:r w:rsidR="00E1123D" w:rsidRPr="00E95B01">
        <w:rPr>
          <w:rFonts w:eastAsia="Malgun Gothic" w:hint="eastAsia"/>
          <w:lang w:eastAsia="ko-KR"/>
        </w:rPr>
        <w:t>7</w:t>
      </w:r>
      <w:r w:rsidRPr="00E95B01">
        <w:t xml:space="preserve"> meetings so an average of </w:t>
      </w:r>
      <w:r w:rsidR="00C77E9A" w:rsidRPr="00E95B01">
        <w:rPr>
          <w:rFonts w:eastAsia="Malgun Gothic" w:hint="eastAsia"/>
          <w:lang w:eastAsia="ko-KR"/>
        </w:rPr>
        <w:t>1</w:t>
      </w:r>
      <w:r w:rsidR="00C77E9A" w:rsidRPr="00E95B01">
        <w:rPr>
          <w:rFonts w:eastAsia="Malgun Gothic"/>
          <w:lang w:eastAsia="ko-KR"/>
        </w:rPr>
        <w:t>1</w:t>
      </w:r>
      <w:r w:rsidR="00C77E9A" w:rsidRPr="00E95B01">
        <w:t xml:space="preserve"> </w:t>
      </w:r>
      <w:r w:rsidRPr="00E95B01">
        <w:t>input documents per meeting.</w:t>
      </w:r>
    </w:p>
    <w:p w14:paraId="1BAE4549" w14:textId="77777777" w:rsidR="00E1178F" w:rsidRPr="00E95B01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E95B01">
        <w:t xml:space="preserve">Number of active liaison relationships maintained with external bodies and ITU </w:t>
      </w:r>
      <w:r w:rsidRPr="005005DC">
        <w:t>Study Group</w:t>
      </w:r>
      <w:r w:rsidRPr="00E95B01">
        <w:t>s</w:t>
      </w:r>
    </w:p>
    <w:p w14:paraId="7AA3531C" w14:textId="5D63D21F" w:rsidR="006B522A" w:rsidRPr="00E95B01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Gulim"/>
          <w:color w:val="222222"/>
          <w:shd w:val="clear" w:color="auto" w:fill="FFFFFF"/>
        </w:rPr>
      </w:pPr>
      <w:r w:rsidRPr="00E95B01">
        <w:rPr>
          <w:rFonts w:eastAsia="Gulim"/>
          <w:color w:val="222222"/>
          <w:shd w:val="clear" w:color="auto" w:fill="FFFFFF"/>
        </w:rPr>
        <w:t xml:space="preserve">According to the </w:t>
      </w:r>
      <w:hyperlink r:id="rId20" w:history="1">
        <w:r w:rsidRPr="00E95B01">
          <w:rPr>
            <w:rStyle w:val="Hyperlink"/>
            <w:rFonts w:eastAsia="Gulim"/>
            <w:shd w:val="clear" w:color="auto" w:fill="FFFFFF"/>
          </w:rPr>
          <w:t>ITU-T LS database</w:t>
        </w:r>
      </w:hyperlink>
      <w:r w:rsidRPr="00E95B01">
        <w:rPr>
          <w:rFonts w:eastAsia="Gulim"/>
          <w:color w:val="222222"/>
          <w:shd w:val="clear" w:color="auto" w:fill="FFFFFF"/>
        </w:rPr>
        <w:t>, JCA-</w:t>
      </w:r>
      <w:r w:rsidR="00C77E9A" w:rsidRPr="00E95B01">
        <w:rPr>
          <w:rFonts w:eastAsia="Gulim"/>
          <w:color w:val="222222"/>
          <w:shd w:val="clear" w:color="auto" w:fill="FFFFFF"/>
          <w:lang w:eastAsia="ko-KR"/>
        </w:rPr>
        <w:t>DC</w:t>
      </w:r>
      <w:r w:rsidR="00C77E9A" w:rsidRPr="00E95B01">
        <w:rPr>
          <w:rFonts w:eastAsia="Gulim" w:hint="eastAsia"/>
          <w:color w:val="222222"/>
          <w:shd w:val="clear" w:color="auto" w:fill="FFFFFF"/>
          <w:lang w:eastAsia="ko-KR"/>
        </w:rPr>
        <w:t>C</w:t>
      </w:r>
      <w:r w:rsidR="00C77E9A" w:rsidRPr="00E95B01">
        <w:rPr>
          <w:rFonts w:eastAsia="Gulim"/>
          <w:color w:val="222222"/>
          <w:shd w:val="clear" w:color="auto" w:fill="FFFFFF"/>
        </w:rPr>
        <w:t xml:space="preserve"> </w:t>
      </w:r>
      <w:r w:rsidRPr="00E95B01">
        <w:rPr>
          <w:rFonts w:eastAsia="Gulim"/>
          <w:color w:val="222222"/>
          <w:shd w:val="clear" w:color="auto" w:fill="FFFFFF"/>
        </w:rPr>
        <w:t>sent 7 LSo during 2</w:t>
      </w:r>
      <w:r w:rsidR="000E7E5E" w:rsidRPr="00E95B01">
        <w:rPr>
          <w:rFonts w:eastAsia="Gulim" w:hint="eastAsia"/>
          <w:color w:val="222222"/>
          <w:shd w:val="clear" w:color="auto" w:fill="FFFFFF"/>
          <w:lang w:eastAsia="ko-KR"/>
        </w:rPr>
        <w:t>022-2024</w:t>
      </w:r>
      <w:r w:rsidRPr="00E95B01">
        <w:rPr>
          <w:rFonts w:eastAsia="Gulim"/>
          <w:color w:val="222222"/>
          <w:shd w:val="clear" w:color="auto" w:fill="FFFFFF"/>
        </w:rPr>
        <w:t>.</w:t>
      </w:r>
    </w:p>
    <w:p w14:paraId="3110FF34" w14:textId="0DE064E2" w:rsidR="00173F06" w:rsidRPr="00E95B01" w:rsidRDefault="00173F06" w:rsidP="006B522A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Gulim"/>
          <w:color w:val="222222"/>
          <w:shd w:val="clear" w:color="auto" w:fill="FFFFFF"/>
        </w:rPr>
      </w:pPr>
      <w:r w:rsidRPr="00E95B01">
        <w:rPr>
          <w:rFonts w:eastAsia="Gulim"/>
          <w:color w:val="222222"/>
          <w:shd w:val="clear" w:color="auto" w:fill="FFFFFF"/>
        </w:rPr>
        <w:lastRenderedPageBreak/>
        <w:t xml:space="preserve">Across all 7 meetings, </w:t>
      </w:r>
      <w:r w:rsidR="00886313" w:rsidRPr="00E95B01">
        <w:rPr>
          <w:rFonts w:eastAsia="Gulim"/>
          <w:color w:val="222222"/>
          <w:shd w:val="clear" w:color="auto" w:fill="FFFFFF"/>
        </w:rPr>
        <w:t>JCA-DCC/JCA-VHC maintained active coordination with a broad range of ITU-T Study Groups and external organizations. Updates and contributions were received from ITU-T FG-AI4H (now concluded), Study Groups 17 and 20, ECMA TC51, ETSI eHealth, the European Commission, ISO/TC 215, ISO/IEC JTC 1/SC 17, SC 27 and SC 31, HL7 International, the Joint Initiative Council, the World Health Organization (WHO), as well as from the Member State China.</w:t>
      </w:r>
    </w:p>
    <w:p w14:paraId="05467CA4" w14:textId="29719285" w:rsidR="00003C58" w:rsidRPr="00E95B01" w:rsidRDefault="000E7E5E" w:rsidP="00003C58">
      <w:pPr>
        <w:rPr>
          <w:rFonts w:eastAsia="Malgun Gothic"/>
          <w:lang w:eastAsia="ko-KR"/>
        </w:rPr>
      </w:pPr>
      <w:r w:rsidRPr="00E95B01">
        <w:rPr>
          <w:rFonts w:eastAsia="Malgun Gothic" w:hint="eastAsia"/>
          <w:lang w:val="en-US" w:eastAsia="ko-KR"/>
        </w:rPr>
        <w:t>JCA-VHC</w:t>
      </w:r>
      <w:r w:rsidR="000A349E" w:rsidRPr="00E95B01">
        <w:rPr>
          <w:lang w:val="en-US"/>
        </w:rPr>
        <w:t xml:space="preserve"> hope</w:t>
      </w:r>
      <w:r w:rsidR="00C53248" w:rsidRPr="00E95B01">
        <w:rPr>
          <w:rFonts w:eastAsia="Malgun Gothic" w:hint="eastAsia"/>
          <w:lang w:val="en-US" w:eastAsia="ko-KR"/>
        </w:rPr>
        <w:t>s</w:t>
      </w:r>
      <w:r w:rsidR="000A349E" w:rsidRPr="00E95B01">
        <w:rPr>
          <w:lang w:val="en-US"/>
        </w:rPr>
        <w:t xml:space="preserve"> these answers to be discussed during this TSAG meeting or that TSAG provides a way forward to discuss them.</w:t>
      </w:r>
      <w:r w:rsidR="00C53248" w:rsidRPr="00E95B01">
        <w:rPr>
          <w:rFonts w:eastAsia="Malgun Gothic" w:hint="eastAsia"/>
          <w:lang w:val="en-US" w:eastAsia="ko-KR"/>
        </w:rPr>
        <w:t xml:space="preserve"> </w:t>
      </w:r>
      <w:r w:rsidRPr="00E95B01">
        <w:rPr>
          <w:rFonts w:asciiTheme="majorBidi" w:hAnsiTheme="majorBidi" w:cstheme="majorBidi"/>
        </w:rPr>
        <w:t>TSAG is requested to endorse the operation of JCA-VHC (as a continuation of the activities of JCA-DCC) in the 2025-2028 Study Period</w:t>
      </w:r>
      <w:r w:rsidR="00BA20E8" w:rsidRPr="00E95B01">
        <w:rPr>
          <w:rFonts w:asciiTheme="majorBidi" w:eastAsia="Malgun Gothic" w:hAnsiTheme="majorBidi" w:cstheme="majorBidi" w:hint="eastAsia"/>
          <w:lang w:eastAsia="ko-KR"/>
        </w:rPr>
        <w:t xml:space="preserve"> </w:t>
      </w:r>
      <w:r w:rsidR="00BA20E8" w:rsidRPr="00E95B01">
        <w:rPr>
          <w:rFonts w:asciiTheme="majorBidi" w:eastAsia="Malgun Gothic" w:hAnsiTheme="majorBidi" w:cstheme="majorBidi"/>
          <w:lang w:eastAsia="ko-KR"/>
        </w:rPr>
        <w:t>or to advise the way forward meeting its objective</w:t>
      </w:r>
      <w:r w:rsidRPr="00E95B01">
        <w:rPr>
          <w:rFonts w:asciiTheme="majorBidi" w:eastAsia="Malgun Gothic" w:hAnsiTheme="majorBidi" w:cstheme="majorBidi" w:hint="eastAsia"/>
          <w:lang w:eastAsia="ko-KR"/>
        </w:rPr>
        <w:t>.</w:t>
      </w:r>
      <w:r w:rsidR="00C41258" w:rsidRPr="00E95B01">
        <w:rPr>
          <w:rFonts w:asciiTheme="majorBidi" w:eastAsia="Malgun Gothic" w:hAnsiTheme="majorBidi" w:cstheme="majorBidi" w:hint="eastAsia"/>
          <w:lang w:eastAsia="ko-KR"/>
        </w:rPr>
        <w:t xml:space="preserve"> </w:t>
      </w:r>
    </w:p>
    <w:p w14:paraId="2D2604F0" w14:textId="11D3CC04" w:rsidR="00E71046" w:rsidRDefault="00E71046" w:rsidP="00003C58">
      <w:pPr>
        <w:jc w:val="center"/>
      </w:pPr>
      <w:r w:rsidRPr="00E95B01">
        <w:t>_______________________</w:t>
      </w:r>
    </w:p>
    <w:p w14:paraId="269839DD" w14:textId="77777777" w:rsidR="00BF1C1D" w:rsidRDefault="00BF1C1D" w:rsidP="00E71046">
      <w:pPr>
        <w:jc w:val="center"/>
      </w:pPr>
    </w:p>
    <w:sectPr w:rsidR="00BF1C1D" w:rsidSect="005005DC">
      <w:headerReference w:type="default" r:id="rId2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B20F" w14:textId="77777777" w:rsidR="009D140E" w:rsidRDefault="009D140E" w:rsidP="00C42125">
      <w:pPr>
        <w:spacing w:before="0"/>
      </w:pPr>
      <w:r>
        <w:separator/>
      </w:r>
    </w:p>
  </w:endnote>
  <w:endnote w:type="continuationSeparator" w:id="0">
    <w:p w14:paraId="06D8338C" w14:textId="77777777" w:rsidR="009D140E" w:rsidRDefault="009D140E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AB3D" w14:textId="77777777" w:rsidR="009D140E" w:rsidRDefault="009D140E" w:rsidP="00C42125">
      <w:pPr>
        <w:spacing w:before="0"/>
      </w:pPr>
      <w:r>
        <w:separator/>
      </w:r>
    </w:p>
  </w:footnote>
  <w:footnote w:type="continuationSeparator" w:id="0">
    <w:p w14:paraId="16396A23" w14:textId="77777777" w:rsidR="009D140E" w:rsidRDefault="009D140E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E834" w14:textId="4FB7195A" w:rsidR="005976A1" w:rsidRPr="005005DC" w:rsidRDefault="005005DC" w:rsidP="005005DC">
    <w:pPr>
      <w:pStyle w:val="Header"/>
    </w:pPr>
    <w:r w:rsidRPr="005005DC">
      <w:t xml:space="preserve">- </w:t>
    </w:r>
    <w:r w:rsidRPr="005005DC">
      <w:fldChar w:fldCharType="begin"/>
    </w:r>
    <w:r w:rsidRPr="005005DC">
      <w:instrText xml:space="preserve"> PAGE  \* MERGEFORMAT </w:instrText>
    </w:r>
    <w:r w:rsidRPr="005005DC">
      <w:fldChar w:fldCharType="separate"/>
    </w:r>
    <w:r w:rsidRPr="005005DC">
      <w:rPr>
        <w:noProof/>
      </w:rPr>
      <w:t>1</w:t>
    </w:r>
    <w:r w:rsidRPr="005005DC">
      <w:fldChar w:fldCharType="end"/>
    </w:r>
    <w:r w:rsidRPr="005005DC">
      <w:t xml:space="preserve"> -</w:t>
    </w:r>
  </w:p>
  <w:p w14:paraId="45C2AE8E" w14:textId="0CCBADC9" w:rsidR="005005DC" w:rsidRPr="005005DC" w:rsidRDefault="005005DC" w:rsidP="005005DC">
    <w:pPr>
      <w:pStyle w:val="Header"/>
      <w:spacing w:after="240"/>
    </w:pPr>
    <w:r w:rsidRPr="005005DC">
      <w:fldChar w:fldCharType="begin"/>
    </w:r>
    <w:r w:rsidRPr="005005DC">
      <w:instrText xml:space="preserve"> STYLEREF  Docnumber  </w:instrText>
    </w:r>
    <w:r w:rsidRPr="005005DC">
      <w:fldChar w:fldCharType="separate"/>
    </w:r>
    <w:r w:rsidR="000959E2">
      <w:rPr>
        <w:noProof/>
      </w:rPr>
      <w:t>TSAG-TD174</w:t>
    </w:r>
    <w:r w:rsidRPr="005005D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3445"/>
    <w:multiLevelType w:val="hybridMultilevel"/>
    <w:tmpl w:val="9A3EB756"/>
    <w:lvl w:ilvl="0" w:tplc="86FE1E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1B28"/>
    <w:multiLevelType w:val="hybridMultilevel"/>
    <w:tmpl w:val="E9D07FF0"/>
    <w:lvl w:ilvl="0" w:tplc="506A560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68FA"/>
    <w:multiLevelType w:val="hybridMultilevel"/>
    <w:tmpl w:val="86FE1FD4"/>
    <w:lvl w:ilvl="0" w:tplc="F2BCAB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452A2"/>
    <w:multiLevelType w:val="multilevel"/>
    <w:tmpl w:val="AC34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  <w:num w:numId="11" w16cid:durableId="931936130">
    <w:abstractNumId w:val="10"/>
  </w:num>
  <w:num w:numId="12" w16cid:durableId="971593202">
    <w:abstractNumId w:val="12"/>
  </w:num>
  <w:num w:numId="13" w16cid:durableId="326520851">
    <w:abstractNumId w:val="11"/>
  </w:num>
  <w:num w:numId="14" w16cid:durableId="188521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03266"/>
    <w:rsid w:val="00003C58"/>
    <w:rsid w:val="00014F69"/>
    <w:rsid w:val="00016828"/>
    <w:rsid w:val="000171DB"/>
    <w:rsid w:val="00023D9A"/>
    <w:rsid w:val="0003582E"/>
    <w:rsid w:val="00040BF3"/>
    <w:rsid w:val="00043D75"/>
    <w:rsid w:val="00047A82"/>
    <w:rsid w:val="00057000"/>
    <w:rsid w:val="00061268"/>
    <w:rsid w:val="000640E0"/>
    <w:rsid w:val="00064D43"/>
    <w:rsid w:val="000920CE"/>
    <w:rsid w:val="000959E2"/>
    <w:rsid w:val="000966A8"/>
    <w:rsid w:val="000A349E"/>
    <w:rsid w:val="000A5CA2"/>
    <w:rsid w:val="000B3CA1"/>
    <w:rsid w:val="000B739D"/>
    <w:rsid w:val="000C397B"/>
    <w:rsid w:val="000C48E1"/>
    <w:rsid w:val="000D4EDB"/>
    <w:rsid w:val="000E6125"/>
    <w:rsid w:val="000E7E5E"/>
    <w:rsid w:val="0010238E"/>
    <w:rsid w:val="00113DBE"/>
    <w:rsid w:val="00115731"/>
    <w:rsid w:val="001200A6"/>
    <w:rsid w:val="00124A40"/>
    <w:rsid w:val="001251DA"/>
    <w:rsid w:val="00125432"/>
    <w:rsid w:val="00136DDD"/>
    <w:rsid w:val="00137F40"/>
    <w:rsid w:val="00140BE6"/>
    <w:rsid w:val="001410FD"/>
    <w:rsid w:val="00144BDF"/>
    <w:rsid w:val="00155DDC"/>
    <w:rsid w:val="00161830"/>
    <w:rsid w:val="00173F06"/>
    <w:rsid w:val="001871EC"/>
    <w:rsid w:val="001A20C3"/>
    <w:rsid w:val="001A670F"/>
    <w:rsid w:val="001B6A45"/>
    <w:rsid w:val="001C62B8"/>
    <w:rsid w:val="001D22D8"/>
    <w:rsid w:val="001D4296"/>
    <w:rsid w:val="001D4F4A"/>
    <w:rsid w:val="001E7B0E"/>
    <w:rsid w:val="001E7DCF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63B33"/>
    <w:rsid w:val="002759E7"/>
    <w:rsid w:val="00277326"/>
    <w:rsid w:val="00284D39"/>
    <w:rsid w:val="002A11C4"/>
    <w:rsid w:val="002A399B"/>
    <w:rsid w:val="002C26C0"/>
    <w:rsid w:val="002C2BC5"/>
    <w:rsid w:val="002C502A"/>
    <w:rsid w:val="002D2451"/>
    <w:rsid w:val="002D4C4C"/>
    <w:rsid w:val="002D6447"/>
    <w:rsid w:val="002E0407"/>
    <w:rsid w:val="002E3C52"/>
    <w:rsid w:val="002E79CB"/>
    <w:rsid w:val="002F5070"/>
    <w:rsid w:val="002F7F55"/>
    <w:rsid w:val="0030745F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2613"/>
    <w:rsid w:val="00385FB5"/>
    <w:rsid w:val="0038715D"/>
    <w:rsid w:val="00394DBF"/>
    <w:rsid w:val="003957A6"/>
    <w:rsid w:val="003A43EF"/>
    <w:rsid w:val="003B4CF8"/>
    <w:rsid w:val="003C525F"/>
    <w:rsid w:val="003C7445"/>
    <w:rsid w:val="003D0336"/>
    <w:rsid w:val="003D3328"/>
    <w:rsid w:val="003E1F8C"/>
    <w:rsid w:val="003E39A2"/>
    <w:rsid w:val="003E57AB"/>
    <w:rsid w:val="003E7207"/>
    <w:rsid w:val="003E761F"/>
    <w:rsid w:val="003F2BED"/>
    <w:rsid w:val="003F3A85"/>
    <w:rsid w:val="003F63E2"/>
    <w:rsid w:val="00400B49"/>
    <w:rsid w:val="00443878"/>
    <w:rsid w:val="004539A8"/>
    <w:rsid w:val="004712CA"/>
    <w:rsid w:val="00473782"/>
    <w:rsid w:val="0047422E"/>
    <w:rsid w:val="00483F46"/>
    <w:rsid w:val="0048701C"/>
    <w:rsid w:val="0049090D"/>
    <w:rsid w:val="0049674B"/>
    <w:rsid w:val="004B0022"/>
    <w:rsid w:val="004C0673"/>
    <w:rsid w:val="004C4E4E"/>
    <w:rsid w:val="004E2982"/>
    <w:rsid w:val="004F23BA"/>
    <w:rsid w:val="004F3816"/>
    <w:rsid w:val="005005DC"/>
    <w:rsid w:val="0050586A"/>
    <w:rsid w:val="00520DBF"/>
    <w:rsid w:val="00530FEB"/>
    <w:rsid w:val="0053731C"/>
    <w:rsid w:val="00543D41"/>
    <w:rsid w:val="00554267"/>
    <w:rsid w:val="00555C50"/>
    <w:rsid w:val="00556A5B"/>
    <w:rsid w:val="00566EDA"/>
    <w:rsid w:val="0057081A"/>
    <w:rsid w:val="00572654"/>
    <w:rsid w:val="00587E3E"/>
    <w:rsid w:val="005976A1"/>
    <w:rsid w:val="005A3605"/>
    <w:rsid w:val="005B09FF"/>
    <w:rsid w:val="005B5629"/>
    <w:rsid w:val="005B6B78"/>
    <w:rsid w:val="005C0300"/>
    <w:rsid w:val="005C27A2"/>
    <w:rsid w:val="005D4FEB"/>
    <w:rsid w:val="005E2F6A"/>
    <w:rsid w:val="005F4B6A"/>
    <w:rsid w:val="006010F3"/>
    <w:rsid w:val="00602340"/>
    <w:rsid w:val="00603865"/>
    <w:rsid w:val="00606DB6"/>
    <w:rsid w:val="00615A0A"/>
    <w:rsid w:val="00626673"/>
    <w:rsid w:val="006333D4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82C8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B522A"/>
    <w:rsid w:val="006B5CA6"/>
    <w:rsid w:val="006C5641"/>
    <w:rsid w:val="006D1089"/>
    <w:rsid w:val="006D1B86"/>
    <w:rsid w:val="006D7355"/>
    <w:rsid w:val="006F7DEE"/>
    <w:rsid w:val="00712286"/>
    <w:rsid w:val="00715551"/>
    <w:rsid w:val="00715CA6"/>
    <w:rsid w:val="00731135"/>
    <w:rsid w:val="007324AF"/>
    <w:rsid w:val="00734415"/>
    <w:rsid w:val="00740128"/>
    <w:rsid w:val="007409B4"/>
    <w:rsid w:val="00741974"/>
    <w:rsid w:val="00742B40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B2BC6"/>
    <w:rsid w:val="007B311A"/>
    <w:rsid w:val="007C52EB"/>
    <w:rsid w:val="007C7122"/>
    <w:rsid w:val="007D3F11"/>
    <w:rsid w:val="007D66E2"/>
    <w:rsid w:val="007E2C69"/>
    <w:rsid w:val="007E53E4"/>
    <w:rsid w:val="007E656A"/>
    <w:rsid w:val="007F3CAA"/>
    <w:rsid w:val="007F664D"/>
    <w:rsid w:val="008129DB"/>
    <w:rsid w:val="00812E67"/>
    <w:rsid w:val="008258BA"/>
    <w:rsid w:val="00837203"/>
    <w:rsid w:val="00842137"/>
    <w:rsid w:val="00853F5F"/>
    <w:rsid w:val="008560AC"/>
    <w:rsid w:val="008623ED"/>
    <w:rsid w:val="00864B5A"/>
    <w:rsid w:val="00872559"/>
    <w:rsid w:val="00874AA3"/>
    <w:rsid w:val="00875AA6"/>
    <w:rsid w:val="00880944"/>
    <w:rsid w:val="00886313"/>
    <w:rsid w:val="0089088E"/>
    <w:rsid w:val="00892297"/>
    <w:rsid w:val="00894C8A"/>
    <w:rsid w:val="008964D6"/>
    <w:rsid w:val="008B5123"/>
    <w:rsid w:val="008D45ED"/>
    <w:rsid w:val="008E0172"/>
    <w:rsid w:val="008F2E1F"/>
    <w:rsid w:val="00900EF1"/>
    <w:rsid w:val="00906CD2"/>
    <w:rsid w:val="0091354D"/>
    <w:rsid w:val="009302DE"/>
    <w:rsid w:val="00936852"/>
    <w:rsid w:val="0094045D"/>
    <w:rsid w:val="009406B5"/>
    <w:rsid w:val="00946166"/>
    <w:rsid w:val="009507EC"/>
    <w:rsid w:val="00983164"/>
    <w:rsid w:val="00984403"/>
    <w:rsid w:val="009972EF"/>
    <w:rsid w:val="009B5035"/>
    <w:rsid w:val="009C3160"/>
    <w:rsid w:val="009C3BE1"/>
    <w:rsid w:val="009D140E"/>
    <w:rsid w:val="009E593B"/>
    <w:rsid w:val="009E766E"/>
    <w:rsid w:val="009F1960"/>
    <w:rsid w:val="009F2C64"/>
    <w:rsid w:val="009F31AC"/>
    <w:rsid w:val="009F715E"/>
    <w:rsid w:val="00A0341E"/>
    <w:rsid w:val="00A10DBB"/>
    <w:rsid w:val="00A11720"/>
    <w:rsid w:val="00A21247"/>
    <w:rsid w:val="00A31D47"/>
    <w:rsid w:val="00A351C4"/>
    <w:rsid w:val="00A4013E"/>
    <w:rsid w:val="00A4045F"/>
    <w:rsid w:val="00A41A9E"/>
    <w:rsid w:val="00A427CD"/>
    <w:rsid w:val="00A45FEE"/>
    <w:rsid w:val="00A4600B"/>
    <w:rsid w:val="00A50506"/>
    <w:rsid w:val="00A51EF0"/>
    <w:rsid w:val="00A67A81"/>
    <w:rsid w:val="00A70209"/>
    <w:rsid w:val="00A730A6"/>
    <w:rsid w:val="00A84724"/>
    <w:rsid w:val="00A907B3"/>
    <w:rsid w:val="00A971A0"/>
    <w:rsid w:val="00AA1F22"/>
    <w:rsid w:val="00AA349F"/>
    <w:rsid w:val="00AF5A57"/>
    <w:rsid w:val="00AF735D"/>
    <w:rsid w:val="00B00CE0"/>
    <w:rsid w:val="00B024D7"/>
    <w:rsid w:val="00B05821"/>
    <w:rsid w:val="00B100D6"/>
    <w:rsid w:val="00B164C9"/>
    <w:rsid w:val="00B26C28"/>
    <w:rsid w:val="00B30F21"/>
    <w:rsid w:val="00B376D2"/>
    <w:rsid w:val="00B4123F"/>
    <w:rsid w:val="00B4174C"/>
    <w:rsid w:val="00B453F5"/>
    <w:rsid w:val="00B532CE"/>
    <w:rsid w:val="00B61624"/>
    <w:rsid w:val="00B66481"/>
    <w:rsid w:val="00B7189C"/>
    <w:rsid w:val="00B718A5"/>
    <w:rsid w:val="00B90AD6"/>
    <w:rsid w:val="00BA20E8"/>
    <w:rsid w:val="00BA788A"/>
    <w:rsid w:val="00BB4983"/>
    <w:rsid w:val="00BB7597"/>
    <w:rsid w:val="00BC2AAB"/>
    <w:rsid w:val="00BC62E2"/>
    <w:rsid w:val="00BF02DC"/>
    <w:rsid w:val="00BF1C1D"/>
    <w:rsid w:val="00BF3F8C"/>
    <w:rsid w:val="00C34731"/>
    <w:rsid w:val="00C37820"/>
    <w:rsid w:val="00C41258"/>
    <w:rsid w:val="00C42125"/>
    <w:rsid w:val="00C42DD2"/>
    <w:rsid w:val="00C454BB"/>
    <w:rsid w:val="00C53248"/>
    <w:rsid w:val="00C62814"/>
    <w:rsid w:val="00C62BE6"/>
    <w:rsid w:val="00C66DCB"/>
    <w:rsid w:val="00C67B25"/>
    <w:rsid w:val="00C748F7"/>
    <w:rsid w:val="00C74937"/>
    <w:rsid w:val="00C77E9A"/>
    <w:rsid w:val="00C93222"/>
    <w:rsid w:val="00CA6409"/>
    <w:rsid w:val="00CB2599"/>
    <w:rsid w:val="00CC20DB"/>
    <w:rsid w:val="00CD2139"/>
    <w:rsid w:val="00CD2497"/>
    <w:rsid w:val="00CD6848"/>
    <w:rsid w:val="00CE1E6E"/>
    <w:rsid w:val="00CE5986"/>
    <w:rsid w:val="00CE790C"/>
    <w:rsid w:val="00CF34C4"/>
    <w:rsid w:val="00D11885"/>
    <w:rsid w:val="00D32087"/>
    <w:rsid w:val="00D41645"/>
    <w:rsid w:val="00D47838"/>
    <w:rsid w:val="00D647EF"/>
    <w:rsid w:val="00D73137"/>
    <w:rsid w:val="00D745B2"/>
    <w:rsid w:val="00D977A2"/>
    <w:rsid w:val="00DA1D47"/>
    <w:rsid w:val="00DA5CD1"/>
    <w:rsid w:val="00DC774A"/>
    <w:rsid w:val="00DD50DE"/>
    <w:rsid w:val="00DE3062"/>
    <w:rsid w:val="00DF73D1"/>
    <w:rsid w:val="00E0581D"/>
    <w:rsid w:val="00E1123D"/>
    <w:rsid w:val="00E1178F"/>
    <w:rsid w:val="00E204DD"/>
    <w:rsid w:val="00E353EC"/>
    <w:rsid w:val="00E51F61"/>
    <w:rsid w:val="00E53C24"/>
    <w:rsid w:val="00E56E77"/>
    <w:rsid w:val="00E62B77"/>
    <w:rsid w:val="00E71046"/>
    <w:rsid w:val="00E72E36"/>
    <w:rsid w:val="00E85577"/>
    <w:rsid w:val="00E87795"/>
    <w:rsid w:val="00E95B01"/>
    <w:rsid w:val="00EB444D"/>
    <w:rsid w:val="00ED5B66"/>
    <w:rsid w:val="00EE5C0D"/>
    <w:rsid w:val="00EF4792"/>
    <w:rsid w:val="00F02294"/>
    <w:rsid w:val="00F21474"/>
    <w:rsid w:val="00F30DE7"/>
    <w:rsid w:val="00F35F57"/>
    <w:rsid w:val="00F44D3D"/>
    <w:rsid w:val="00F50467"/>
    <w:rsid w:val="00F562A0"/>
    <w:rsid w:val="00F57FA4"/>
    <w:rsid w:val="00F612DA"/>
    <w:rsid w:val="00F957A1"/>
    <w:rsid w:val="00FA02CB"/>
    <w:rsid w:val="00FA2177"/>
    <w:rsid w:val="00FB0783"/>
    <w:rsid w:val="00FB7A8B"/>
    <w:rsid w:val="00FD200F"/>
    <w:rsid w:val="00FD439E"/>
    <w:rsid w:val="00FD76CB"/>
    <w:rsid w:val="00FE152B"/>
    <w:rsid w:val="00FE239E"/>
    <w:rsid w:val="00FE3437"/>
    <w:rsid w:val="00FE57B0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ïÈ,õ±?级链,õ±链ïÈ1,õ±???,超?级链?,Style?,S,超?级链Ú,’´?级链,’´????,’´??级链Ú,’´??级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3D3328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illian.makamara@itu.int" TargetMode="External"/><Relationship Id="rId18" Type="http://schemas.openxmlformats.org/officeDocument/2006/relationships/hyperlink" Target="https://www.itu.int/en/ITU-T/jca/vhc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leitnerc@who.int" TargetMode="External"/><Relationship Id="rId17" Type="http://schemas.openxmlformats.org/officeDocument/2006/relationships/hyperlink" Target="https://www.itu.int/en/ITU-T/jca/dcc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dcc/Pages/default.aspx" TargetMode="External"/><Relationship Id="rId20" Type="http://schemas.openxmlformats.org/officeDocument/2006/relationships/hyperlink" Target="https://www.itu.int/net/ITU-T/ls/ols.aspx?from=1053.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yyoum@sch.ac.k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net/itu-t/ls/ls.aspx?isn=3425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itu.int/itu-t/landscape/?topic=tx499&amp;group=g&amp;search_text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landscape?topic=tx499&amp;group=g&amp;search_text=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4" ma:contentTypeDescription="Create a new document." ma:contentTypeScope="" ma:versionID="b52bb7cfe1744f9db962f21a0f0287b2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dbb356bdd826fd8d90ea23a921af4cf8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CE51F-C0F0-46AE-BD4C-1F511AFAE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1</TotalTime>
  <Pages>3</Pages>
  <Words>1107</Words>
  <Characters>6288</Characters>
  <Application>Microsoft Office Word</Application>
  <DocSecurity>4</DocSecurity>
  <Lines>174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Liaison Statement - Unformatted template (T21)</vt:lpstr>
      <vt:lpstr>Liaison Statement - Unformatted template (T21)</vt:lpstr>
    </vt:vector>
  </TitlesOfParts>
  <Manager>ITU-T</Manager>
  <Company>International Telecommunication Union (ITU)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>TSAG-TD174  For: Geneva, 26-30 January 2026_x000d_Document date: _x000d_Saved by ITU51017905 at 08:45:54 on 16/01/2026</dc:description>
  <cp:lastModifiedBy>TSB</cp:lastModifiedBy>
  <cp:revision>2</cp:revision>
  <cp:lastPrinted>2016-12-23T12:52:00Z</cp:lastPrinted>
  <dcterms:created xsi:type="dcterms:W3CDTF">2026-01-16T07:54:00Z</dcterms:created>
  <dcterms:modified xsi:type="dcterms:W3CDTF">2026-01-16T07:54:00Z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TSAG-TD174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Geneva, 26-30 January 2026</vt:lpwstr>
  </property>
  <property fmtid="{D5CDD505-2E9C-101B-9397-08002B2CF9AE}" pid="8" name="Docauthor">
    <vt:lpwstr/>
  </property>
</Properties>
</file>