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08"/>
        <w:gridCol w:w="685"/>
        <w:gridCol w:w="3120"/>
        <w:gridCol w:w="368"/>
        <w:gridCol w:w="4287"/>
      </w:tblGrid>
      <w:tr w:rsidR="004B5739" w:rsidRPr="004B5739" w14:paraId="598FD10E" w14:textId="77777777" w:rsidTr="004B5739">
        <w:trPr>
          <w:cantSplit/>
        </w:trPr>
        <w:tc>
          <w:tcPr>
            <w:tcW w:w="1132" w:type="dxa"/>
            <w:vMerge w:val="restart"/>
            <w:vAlign w:val="center"/>
          </w:tcPr>
          <w:p w14:paraId="1477392C" w14:textId="77777777" w:rsidR="004B5739" w:rsidRPr="004B5739" w:rsidRDefault="004B5739" w:rsidP="004B573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4B5739">
              <w:rPr>
                <w:noProof/>
              </w:rPr>
              <w:drawing>
                <wp:inline distT="0" distB="0" distL="0" distR="0" wp14:anchorId="0DE4C249" wp14:editId="1BFE1F5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3CD91464" w14:textId="77777777" w:rsidR="004B5739" w:rsidRPr="004B5739" w:rsidRDefault="004B5739" w:rsidP="004B5739">
            <w:pPr>
              <w:rPr>
                <w:sz w:val="16"/>
                <w:szCs w:val="16"/>
              </w:rPr>
            </w:pPr>
            <w:r w:rsidRPr="004B5739">
              <w:rPr>
                <w:sz w:val="16"/>
                <w:szCs w:val="16"/>
              </w:rPr>
              <w:t>INTERNATIONAL TELECOMMUNICATION UNION</w:t>
            </w:r>
          </w:p>
          <w:p w14:paraId="6EF01E23" w14:textId="77777777" w:rsidR="004B5739" w:rsidRPr="004B5739" w:rsidRDefault="004B5739" w:rsidP="004B5739">
            <w:pPr>
              <w:rPr>
                <w:b/>
                <w:bCs/>
                <w:sz w:val="26"/>
                <w:szCs w:val="26"/>
              </w:rPr>
            </w:pPr>
            <w:r w:rsidRPr="004B5739">
              <w:rPr>
                <w:b/>
                <w:bCs/>
                <w:sz w:val="26"/>
                <w:szCs w:val="26"/>
              </w:rPr>
              <w:t>TELECOMMUNICATION</w:t>
            </w:r>
            <w:r w:rsidRPr="004B573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10E71" w14:textId="24DFC0DE" w:rsidR="004B5739" w:rsidRPr="004B5739" w:rsidRDefault="004B5739" w:rsidP="004B5739">
            <w:pPr>
              <w:rPr>
                <w:sz w:val="20"/>
                <w:szCs w:val="20"/>
              </w:rPr>
            </w:pPr>
            <w:r w:rsidRPr="004B573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287" w:type="dxa"/>
            <w:vAlign w:val="center"/>
          </w:tcPr>
          <w:p w14:paraId="6553C3EA" w14:textId="481D4DBF" w:rsidR="004B5739" w:rsidRPr="004B5739" w:rsidRDefault="004B5739" w:rsidP="004B5739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TSAG-TD68</w:t>
            </w:r>
          </w:p>
        </w:tc>
      </w:tr>
      <w:tr w:rsidR="004B5739" w:rsidRPr="004B5739" w14:paraId="56DAA7C3" w14:textId="77777777" w:rsidTr="004B5739">
        <w:trPr>
          <w:cantSplit/>
        </w:trPr>
        <w:tc>
          <w:tcPr>
            <w:tcW w:w="1132" w:type="dxa"/>
            <w:vMerge/>
          </w:tcPr>
          <w:p w14:paraId="7D53F93F" w14:textId="77777777" w:rsidR="004B5739" w:rsidRPr="004B5739" w:rsidRDefault="004B5739" w:rsidP="004B5739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4"/>
            <w:vMerge/>
          </w:tcPr>
          <w:p w14:paraId="198DED0F" w14:textId="77777777" w:rsidR="004B5739" w:rsidRPr="004B5739" w:rsidRDefault="004B5739" w:rsidP="004B5739">
            <w:pPr>
              <w:rPr>
                <w:smallCaps/>
                <w:sz w:val="20"/>
              </w:rPr>
            </w:pPr>
          </w:p>
        </w:tc>
        <w:tc>
          <w:tcPr>
            <w:tcW w:w="4287" w:type="dxa"/>
          </w:tcPr>
          <w:p w14:paraId="74CC25FF" w14:textId="133735F2" w:rsidR="004B5739" w:rsidRPr="004B5739" w:rsidRDefault="004B5739" w:rsidP="004B573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4B5739" w:rsidRPr="004B5739" w14:paraId="10B69F57" w14:textId="77777777" w:rsidTr="004B573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D62D50F" w14:textId="77777777" w:rsidR="004B5739" w:rsidRPr="004B5739" w:rsidRDefault="004B5739" w:rsidP="004B5739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73946588" w14:textId="77777777" w:rsidR="004B5739" w:rsidRPr="004B5739" w:rsidRDefault="004B5739" w:rsidP="004B5739">
            <w:pPr>
              <w:rPr>
                <w:b/>
                <w:bCs/>
                <w:sz w:val="26"/>
              </w:rPr>
            </w:pPr>
          </w:p>
        </w:tc>
        <w:tc>
          <w:tcPr>
            <w:tcW w:w="4287" w:type="dxa"/>
            <w:tcBorders>
              <w:bottom w:val="single" w:sz="12" w:space="0" w:color="auto"/>
            </w:tcBorders>
            <w:vAlign w:val="center"/>
          </w:tcPr>
          <w:p w14:paraId="1F07FE61" w14:textId="77777777" w:rsidR="004B5739" w:rsidRPr="004B5739" w:rsidRDefault="004B5739" w:rsidP="004B5739">
            <w:pPr>
              <w:pStyle w:val="TSBHeaderRight14"/>
            </w:pPr>
            <w:r w:rsidRPr="004B5739">
              <w:t>Original: English</w:t>
            </w:r>
          </w:p>
        </w:tc>
      </w:tr>
      <w:tr w:rsidR="004B5739" w:rsidRPr="004B5739" w14:paraId="724E060E" w14:textId="77777777" w:rsidTr="004B5739">
        <w:trPr>
          <w:cantSplit/>
        </w:trPr>
        <w:tc>
          <w:tcPr>
            <w:tcW w:w="1440" w:type="dxa"/>
            <w:gridSpan w:val="2"/>
          </w:tcPr>
          <w:p w14:paraId="490B86C0" w14:textId="11730E15" w:rsidR="004B5739" w:rsidRPr="004B5739" w:rsidRDefault="004B5739" w:rsidP="004B5739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173" w:type="dxa"/>
            <w:gridSpan w:val="3"/>
          </w:tcPr>
          <w:p w14:paraId="5A3D4BCA" w14:textId="1108961A" w:rsidR="004B5739" w:rsidRPr="004B5739" w:rsidRDefault="004B5739" w:rsidP="004B5739">
            <w:pPr>
              <w:pStyle w:val="TSBHeaderQuestion"/>
            </w:pPr>
          </w:p>
        </w:tc>
        <w:tc>
          <w:tcPr>
            <w:tcW w:w="4287" w:type="dxa"/>
          </w:tcPr>
          <w:p w14:paraId="7C916EA1" w14:textId="52678A3A" w:rsidR="004B5739" w:rsidRPr="004B5739" w:rsidRDefault="004B5739" w:rsidP="004B5739">
            <w:pPr>
              <w:pStyle w:val="VenueDate"/>
            </w:pPr>
            <w:r w:rsidRPr="004B5739">
              <w:t>Geneva, 26-30 May 2025</w:t>
            </w:r>
          </w:p>
        </w:tc>
      </w:tr>
      <w:tr w:rsidR="004B5739" w:rsidRPr="004B5739" w14:paraId="7DE71710" w14:textId="77777777" w:rsidTr="004B5739">
        <w:trPr>
          <w:cantSplit/>
        </w:trPr>
        <w:tc>
          <w:tcPr>
            <w:tcW w:w="9900" w:type="dxa"/>
            <w:gridSpan w:val="6"/>
          </w:tcPr>
          <w:p w14:paraId="768CB607" w14:textId="77777777" w:rsidR="004B5739" w:rsidRPr="004B5739" w:rsidRDefault="004B5739" w:rsidP="004B5739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4B5739">
              <w:rPr>
                <w:b/>
                <w:bCs/>
              </w:rPr>
              <w:t>TD</w:t>
            </w:r>
          </w:p>
          <w:p w14:paraId="364B32C2" w14:textId="0F246A92" w:rsidR="004B5739" w:rsidRPr="004B5739" w:rsidRDefault="004B5739" w:rsidP="004B5739">
            <w:pPr>
              <w:spacing w:before="0"/>
              <w:jc w:val="center"/>
              <w:rPr>
                <w:b/>
                <w:bCs/>
              </w:rPr>
            </w:pPr>
            <w:r w:rsidRPr="004B5739">
              <w:rPr>
                <w:b/>
                <w:bCs/>
              </w:rPr>
              <w:t xml:space="preserve">(Ref.: </w:t>
            </w:r>
            <w:hyperlink r:id="rId12" w:history="1">
              <w:r w:rsidRPr="004B5739">
                <w:rPr>
                  <w:rStyle w:val="Hyperlink"/>
                  <w:b/>
                  <w:bCs/>
                </w:rPr>
                <w:t>SG11-LS23</w:t>
              </w:r>
            </w:hyperlink>
            <w:r w:rsidRPr="004B5739">
              <w:rPr>
                <w:b/>
                <w:bCs/>
              </w:rPr>
              <w:t>)</w:t>
            </w:r>
          </w:p>
        </w:tc>
      </w:tr>
      <w:tr w:rsidR="004B5739" w:rsidRPr="004B5739" w14:paraId="26DE1536" w14:textId="77777777" w:rsidTr="004B5739">
        <w:trPr>
          <w:cantSplit/>
        </w:trPr>
        <w:tc>
          <w:tcPr>
            <w:tcW w:w="1440" w:type="dxa"/>
            <w:gridSpan w:val="2"/>
          </w:tcPr>
          <w:p w14:paraId="256CB1CE" w14:textId="77777777" w:rsidR="004B5739" w:rsidRPr="004B5739" w:rsidRDefault="004B5739" w:rsidP="004B5739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4B5739">
              <w:rPr>
                <w:b/>
                <w:bCs/>
              </w:rPr>
              <w:t>Source:</w:t>
            </w:r>
          </w:p>
        </w:tc>
        <w:tc>
          <w:tcPr>
            <w:tcW w:w="8460" w:type="dxa"/>
            <w:gridSpan w:val="4"/>
          </w:tcPr>
          <w:p w14:paraId="55EE0261" w14:textId="692EBF57" w:rsidR="004B5739" w:rsidRPr="004B5739" w:rsidRDefault="004B5739" w:rsidP="004B5739">
            <w:pPr>
              <w:pStyle w:val="TSBHeaderSource"/>
            </w:pPr>
            <w:r w:rsidRPr="004B5739">
              <w:t>ITU-T Study Group 11</w:t>
            </w:r>
          </w:p>
        </w:tc>
      </w:tr>
      <w:tr w:rsidR="004B5739" w:rsidRPr="004B5739" w14:paraId="2C6A87B4" w14:textId="77777777" w:rsidTr="004B5739">
        <w:trPr>
          <w:cantSplit/>
        </w:trPr>
        <w:tc>
          <w:tcPr>
            <w:tcW w:w="1440" w:type="dxa"/>
            <w:gridSpan w:val="2"/>
            <w:tcBorders>
              <w:bottom w:val="single" w:sz="8" w:space="0" w:color="auto"/>
            </w:tcBorders>
          </w:tcPr>
          <w:p w14:paraId="30E08785" w14:textId="77777777" w:rsidR="004B5739" w:rsidRPr="004B5739" w:rsidRDefault="004B5739" w:rsidP="004B5739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4B5739">
              <w:rPr>
                <w:b/>
                <w:bCs/>
              </w:rPr>
              <w:t>Title:</w:t>
            </w:r>
          </w:p>
        </w:tc>
        <w:tc>
          <w:tcPr>
            <w:tcW w:w="8460" w:type="dxa"/>
            <w:gridSpan w:val="4"/>
            <w:tcBorders>
              <w:bottom w:val="single" w:sz="8" w:space="0" w:color="auto"/>
            </w:tcBorders>
          </w:tcPr>
          <w:p w14:paraId="30BBB70F" w14:textId="12C328D2" w:rsidR="004B5739" w:rsidRPr="004B5739" w:rsidRDefault="004B5739" w:rsidP="004B5739">
            <w:pPr>
              <w:pStyle w:val="TSBHeaderTitle"/>
            </w:pPr>
            <w:r w:rsidRPr="004B5739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4B5739">
              <w:t>r on the resolution of AAP comments (reply to TSAG-LS44)</w:t>
            </w:r>
            <w:r>
              <w:t xml:space="preserve"> [from ITU-T SG11]</w:t>
            </w:r>
          </w:p>
        </w:tc>
      </w:tr>
      <w:bookmarkEnd w:id="0"/>
      <w:bookmarkEnd w:id="7"/>
      <w:tr w:rsidR="00AD2D44" w14:paraId="516F7BA2" w14:textId="77777777" w:rsidTr="004B57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900" w:type="dxa"/>
            <w:gridSpan w:val="6"/>
            <w:tcBorders>
              <w:top w:val="single" w:sz="12" w:space="0" w:color="auto"/>
            </w:tcBorders>
          </w:tcPr>
          <w:p w14:paraId="581C5180" w14:textId="77777777" w:rsidR="00AD2D44" w:rsidRDefault="00B5777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D2D44" w14:paraId="60C5CF54" w14:textId="77777777" w:rsidTr="004B57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14:paraId="3CE6D16A" w14:textId="77777777" w:rsidR="00AD2D44" w:rsidRDefault="00B5777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75" w:type="dxa"/>
            <w:gridSpan w:val="3"/>
          </w:tcPr>
          <w:p w14:paraId="7DFCA7FF" w14:textId="77777777" w:rsidR="00AD2D44" w:rsidRDefault="00B57774">
            <w:pPr>
              <w:pStyle w:val="LSForAction"/>
              <w:rPr>
                <w:rFonts w:eastAsiaTheme="minorEastAsia"/>
                <w:lang w:eastAsia="zh-CN"/>
              </w:rPr>
            </w:pPr>
            <w:r>
              <w:t>Telecommunication Standardization Advisory Group (TSAG)</w:t>
            </w:r>
          </w:p>
        </w:tc>
      </w:tr>
      <w:tr w:rsidR="00AD2D44" w14:paraId="5C0E3AB7" w14:textId="77777777" w:rsidTr="004B57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14:paraId="1FAFC6B9" w14:textId="77777777" w:rsidR="00AD2D44" w:rsidRDefault="00B5777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75" w:type="dxa"/>
            <w:gridSpan w:val="3"/>
          </w:tcPr>
          <w:p w14:paraId="35676EB1" w14:textId="5EF6CAC2" w:rsidR="00AD2D44" w:rsidRDefault="00B57774">
            <w:pPr>
              <w:pStyle w:val="LSForInfo"/>
              <w:rPr>
                <w:rFonts w:eastAsiaTheme="minorEastAsia"/>
                <w:szCs w:val="24"/>
                <w:lang w:eastAsia="zh-CN"/>
              </w:rPr>
            </w:pPr>
            <w:r>
              <w:t xml:space="preserve">All ITU-T </w:t>
            </w:r>
            <w:r w:rsidR="00D009E8">
              <w:t>S</w:t>
            </w:r>
            <w:r w:rsidR="00F4361B">
              <w:t xml:space="preserve">tudy </w:t>
            </w:r>
            <w:r w:rsidR="00D009E8">
              <w:t>G</w:t>
            </w:r>
            <w:r w:rsidR="00F4361B">
              <w:t>roups</w:t>
            </w:r>
          </w:p>
        </w:tc>
      </w:tr>
      <w:tr w:rsidR="00AD2D44" w14:paraId="4E526017" w14:textId="77777777" w:rsidTr="004B57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</w:tcPr>
          <w:p w14:paraId="28EF6416" w14:textId="77777777" w:rsidR="00AD2D44" w:rsidRDefault="00B5777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 xml:space="preserve">Approval: </w:t>
            </w:r>
          </w:p>
        </w:tc>
        <w:tc>
          <w:tcPr>
            <w:tcW w:w="7775" w:type="dxa"/>
            <w:gridSpan w:val="3"/>
          </w:tcPr>
          <w:p w14:paraId="02DF5F29" w14:textId="10105691" w:rsidR="00AD2D44" w:rsidRDefault="00B57774">
            <w:r>
              <w:t xml:space="preserve">ITU-T Study Group </w:t>
            </w:r>
            <w:r w:rsidR="00896106">
              <w:rPr>
                <w:rFonts w:eastAsia="SimSun"/>
                <w:lang w:val="en-US" w:eastAsia="zh-CN"/>
              </w:rPr>
              <w:t>11</w:t>
            </w:r>
            <w:r>
              <w:t xml:space="preserve"> meeting (</w:t>
            </w:r>
            <w:r>
              <w:rPr>
                <w:rFonts w:eastAsia="SimSun" w:hint="eastAsia"/>
                <w:lang w:val="en-US" w:eastAsia="zh-CN"/>
              </w:rPr>
              <w:t>Geneva</w:t>
            </w:r>
            <w:r>
              <w:t xml:space="preserve">, </w:t>
            </w:r>
            <w:r w:rsidR="00896106">
              <w:rPr>
                <w:rFonts w:eastAsia="SimSun"/>
                <w:lang w:val="en-US" w:eastAsia="zh-CN"/>
              </w:rPr>
              <w:t>28</w:t>
            </w:r>
            <w:r>
              <w:t xml:space="preserve"> </w:t>
            </w:r>
            <w:r>
              <w:rPr>
                <w:rFonts w:eastAsia="SimSun" w:hint="eastAsia"/>
                <w:lang w:val="en-US" w:eastAsia="zh-CN"/>
              </w:rPr>
              <w:t>February</w:t>
            </w:r>
            <w:r>
              <w:t xml:space="preserve"> 202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t>)</w:t>
            </w:r>
          </w:p>
        </w:tc>
      </w:tr>
      <w:tr w:rsidR="00AD2D44" w14:paraId="4BB27187" w14:textId="77777777" w:rsidTr="004B57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3"/>
            <w:tcBorders>
              <w:bottom w:val="single" w:sz="12" w:space="0" w:color="auto"/>
            </w:tcBorders>
          </w:tcPr>
          <w:p w14:paraId="493D350A" w14:textId="77777777" w:rsidR="00AD2D44" w:rsidRDefault="00B5777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75" w:type="dxa"/>
            <w:gridSpan w:val="3"/>
            <w:tcBorders>
              <w:bottom w:val="single" w:sz="12" w:space="0" w:color="auto"/>
            </w:tcBorders>
          </w:tcPr>
          <w:p w14:paraId="4C289394" w14:textId="33FE5C88" w:rsidR="00AD2D44" w:rsidRDefault="00B57774">
            <w:pPr>
              <w:pStyle w:val="LSDeadline"/>
            </w:pPr>
            <w:r>
              <w:t>-</w:t>
            </w:r>
          </w:p>
        </w:tc>
      </w:tr>
      <w:tr w:rsidR="00AD2D44" w:rsidRPr="004B5739" w14:paraId="62E1C7A1" w14:textId="77777777" w:rsidTr="004B573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BA1CF1" w14:textId="77777777" w:rsidR="00AD2D44" w:rsidRDefault="00B57774">
            <w:pPr>
              <w:rPr>
                <w:lang w:eastAsia="zh-CN"/>
              </w:rPr>
            </w:pPr>
            <w:bookmarkStart w:id="8" w:name="_Hlk88213527"/>
            <w:r>
              <w:rPr>
                <w:rFonts w:hint="eastAsia"/>
                <w:b/>
                <w:bCs/>
              </w:rPr>
              <w:t>Contact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</w:p>
        </w:tc>
        <w:tc>
          <w:tcPr>
            <w:tcW w:w="380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F4F54F" w14:textId="412328A3" w:rsidR="00AD2D44" w:rsidRDefault="00896106">
            <w:pPr>
              <w:tabs>
                <w:tab w:val="left" w:pos="1134"/>
                <w:tab w:val="left" w:pos="1871"/>
                <w:tab w:val="left" w:pos="2268"/>
              </w:tabs>
              <w:rPr>
                <w:highlight w:val="yellow"/>
                <w:lang w:val="it-IT" w:eastAsia="zh-CN"/>
              </w:rPr>
            </w:pPr>
            <w:r>
              <w:rPr>
                <w:rFonts w:asciiTheme="majorBidi" w:hAnsiTheme="majorBidi" w:cstheme="majorBidi"/>
              </w:rPr>
              <w:t>Tejpal Singh</w:t>
            </w:r>
            <w:r w:rsidR="00B57774">
              <w:rPr>
                <w:rFonts w:asciiTheme="majorBidi" w:hAnsiTheme="majorBidi" w:cstheme="majorBidi"/>
              </w:rPr>
              <w:br/>
              <w:t>SG</w:t>
            </w:r>
            <w:r>
              <w:rPr>
                <w:rFonts w:asciiTheme="majorBidi" w:hAnsiTheme="majorBidi" w:cstheme="majorBidi"/>
              </w:rPr>
              <w:t>11</w:t>
            </w:r>
            <w:r w:rsidR="00B57774">
              <w:rPr>
                <w:rFonts w:asciiTheme="majorBidi" w:hAnsiTheme="majorBidi" w:cstheme="majorBidi"/>
              </w:rPr>
              <w:t xml:space="preserve"> Chair</w:t>
            </w:r>
            <w:r w:rsidR="00B57774"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t>India</w:t>
            </w:r>
          </w:p>
        </w:tc>
        <w:tc>
          <w:tcPr>
            <w:tcW w:w="46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73B48A" w14:textId="5CB17D25" w:rsidR="00AD2D44" w:rsidRPr="00D009E8" w:rsidRDefault="00B57774">
            <w:pPr>
              <w:tabs>
                <w:tab w:val="left" w:pos="794"/>
                <w:tab w:val="left" w:pos="1871"/>
                <w:tab w:val="left" w:pos="2268"/>
              </w:tabs>
              <w:rPr>
                <w:highlight w:val="yellow"/>
                <w:lang w:val="pt-BR" w:eastAsia="zh-CN"/>
              </w:rPr>
            </w:pPr>
            <w:r>
              <w:rPr>
                <w:rFonts w:asciiTheme="majorBidi" w:hAnsiTheme="majorBidi" w:cstheme="majorBidi"/>
                <w:lang w:val="de-AT"/>
              </w:rPr>
              <w:t>E-mail:</w:t>
            </w:r>
            <w:r w:rsidR="00896106">
              <w:rPr>
                <w:rFonts w:asciiTheme="majorBidi" w:hAnsiTheme="majorBidi" w:cstheme="majorBidi"/>
                <w:lang w:val="de-AT"/>
              </w:rPr>
              <w:t xml:space="preserve"> </w:t>
            </w:r>
            <w:hyperlink r:id="rId13" w:history="1">
              <w:r w:rsidR="00552302" w:rsidRPr="004B4CB1">
                <w:rPr>
                  <w:rStyle w:val="Hyperlink"/>
                  <w:rFonts w:asciiTheme="majorBidi" w:hAnsiTheme="majorBidi" w:cstheme="majorBidi"/>
                  <w:lang w:val="de-AT"/>
                </w:rPr>
                <w:t>tejpal.singh70@gov.in</w:t>
              </w:r>
            </w:hyperlink>
            <w:r w:rsidR="00552302">
              <w:rPr>
                <w:rFonts w:asciiTheme="majorBidi" w:hAnsiTheme="majorBidi" w:cstheme="majorBidi"/>
                <w:lang w:val="de-AT"/>
              </w:rPr>
              <w:t xml:space="preserve"> </w:t>
            </w:r>
          </w:p>
        </w:tc>
      </w:tr>
      <w:tr w:rsidR="00AD2D44" w:rsidRPr="004B5739" w14:paraId="39AA58A7" w14:textId="77777777" w:rsidTr="004B573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B45FDB" w14:textId="77777777" w:rsidR="00AD2D44" w:rsidRDefault="00B577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Contact</w:t>
            </w:r>
            <w:r>
              <w:rPr>
                <w:b/>
                <w:bCs/>
                <w:lang w:eastAsia="zh-CN"/>
              </w:rPr>
              <w:t>:</w:t>
            </w:r>
          </w:p>
        </w:tc>
        <w:tc>
          <w:tcPr>
            <w:tcW w:w="3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CE0B68" w14:textId="2F8BAD7A" w:rsidR="00AD2D44" w:rsidRDefault="00A22FAF">
            <w:pPr>
              <w:rPr>
                <w:lang w:val="en-US" w:eastAsia="zh-CN"/>
              </w:rPr>
            </w:pPr>
            <w:r w:rsidRPr="00A22FAF">
              <w:rPr>
                <w:color w:val="000000"/>
              </w:rPr>
              <w:t>Paul Najarian</w:t>
            </w:r>
            <w:r w:rsidR="00B57774">
              <w:rPr>
                <w:lang w:val="en-AU"/>
              </w:rPr>
              <w:br/>
            </w:r>
            <w:r w:rsidR="00474045">
              <w:rPr>
                <w:color w:val="000000"/>
              </w:rPr>
              <w:t>SG11 Vice-Chair</w:t>
            </w:r>
            <w:r w:rsidR="00B57774">
              <w:rPr>
                <w:lang w:val="en-AU"/>
              </w:rPr>
              <w:br/>
              <w:t>U</w:t>
            </w:r>
            <w:r>
              <w:rPr>
                <w:lang w:val="en-AU"/>
              </w:rPr>
              <w:t>nited States</w:t>
            </w:r>
          </w:p>
        </w:tc>
        <w:tc>
          <w:tcPr>
            <w:tcW w:w="4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4F84E7" w14:textId="2CAEA1B9" w:rsidR="00AD2D44" w:rsidRPr="00D009E8" w:rsidRDefault="00B57774" w:rsidP="00474045">
            <w:pPr>
              <w:rPr>
                <w:lang w:val="pt-BR"/>
              </w:rPr>
            </w:pPr>
            <w:r w:rsidRPr="00D009E8">
              <w:rPr>
                <w:lang w:val="pt-BR"/>
              </w:rPr>
              <w:t>E</w:t>
            </w:r>
            <w:r w:rsidR="00D009E8" w:rsidRPr="00D009E8">
              <w:rPr>
                <w:lang w:val="pt-BR"/>
              </w:rPr>
              <w:t>-</w:t>
            </w:r>
            <w:r w:rsidRPr="00D009E8">
              <w:rPr>
                <w:lang w:val="pt-BR"/>
              </w:rPr>
              <w:t>mail:</w:t>
            </w:r>
            <w:r w:rsidR="00A22FAF" w:rsidRPr="00D009E8">
              <w:rPr>
                <w:color w:val="000000"/>
                <w:lang w:val="pt-BR"/>
              </w:rPr>
              <w:t xml:space="preserve"> </w:t>
            </w:r>
            <w:hyperlink r:id="rId14" w:history="1">
              <w:r w:rsidR="00552302" w:rsidRPr="00D009E8">
                <w:rPr>
                  <w:rStyle w:val="Hyperlink"/>
                  <w:lang w:val="pt-BR"/>
                </w:rPr>
                <w:t>najarianpb@state.gov</w:t>
              </w:r>
            </w:hyperlink>
            <w:r w:rsidR="00552302" w:rsidRPr="00D009E8">
              <w:rPr>
                <w:color w:val="000000"/>
                <w:lang w:val="pt-BR"/>
              </w:rPr>
              <w:t xml:space="preserve"> </w:t>
            </w:r>
          </w:p>
        </w:tc>
      </w:tr>
      <w:bookmarkEnd w:id="8"/>
    </w:tbl>
    <w:p w14:paraId="5A8EA2ED" w14:textId="77777777" w:rsidR="00AD2D44" w:rsidRPr="00D009E8" w:rsidRDefault="00AD2D44">
      <w:pPr>
        <w:rPr>
          <w:lang w:val="pt-BR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2"/>
        <w:gridCol w:w="8047"/>
      </w:tblGrid>
      <w:tr w:rsidR="00AD2D44" w14:paraId="64DCFAD7" w14:textId="77777777" w:rsidTr="007E6815">
        <w:trPr>
          <w:cantSplit/>
          <w:trHeight w:val="1293"/>
        </w:trPr>
        <w:tc>
          <w:tcPr>
            <w:tcW w:w="826" w:type="pct"/>
          </w:tcPr>
          <w:p w14:paraId="2D0D52FD" w14:textId="77777777" w:rsidR="00AD2D44" w:rsidRDefault="00B57774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4174" w:type="pct"/>
          </w:tcPr>
          <w:p w14:paraId="7335752B" w14:textId="7A23584A" w:rsidR="00AD2D44" w:rsidRDefault="00B57774" w:rsidP="00D009E8">
            <w:r>
              <w:t>This liaison statement provides ITU-T SG</w:t>
            </w:r>
            <w:r w:rsidR="00896106">
              <w:rPr>
                <w:rFonts w:eastAsia="SimSun"/>
                <w:lang w:val="en-US" w:eastAsia="zh-CN"/>
              </w:rPr>
              <w:t>11</w:t>
            </w:r>
            <w:r>
              <w:t xml:space="preserve"> reply to </w:t>
            </w:r>
            <w:hyperlink r:id="rId15" w:history="1">
              <w:r w:rsidR="00896106" w:rsidRPr="00B926D7">
                <w:rPr>
                  <w:rStyle w:val="Hyperlink"/>
                </w:rPr>
                <w:t>TSAG-LS44</w:t>
              </w:r>
            </w:hyperlink>
            <w:r w:rsidR="00896106" w:rsidRPr="00B926D7">
              <w:t xml:space="preserve"> </w:t>
            </w:r>
            <w:r>
              <w:t xml:space="preserve">on the </w:t>
            </w:r>
            <w:r>
              <w:rPr>
                <w:rFonts w:asciiTheme="majorBidi" w:hAnsiTheme="majorBidi" w:cstheme="majorBidi"/>
              </w:rPr>
              <w:t xml:space="preserve">resolution of AAP comments, </w:t>
            </w:r>
            <w:r>
              <w:t>which was triggered by the proposal in TSAG-C95 (Rep. of Korea) that aimed to discuss possible clarifications on the process for resolution of comments received by a study group during an AAP Last Call.</w:t>
            </w:r>
          </w:p>
        </w:tc>
      </w:tr>
    </w:tbl>
    <w:p w14:paraId="0C8FECA4" w14:textId="1DCB7A63" w:rsidR="00AD2D44" w:rsidRDefault="00B57774" w:rsidP="00D009E8">
      <w:pPr>
        <w:spacing w:before="240"/>
      </w:pPr>
      <w:r>
        <w:t xml:space="preserve">This </w:t>
      </w:r>
      <w:r w:rsidR="003F7C85">
        <w:t>reply to</w:t>
      </w:r>
      <w:r>
        <w:t xml:space="preserve"> liaison statement was developed during the ITU-T Study Group </w:t>
      </w:r>
      <w:r w:rsidR="00A22FAF">
        <w:rPr>
          <w:rFonts w:eastAsia="SimSun"/>
          <w:lang w:val="en-US" w:eastAsia="zh-CN"/>
        </w:rPr>
        <w:t>11</w:t>
      </w:r>
      <w:r>
        <w:t xml:space="preserve"> </w:t>
      </w:r>
      <w:r w:rsidR="00726289">
        <w:t>meeting held</w:t>
      </w:r>
      <w:r w:rsidR="00A22FAF">
        <w:t xml:space="preserve"> </w:t>
      </w:r>
      <w:r w:rsidR="007E1E9B">
        <w:t xml:space="preserve">in </w:t>
      </w:r>
      <w:r w:rsidR="007E1E9B">
        <w:rPr>
          <w:rFonts w:eastAsia="SimSun" w:hint="eastAsia"/>
          <w:lang w:val="en-US" w:eastAsia="zh-CN"/>
        </w:rPr>
        <w:t>Geneva</w:t>
      </w:r>
      <w:r w:rsidR="007E1E9B">
        <w:t xml:space="preserve"> </w:t>
      </w:r>
      <w:r w:rsidR="00A22FAF">
        <w:t xml:space="preserve">from </w:t>
      </w:r>
      <w:r w:rsidR="00A22FAF">
        <w:rPr>
          <w:rFonts w:eastAsia="SimSun"/>
          <w:lang w:val="en-US" w:eastAsia="zh-CN"/>
        </w:rPr>
        <w:t>19</w:t>
      </w:r>
      <w:r w:rsidR="007E1E9B">
        <w:rPr>
          <w:rFonts w:eastAsia="SimSun"/>
          <w:lang w:val="en-US" w:eastAsia="zh-CN"/>
        </w:rPr>
        <w:t xml:space="preserve"> to </w:t>
      </w:r>
      <w:r w:rsidR="00A22FAF">
        <w:rPr>
          <w:rFonts w:eastAsia="SimSun"/>
          <w:lang w:val="en-US" w:eastAsia="zh-CN"/>
        </w:rPr>
        <w:t>28</w:t>
      </w:r>
      <w:r>
        <w:t xml:space="preserve"> </w:t>
      </w:r>
      <w:r>
        <w:rPr>
          <w:rFonts w:eastAsia="SimSun" w:hint="eastAsia"/>
          <w:lang w:val="en-US" w:eastAsia="zh-CN"/>
        </w:rPr>
        <w:t xml:space="preserve">February </w:t>
      </w:r>
      <w:r>
        <w:t>202</w:t>
      </w:r>
      <w:r>
        <w:rPr>
          <w:rFonts w:eastAsia="SimSun" w:hint="eastAsia"/>
          <w:lang w:val="en-US" w:eastAsia="zh-CN"/>
        </w:rPr>
        <w:t>5</w:t>
      </w:r>
      <w:r w:rsidR="00A22FAF">
        <w:t>. It</w:t>
      </w:r>
      <w:r>
        <w:t xml:space="preserve"> provides a response to </w:t>
      </w:r>
      <w:hyperlink r:id="rId16" w:history="1">
        <w:r>
          <w:rPr>
            <w:rStyle w:val="Hyperlink"/>
          </w:rPr>
          <w:t>TSAG-LS44</w:t>
        </w:r>
      </w:hyperlink>
      <w:r w:rsidR="00646BD1">
        <w:t xml:space="preserve"> (</w:t>
      </w:r>
      <w:hyperlink r:id="rId17" w:history="1">
        <w:r w:rsidR="00F34640" w:rsidRPr="00CB7315">
          <w:rPr>
            <w:rStyle w:val="Hyperlink"/>
          </w:rPr>
          <w:t>SG11-TD146/GEN</w:t>
        </w:r>
      </w:hyperlink>
      <w:r w:rsidR="00646BD1">
        <w:t>)</w:t>
      </w:r>
      <w:r>
        <w:t>. SG</w:t>
      </w:r>
      <w:r w:rsidR="00A22FAF">
        <w:rPr>
          <w:rFonts w:eastAsia="SimSun"/>
          <w:lang w:val="en-US" w:eastAsia="zh-CN"/>
        </w:rPr>
        <w:t>11</w:t>
      </w:r>
      <w:r>
        <w:t xml:space="preserve"> has examined the request from TSAG and agreed </w:t>
      </w:r>
      <w:r w:rsidR="00726289">
        <w:t>to provide</w:t>
      </w:r>
      <w:r>
        <w:t xml:space="preserve"> feedback</w:t>
      </w:r>
      <w:r w:rsidR="00726289">
        <w:t xml:space="preserve"> </w:t>
      </w:r>
      <w:r w:rsidR="00A22FAF">
        <w:t xml:space="preserve">against </w:t>
      </w:r>
      <w:r>
        <w:t xml:space="preserve">each specific </w:t>
      </w:r>
      <w:r w:rsidR="00A22FAF">
        <w:t>item</w:t>
      </w:r>
      <w:r>
        <w:t xml:space="preserve"> as follows:</w:t>
      </w:r>
    </w:p>
    <w:p w14:paraId="0875FD96" w14:textId="50FFD6B2" w:rsidR="00AD2D44" w:rsidRDefault="00B57774" w:rsidP="007E6815">
      <w:pPr>
        <w:overflowPunct w:val="0"/>
        <w:autoSpaceDE w:val="0"/>
        <w:autoSpaceDN w:val="0"/>
        <w:adjustRightInd w:val="0"/>
        <w:spacing w:before="360"/>
        <w:textAlignment w:val="baseline"/>
        <w:rPr>
          <w:i/>
          <w:iCs/>
        </w:rPr>
      </w:pPr>
      <w:r>
        <w:rPr>
          <w:i/>
          <w:iCs/>
        </w:rPr>
        <w:t>TSAG Question a):</w:t>
      </w:r>
      <w:r w:rsidR="00817726">
        <w:rPr>
          <w:i/>
          <w:iCs/>
        </w:rPr>
        <w:t xml:space="preserve"> </w:t>
      </w:r>
      <w:r>
        <w:rPr>
          <w:i/>
          <w:iCs/>
        </w:rPr>
        <w:t>Are there particular guidelines that your study group implement when resolving AAP comments?</w:t>
      </w:r>
    </w:p>
    <w:p w14:paraId="318E2B33" w14:textId="75781A0C" w:rsidR="00AD2D44" w:rsidRPr="00817726" w:rsidRDefault="00B57774" w:rsidP="00D009E8">
      <w:pPr>
        <w:rPr>
          <w:rFonts w:eastAsia="Yu Mincho"/>
        </w:rPr>
      </w:pPr>
      <w:r>
        <w:rPr>
          <w:b/>
          <w:bCs/>
        </w:rPr>
        <w:t>SG</w:t>
      </w:r>
      <w:r w:rsidR="00817726">
        <w:rPr>
          <w:rFonts w:eastAsia="SimSun"/>
          <w:b/>
          <w:bCs/>
          <w:lang w:val="en-US" w:eastAsia="zh-CN"/>
        </w:rPr>
        <w:t>11</w:t>
      </w:r>
      <w:r>
        <w:rPr>
          <w:b/>
          <w:bCs/>
        </w:rPr>
        <w:t xml:space="preserve"> answer to a):</w:t>
      </w:r>
      <w:r>
        <w:rPr>
          <w:b/>
          <w:bCs/>
        </w:rPr>
        <w:br/>
      </w:r>
      <w:r>
        <w:rPr>
          <w:rFonts w:eastAsia="Yu Mincho"/>
        </w:rPr>
        <w:t xml:space="preserve">ITU-T </w:t>
      </w:r>
      <w:r>
        <w:rPr>
          <w:rFonts w:eastAsia="SimSun" w:hint="eastAsia"/>
          <w:lang w:eastAsia="zh-CN"/>
        </w:rPr>
        <w:t>SG</w:t>
      </w:r>
      <w:r w:rsidR="00A22FAF">
        <w:rPr>
          <w:rFonts w:eastAsia="SimSun"/>
          <w:lang w:eastAsia="zh-CN"/>
        </w:rPr>
        <w:t>11</w:t>
      </w:r>
      <w:r>
        <w:rPr>
          <w:rFonts w:eastAsia="Yu Mincho"/>
        </w:rPr>
        <w:t xml:space="preserve"> does not have a</w:t>
      </w:r>
      <w:r w:rsidR="00817726">
        <w:rPr>
          <w:rFonts w:eastAsia="Yu Mincho"/>
        </w:rPr>
        <w:t>ny</w:t>
      </w:r>
      <w:r>
        <w:rPr>
          <w:rFonts w:eastAsia="Yu Mincho"/>
        </w:rPr>
        <w:t xml:space="preserve"> </w:t>
      </w:r>
      <w:r w:rsidR="00726289">
        <w:rPr>
          <w:rFonts w:eastAsia="Yu Mincho"/>
        </w:rPr>
        <w:t xml:space="preserve">specific </w:t>
      </w:r>
      <w:r w:rsidR="00817726">
        <w:rPr>
          <w:rFonts w:eastAsia="Yu Mincho"/>
        </w:rPr>
        <w:t>guideline</w:t>
      </w:r>
      <w:r>
        <w:rPr>
          <w:rFonts w:eastAsia="Yu Mincho"/>
        </w:rPr>
        <w:t xml:space="preserve"> </w:t>
      </w:r>
      <w:r w:rsidR="00A22FAF">
        <w:rPr>
          <w:rFonts w:eastAsia="Yu Mincho"/>
        </w:rPr>
        <w:t>for</w:t>
      </w:r>
      <w:r>
        <w:rPr>
          <w:rFonts w:eastAsia="Yu Mincho"/>
        </w:rPr>
        <w:t xml:space="preserve"> resolving AAP</w:t>
      </w:r>
      <w:r w:rsidR="00726289">
        <w:rPr>
          <w:rFonts w:eastAsia="Yu Mincho"/>
        </w:rPr>
        <w:t xml:space="preserve"> Last Call</w:t>
      </w:r>
      <w:r>
        <w:rPr>
          <w:rFonts w:eastAsia="Yu Mincho"/>
        </w:rPr>
        <w:t xml:space="preserve"> comments</w:t>
      </w:r>
      <w:r>
        <w:rPr>
          <w:rFonts w:eastAsia="SimSun" w:hint="eastAsia"/>
          <w:lang w:val="en-US" w:eastAsia="zh-CN"/>
        </w:rPr>
        <w:t xml:space="preserve">. </w:t>
      </w:r>
      <w:r w:rsidR="00A22FAF">
        <w:rPr>
          <w:rFonts w:eastAsia="SimSun"/>
          <w:lang w:val="en-US" w:eastAsia="zh-CN"/>
        </w:rPr>
        <w:t xml:space="preserve">As per the </w:t>
      </w:r>
      <w:r w:rsidR="00817726">
        <w:rPr>
          <w:rFonts w:eastAsia="SimSun"/>
          <w:lang w:val="en-US" w:eastAsia="zh-CN"/>
        </w:rPr>
        <w:t>experience</w:t>
      </w:r>
      <w:r w:rsidR="00A22FAF">
        <w:rPr>
          <w:rFonts w:eastAsia="SimSun"/>
          <w:lang w:val="en-US" w:eastAsia="zh-CN"/>
        </w:rPr>
        <w:t xml:space="preserve">, the AAP </w:t>
      </w:r>
      <w:r w:rsidR="00726289">
        <w:rPr>
          <w:rFonts w:eastAsia="SimSun"/>
          <w:lang w:val="en-US" w:eastAsia="zh-CN"/>
        </w:rPr>
        <w:t xml:space="preserve">LC </w:t>
      </w:r>
      <w:r w:rsidR="00A22FAF">
        <w:rPr>
          <w:rFonts w:eastAsia="SimSun"/>
          <w:lang w:val="en-US" w:eastAsia="zh-CN"/>
        </w:rPr>
        <w:t>comments</w:t>
      </w:r>
      <w:r w:rsidR="009B4D1F">
        <w:rPr>
          <w:rFonts w:eastAsia="SimSun"/>
          <w:lang w:val="en-US" w:eastAsia="zh-CN"/>
        </w:rPr>
        <w:t>,</w:t>
      </w:r>
      <w:r w:rsidR="00A22FAF">
        <w:rPr>
          <w:rFonts w:eastAsia="SimSun"/>
          <w:lang w:val="en-US" w:eastAsia="zh-CN"/>
        </w:rPr>
        <w:t xml:space="preserve"> received during the last call phase</w:t>
      </w:r>
      <w:r w:rsidR="009B4D1F">
        <w:rPr>
          <w:rFonts w:eastAsia="SimSun"/>
          <w:lang w:val="en-US" w:eastAsia="zh-CN"/>
        </w:rPr>
        <w:t xml:space="preserve">, </w:t>
      </w:r>
      <w:r w:rsidR="00A22FAF">
        <w:rPr>
          <w:rFonts w:eastAsia="SimSun"/>
          <w:lang w:val="en-US" w:eastAsia="zh-CN"/>
        </w:rPr>
        <w:t>are</w:t>
      </w:r>
      <w:r>
        <w:rPr>
          <w:rFonts w:eastAsia="SimSun" w:hint="eastAsia"/>
          <w:lang w:val="en-US" w:eastAsia="zh-CN"/>
        </w:rPr>
        <w:t xml:space="preserve"> handled by the Rapporteur, the editors and the </w:t>
      </w:r>
      <w:r w:rsidR="00FA1565">
        <w:rPr>
          <w:rFonts w:eastAsia="SimSun"/>
          <w:lang w:val="en-US" w:eastAsia="zh-CN"/>
        </w:rPr>
        <w:t>submitters</w:t>
      </w:r>
      <w:r w:rsidR="00817726">
        <w:rPr>
          <w:rFonts w:eastAsia="SimSun"/>
          <w:lang w:val="en-US" w:eastAsia="zh-CN"/>
        </w:rPr>
        <w:t>. T</w:t>
      </w:r>
      <w:r>
        <w:rPr>
          <w:rFonts w:eastAsia="SimSun" w:hint="eastAsia"/>
          <w:lang w:val="en-US" w:eastAsia="zh-CN"/>
        </w:rPr>
        <w:t xml:space="preserve">he comments </w:t>
      </w:r>
      <w:r w:rsidR="00817726">
        <w:rPr>
          <w:rFonts w:eastAsia="SimSun"/>
          <w:lang w:val="en-US" w:eastAsia="zh-CN"/>
        </w:rPr>
        <w:t>are</w:t>
      </w:r>
      <w:r>
        <w:rPr>
          <w:rFonts w:eastAsia="SimSun" w:hint="eastAsia"/>
          <w:lang w:val="en-US" w:eastAsia="zh-CN"/>
        </w:rPr>
        <w:t xml:space="preserve"> discussed </w:t>
      </w:r>
      <w:r w:rsidR="00410911">
        <w:rPr>
          <w:rFonts w:eastAsia="SimSun"/>
          <w:lang w:val="en-US" w:eastAsia="zh-CN"/>
        </w:rPr>
        <w:t xml:space="preserve">via emails and/or </w:t>
      </w:r>
      <w:r w:rsidR="003C2797">
        <w:rPr>
          <w:rFonts w:eastAsia="SimSun"/>
          <w:lang w:val="en-US" w:eastAsia="zh-CN"/>
        </w:rPr>
        <w:t>conf calls</w:t>
      </w:r>
      <w:r w:rsidR="001914A6">
        <w:rPr>
          <w:rFonts w:eastAsia="SimSun"/>
          <w:lang w:val="en-US" w:eastAsia="zh-CN"/>
        </w:rPr>
        <w:t>.</w:t>
      </w:r>
      <w:r w:rsidR="000C092D">
        <w:rPr>
          <w:rFonts w:eastAsia="SimSun"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>Usually</w:t>
      </w:r>
      <w:r w:rsidR="00F4609A">
        <w:rPr>
          <w:rFonts w:eastAsia="SimSun"/>
          <w:lang w:val="en-US" w:eastAsia="zh-CN"/>
        </w:rPr>
        <w:t>,</w:t>
      </w:r>
      <w:r>
        <w:rPr>
          <w:rFonts w:eastAsia="SimSun" w:hint="eastAsia"/>
          <w:lang w:val="en-US" w:eastAsia="zh-CN"/>
        </w:rPr>
        <w:t xml:space="preserve"> the comments </w:t>
      </w:r>
      <w:r w:rsidR="00817726">
        <w:rPr>
          <w:rFonts w:eastAsia="SimSun"/>
          <w:lang w:val="en-US" w:eastAsia="zh-CN"/>
        </w:rPr>
        <w:t xml:space="preserve">are </w:t>
      </w:r>
      <w:r>
        <w:rPr>
          <w:rFonts w:eastAsia="SimSun" w:hint="eastAsia"/>
          <w:lang w:val="en-US" w:eastAsia="zh-CN"/>
        </w:rPr>
        <w:t xml:space="preserve">resolved </w:t>
      </w:r>
      <w:r w:rsidR="007E57B6">
        <w:rPr>
          <w:rFonts w:eastAsia="SimSun"/>
          <w:lang w:val="en-US" w:eastAsia="zh-CN"/>
        </w:rPr>
        <w:t xml:space="preserve">in a short period of time </w:t>
      </w:r>
      <w:r w:rsidR="00CA5D57">
        <w:rPr>
          <w:rFonts w:eastAsia="SimSun"/>
          <w:lang w:val="en-US" w:eastAsia="zh-CN"/>
        </w:rPr>
        <w:t xml:space="preserve">in order to start </w:t>
      </w:r>
      <w:r>
        <w:rPr>
          <w:rFonts w:eastAsia="SimSun" w:hint="eastAsia"/>
          <w:lang w:val="en-US" w:eastAsia="zh-CN"/>
        </w:rPr>
        <w:t xml:space="preserve">the additional review. </w:t>
      </w:r>
      <w:r w:rsidR="00CA5D57">
        <w:rPr>
          <w:rFonts w:eastAsia="SimSun"/>
          <w:lang w:val="en-US" w:eastAsia="zh-CN"/>
        </w:rPr>
        <w:t xml:space="preserve">However, sometimes, as there is no strict deadline </w:t>
      </w:r>
      <w:r w:rsidR="00380F01">
        <w:rPr>
          <w:rFonts w:eastAsia="SimSun"/>
          <w:lang w:val="en-US" w:eastAsia="zh-CN"/>
        </w:rPr>
        <w:t xml:space="preserve">to get </w:t>
      </w:r>
      <w:r w:rsidR="00107DDD">
        <w:rPr>
          <w:rFonts w:eastAsia="SimSun"/>
          <w:lang w:val="en-US" w:eastAsia="zh-CN"/>
        </w:rPr>
        <w:t xml:space="preserve">appropriate </w:t>
      </w:r>
      <w:r w:rsidR="00380F01">
        <w:rPr>
          <w:rFonts w:eastAsia="SimSun"/>
          <w:lang w:val="en-US" w:eastAsia="zh-CN"/>
        </w:rPr>
        <w:t xml:space="preserve">feedback from the </w:t>
      </w:r>
      <w:r w:rsidR="000F1A96">
        <w:rPr>
          <w:rFonts w:eastAsia="SimSun"/>
          <w:lang w:val="en-US" w:eastAsia="zh-CN"/>
        </w:rPr>
        <w:t>submitters</w:t>
      </w:r>
      <w:r w:rsidR="003E724D">
        <w:rPr>
          <w:rFonts w:eastAsia="SimSun"/>
          <w:lang w:val="en-US" w:eastAsia="zh-CN"/>
        </w:rPr>
        <w:t xml:space="preserve"> </w:t>
      </w:r>
      <w:r w:rsidR="00380F01">
        <w:rPr>
          <w:rFonts w:eastAsia="SimSun"/>
          <w:lang w:val="en-US" w:eastAsia="zh-CN"/>
        </w:rPr>
        <w:t>on proposed comments resolution</w:t>
      </w:r>
      <w:r w:rsidR="000F1A96">
        <w:rPr>
          <w:rFonts w:eastAsia="SimSun"/>
          <w:lang w:val="en-US" w:eastAsia="zh-CN"/>
        </w:rPr>
        <w:t>, this period can</w:t>
      </w:r>
      <w:r w:rsidR="00044764">
        <w:rPr>
          <w:rFonts w:eastAsia="SimSun"/>
          <w:lang w:val="en-US" w:eastAsia="zh-CN"/>
        </w:rPr>
        <w:t xml:space="preserve"> take more time (e.g. months).</w:t>
      </w:r>
      <w:r w:rsidR="0071098C">
        <w:rPr>
          <w:rFonts w:eastAsia="SimSun"/>
          <w:lang w:val="en-US" w:eastAsia="zh-CN"/>
        </w:rPr>
        <w:t xml:space="preserve"> In this regard, the </w:t>
      </w:r>
      <w:r w:rsidR="00631501">
        <w:rPr>
          <w:rFonts w:eastAsia="SimSun"/>
          <w:lang w:val="en-US" w:eastAsia="zh-CN"/>
        </w:rPr>
        <w:t>agreement</w:t>
      </w:r>
      <w:r w:rsidR="0071098C">
        <w:rPr>
          <w:rFonts w:eastAsia="SimSun"/>
          <w:lang w:val="en-US" w:eastAsia="zh-CN"/>
        </w:rPr>
        <w:t xml:space="preserve"> of comment resolution </w:t>
      </w:r>
      <w:r w:rsidR="00EC6AA8">
        <w:rPr>
          <w:rFonts w:eastAsia="SimSun"/>
          <w:lang w:val="en-US" w:eastAsia="zh-CN"/>
        </w:rPr>
        <w:t xml:space="preserve">may be </w:t>
      </w:r>
      <w:r w:rsidR="00B2621F">
        <w:rPr>
          <w:rFonts w:eastAsia="SimSun"/>
          <w:lang w:val="en-US" w:eastAsia="zh-CN"/>
        </w:rPr>
        <w:t>delayed</w:t>
      </w:r>
      <w:r w:rsidR="00EC6AA8">
        <w:rPr>
          <w:rFonts w:eastAsia="SimSun"/>
          <w:lang w:val="en-US" w:eastAsia="zh-CN"/>
        </w:rPr>
        <w:t xml:space="preserve"> sufficiently</w:t>
      </w:r>
      <w:r w:rsidR="00B2621F">
        <w:rPr>
          <w:rFonts w:eastAsia="SimSun"/>
          <w:lang w:val="en-US" w:eastAsia="zh-CN"/>
        </w:rPr>
        <w:t>.</w:t>
      </w:r>
    </w:p>
    <w:p w14:paraId="6EA55C12" w14:textId="0736C781" w:rsidR="00AD2D44" w:rsidRDefault="00B57774" w:rsidP="007E6815">
      <w:pPr>
        <w:keepNext/>
        <w:keepLines/>
        <w:overflowPunct w:val="0"/>
        <w:autoSpaceDE w:val="0"/>
        <w:autoSpaceDN w:val="0"/>
        <w:adjustRightInd w:val="0"/>
        <w:spacing w:before="0"/>
        <w:textAlignment w:val="baseline"/>
      </w:pPr>
      <w:r>
        <w:rPr>
          <w:i/>
          <w:iCs/>
        </w:rPr>
        <w:lastRenderedPageBreak/>
        <w:t>TSAG Question b):</w:t>
      </w:r>
      <w:r w:rsidR="00817726">
        <w:rPr>
          <w:i/>
          <w:iCs/>
        </w:rPr>
        <w:t xml:space="preserve"> </w:t>
      </w:r>
      <w:r>
        <w:rPr>
          <w:i/>
          <w:iCs/>
        </w:rPr>
        <w:t xml:space="preserve">Do you think that harmonizing these guidelines for all study groups would be useful, or is better to leave these details to the purview of each study group, </w:t>
      </w:r>
      <w:proofErr w:type="gramStart"/>
      <w:r>
        <w:rPr>
          <w:i/>
          <w:iCs/>
        </w:rPr>
        <w:t>taking into account</w:t>
      </w:r>
      <w:proofErr w:type="gramEnd"/>
      <w:r>
        <w:rPr>
          <w:i/>
          <w:iCs/>
        </w:rPr>
        <w:t xml:space="preserve"> their established practice?</w:t>
      </w:r>
    </w:p>
    <w:p w14:paraId="58CA0531" w14:textId="2E236E7E" w:rsidR="00AD2D44" w:rsidRDefault="00B57774" w:rsidP="007E6815">
      <w:pPr>
        <w:keepNext/>
        <w:keepLines/>
        <w:rPr>
          <w:rFonts w:eastAsia="Yu Mincho"/>
          <w:highlight w:val="yellow"/>
        </w:rPr>
      </w:pPr>
      <w:r>
        <w:rPr>
          <w:rFonts w:eastAsia="SimSun" w:hint="eastAsia"/>
          <w:b/>
          <w:bCs/>
          <w:lang w:eastAsia="zh-CN"/>
        </w:rPr>
        <w:t>SG</w:t>
      </w:r>
      <w:r w:rsidR="00817726">
        <w:rPr>
          <w:rFonts w:eastAsia="SimSun"/>
          <w:b/>
          <w:bCs/>
          <w:lang w:eastAsia="zh-CN"/>
        </w:rPr>
        <w:t>11</w:t>
      </w:r>
      <w:r>
        <w:rPr>
          <w:b/>
          <w:bCs/>
        </w:rPr>
        <w:t xml:space="preserve"> answer to b):</w:t>
      </w:r>
      <w:r>
        <w:rPr>
          <w:b/>
          <w:bCs/>
        </w:rPr>
        <w:br/>
      </w:r>
      <w:r>
        <w:rPr>
          <w:rFonts w:eastAsia="SimSun" w:hint="eastAsia"/>
          <w:lang w:val="en-US" w:eastAsia="zh-CN"/>
        </w:rPr>
        <w:t>Based on past experiences</w:t>
      </w:r>
      <w:r w:rsidR="009F2CB7">
        <w:rPr>
          <w:rFonts w:eastAsia="SimSun"/>
          <w:lang w:val="en-US" w:eastAsia="zh-CN"/>
        </w:rPr>
        <w:t xml:space="preserve"> in SG11</w:t>
      </w:r>
      <w:r>
        <w:rPr>
          <w:rFonts w:eastAsia="SimSun" w:hint="eastAsia"/>
          <w:lang w:val="en-US" w:eastAsia="zh-CN"/>
        </w:rPr>
        <w:t>, the</w:t>
      </w:r>
      <w:r>
        <w:rPr>
          <w:rFonts w:eastAsia="Yu Mincho"/>
        </w:rPr>
        <w:t xml:space="preserve"> current ITU-T A.8</w:t>
      </w:r>
      <w:r w:rsidR="00817726">
        <w:rPr>
          <w:rFonts w:eastAsia="Yu Mincho"/>
        </w:rPr>
        <w:t xml:space="preserve"> recommendation has worked</w:t>
      </w:r>
      <w:r>
        <w:rPr>
          <w:rFonts w:eastAsia="SimSun" w:hint="eastAsia"/>
          <w:lang w:val="en-US" w:eastAsia="zh-CN"/>
        </w:rPr>
        <w:t xml:space="preserve"> well for SG</w:t>
      </w:r>
      <w:r w:rsidR="00817726">
        <w:rPr>
          <w:rFonts w:eastAsia="SimSun"/>
          <w:lang w:val="en-US" w:eastAsia="zh-CN"/>
        </w:rPr>
        <w:t>11</w:t>
      </w:r>
      <w:r>
        <w:rPr>
          <w:rFonts w:eastAsia="SimSun" w:hint="eastAsia"/>
          <w:lang w:val="en-US" w:eastAsia="zh-CN"/>
        </w:rPr>
        <w:t xml:space="preserve">. </w:t>
      </w:r>
      <w:r w:rsidR="00817726">
        <w:rPr>
          <w:rFonts w:eastAsia="SimSun"/>
          <w:lang w:val="en-US" w:eastAsia="zh-CN"/>
        </w:rPr>
        <w:t>However</w:t>
      </w:r>
      <w:r>
        <w:rPr>
          <w:rFonts w:eastAsia="SimSun" w:hint="eastAsia"/>
          <w:lang w:val="en-US" w:eastAsia="zh-CN"/>
        </w:rPr>
        <w:t xml:space="preserve">, a </w:t>
      </w:r>
      <w:r w:rsidR="009F2CB7">
        <w:rPr>
          <w:rFonts w:eastAsia="SimSun"/>
          <w:lang w:val="en-US" w:eastAsia="zh-CN"/>
        </w:rPr>
        <w:t xml:space="preserve">clear </w:t>
      </w:r>
      <w:r>
        <w:rPr>
          <w:rFonts w:eastAsia="SimSun" w:hint="eastAsia"/>
          <w:lang w:val="en-US" w:eastAsia="zh-CN"/>
        </w:rPr>
        <w:t xml:space="preserve">approach to AAP last call </w:t>
      </w:r>
      <w:r w:rsidR="009F2CB7">
        <w:rPr>
          <w:rFonts w:eastAsia="SimSun"/>
          <w:lang w:val="en-US" w:eastAsia="zh-CN"/>
        </w:rPr>
        <w:t xml:space="preserve">comment resolution </w:t>
      </w:r>
      <w:r>
        <w:rPr>
          <w:rFonts w:eastAsia="SimSun" w:hint="eastAsia"/>
          <w:lang w:val="en-US" w:eastAsia="zh-CN"/>
        </w:rPr>
        <w:t>should be reflected in A.8</w:t>
      </w:r>
      <w:r w:rsidR="009F2CB7">
        <w:rPr>
          <w:rFonts w:eastAsia="SimSun"/>
          <w:lang w:val="en-US" w:eastAsia="zh-CN"/>
        </w:rPr>
        <w:t xml:space="preserve"> </w:t>
      </w:r>
      <w:r w:rsidR="009F2CB7">
        <w:rPr>
          <w:rFonts w:eastAsia="Yu Mincho"/>
        </w:rPr>
        <w:t>recommendation as far as possible</w:t>
      </w:r>
      <w:r>
        <w:rPr>
          <w:rFonts w:eastAsia="SimSun" w:hint="eastAsia"/>
          <w:lang w:val="en-US" w:eastAsia="zh-CN"/>
        </w:rPr>
        <w:t>.</w:t>
      </w:r>
    </w:p>
    <w:p w14:paraId="5935FCF2" w14:textId="64BE50A1" w:rsidR="00AD2D44" w:rsidRDefault="00B57774" w:rsidP="007E6815">
      <w:pPr>
        <w:overflowPunct w:val="0"/>
        <w:autoSpaceDE w:val="0"/>
        <w:autoSpaceDN w:val="0"/>
        <w:adjustRightInd w:val="0"/>
        <w:spacing w:before="360"/>
        <w:textAlignment w:val="baseline"/>
        <w:rPr>
          <w:i/>
          <w:iCs/>
        </w:rPr>
      </w:pPr>
      <w:r>
        <w:rPr>
          <w:i/>
          <w:iCs/>
        </w:rPr>
        <w:t>TSAG Question c):</w:t>
      </w:r>
      <w:r w:rsidR="00817726">
        <w:rPr>
          <w:i/>
          <w:iCs/>
        </w:rPr>
        <w:t xml:space="preserve"> </w:t>
      </w:r>
      <w:r>
        <w:rPr>
          <w:i/>
          <w:iCs/>
        </w:rPr>
        <w:t xml:space="preserve">Do you think that </w:t>
      </w:r>
      <w:hyperlink r:id="rId18" w:history="1">
        <w:r>
          <w:rPr>
            <w:rStyle w:val="Hyperlink"/>
            <w:rFonts w:asciiTheme="majorBidi" w:hAnsiTheme="majorBidi" w:cstheme="majorBidi"/>
            <w:i/>
            <w:iCs/>
          </w:rPr>
          <w:t>Rec. ITU</w:t>
        </w:r>
        <w:r>
          <w:rPr>
            <w:rStyle w:val="Hyperlink"/>
            <w:rFonts w:asciiTheme="majorBidi" w:hAnsiTheme="majorBidi" w:cstheme="majorBidi"/>
            <w:i/>
            <w:iCs/>
          </w:rPr>
          <w:noBreakHyphen/>
          <w:t>T A.8</w:t>
        </w:r>
      </w:hyperlink>
      <w:r>
        <w:rPr>
          <w:i/>
          <w:iCs/>
        </w:rPr>
        <w:t xml:space="preserve"> requires further text to clarify the comment resolution process to follow up on comments received during AAP Last Call or Additional Review, or is the in-force edition of </w:t>
      </w:r>
      <w:hyperlink r:id="rId19" w:history="1">
        <w:r>
          <w:rPr>
            <w:rStyle w:val="Hyperlink"/>
            <w:rFonts w:asciiTheme="majorBidi" w:hAnsiTheme="majorBidi" w:cstheme="majorBidi"/>
            <w:i/>
            <w:iCs/>
          </w:rPr>
          <w:t>Rec. ITU</w:t>
        </w:r>
        <w:r>
          <w:rPr>
            <w:rStyle w:val="Hyperlink"/>
            <w:rFonts w:asciiTheme="majorBidi" w:hAnsiTheme="majorBidi" w:cstheme="majorBidi"/>
            <w:i/>
            <w:iCs/>
          </w:rPr>
          <w:noBreakHyphen/>
          <w:t>T A.8</w:t>
        </w:r>
      </w:hyperlink>
      <w:r>
        <w:rPr>
          <w:i/>
          <w:iCs/>
        </w:rPr>
        <w:t xml:space="preserve"> sufficient? In the former case, would the change suggested in clause 4.4.2 of </w:t>
      </w:r>
      <w:hyperlink r:id="rId20" w:history="1">
        <w:r>
          <w:rPr>
            <w:rStyle w:val="Hyperlink"/>
            <w:rFonts w:asciiTheme="majorBidi" w:hAnsiTheme="majorBidi" w:cstheme="majorBidi"/>
            <w:i/>
            <w:iCs/>
          </w:rPr>
          <w:t>TSAG-TD628R1</w:t>
        </w:r>
      </w:hyperlink>
      <w:r>
        <w:rPr>
          <w:i/>
          <w:iCs/>
        </w:rPr>
        <w:t xml:space="preserve"> be useful for your study group?</w:t>
      </w:r>
    </w:p>
    <w:p w14:paraId="0735A915" w14:textId="48F380D5" w:rsidR="00AD2D44" w:rsidRDefault="00B57774" w:rsidP="00D009E8">
      <w:pPr>
        <w:rPr>
          <w:rFonts w:eastAsia="Yu Mincho"/>
        </w:rPr>
      </w:pPr>
      <w:r>
        <w:rPr>
          <w:rFonts w:eastAsia="SimSun" w:hint="eastAsia"/>
          <w:b/>
          <w:bCs/>
          <w:lang w:eastAsia="zh-CN"/>
        </w:rPr>
        <w:t>SG</w:t>
      </w:r>
      <w:r w:rsidR="00817726">
        <w:rPr>
          <w:rFonts w:eastAsia="SimSun"/>
          <w:b/>
          <w:bCs/>
          <w:lang w:eastAsia="zh-CN"/>
        </w:rPr>
        <w:t>11</w:t>
      </w:r>
      <w:r>
        <w:rPr>
          <w:b/>
          <w:bCs/>
        </w:rPr>
        <w:t xml:space="preserve"> answer to c):</w:t>
      </w:r>
      <w:r>
        <w:rPr>
          <w:b/>
          <w:bCs/>
        </w:rPr>
        <w:br/>
      </w:r>
      <w:r w:rsidR="00A55B82">
        <w:rPr>
          <w:rFonts w:eastAsia="SimSun"/>
          <w:lang w:val="en-US" w:eastAsia="zh-CN"/>
        </w:rPr>
        <w:t>In principle</w:t>
      </w:r>
      <w:r w:rsidR="007A25C2">
        <w:rPr>
          <w:rFonts w:eastAsia="SimSun"/>
          <w:lang w:val="en-US" w:eastAsia="zh-CN"/>
        </w:rPr>
        <w:t xml:space="preserve">, </w:t>
      </w:r>
      <w:r>
        <w:rPr>
          <w:rFonts w:eastAsia="Yu Mincho"/>
        </w:rPr>
        <w:t xml:space="preserve">the current </w:t>
      </w:r>
      <w:r>
        <w:rPr>
          <w:rFonts w:eastAsia="SimSun" w:hint="eastAsia"/>
          <w:lang w:val="en-US" w:eastAsia="zh-CN"/>
        </w:rPr>
        <w:t xml:space="preserve">in-force </w:t>
      </w:r>
      <w:r>
        <w:rPr>
          <w:rFonts w:eastAsia="Yu Mincho"/>
        </w:rPr>
        <w:t xml:space="preserve">version of Recommendation </w:t>
      </w:r>
      <w:r w:rsidR="002B7699">
        <w:rPr>
          <w:rFonts w:eastAsia="Yu Mincho"/>
        </w:rPr>
        <w:t xml:space="preserve">ITU-T </w:t>
      </w:r>
      <w:r>
        <w:rPr>
          <w:rFonts w:eastAsia="Yu Mincho"/>
        </w:rPr>
        <w:t>A.8 is sufficient</w:t>
      </w:r>
      <w:r>
        <w:rPr>
          <w:rFonts w:eastAsia="SimSun" w:hint="eastAsia"/>
          <w:lang w:val="en-US" w:eastAsia="zh-CN"/>
        </w:rPr>
        <w:t xml:space="preserve"> for </w:t>
      </w:r>
      <w:proofErr w:type="spellStart"/>
      <w:r>
        <w:rPr>
          <w:rFonts w:eastAsia="Yu Mincho"/>
        </w:rPr>
        <w:t>resolv</w:t>
      </w:r>
      <w:r>
        <w:rPr>
          <w:rFonts w:eastAsia="SimSun" w:hint="eastAsia"/>
          <w:lang w:val="en-US" w:eastAsia="zh-CN"/>
        </w:rPr>
        <w:t>ing</w:t>
      </w:r>
      <w:proofErr w:type="spellEnd"/>
      <w:r>
        <w:rPr>
          <w:rFonts w:eastAsia="SimSun" w:hint="eastAsia"/>
          <w:lang w:val="en-US" w:eastAsia="zh-CN"/>
        </w:rPr>
        <w:t xml:space="preserve"> the</w:t>
      </w:r>
      <w:r>
        <w:rPr>
          <w:rFonts w:eastAsia="Yu Mincho"/>
        </w:rPr>
        <w:t xml:space="preserve"> comments submitted during the AAP.</w:t>
      </w:r>
      <w:r w:rsidR="007A25C2">
        <w:rPr>
          <w:rFonts w:eastAsia="Yu Mincho"/>
        </w:rPr>
        <w:t xml:space="preserve"> However, the additional criteria </w:t>
      </w:r>
      <w:r w:rsidR="000D7D3B">
        <w:rPr>
          <w:rFonts w:eastAsia="Yu Mincho"/>
        </w:rPr>
        <w:t xml:space="preserve">proposed in cl.4.4.2 </w:t>
      </w:r>
      <w:r w:rsidR="0002224C">
        <w:rPr>
          <w:rFonts w:eastAsia="Yu Mincho"/>
        </w:rPr>
        <w:t>might</w:t>
      </w:r>
      <w:r w:rsidR="000D7D3B">
        <w:rPr>
          <w:rFonts w:eastAsia="Yu Mincho"/>
        </w:rPr>
        <w:t xml:space="preserve"> help to </w:t>
      </w:r>
      <w:r w:rsidR="00694D60">
        <w:rPr>
          <w:rFonts w:eastAsia="Yu Mincho"/>
        </w:rPr>
        <w:t>speed up the process.</w:t>
      </w:r>
    </w:p>
    <w:p w14:paraId="28CF9965" w14:textId="70B4BDD3" w:rsidR="00AD2D44" w:rsidRDefault="00B57774" w:rsidP="007E6815">
      <w:pPr>
        <w:overflowPunct w:val="0"/>
        <w:autoSpaceDE w:val="0"/>
        <w:autoSpaceDN w:val="0"/>
        <w:adjustRightInd w:val="0"/>
        <w:spacing w:before="360"/>
        <w:textAlignment w:val="baseline"/>
        <w:rPr>
          <w:i/>
          <w:iCs/>
        </w:rPr>
      </w:pPr>
      <w:r>
        <w:rPr>
          <w:i/>
          <w:iCs/>
        </w:rPr>
        <w:t>TSAG Question d):</w:t>
      </w:r>
      <w:r w:rsidR="00817726">
        <w:rPr>
          <w:rFonts w:eastAsia="Yu Mincho"/>
        </w:rPr>
        <w:t xml:space="preserve"> </w:t>
      </w:r>
      <w:r>
        <w:rPr>
          <w:i/>
          <w:iCs/>
        </w:rPr>
        <w:t xml:space="preserve">In case </w:t>
      </w:r>
      <w:hyperlink r:id="rId21" w:history="1">
        <w:r>
          <w:rPr>
            <w:rStyle w:val="Hyperlink"/>
            <w:rFonts w:asciiTheme="majorBidi" w:hAnsiTheme="majorBidi" w:cstheme="majorBidi"/>
            <w:i/>
            <w:iCs/>
          </w:rPr>
          <w:t>Rec. ITU</w:t>
        </w:r>
        <w:r>
          <w:rPr>
            <w:rStyle w:val="Hyperlink"/>
            <w:rFonts w:asciiTheme="majorBidi" w:hAnsiTheme="majorBidi" w:cstheme="majorBidi"/>
            <w:i/>
            <w:iCs/>
          </w:rPr>
          <w:noBreakHyphen/>
          <w:t>T A.8</w:t>
        </w:r>
      </w:hyperlink>
      <w:r>
        <w:rPr>
          <w:i/>
          <w:iCs/>
        </w:rPr>
        <w:t xml:space="preserve"> is updated and a deadline for confirming comments is added, would "6 weeks" be a reasonable period after which the study group chair may consider that the comment resolution is agreeable to all, even to those who did not respond explicitly to confirm it?</w:t>
      </w:r>
    </w:p>
    <w:p w14:paraId="5D0DA7FB" w14:textId="77777777" w:rsidR="00726289" w:rsidRDefault="00B57774" w:rsidP="00D009E8">
      <w:pPr>
        <w:rPr>
          <w:b/>
          <w:bCs/>
        </w:rPr>
      </w:pPr>
      <w:r>
        <w:rPr>
          <w:rFonts w:eastAsia="SimSun" w:hint="eastAsia"/>
          <w:b/>
          <w:bCs/>
          <w:lang w:eastAsia="zh-CN"/>
        </w:rPr>
        <w:t>SG</w:t>
      </w:r>
      <w:r w:rsidR="00817726">
        <w:rPr>
          <w:rFonts w:eastAsia="SimSun"/>
          <w:b/>
          <w:bCs/>
          <w:lang w:eastAsia="zh-CN"/>
        </w:rPr>
        <w:t>11</w:t>
      </w:r>
      <w:r>
        <w:rPr>
          <w:b/>
          <w:bCs/>
        </w:rPr>
        <w:t xml:space="preserve"> answer to d):</w:t>
      </w:r>
    </w:p>
    <w:p w14:paraId="3F3C828C" w14:textId="7BC1497D" w:rsidR="00AD2D44" w:rsidRDefault="00726289" w:rsidP="00D009E8">
      <w:pPr>
        <w:spacing w:before="0"/>
        <w:rPr>
          <w:rFonts w:eastAsia="Yu Mincho"/>
        </w:rPr>
      </w:pPr>
      <w:r w:rsidRPr="00726289">
        <w:t xml:space="preserve">In case </w:t>
      </w:r>
      <w:hyperlink r:id="rId22" w:history="1">
        <w:r w:rsidRPr="00726289">
          <w:rPr>
            <w:rStyle w:val="Hyperlink"/>
            <w:rFonts w:asciiTheme="majorBidi" w:hAnsiTheme="majorBidi" w:cstheme="majorBidi"/>
          </w:rPr>
          <w:t>Rec. ITU</w:t>
        </w:r>
        <w:r w:rsidRPr="00726289">
          <w:rPr>
            <w:rStyle w:val="Hyperlink"/>
            <w:rFonts w:asciiTheme="majorBidi" w:hAnsiTheme="majorBidi" w:cstheme="majorBidi"/>
          </w:rPr>
          <w:noBreakHyphen/>
          <w:t>T A.8</w:t>
        </w:r>
      </w:hyperlink>
      <w:r w:rsidRPr="00726289">
        <w:t xml:space="preserve"> is updated and a deadline for confirming comments is added, </w:t>
      </w:r>
      <w:r>
        <w:t>SG11 believes that</w:t>
      </w:r>
      <w:r w:rsidRPr="00726289">
        <w:t xml:space="preserve"> "6</w:t>
      </w:r>
      <w:r w:rsidR="007E1E9B">
        <w:t xml:space="preserve"> </w:t>
      </w:r>
      <w:r w:rsidRPr="00726289">
        <w:t xml:space="preserve">weeks" </w:t>
      </w:r>
      <w:r>
        <w:t xml:space="preserve">would </w:t>
      </w:r>
      <w:r w:rsidRPr="00726289">
        <w:t>be a reasonable period</w:t>
      </w:r>
      <w:r>
        <w:t>.</w:t>
      </w:r>
    </w:p>
    <w:p w14:paraId="49497E86" w14:textId="3FC69CA7" w:rsidR="00AD2D44" w:rsidRDefault="00B57774" w:rsidP="007E6815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eastAsia="Yu Mincho"/>
        </w:rPr>
      </w:pPr>
      <w:r>
        <w:t>ITU</w:t>
      </w:r>
      <w:r>
        <w:rPr>
          <w:lang w:eastAsia="zh-CN"/>
        </w:rPr>
        <w:t>-T SG</w:t>
      </w:r>
      <w:r w:rsidR="00817726">
        <w:rPr>
          <w:lang w:val="en-US" w:eastAsia="zh-CN"/>
        </w:rPr>
        <w:t>11</w:t>
      </w:r>
      <w:r>
        <w:rPr>
          <w:lang w:eastAsia="zh-CN"/>
        </w:rPr>
        <w:t xml:space="preserve"> hopes this feedback helps</w:t>
      </w:r>
      <w:r w:rsidR="00817726">
        <w:rPr>
          <w:lang w:eastAsia="zh-CN"/>
        </w:rPr>
        <w:t xml:space="preserve"> TSAG to address the subject. SG11 </w:t>
      </w:r>
      <w:r>
        <w:rPr>
          <w:lang w:eastAsia="zh-CN"/>
        </w:rPr>
        <w:t>remains committed to maintaining a continuous collaboration with TSAG</w:t>
      </w:r>
      <w:r>
        <w:rPr>
          <w:rFonts w:eastAsia="Yu Mincho"/>
        </w:rPr>
        <w:t>.</w:t>
      </w:r>
    </w:p>
    <w:p w14:paraId="2387AAB5" w14:textId="77777777" w:rsidR="00AD2D44" w:rsidRDefault="00B57774">
      <w:pPr>
        <w:spacing w:before="240" w:after="120"/>
        <w:jc w:val="center"/>
        <w:rPr>
          <w:rFonts w:eastAsia="Yu Mincho"/>
        </w:rPr>
      </w:pPr>
      <w:r>
        <w:t>____________________</w:t>
      </w:r>
    </w:p>
    <w:sectPr w:rsidR="00AD2D44" w:rsidSect="004B5739">
      <w:headerReference w:type="default" r:id="rId23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C7A4" w14:textId="77777777" w:rsidR="000A4E20" w:rsidRDefault="000A4E20">
      <w:pPr>
        <w:spacing w:before="0"/>
      </w:pPr>
      <w:r>
        <w:separator/>
      </w:r>
    </w:p>
  </w:endnote>
  <w:endnote w:type="continuationSeparator" w:id="0">
    <w:p w14:paraId="52098E29" w14:textId="77777777" w:rsidR="000A4E20" w:rsidRDefault="000A4E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7C7A" w14:textId="77777777" w:rsidR="000A4E20" w:rsidRDefault="000A4E20">
      <w:pPr>
        <w:spacing w:before="0"/>
      </w:pPr>
      <w:r>
        <w:separator/>
      </w:r>
    </w:p>
  </w:footnote>
  <w:footnote w:type="continuationSeparator" w:id="0">
    <w:p w14:paraId="75DF6E60" w14:textId="77777777" w:rsidR="000A4E20" w:rsidRDefault="000A4E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5112" w14:textId="538F978B" w:rsidR="00D009E8" w:rsidRPr="004B5739" w:rsidRDefault="004B5739" w:rsidP="004B5739">
    <w:pPr>
      <w:pStyle w:val="Header"/>
      <w:rPr>
        <w:sz w:val="18"/>
      </w:rPr>
    </w:pPr>
    <w:r w:rsidRPr="004B5739">
      <w:rPr>
        <w:sz w:val="18"/>
      </w:rPr>
      <w:t xml:space="preserve">- </w:t>
    </w:r>
    <w:r w:rsidRPr="004B5739">
      <w:rPr>
        <w:sz w:val="18"/>
      </w:rPr>
      <w:fldChar w:fldCharType="begin"/>
    </w:r>
    <w:r w:rsidRPr="004B5739">
      <w:rPr>
        <w:sz w:val="18"/>
      </w:rPr>
      <w:instrText xml:space="preserve"> PAGE  \* MERGEFORMAT </w:instrText>
    </w:r>
    <w:r w:rsidRPr="004B5739">
      <w:rPr>
        <w:sz w:val="18"/>
      </w:rPr>
      <w:fldChar w:fldCharType="separate"/>
    </w:r>
    <w:r w:rsidRPr="004B5739">
      <w:rPr>
        <w:noProof/>
        <w:sz w:val="18"/>
      </w:rPr>
      <w:t>1</w:t>
    </w:r>
    <w:r w:rsidRPr="004B5739">
      <w:rPr>
        <w:sz w:val="18"/>
      </w:rPr>
      <w:fldChar w:fldCharType="end"/>
    </w:r>
    <w:r w:rsidRPr="004B5739">
      <w:rPr>
        <w:sz w:val="18"/>
      </w:rPr>
      <w:t xml:space="preserve"> -</w:t>
    </w:r>
  </w:p>
  <w:p w14:paraId="3C1508EB" w14:textId="3601CDAE" w:rsidR="004B5739" w:rsidRPr="004B5739" w:rsidRDefault="004B5739" w:rsidP="004B5739">
    <w:pPr>
      <w:pStyle w:val="Header"/>
      <w:spacing w:after="240"/>
      <w:rPr>
        <w:sz w:val="18"/>
      </w:rPr>
    </w:pPr>
    <w:r w:rsidRPr="004B5739">
      <w:rPr>
        <w:sz w:val="18"/>
      </w:rPr>
      <w:fldChar w:fldCharType="begin"/>
    </w:r>
    <w:r w:rsidRPr="004B5739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TSAG-TD68</w:t>
    </w:r>
    <w:r w:rsidRPr="004B573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13ABE"/>
    <w:multiLevelType w:val="multilevel"/>
    <w:tmpl w:val="6F013AB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 w16cid:durableId="97453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yMjg3NjgyZGFlYzQ0YjA5YzM3ZGE3OWY0N2E5OTIifQ=="/>
  </w:docVars>
  <w:rsids>
    <w:rsidRoot w:val="00F34744"/>
    <w:rsid w:val="00004BC2"/>
    <w:rsid w:val="0002224C"/>
    <w:rsid w:val="00031D8E"/>
    <w:rsid w:val="000377FE"/>
    <w:rsid w:val="0004186F"/>
    <w:rsid w:val="00044764"/>
    <w:rsid w:val="00057BA2"/>
    <w:rsid w:val="0006570B"/>
    <w:rsid w:val="00081014"/>
    <w:rsid w:val="0008112B"/>
    <w:rsid w:val="00085216"/>
    <w:rsid w:val="000866FC"/>
    <w:rsid w:val="00086F73"/>
    <w:rsid w:val="000931CF"/>
    <w:rsid w:val="00094597"/>
    <w:rsid w:val="000A4E20"/>
    <w:rsid w:val="000A5E09"/>
    <w:rsid w:val="000A7D48"/>
    <w:rsid w:val="000A7EDC"/>
    <w:rsid w:val="000B3B2D"/>
    <w:rsid w:val="000B428D"/>
    <w:rsid w:val="000B4631"/>
    <w:rsid w:val="000B5B4E"/>
    <w:rsid w:val="000C092D"/>
    <w:rsid w:val="000C613C"/>
    <w:rsid w:val="000C7118"/>
    <w:rsid w:val="000D5333"/>
    <w:rsid w:val="000D5627"/>
    <w:rsid w:val="000D5CA7"/>
    <w:rsid w:val="000D7D3B"/>
    <w:rsid w:val="000E4191"/>
    <w:rsid w:val="000E6578"/>
    <w:rsid w:val="000F1A96"/>
    <w:rsid w:val="00106D49"/>
    <w:rsid w:val="00107DDD"/>
    <w:rsid w:val="00111998"/>
    <w:rsid w:val="001144BC"/>
    <w:rsid w:val="00114E9E"/>
    <w:rsid w:val="001174D3"/>
    <w:rsid w:val="00125A31"/>
    <w:rsid w:val="001268A3"/>
    <w:rsid w:val="00130FB4"/>
    <w:rsid w:val="00141A20"/>
    <w:rsid w:val="00144F3B"/>
    <w:rsid w:val="00156100"/>
    <w:rsid w:val="00156C1C"/>
    <w:rsid w:val="00160D0B"/>
    <w:rsid w:val="00161262"/>
    <w:rsid w:val="0016395A"/>
    <w:rsid w:val="00177D14"/>
    <w:rsid w:val="001914A6"/>
    <w:rsid w:val="00191900"/>
    <w:rsid w:val="001A3D35"/>
    <w:rsid w:val="001A62CE"/>
    <w:rsid w:val="001B36DE"/>
    <w:rsid w:val="001B3766"/>
    <w:rsid w:val="001C2ECE"/>
    <w:rsid w:val="001C4465"/>
    <w:rsid w:val="001C63D7"/>
    <w:rsid w:val="001E4BCD"/>
    <w:rsid w:val="001F29A4"/>
    <w:rsid w:val="001F66CB"/>
    <w:rsid w:val="0021228C"/>
    <w:rsid w:val="00217206"/>
    <w:rsid w:val="002363D5"/>
    <w:rsid w:val="00236645"/>
    <w:rsid w:val="00251EEA"/>
    <w:rsid w:val="0025685E"/>
    <w:rsid w:val="00257D05"/>
    <w:rsid w:val="00264A45"/>
    <w:rsid w:val="002775E8"/>
    <w:rsid w:val="00281581"/>
    <w:rsid w:val="002829C3"/>
    <w:rsid w:val="00290049"/>
    <w:rsid w:val="00291937"/>
    <w:rsid w:val="00293AD4"/>
    <w:rsid w:val="00294F36"/>
    <w:rsid w:val="00297399"/>
    <w:rsid w:val="002A39B1"/>
    <w:rsid w:val="002B765F"/>
    <w:rsid w:val="002B7699"/>
    <w:rsid w:val="002D25C0"/>
    <w:rsid w:val="002D2BF2"/>
    <w:rsid w:val="002D2CA8"/>
    <w:rsid w:val="002D389E"/>
    <w:rsid w:val="002D706B"/>
    <w:rsid w:val="002E01FB"/>
    <w:rsid w:val="002E2D9C"/>
    <w:rsid w:val="002F3FB8"/>
    <w:rsid w:val="00314E70"/>
    <w:rsid w:val="0032185E"/>
    <w:rsid w:val="00327D34"/>
    <w:rsid w:val="00341673"/>
    <w:rsid w:val="0034709C"/>
    <w:rsid w:val="0034743F"/>
    <w:rsid w:val="00347CEA"/>
    <w:rsid w:val="00367A87"/>
    <w:rsid w:val="00380F01"/>
    <w:rsid w:val="00382390"/>
    <w:rsid w:val="0038532A"/>
    <w:rsid w:val="003B752C"/>
    <w:rsid w:val="003C2797"/>
    <w:rsid w:val="003C2ABC"/>
    <w:rsid w:val="003C4A75"/>
    <w:rsid w:val="003D2283"/>
    <w:rsid w:val="003E6C0B"/>
    <w:rsid w:val="003E724D"/>
    <w:rsid w:val="003F2DCD"/>
    <w:rsid w:val="003F7C85"/>
    <w:rsid w:val="00406A0C"/>
    <w:rsid w:val="004070C2"/>
    <w:rsid w:val="00410911"/>
    <w:rsid w:val="0041696F"/>
    <w:rsid w:val="00421BE0"/>
    <w:rsid w:val="00423B7C"/>
    <w:rsid w:val="00425E17"/>
    <w:rsid w:val="00426E1D"/>
    <w:rsid w:val="00433F6E"/>
    <w:rsid w:val="00460DA1"/>
    <w:rsid w:val="00474045"/>
    <w:rsid w:val="00476A3B"/>
    <w:rsid w:val="00477E59"/>
    <w:rsid w:val="00480824"/>
    <w:rsid w:val="00482A89"/>
    <w:rsid w:val="00496B1D"/>
    <w:rsid w:val="004A09C3"/>
    <w:rsid w:val="004A18FA"/>
    <w:rsid w:val="004A40F4"/>
    <w:rsid w:val="004A4B4D"/>
    <w:rsid w:val="004B02D7"/>
    <w:rsid w:val="004B5739"/>
    <w:rsid w:val="004B795A"/>
    <w:rsid w:val="004C1795"/>
    <w:rsid w:val="004C2881"/>
    <w:rsid w:val="004D4361"/>
    <w:rsid w:val="004E2320"/>
    <w:rsid w:val="004E5923"/>
    <w:rsid w:val="004F2ED5"/>
    <w:rsid w:val="004F4A9D"/>
    <w:rsid w:val="004F5011"/>
    <w:rsid w:val="00504EC8"/>
    <w:rsid w:val="0052010F"/>
    <w:rsid w:val="00523E23"/>
    <w:rsid w:val="00535D8A"/>
    <w:rsid w:val="00552302"/>
    <w:rsid w:val="0055394B"/>
    <w:rsid w:val="00562155"/>
    <w:rsid w:val="00565D18"/>
    <w:rsid w:val="0057755A"/>
    <w:rsid w:val="0059277A"/>
    <w:rsid w:val="005A65A2"/>
    <w:rsid w:val="005B3F6F"/>
    <w:rsid w:val="005B6471"/>
    <w:rsid w:val="005D16CA"/>
    <w:rsid w:val="005D73D9"/>
    <w:rsid w:val="005E06A2"/>
    <w:rsid w:val="005F4ECF"/>
    <w:rsid w:val="00601111"/>
    <w:rsid w:val="00601699"/>
    <w:rsid w:val="0060413D"/>
    <w:rsid w:val="00612D75"/>
    <w:rsid w:val="0061317F"/>
    <w:rsid w:val="0061377B"/>
    <w:rsid w:val="00614B78"/>
    <w:rsid w:val="00616E98"/>
    <w:rsid w:val="00622937"/>
    <w:rsid w:val="00622EAE"/>
    <w:rsid w:val="0063000C"/>
    <w:rsid w:val="00631501"/>
    <w:rsid w:val="00633716"/>
    <w:rsid w:val="00636A89"/>
    <w:rsid w:val="00636C0A"/>
    <w:rsid w:val="00646BD1"/>
    <w:rsid w:val="00647E88"/>
    <w:rsid w:val="00660428"/>
    <w:rsid w:val="0066772C"/>
    <w:rsid w:val="00672327"/>
    <w:rsid w:val="006752D5"/>
    <w:rsid w:val="006824A9"/>
    <w:rsid w:val="00683BC0"/>
    <w:rsid w:val="00687029"/>
    <w:rsid w:val="00694D60"/>
    <w:rsid w:val="0069568A"/>
    <w:rsid w:val="006B0A4E"/>
    <w:rsid w:val="006B23AB"/>
    <w:rsid w:val="006B6C5B"/>
    <w:rsid w:val="006C3E6C"/>
    <w:rsid w:val="006C6123"/>
    <w:rsid w:val="006C61AA"/>
    <w:rsid w:val="006D2356"/>
    <w:rsid w:val="006D697C"/>
    <w:rsid w:val="006E41D7"/>
    <w:rsid w:val="006F53AC"/>
    <w:rsid w:val="006F71A2"/>
    <w:rsid w:val="00700896"/>
    <w:rsid w:val="00705BA6"/>
    <w:rsid w:val="0070601F"/>
    <w:rsid w:val="0070619F"/>
    <w:rsid w:val="0071098C"/>
    <w:rsid w:val="0071256F"/>
    <w:rsid w:val="00717AEB"/>
    <w:rsid w:val="00722597"/>
    <w:rsid w:val="00724AFE"/>
    <w:rsid w:val="00726289"/>
    <w:rsid w:val="00730A35"/>
    <w:rsid w:val="00734B6C"/>
    <w:rsid w:val="00740050"/>
    <w:rsid w:val="00743C5E"/>
    <w:rsid w:val="00752403"/>
    <w:rsid w:val="00752997"/>
    <w:rsid w:val="0075578B"/>
    <w:rsid w:val="007579A9"/>
    <w:rsid w:val="007614C9"/>
    <w:rsid w:val="00763F55"/>
    <w:rsid w:val="00773714"/>
    <w:rsid w:val="00774EB1"/>
    <w:rsid w:val="00790DFC"/>
    <w:rsid w:val="007958EF"/>
    <w:rsid w:val="007A032E"/>
    <w:rsid w:val="007A25C2"/>
    <w:rsid w:val="007A2FBE"/>
    <w:rsid w:val="007A3ACB"/>
    <w:rsid w:val="007B3D97"/>
    <w:rsid w:val="007B4C64"/>
    <w:rsid w:val="007B6B84"/>
    <w:rsid w:val="007C5B51"/>
    <w:rsid w:val="007C5E4C"/>
    <w:rsid w:val="007E144F"/>
    <w:rsid w:val="007E1E9B"/>
    <w:rsid w:val="007E57B6"/>
    <w:rsid w:val="007E62BA"/>
    <w:rsid w:val="007E6815"/>
    <w:rsid w:val="00805AD0"/>
    <w:rsid w:val="008071F2"/>
    <w:rsid w:val="008124F9"/>
    <w:rsid w:val="00812C16"/>
    <w:rsid w:val="00816115"/>
    <w:rsid w:val="00817726"/>
    <w:rsid w:val="0082613F"/>
    <w:rsid w:val="0083004C"/>
    <w:rsid w:val="008325EC"/>
    <w:rsid w:val="00840E81"/>
    <w:rsid w:val="00842CE3"/>
    <w:rsid w:val="0084526C"/>
    <w:rsid w:val="008513AA"/>
    <w:rsid w:val="00854580"/>
    <w:rsid w:val="008601F0"/>
    <w:rsid w:val="00883818"/>
    <w:rsid w:val="00884FC5"/>
    <w:rsid w:val="00887732"/>
    <w:rsid w:val="00896106"/>
    <w:rsid w:val="008A034C"/>
    <w:rsid w:val="008A2B4F"/>
    <w:rsid w:val="008A37D1"/>
    <w:rsid w:val="008A7427"/>
    <w:rsid w:val="008B5CC6"/>
    <w:rsid w:val="008C133D"/>
    <w:rsid w:val="008C3A64"/>
    <w:rsid w:val="008D2754"/>
    <w:rsid w:val="008E29F6"/>
    <w:rsid w:val="008E76A4"/>
    <w:rsid w:val="008F2FD2"/>
    <w:rsid w:val="00905100"/>
    <w:rsid w:val="00914A76"/>
    <w:rsid w:val="00915E78"/>
    <w:rsid w:val="0092264C"/>
    <w:rsid w:val="00923390"/>
    <w:rsid w:val="0094094A"/>
    <w:rsid w:val="00943132"/>
    <w:rsid w:val="009462EC"/>
    <w:rsid w:val="00950483"/>
    <w:rsid w:val="009507D6"/>
    <w:rsid w:val="00954AC5"/>
    <w:rsid w:val="00954BA3"/>
    <w:rsid w:val="00966EC4"/>
    <w:rsid w:val="00967E8B"/>
    <w:rsid w:val="00971F9E"/>
    <w:rsid w:val="009727A3"/>
    <w:rsid w:val="00975D7B"/>
    <w:rsid w:val="00984589"/>
    <w:rsid w:val="009867D7"/>
    <w:rsid w:val="00997C89"/>
    <w:rsid w:val="009A042C"/>
    <w:rsid w:val="009A08E5"/>
    <w:rsid w:val="009B0C71"/>
    <w:rsid w:val="009B0CA1"/>
    <w:rsid w:val="009B24FE"/>
    <w:rsid w:val="009B4D1F"/>
    <w:rsid w:val="009B6E03"/>
    <w:rsid w:val="009D718A"/>
    <w:rsid w:val="009D7735"/>
    <w:rsid w:val="009F2CB7"/>
    <w:rsid w:val="00A00765"/>
    <w:rsid w:val="00A05049"/>
    <w:rsid w:val="00A06488"/>
    <w:rsid w:val="00A074FE"/>
    <w:rsid w:val="00A11D84"/>
    <w:rsid w:val="00A1377E"/>
    <w:rsid w:val="00A13FE6"/>
    <w:rsid w:val="00A22FAF"/>
    <w:rsid w:val="00A2321F"/>
    <w:rsid w:val="00A34C7E"/>
    <w:rsid w:val="00A50648"/>
    <w:rsid w:val="00A509E1"/>
    <w:rsid w:val="00A5598B"/>
    <w:rsid w:val="00A55B82"/>
    <w:rsid w:val="00A67CCE"/>
    <w:rsid w:val="00A71C55"/>
    <w:rsid w:val="00A82311"/>
    <w:rsid w:val="00A85F37"/>
    <w:rsid w:val="00A91886"/>
    <w:rsid w:val="00A94873"/>
    <w:rsid w:val="00A95D0A"/>
    <w:rsid w:val="00AA558F"/>
    <w:rsid w:val="00AB463D"/>
    <w:rsid w:val="00AD2D44"/>
    <w:rsid w:val="00AD3D09"/>
    <w:rsid w:val="00AD57EA"/>
    <w:rsid w:val="00AF1CCF"/>
    <w:rsid w:val="00AF5FA7"/>
    <w:rsid w:val="00AF715F"/>
    <w:rsid w:val="00B072BC"/>
    <w:rsid w:val="00B104E7"/>
    <w:rsid w:val="00B14B15"/>
    <w:rsid w:val="00B15F4C"/>
    <w:rsid w:val="00B2621F"/>
    <w:rsid w:val="00B267B6"/>
    <w:rsid w:val="00B42677"/>
    <w:rsid w:val="00B45EAD"/>
    <w:rsid w:val="00B57774"/>
    <w:rsid w:val="00B6257C"/>
    <w:rsid w:val="00B64846"/>
    <w:rsid w:val="00B73E8E"/>
    <w:rsid w:val="00B754A6"/>
    <w:rsid w:val="00B85D52"/>
    <w:rsid w:val="00B926D7"/>
    <w:rsid w:val="00B92E1D"/>
    <w:rsid w:val="00B97542"/>
    <w:rsid w:val="00BA72E3"/>
    <w:rsid w:val="00BB14B5"/>
    <w:rsid w:val="00BB2460"/>
    <w:rsid w:val="00BC639E"/>
    <w:rsid w:val="00BC6743"/>
    <w:rsid w:val="00BD0942"/>
    <w:rsid w:val="00BD26F1"/>
    <w:rsid w:val="00BD4E30"/>
    <w:rsid w:val="00BE347A"/>
    <w:rsid w:val="00BE427F"/>
    <w:rsid w:val="00BF0E36"/>
    <w:rsid w:val="00BF5265"/>
    <w:rsid w:val="00C05486"/>
    <w:rsid w:val="00C06FB7"/>
    <w:rsid w:val="00C07457"/>
    <w:rsid w:val="00C1012E"/>
    <w:rsid w:val="00C2320D"/>
    <w:rsid w:val="00C23E3C"/>
    <w:rsid w:val="00C25F80"/>
    <w:rsid w:val="00C35F1C"/>
    <w:rsid w:val="00C40B02"/>
    <w:rsid w:val="00C42242"/>
    <w:rsid w:val="00C44810"/>
    <w:rsid w:val="00C6366B"/>
    <w:rsid w:val="00C6425D"/>
    <w:rsid w:val="00C65355"/>
    <w:rsid w:val="00C67C9F"/>
    <w:rsid w:val="00C703BB"/>
    <w:rsid w:val="00C71591"/>
    <w:rsid w:val="00C7367E"/>
    <w:rsid w:val="00C75B58"/>
    <w:rsid w:val="00C77B2C"/>
    <w:rsid w:val="00C96E23"/>
    <w:rsid w:val="00CA384C"/>
    <w:rsid w:val="00CA420B"/>
    <w:rsid w:val="00CA4990"/>
    <w:rsid w:val="00CA5D57"/>
    <w:rsid w:val="00CA6E26"/>
    <w:rsid w:val="00CA74A8"/>
    <w:rsid w:val="00CB0726"/>
    <w:rsid w:val="00CB7315"/>
    <w:rsid w:val="00CC22DF"/>
    <w:rsid w:val="00CD18B4"/>
    <w:rsid w:val="00CD7C5A"/>
    <w:rsid w:val="00CE1686"/>
    <w:rsid w:val="00CE69A9"/>
    <w:rsid w:val="00D009E8"/>
    <w:rsid w:val="00D05CA7"/>
    <w:rsid w:val="00D153D7"/>
    <w:rsid w:val="00D16C0A"/>
    <w:rsid w:val="00D20A8D"/>
    <w:rsid w:val="00D22C1F"/>
    <w:rsid w:val="00D249D8"/>
    <w:rsid w:val="00D25998"/>
    <w:rsid w:val="00D27B1C"/>
    <w:rsid w:val="00D33ECD"/>
    <w:rsid w:val="00D4401C"/>
    <w:rsid w:val="00D548FA"/>
    <w:rsid w:val="00D62F8C"/>
    <w:rsid w:val="00D6733B"/>
    <w:rsid w:val="00D75709"/>
    <w:rsid w:val="00D7621E"/>
    <w:rsid w:val="00D90CE0"/>
    <w:rsid w:val="00D90DA7"/>
    <w:rsid w:val="00D96DD7"/>
    <w:rsid w:val="00DA0A56"/>
    <w:rsid w:val="00DB235B"/>
    <w:rsid w:val="00DB28D6"/>
    <w:rsid w:val="00DB7D4A"/>
    <w:rsid w:val="00DC1162"/>
    <w:rsid w:val="00DC59F3"/>
    <w:rsid w:val="00DD3587"/>
    <w:rsid w:val="00DE0786"/>
    <w:rsid w:val="00DF576D"/>
    <w:rsid w:val="00E05C1A"/>
    <w:rsid w:val="00E0666F"/>
    <w:rsid w:val="00E10D88"/>
    <w:rsid w:val="00E14630"/>
    <w:rsid w:val="00E21100"/>
    <w:rsid w:val="00E21DA3"/>
    <w:rsid w:val="00E27D1C"/>
    <w:rsid w:val="00E33403"/>
    <w:rsid w:val="00E35AE0"/>
    <w:rsid w:val="00E4304A"/>
    <w:rsid w:val="00E4419A"/>
    <w:rsid w:val="00E544B2"/>
    <w:rsid w:val="00E6491F"/>
    <w:rsid w:val="00E679A6"/>
    <w:rsid w:val="00E7098E"/>
    <w:rsid w:val="00E732E1"/>
    <w:rsid w:val="00E826C1"/>
    <w:rsid w:val="00E919A2"/>
    <w:rsid w:val="00E962DD"/>
    <w:rsid w:val="00EA4C20"/>
    <w:rsid w:val="00EA529E"/>
    <w:rsid w:val="00EA574D"/>
    <w:rsid w:val="00EA79E3"/>
    <w:rsid w:val="00EB1DAC"/>
    <w:rsid w:val="00EB4359"/>
    <w:rsid w:val="00EB6EE1"/>
    <w:rsid w:val="00EC0DEA"/>
    <w:rsid w:val="00EC2088"/>
    <w:rsid w:val="00EC212A"/>
    <w:rsid w:val="00EC6AA8"/>
    <w:rsid w:val="00ED508B"/>
    <w:rsid w:val="00EF2F99"/>
    <w:rsid w:val="00F05F07"/>
    <w:rsid w:val="00F132EB"/>
    <w:rsid w:val="00F1599C"/>
    <w:rsid w:val="00F170A8"/>
    <w:rsid w:val="00F31FEC"/>
    <w:rsid w:val="00F34640"/>
    <w:rsid w:val="00F34744"/>
    <w:rsid w:val="00F40C60"/>
    <w:rsid w:val="00F4361B"/>
    <w:rsid w:val="00F43C14"/>
    <w:rsid w:val="00F4609A"/>
    <w:rsid w:val="00F6010F"/>
    <w:rsid w:val="00F620DA"/>
    <w:rsid w:val="00F645D5"/>
    <w:rsid w:val="00F65515"/>
    <w:rsid w:val="00F77798"/>
    <w:rsid w:val="00F84C13"/>
    <w:rsid w:val="00F87A5C"/>
    <w:rsid w:val="00F90298"/>
    <w:rsid w:val="00F92186"/>
    <w:rsid w:val="00F92F23"/>
    <w:rsid w:val="00F93575"/>
    <w:rsid w:val="00FA1565"/>
    <w:rsid w:val="00FA1828"/>
    <w:rsid w:val="00FA7830"/>
    <w:rsid w:val="00FB69FA"/>
    <w:rsid w:val="00FC0D33"/>
    <w:rsid w:val="00FD3DAD"/>
    <w:rsid w:val="00FD6804"/>
    <w:rsid w:val="00FE15CE"/>
    <w:rsid w:val="00FE16FF"/>
    <w:rsid w:val="00FE4590"/>
    <w:rsid w:val="00FE4670"/>
    <w:rsid w:val="00FF1C8D"/>
    <w:rsid w:val="0CAD792D"/>
    <w:rsid w:val="518946D3"/>
    <w:rsid w:val="6F0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C9404"/>
  <w15:docId w15:val="{A9B746E6-2F3B-4026-A594-6ED4D07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5" w:qFormat="1"/>
    <w:lsdException w:name="heading 6" w:qFormat="1"/>
    <w:lsdException w:name="index 1" w:qFormat="1"/>
    <w:lsdException w:name="index 2" w:qFormat="1"/>
    <w:lsdException w:name="index 3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eastAsiaTheme="minorHAns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semiHidden/>
    <w:unhideWhenUsed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pPr>
      <w:spacing w:before="0" w:after="180"/>
    </w:pPr>
    <w:rPr>
      <w:sz w:val="20"/>
    </w:rPr>
  </w:style>
  <w:style w:type="paragraph" w:styleId="ListContinue">
    <w:name w:val="List Continue"/>
    <w:basedOn w:val="Normal"/>
    <w:qFormat/>
    <w:pPr>
      <w:spacing w:after="180"/>
      <w:ind w:leftChars="200" w:left="425"/>
      <w:contextualSpacing/>
    </w:pPr>
    <w:rPr>
      <w:rFonts w:eastAsia="MS Mincho"/>
    </w:rPr>
  </w:style>
  <w:style w:type="paragraph" w:styleId="TOC5">
    <w:name w:val="toc 5"/>
    <w:basedOn w:val="TOC4"/>
    <w:next w:val="Normal"/>
    <w:semiHidden/>
    <w:qFormat/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qFormat/>
    <w:pPr>
      <w:ind w:left="566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pacing w:before="0"/>
    </w:pPr>
    <w:rPr>
      <w:sz w:val="20"/>
    </w:rPr>
  </w:style>
  <w:style w:type="paragraph" w:styleId="BalloonText">
    <w:name w:val="Balloon Text"/>
    <w:basedOn w:val="Normal"/>
    <w:link w:val="BalloonTextChar"/>
    <w:qFormat/>
    <w:pPr>
      <w:spacing w:before="0"/>
    </w:pPr>
    <w:rPr>
      <w:rFonts w:ascii="Microsoft YaHei" w:eastAsia="Microsoft YaHe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qFormat/>
    <w:rPr>
      <w:color w:val="5A5A5A"/>
      <w:spacing w:val="15"/>
      <w:sz w:val="20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paragraph" w:styleId="TOC6">
    <w:name w:val="toc 6"/>
    <w:basedOn w:val="TOC4"/>
    <w:next w:val="Normal"/>
    <w:semiHidden/>
    <w:qFormat/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Index1">
    <w:name w:val="index 1"/>
    <w:basedOn w:val="Normal"/>
    <w:next w:val="Normal"/>
    <w:qFormat/>
    <w:rPr>
      <w:rFonts w:eastAsia="MS Mincho"/>
    </w:rPr>
  </w:style>
  <w:style w:type="paragraph" w:styleId="Index2">
    <w:name w:val="index 2"/>
    <w:basedOn w:val="Normal"/>
    <w:next w:val="Normal"/>
    <w:qFormat/>
    <w:pPr>
      <w:ind w:left="283"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qFormat/>
    <w:pPr>
      <w:spacing w:before="120" w:after="0"/>
    </w:pPr>
    <w:rPr>
      <w:b/>
      <w:bCs/>
      <w:sz w:val="24"/>
    </w:rPr>
  </w:style>
  <w:style w:type="table" w:styleId="TableGrid">
    <w:name w:val="Table Grid"/>
    <w:basedOn w:val="TableNormal"/>
    <w:uiPriority w:val="5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sz w:val="20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qFormat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qFormat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erChar">
    <w:name w:val="Header Char"/>
    <w:link w:val="Header"/>
    <w:uiPriority w:val="99"/>
    <w:qFormat/>
    <w:rPr>
      <w:rFonts w:eastAsia="MS Mincho"/>
      <w:lang w:val="en-GB" w:eastAsia="en-US"/>
    </w:rPr>
  </w:style>
  <w:style w:type="character" w:customStyle="1" w:styleId="FooterChar">
    <w:name w:val="Footer Char"/>
    <w:link w:val="Footer"/>
    <w:qFormat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 w:cs="Times New Roman" w:hint="default"/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icrosoft YaHei" w:eastAsia="Microsoft YaHei"/>
      <w:sz w:val="18"/>
      <w:szCs w:val="18"/>
      <w:lang w:val="en-GB"/>
    </w:rPr>
  </w:style>
  <w:style w:type="paragraph" w:customStyle="1" w:styleId="Docnumber">
    <w:name w:val="Docnumber"/>
    <w:basedOn w:val="Normal"/>
    <w:link w:val="DocnumberChar"/>
    <w:qFormat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qFormat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eastAsiaTheme="minorHAnsi" w:cs="Arial"/>
      <w:sz w:val="24"/>
      <w:szCs w:val="22"/>
      <w:lang w:val="en-GB" w:eastAsia="ja-JP"/>
    </w:rPr>
  </w:style>
  <w:style w:type="paragraph" w:customStyle="1" w:styleId="1">
    <w:name w:val="题注1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customStyle="1" w:styleId="10">
    <w:name w:val="副标题1"/>
    <w:basedOn w:val="Normal"/>
    <w:next w:val="Normal"/>
    <w:qFormat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Pr>
      <w:color w:val="5A5A5A"/>
      <w:spacing w:val="15"/>
      <w:lang w:val="en-GB" w:eastAsia="ja-JP"/>
    </w:rPr>
  </w:style>
  <w:style w:type="paragraph" w:customStyle="1" w:styleId="11">
    <w:name w:val="引用1"/>
    <w:basedOn w:val="Normal"/>
    <w:next w:val="Normal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404040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MS Mincho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</w:pPr>
    <w:rPr>
      <w:b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shd w:val="clear" w:color="auto" w:fill="00008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szCs w:val="24"/>
      <w:lang w:val="en-GB" w:eastAsia="ja-JP"/>
    </w:rPr>
  </w:style>
  <w:style w:type="paragraph" w:customStyle="1" w:styleId="12">
    <w:name w:val="修订1"/>
    <w:hidden/>
    <w:uiPriority w:val="99"/>
    <w:semiHidden/>
    <w:qFormat/>
    <w:rPr>
      <w:sz w:val="24"/>
      <w:szCs w:val="24"/>
      <w:lang w:eastAsia="ja-JP"/>
    </w:rPr>
  </w:style>
  <w:style w:type="character" w:customStyle="1" w:styleId="Char1">
    <w:name w:val="副标题 Char1"/>
    <w:basedOn w:val="DefaultParagraphFont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customStyle="1" w:styleId="Char10">
    <w:name w:val="引用 Char1"/>
    <w:basedOn w:val="DefaultParagraphFont"/>
    <w:uiPriority w:val="29"/>
    <w:qFormat/>
    <w:rPr>
      <w:i/>
      <w:iCs/>
      <w:color w:val="000000" w:themeColor="text1"/>
      <w:sz w:val="24"/>
      <w:lang w:val="en-GB"/>
    </w:rPr>
  </w:style>
  <w:style w:type="paragraph" w:customStyle="1" w:styleId="Heading1Centered">
    <w:name w:val="Heading 1 Centered"/>
    <w:basedOn w:val="Heading1"/>
    <w:qFormat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TSBHeaderQuestion">
    <w:name w:val="TSBHeaderQues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character" w:customStyle="1" w:styleId="TabletextChar">
    <w:name w:val="Table_text Char"/>
    <w:link w:val="Tabletext"/>
    <w:qFormat/>
    <w:locked/>
    <w:rPr>
      <w:rFonts w:eastAsia="Times New Roman"/>
      <w:sz w:val="22"/>
      <w:lang w:val="en-GB"/>
    </w:rPr>
  </w:style>
  <w:style w:type="character" w:customStyle="1" w:styleId="enumlev1Char">
    <w:name w:val="enumlev1 Char"/>
    <w:link w:val="enumlev1"/>
    <w:qFormat/>
    <w:rPr>
      <w:rFonts w:eastAsiaTheme="minorHAnsi"/>
      <w:sz w:val="24"/>
      <w:szCs w:val="24"/>
      <w:lang w:val="en-GB" w:eastAsia="ja-JP"/>
    </w:rPr>
  </w:style>
  <w:style w:type="character" w:customStyle="1" w:styleId="13">
    <w:name w:val="占位符文本1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Revision1">
    <w:name w:val="Revision1"/>
    <w:hidden/>
    <w:uiPriority w:val="99"/>
    <w:semiHidden/>
    <w:qFormat/>
    <w:rPr>
      <w:rFonts w:eastAsiaTheme="minorHAnsi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text0">
    <w:name w:val="tabletext0"/>
    <w:basedOn w:val="Normal"/>
    <w:qFormat/>
    <w:pPr>
      <w:autoSpaceDE w:val="0"/>
      <w:autoSpaceDN w:val="0"/>
      <w:spacing w:before="40" w:after="40"/>
    </w:pPr>
    <w:rPr>
      <w:rFonts w:eastAsia="SimSun"/>
      <w:sz w:val="20"/>
      <w:szCs w:val="20"/>
      <w:lang w:val="en-US" w:eastAsia="zh-CN"/>
    </w:rPr>
  </w:style>
  <w:style w:type="paragraph" w:styleId="Revision">
    <w:name w:val="Revision"/>
    <w:hidden/>
    <w:uiPriority w:val="99"/>
    <w:unhideWhenUsed/>
    <w:rsid w:val="00B57774"/>
    <w:rPr>
      <w:rFonts w:eastAsiaTheme="minorHAnsi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B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jpal.singh70@gov.in" TargetMode="External"/><Relationship Id="rId18" Type="http://schemas.openxmlformats.org/officeDocument/2006/relationships/hyperlink" Target="https://itu.int/ITU-T/A.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u.int/ITU-T/A.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11/sp18-sg11-oLS-00023.docx" TargetMode="External"/><Relationship Id="rId17" Type="http://schemas.openxmlformats.org/officeDocument/2006/relationships/hyperlink" Target="https://www.itu.int/md/T25-SG11-250219-TD-GEN-0146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44.zip" TargetMode="External"/><Relationship Id="rId20" Type="http://schemas.openxmlformats.org/officeDocument/2006/relationships/hyperlink" Target="https://www.itu.int/md/T22-TSAG-240729-TD-GEN-062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22/ls/tsag/sp17-tsag-oLS-00044.zip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tu.int/ITU-T/A.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jarianpb@state.gov" TargetMode="External"/><Relationship Id="rId22" Type="http://schemas.openxmlformats.org/officeDocument/2006/relationships/hyperlink" Target="https://itu.int/ITU-T/A.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94B90-D8CA-3749-913A-B76A4786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FC799-026B-455B-8BEB-6D3765C5FA8D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069202AB-08A4-41F4-BC80-E664076C69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51E19-2AFA-4902-8512-21AB3D76F485}"/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2</TotalTime>
  <Pages>2</Pages>
  <Words>687</Words>
  <Characters>3693</Characters>
  <Application>Microsoft Office Word</Application>
  <DocSecurity>0</DocSecurity>
  <Lines>102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the resolution of AAP comments (reply to TSAG-LS44) [to TSAG, all ITU-T SGs]</vt:lpstr>
    </vt:vector>
  </TitlesOfParts>
  <Manager>ITU-T</Manager>
  <Company>International Telecommunication Union (ITU)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resolution of AAP comments (reply to TSAG-LS44)</dc:title>
  <dc:creator>ITU-T Study Group 11</dc:creator>
  <cp:keywords>ITU-T SG9, question agenda</cp:keywords>
  <dc:description>TSAG-TD68  For: Geneva, 26-30 May 2025_x000d_Document date: _x000d_Saved by ITU51017913 at 11:46:24 AM on 3/10/2025</dc:description>
  <cp:lastModifiedBy>TSB - JB</cp:lastModifiedBy>
  <cp:revision>3</cp:revision>
  <cp:lastPrinted>2017-11-07T15:28:00Z</cp:lastPrinted>
  <dcterms:created xsi:type="dcterms:W3CDTF">2025-03-10T10:46:00Z</dcterms:created>
  <dcterms:modified xsi:type="dcterms:W3CDTF">2025-03-10T10:47:00Z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All/11</vt:lpwstr>
  </property>
  <property fmtid="{D5CDD505-2E9C-101B-9397-08002B2CF9AE}" pid="6" name="Docdest">
    <vt:lpwstr>Geneva, 26-30 May 2025</vt:lpwstr>
  </property>
  <property fmtid="{D5CDD505-2E9C-101B-9397-08002B2CF9AE}" pid="7" name="Docauthor">
    <vt:lpwstr>ITU-T Study Group 11</vt:lpwstr>
  </property>
  <property fmtid="{D5CDD505-2E9C-101B-9397-08002B2CF9AE}" pid="8" name="KSOProductBuildVer">
    <vt:lpwstr>2052-12.1.0.19770</vt:lpwstr>
  </property>
  <property fmtid="{D5CDD505-2E9C-101B-9397-08002B2CF9AE}" pid="9" name="ICV">
    <vt:lpwstr>E7883B22F9FE44E2A0E43EAF0335F945_13</vt:lpwstr>
  </property>
  <property fmtid="{D5CDD505-2E9C-101B-9397-08002B2CF9AE}" pid="10" name="ContentTypeId">
    <vt:lpwstr>0x010100A77651819BF4BD4A99FFF36FD7E4E96D</vt:lpwstr>
  </property>
  <property fmtid="{D5CDD505-2E9C-101B-9397-08002B2CF9AE}" pid="11" name="KSOTemplateDocerSaveRecord">
    <vt:lpwstr>eyJoZGlkIjoiNWI3MDE4NTQ2MGQ2ZWMwZGYxZTc4MjQxNTA0OTJhYWMiLCJ1c2VySWQiOiI2OTA1Mjc3MzYifQ==</vt:lpwstr>
  </property>
  <property fmtid="{D5CDD505-2E9C-101B-9397-08002B2CF9AE}" pid="12" name="MediaServiceImageTags">
    <vt:lpwstr/>
  </property>
</Properties>
</file>