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08"/>
        <w:gridCol w:w="3947"/>
        <w:gridCol w:w="226"/>
        <w:gridCol w:w="4026"/>
      </w:tblGrid>
      <w:tr w:rsidR="003D4D20" w:rsidRPr="003D4D20" w14:paraId="20C94B97" w14:textId="77777777" w:rsidTr="006B6E09">
        <w:trPr>
          <w:cantSplit/>
        </w:trPr>
        <w:tc>
          <w:tcPr>
            <w:tcW w:w="1132" w:type="dxa"/>
            <w:vMerge w:val="restart"/>
            <w:vAlign w:val="center"/>
          </w:tcPr>
          <w:p w14:paraId="75F9974C" w14:textId="77777777" w:rsidR="003D4D20" w:rsidRPr="003D4D20" w:rsidRDefault="003D4D20" w:rsidP="003D4D20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3D4D20">
              <w:rPr>
                <w:noProof/>
              </w:rPr>
              <w:drawing>
                <wp:inline distT="0" distB="0" distL="0" distR="0" wp14:anchorId="78AD0886" wp14:editId="212CFC6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032E379F" w14:textId="77777777" w:rsidR="003D4D20" w:rsidRPr="003D4D20" w:rsidRDefault="003D4D20" w:rsidP="003D4D20">
            <w:pPr>
              <w:rPr>
                <w:sz w:val="16"/>
                <w:szCs w:val="16"/>
              </w:rPr>
            </w:pPr>
            <w:r w:rsidRPr="003D4D20">
              <w:rPr>
                <w:sz w:val="16"/>
                <w:szCs w:val="16"/>
              </w:rPr>
              <w:t>INTERNATIONAL TELECOMMUNICATION UNION</w:t>
            </w:r>
          </w:p>
          <w:p w14:paraId="1F188FBA" w14:textId="77777777" w:rsidR="003D4D20" w:rsidRPr="003D4D20" w:rsidRDefault="003D4D20" w:rsidP="003D4D20">
            <w:pPr>
              <w:rPr>
                <w:b/>
                <w:bCs/>
                <w:sz w:val="26"/>
                <w:szCs w:val="26"/>
              </w:rPr>
            </w:pPr>
            <w:r w:rsidRPr="003D4D20">
              <w:rPr>
                <w:b/>
                <w:bCs/>
                <w:sz w:val="26"/>
                <w:szCs w:val="26"/>
              </w:rPr>
              <w:t>TELECOMMUNICATION</w:t>
            </w:r>
            <w:r w:rsidRPr="003D4D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E988F" w14:textId="44F1310E" w:rsidR="003D4D20" w:rsidRPr="003D4D20" w:rsidRDefault="003D4D20" w:rsidP="003D4D20">
            <w:pPr>
              <w:rPr>
                <w:sz w:val="20"/>
              </w:rPr>
            </w:pPr>
            <w:r w:rsidRPr="003D4D20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3E3F6317" w14:textId="3E1AE932" w:rsidR="003D4D20" w:rsidRPr="003D4D20" w:rsidRDefault="00BE6AFF" w:rsidP="003D4D2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</w:t>
            </w:r>
            <w:r w:rsidR="003D4D20">
              <w:rPr>
                <w:sz w:val="32"/>
              </w:rPr>
              <w:t>-TD</w:t>
            </w:r>
            <w:r>
              <w:rPr>
                <w:sz w:val="32"/>
              </w:rPr>
              <w:t>20</w:t>
            </w:r>
          </w:p>
        </w:tc>
      </w:tr>
      <w:tr w:rsidR="003D4D20" w:rsidRPr="003D4D20" w14:paraId="744B81D8" w14:textId="77777777" w:rsidTr="006B6E09">
        <w:trPr>
          <w:cantSplit/>
        </w:trPr>
        <w:tc>
          <w:tcPr>
            <w:tcW w:w="1132" w:type="dxa"/>
            <w:vMerge/>
          </w:tcPr>
          <w:p w14:paraId="65659859" w14:textId="77777777" w:rsidR="003D4D20" w:rsidRPr="003D4D20" w:rsidRDefault="003D4D20" w:rsidP="003D4D20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05928CE4" w14:textId="77777777" w:rsidR="003D4D20" w:rsidRPr="003D4D20" w:rsidRDefault="003D4D20" w:rsidP="003D4D20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233B249" w14:textId="60358CFC" w:rsidR="003D4D20" w:rsidRPr="003D4D20" w:rsidRDefault="00BE6AFF" w:rsidP="003D4D20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3D4D20" w:rsidRPr="003D4D20" w14:paraId="4CE39402" w14:textId="77777777" w:rsidTr="006B6E0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FC127D1" w14:textId="77777777" w:rsidR="003D4D20" w:rsidRPr="003D4D20" w:rsidRDefault="003D4D20" w:rsidP="003D4D20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0214995" w14:textId="77777777" w:rsidR="003D4D20" w:rsidRPr="003D4D20" w:rsidRDefault="003D4D20" w:rsidP="003D4D20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81085A4" w14:textId="77777777" w:rsidR="003D4D20" w:rsidRPr="003D4D20" w:rsidRDefault="003D4D20" w:rsidP="003D4D20">
            <w:pPr>
              <w:pStyle w:val="TSBHeaderRight14"/>
            </w:pPr>
            <w:r w:rsidRPr="003D4D20">
              <w:t>Original: English</w:t>
            </w:r>
          </w:p>
        </w:tc>
      </w:tr>
      <w:tr w:rsidR="003D4D20" w:rsidRPr="003D4D20" w14:paraId="5F1E538E" w14:textId="77777777" w:rsidTr="006B6E09">
        <w:trPr>
          <w:cantSplit/>
        </w:trPr>
        <w:tc>
          <w:tcPr>
            <w:tcW w:w="1440" w:type="dxa"/>
            <w:gridSpan w:val="2"/>
          </w:tcPr>
          <w:p w14:paraId="51B1F81C" w14:textId="19603237" w:rsidR="003D4D20" w:rsidRPr="003D4D20" w:rsidRDefault="003D4D20" w:rsidP="003D4D20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173" w:type="dxa"/>
            <w:gridSpan w:val="2"/>
          </w:tcPr>
          <w:p w14:paraId="33881EFE" w14:textId="6EA70B0F" w:rsidR="003D4D20" w:rsidRPr="003D4D20" w:rsidRDefault="003D4D20" w:rsidP="003D4D20">
            <w:pPr>
              <w:pStyle w:val="TSBHeaderQuestion"/>
            </w:pPr>
          </w:p>
        </w:tc>
        <w:tc>
          <w:tcPr>
            <w:tcW w:w="4026" w:type="dxa"/>
          </w:tcPr>
          <w:p w14:paraId="0819C16E" w14:textId="3211DC05" w:rsidR="003D4D20" w:rsidRPr="003D4D20" w:rsidRDefault="003D4D20" w:rsidP="003D4D20">
            <w:pPr>
              <w:pStyle w:val="VenueDate"/>
            </w:pPr>
            <w:r w:rsidRPr="003D4D20">
              <w:t xml:space="preserve">Geneva, </w:t>
            </w:r>
            <w:r w:rsidR="00437EEB">
              <w:t>26-30 May</w:t>
            </w:r>
            <w:r w:rsidRPr="003D4D20">
              <w:t xml:space="preserve"> 2025</w:t>
            </w:r>
          </w:p>
        </w:tc>
      </w:tr>
      <w:tr w:rsidR="003D4D20" w:rsidRPr="003D4D20" w14:paraId="06BE8C6E" w14:textId="77777777" w:rsidTr="006B6E09">
        <w:trPr>
          <w:cantSplit/>
        </w:trPr>
        <w:tc>
          <w:tcPr>
            <w:tcW w:w="9639" w:type="dxa"/>
            <w:gridSpan w:val="5"/>
          </w:tcPr>
          <w:p w14:paraId="29784A13" w14:textId="2AF1BE9F" w:rsidR="003D4D20" w:rsidRPr="003D4D20" w:rsidRDefault="003D4D20" w:rsidP="003D4D20">
            <w:pPr>
              <w:jc w:val="center"/>
              <w:rPr>
                <w:b/>
                <w:bCs/>
                <w:szCs w:val="24"/>
              </w:rPr>
            </w:pPr>
            <w:bookmarkStart w:id="5" w:name="ddoctype"/>
            <w:bookmarkEnd w:id="3"/>
            <w:bookmarkEnd w:id="4"/>
            <w:r w:rsidRPr="003D4D20">
              <w:rPr>
                <w:b/>
                <w:bCs/>
                <w:szCs w:val="24"/>
              </w:rPr>
              <w:t>TD</w:t>
            </w:r>
          </w:p>
        </w:tc>
      </w:tr>
      <w:tr w:rsidR="003D4D20" w:rsidRPr="003D4D20" w14:paraId="6E9DCCCD" w14:textId="77777777" w:rsidTr="006B6E09">
        <w:trPr>
          <w:cantSplit/>
        </w:trPr>
        <w:tc>
          <w:tcPr>
            <w:tcW w:w="1440" w:type="dxa"/>
            <w:gridSpan w:val="2"/>
          </w:tcPr>
          <w:p w14:paraId="571DFD0D" w14:textId="77777777" w:rsidR="003D4D20" w:rsidRPr="003D4D20" w:rsidRDefault="003D4D20" w:rsidP="003D4D2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D4D20">
              <w:rPr>
                <w:b/>
                <w:bCs/>
                <w:szCs w:val="24"/>
              </w:rPr>
              <w:t>Source:</w:t>
            </w:r>
          </w:p>
        </w:tc>
        <w:tc>
          <w:tcPr>
            <w:tcW w:w="8199" w:type="dxa"/>
            <w:gridSpan w:val="3"/>
          </w:tcPr>
          <w:p w14:paraId="3481B231" w14:textId="78B51F8B" w:rsidR="003D4D20" w:rsidRPr="003D4D20" w:rsidRDefault="0081056C" w:rsidP="003D4D20">
            <w:pPr>
              <w:pStyle w:val="TSBHeaderSource"/>
            </w:pPr>
            <w:r w:rsidRPr="0081056C">
              <w:t>Chair, ITU-T Study Group 2</w:t>
            </w:r>
          </w:p>
        </w:tc>
      </w:tr>
      <w:tr w:rsidR="003D4D20" w:rsidRPr="003D4D20" w14:paraId="7E009DA7" w14:textId="77777777" w:rsidTr="006B6E09">
        <w:trPr>
          <w:cantSplit/>
          <w:trHeight w:val="459"/>
        </w:trPr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36C6CDDB" w14:textId="77777777" w:rsidR="003D4D20" w:rsidRPr="0083363D" w:rsidRDefault="003D4D20" w:rsidP="003D4D20">
            <w:pPr>
              <w:rPr>
                <w:b/>
                <w:bCs/>
                <w:szCs w:val="24"/>
              </w:rPr>
            </w:pPr>
            <w:bookmarkStart w:id="7" w:name="dtitle1" w:colFirst="1" w:colLast="1"/>
            <w:bookmarkEnd w:id="6"/>
            <w:r w:rsidRPr="0083363D">
              <w:rPr>
                <w:b/>
                <w:bCs/>
                <w:szCs w:val="24"/>
              </w:rPr>
              <w:t>Title:</w:t>
            </w:r>
          </w:p>
        </w:tc>
        <w:tc>
          <w:tcPr>
            <w:tcW w:w="8199" w:type="dxa"/>
            <w:gridSpan w:val="3"/>
            <w:tcBorders>
              <w:bottom w:val="single" w:sz="8" w:space="0" w:color="auto"/>
            </w:tcBorders>
          </w:tcPr>
          <w:p w14:paraId="03D42E4B" w14:textId="46A40314" w:rsidR="003D4D20" w:rsidRPr="0083363D" w:rsidRDefault="00BE6AFF" w:rsidP="003D4D20">
            <w:pPr>
              <w:pStyle w:val="TSBHeaderTitle"/>
            </w:pPr>
            <w:r>
              <w:rPr>
                <w:rFonts w:asciiTheme="majorBidi" w:hAnsiTheme="majorBidi" w:cstheme="majorBidi"/>
                <w:lang w:val="en-US"/>
              </w:rPr>
              <w:t>ITU-T SG2 Lead Study Group Report</w:t>
            </w:r>
          </w:p>
        </w:tc>
      </w:tr>
      <w:bookmarkEnd w:id="1"/>
      <w:bookmarkEnd w:id="7"/>
      <w:tr w:rsidR="001D6688" w:rsidRPr="00CB4256" w14:paraId="3589CA4F" w14:textId="77777777" w:rsidTr="006B6E09">
        <w:tblPrEx>
          <w:jc w:val="center"/>
        </w:tblPrEx>
        <w:trPr>
          <w:cantSplit/>
          <w:trHeight w:val="1069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1B5F6D9" w14:textId="77777777" w:rsidR="001D6688" w:rsidRPr="001D6688" w:rsidRDefault="001D6688" w:rsidP="001D6688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D6688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947" w:type="dxa"/>
            <w:tcBorders>
              <w:top w:val="single" w:sz="8" w:space="0" w:color="auto"/>
              <w:bottom w:val="single" w:sz="8" w:space="0" w:color="auto"/>
            </w:tcBorders>
          </w:tcPr>
          <w:p w14:paraId="5CCB94A8" w14:textId="5380B039" w:rsidR="001D6688" w:rsidRPr="001D6688" w:rsidRDefault="003D4D20" w:rsidP="001D668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Ena Dekanic</w:t>
            </w:r>
            <w:r w:rsidR="001D6688" w:rsidRPr="001D6688">
              <w:rPr>
                <w:rFonts w:asciiTheme="majorBidi" w:hAnsiTheme="majorBidi" w:cstheme="majorBidi"/>
                <w:szCs w:val="24"/>
              </w:rPr>
              <w:br/>
              <w:t>SG2 Chair</w:t>
            </w:r>
            <w:r w:rsidR="001D6688" w:rsidRPr="001D6688">
              <w:rPr>
                <w:rFonts w:asciiTheme="majorBidi" w:hAnsiTheme="majorBidi" w:cstheme="majorBidi"/>
                <w:szCs w:val="24"/>
              </w:rPr>
              <w:br/>
              <w:t xml:space="preserve">United </w:t>
            </w:r>
            <w:r>
              <w:rPr>
                <w:rFonts w:asciiTheme="majorBidi" w:hAnsiTheme="majorBidi" w:cstheme="majorBidi"/>
                <w:szCs w:val="24"/>
              </w:rPr>
              <w:t>States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12E938" w14:textId="00CAFAA8" w:rsidR="001D6688" w:rsidRPr="003D4D20" w:rsidRDefault="001D6688" w:rsidP="003D4D20">
            <w:pPr>
              <w:tabs>
                <w:tab w:val="clear" w:pos="1134"/>
                <w:tab w:val="left" w:pos="794"/>
              </w:tabs>
              <w:rPr>
                <w:lang w:val="fr-CH"/>
              </w:rPr>
            </w:pPr>
            <w:r w:rsidRPr="006C2E0A">
              <w:rPr>
                <w:rFonts w:asciiTheme="majorBidi" w:hAnsiTheme="majorBidi" w:cstheme="majorBidi"/>
                <w:szCs w:val="24"/>
                <w:lang w:val="de-AT"/>
              </w:rPr>
              <w:t xml:space="preserve">E-mail: </w:t>
            </w:r>
            <w:r w:rsidR="003D4D20">
              <w:fldChar w:fldCharType="begin"/>
            </w:r>
            <w:r w:rsidR="003D4D20" w:rsidRPr="00CB4256">
              <w:rPr>
                <w:lang w:val="fr-CH"/>
              </w:rPr>
              <w:instrText>HYPERLINK "mailto:DekanicE@state.gov"</w:instrText>
            </w:r>
            <w:r w:rsidR="003D4D20">
              <w:fldChar w:fldCharType="separate"/>
            </w:r>
            <w:r w:rsidR="003D4D20" w:rsidRPr="003D4D20">
              <w:rPr>
                <w:rStyle w:val="Hyperlink"/>
                <w:lang w:val="fr-CH"/>
              </w:rPr>
              <w:t>DekanicE@state.gov</w:t>
            </w:r>
            <w:r w:rsidR="003D4D20">
              <w:fldChar w:fldCharType="end"/>
            </w:r>
          </w:p>
        </w:tc>
      </w:tr>
      <w:tr w:rsidR="00C92BE2" w:rsidRPr="00CB4256" w14:paraId="32CC3C0D" w14:textId="77777777" w:rsidTr="006B6E09">
        <w:tblPrEx>
          <w:jc w:val="center"/>
        </w:tblPrEx>
        <w:trPr>
          <w:cantSplit/>
          <w:trHeight w:val="817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5B81E5" w14:textId="77777777" w:rsidR="00C92BE2" w:rsidRPr="001D6688" w:rsidRDefault="00C92BE2" w:rsidP="00BF139B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D6688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947" w:type="dxa"/>
            <w:tcBorders>
              <w:top w:val="single" w:sz="8" w:space="0" w:color="auto"/>
              <w:bottom w:val="single" w:sz="8" w:space="0" w:color="auto"/>
            </w:tcBorders>
          </w:tcPr>
          <w:p w14:paraId="3C932DCB" w14:textId="1F21D947" w:rsidR="00C92BE2" w:rsidRPr="001D6688" w:rsidRDefault="00C92BE2" w:rsidP="00BF139B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Maite Comas</w:t>
            </w:r>
            <w:r w:rsidR="00CE79C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CE79C0">
              <w:rPr>
                <w:color w:val="000000" w:themeColor="text1"/>
                <w:szCs w:val="24"/>
              </w:rPr>
              <w:t>Barn</w:t>
            </w:r>
            <w:r w:rsidR="00CE79C0" w:rsidRPr="00CE79C0">
              <w:rPr>
                <w:color w:val="000000" w:themeColor="text1"/>
                <w:szCs w:val="24"/>
                <w:lang w:eastAsia="en-GB"/>
              </w:rPr>
              <w:t>é</w:t>
            </w:r>
            <w:r w:rsidRPr="00CE79C0">
              <w:rPr>
                <w:color w:val="000000" w:themeColor="text1"/>
                <w:szCs w:val="24"/>
              </w:rPr>
              <w:t>s</w:t>
            </w:r>
            <w:proofErr w:type="spellEnd"/>
            <w:r w:rsidRPr="001D6688">
              <w:rPr>
                <w:rFonts w:asciiTheme="majorBidi" w:hAnsiTheme="majorBidi" w:cstheme="majorBidi"/>
                <w:szCs w:val="24"/>
              </w:rPr>
              <w:br/>
              <w:t xml:space="preserve">SG2 </w:t>
            </w:r>
            <w:r>
              <w:rPr>
                <w:rFonts w:asciiTheme="majorBidi" w:hAnsiTheme="majorBidi" w:cstheme="majorBidi"/>
                <w:szCs w:val="24"/>
              </w:rPr>
              <w:t>Advisor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50AB65" w14:textId="0B46AEE1" w:rsidR="00C92BE2" w:rsidRPr="003D4D20" w:rsidRDefault="00C92BE2" w:rsidP="00BF139B">
            <w:pPr>
              <w:tabs>
                <w:tab w:val="clear" w:pos="1134"/>
                <w:tab w:val="left" w:pos="794"/>
              </w:tabs>
              <w:rPr>
                <w:lang w:val="fr-CH"/>
              </w:rPr>
            </w:pPr>
            <w:r w:rsidRPr="006C2E0A">
              <w:rPr>
                <w:rFonts w:asciiTheme="majorBidi" w:hAnsiTheme="majorBidi" w:cstheme="majorBidi"/>
                <w:szCs w:val="24"/>
                <w:lang w:val="de-AT"/>
              </w:rPr>
              <w:t xml:space="preserve">E-mail: </w:t>
            </w:r>
            <w:r w:rsidR="00F53D31">
              <w:fldChar w:fldCharType="begin"/>
            </w:r>
            <w:r w:rsidR="00F53D31" w:rsidRPr="00CB4256">
              <w:rPr>
                <w:lang w:val="fr-CH"/>
              </w:rPr>
              <w:instrText>HYPERLINK "mailto:maite.comasbarnes@itu.int"</w:instrText>
            </w:r>
            <w:r w:rsidR="00F53D31">
              <w:fldChar w:fldCharType="separate"/>
            </w:r>
            <w:r w:rsidR="00F53D31" w:rsidRPr="0053685A">
              <w:rPr>
                <w:rStyle w:val="Hyperlink"/>
                <w:rFonts w:asciiTheme="majorBidi" w:hAnsiTheme="majorBidi" w:cstheme="majorBidi"/>
                <w:szCs w:val="24"/>
                <w:lang w:val="de-AT"/>
              </w:rPr>
              <w:t>maite.comasbarnes@itu.int</w:t>
            </w:r>
            <w:r w:rsidR="00F53D31">
              <w:fldChar w:fldCharType="end"/>
            </w:r>
            <w:r w:rsidR="00F53D31">
              <w:rPr>
                <w:rFonts w:asciiTheme="majorBidi" w:hAnsiTheme="majorBidi" w:cstheme="majorBidi"/>
                <w:szCs w:val="24"/>
                <w:lang w:val="de-AT"/>
              </w:rPr>
              <w:t xml:space="preserve"> </w:t>
            </w:r>
          </w:p>
        </w:tc>
      </w:tr>
    </w:tbl>
    <w:p w14:paraId="2B0F87AC" w14:textId="77777777" w:rsidR="009A2017" w:rsidRPr="006C2E0A" w:rsidRDefault="009A2017" w:rsidP="009A2017">
      <w:pPr>
        <w:rPr>
          <w:rFonts w:asciiTheme="majorBidi" w:hAnsiTheme="majorBidi" w:cstheme="majorBidi"/>
          <w:szCs w:val="24"/>
          <w:lang w:val="de-AT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3"/>
        <w:gridCol w:w="8316"/>
      </w:tblGrid>
      <w:tr w:rsidR="009A2017" w:rsidRPr="001C0444" w14:paraId="27C80847" w14:textId="77777777" w:rsidTr="006C2E0A">
        <w:trPr>
          <w:cantSplit/>
          <w:trHeight w:val="417"/>
          <w:jc w:val="center"/>
        </w:trPr>
        <w:tc>
          <w:tcPr>
            <w:tcW w:w="1323" w:type="dxa"/>
          </w:tcPr>
          <w:p w14:paraId="50DCB447" w14:textId="77777777" w:rsidR="009A2017" w:rsidRPr="007B06B4" w:rsidRDefault="009A2017" w:rsidP="00827C0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B06B4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3DFCD6C5" w14:textId="306EAFCA" w:rsidR="009A2017" w:rsidRPr="004D60E6" w:rsidRDefault="00E65AC3" w:rsidP="00ED0BE7">
            <w:pPr>
              <w:rPr>
                <w:rFonts w:asciiTheme="majorBidi" w:hAnsiTheme="majorBidi" w:cstheme="majorBidi"/>
                <w:szCs w:val="24"/>
              </w:rPr>
            </w:pPr>
            <w:r w:rsidRPr="004D60E6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C92BE2">
              <w:rPr>
                <w:rFonts w:asciiTheme="majorBidi" w:hAnsiTheme="majorBidi" w:cstheme="majorBidi"/>
                <w:szCs w:val="24"/>
              </w:rPr>
              <w:t>contains the report on ITU-T Study Group 2 (SG2) lead study group activities.</w:t>
            </w:r>
          </w:p>
        </w:tc>
      </w:tr>
    </w:tbl>
    <w:p w14:paraId="04415C51" w14:textId="59E744C5" w:rsidR="00827CE6" w:rsidRPr="005A72D3" w:rsidRDefault="00437EEB" w:rsidP="008B10BF">
      <w:pPr>
        <w:pStyle w:val="ListParagraph"/>
        <w:keepNext/>
        <w:numPr>
          <w:ilvl w:val="0"/>
          <w:numId w:val="19"/>
        </w:numPr>
        <w:spacing w:before="240"/>
        <w:ind w:left="900" w:right="-187" w:hanging="900"/>
        <w:contextualSpacing w:val="0"/>
        <w:rPr>
          <w:b/>
          <w:bCs/>
          <w:szCs w:val="24"/>
        </w:rPr>
      </w:pPr>
      <w:r w:rsidRPr="005A72D3">
        <w:rPr>
          <w:b/>
          <w:bCs/>
          <w:szCs w:val="24"/>
        </w:rPr>
        <w:t>Introduction &amp; Background</w:t>
      </w:r>
    </w:p>
    <w:p w14:paraId="4CBD7523" w14:textId="3F98E7D5" w:rsidR="00C45B51" w:rsidRDefault="005A72D3" w:rsidP="0093527B">
      <w:pPr>
        <w:ind w:right="-187"/>
        <w:rPr>
          <w:szCs w:val="24"/>
        </w:rPr>
      </w:pPr>
      <w:r>
        <w:rPr>
          <w:szCs w:val="24"/>
        </w:rPr>
        <w:t>Accordin</w:t>
      </w:r>
      <w:r w:rsidR="00063F3E">
        <w:rPr>
          <w:szCs w:val="24"/>
        </w:rPr>
        <w:t>g to WTSA Resolution 2 (Rev. New Delhi, 2024), SG2 is the</w:t>
      </w:r>
      <w:r w:rsidR="00490B4A">
        <w:rPr>
          <w:szCs w:val="24"/>
        </w:rPr>
        <w:t xml:space="preserve"> lead study group on</w:t>
      </w:r>
      <w:r w:rsidR="00C45B51">
        <w:rPr>
          <w:szCs w:val="24"/>
        </w:rPr>
        <w:t>:</w:t>
      </w:r>
    </w:p>
    <w:p w14:paraId="22C2ECAC" w14:textId="33E0245C" w:rsidR="00504032" w:rsidRDefault="005449EB" w:rsidP="008B10BF">
      <w:pPr>
        <w:pStyle w:val="ListParagraph"/>
        <w:numPr>
          <w:ilvl w:val="0"/>
          <w:numId w:val="23"/>
        </w:numPr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numbering, naming, addressing and identification </w:t>
      </w:r>
    </w:p>
    <w:p w14:paraId="4C695AC0" w14:textId="38DFA38E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administration of international numbering, naming, addressing and identification resources </w:t>
      </w:r>
    </w:p>
    <w:p w14:paraId="7BBA424D" w14:textId="76925905" w:rsidR="004D4F17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routing and interworking </w:t>
      </w:r>
    </w:p>
    <w:p w14:paraId="16E59B3E" w14:textId="676E1E3C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number portability and carrier switching </w:t>
      </w:r>
    </w:p>
    <w:p w14:paraId="421E2094" w14:textId="068AC2BC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operational aspects of telecommunication/ICT capabilities and applications </w:t>
      </w:r>
    </w:p>
    <w:p w14:paraId="0F47FA2A" w14:textId="145D5F18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telecommunication/ICT service definition </w:t>
      </w:r>
    </w:p>
    <w:p w14:paraId="28EBD379" w14:textId="5D15E96B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telecommunications/ICTs for disaster relief/early warning, network resilience and recovery </w:t>
      </w:r>
    </w:p>
    <w:p w14:paraId="11D0115C" w14:textId="2CA89593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emergency services provision, definition and deployment </w:t>
      </w:r>
    </w:p>
    <w:p w14:paraId="62B0CD7F" w14:textId="5A7EEADD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telecommunication/ICT management </w:t>
      </w:r>
    </w:p>
    <w:p w14:paraId="141C1CED" w14:textId="5204FE8B" w:rsid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 xml:space="preserve">operational aspects of identity management </w:t>
      </w:r>
    </w:p>
    <w:p w14:paraId="37C01235" w14:textId="24A607AB" w:rsidR="00063F3E" w:rsidRPr="00504032" w:rsidRDefault="005449EB" w:rsidP="008B10BF">
      <w:pPr>
        <w:pStyle w:val="ListParagraph"/>
        <w:numPr>
          <w:ilvl w:val="0"/>
          <w:numId w:val="23"/>
        </w:numPr>
        <w:spacing w:before="60"/>
        <w:ind w:left="900" w:right="-187"/>
        <w:contextualSpacing w:val="0"/>
        <w:rPr>
          <w:rFonts w:eastAsiaTheme="minorEastAsia"/>
          <w:szCs w:val="24"/>
          <w:lang w:val="en-US" w:eastAsia="zh-CN"/>
        </w:rPr>
      </w:pPr>
      <w:r w:rsidRPr="00504032">
        <w:rPr>
          <w:rFonts w:eastAsiaTheme="minorEastAsia"/>
          <w:szCs w:val="24"/>
          <w:lang w:val="en-US" w:eastAsia="zh-CN"/>
        </w:rPr>
        <w:t>operational aspects of Internet of Things identification</w:t>
      </w:r>
    </w:p>
    <w:p w14:paraId="0510A9A0" w14:textId="3DBE1777" w:rsidR="00FA31DD" w:rsidRDefault="008F15CD" w:rsidP="0093527B">
      <w:pPr>
        <w:ind w:right="-187"/>
        <w:rPr>
          <w:szCs w:val="24"/>
        </w:rPr>
      </w:pPr>
      <w:r>
        <w:rPr>
          <w:szCs w:val="24"/>
        </w:rPr>
        <w:t xml:space="preserve">To execute these responsibilities, </w:t>
      </w:r>
      <w:r w:rsidR="00FA31DD">
        <w:rPr>
          <w:szCs w:val="24"/>
        </w:rPr>
        <w:t xml:space="preserve">SG2 </w:t>
      </w:r>
      <w:r w:rsidR="00BE2893">
        <w:rPr>
          <w:szCs w:val="24"/>
        </w:rPr>
        <w:t xml:space="preserve">has </w:t>
      </w:r>
      <w:r w:rsidR="006611FE">
        <w:rPr>
          <w:szCs w:val="24"/>
        </w:rPr>
        <w:t>successfully</w:t>
      </w:r>
      <w:r w:rsidR="00FA31DD">
        <w:rPr>
          <w:szCs w:val="24"/>
        </w:rPr>
        <w:t xml:space="preserve"> held one meeting </w:t>
      </w:r>
      <w:r w:rsidR="006611FE">
        <w:rPr>
          <w:szCs w:val="24"/>
        </w:rPr>
        <w:t xml:space="preserve">so far </w:t>
      </w:r>
      <w:r w:rsidR="00FA31DD">
        <w:rPr>
          <w:szCs w:val="24"/>
        </w:rPr>
        <w:t xml:space="preserve">during </w:t>
      </w:r>
      <w:r w:rsidR="00D1204E">
        <w:rPr>
          <w:szCs w:val="24"/>
        </w:rPr>
        <w:t>the 2025-2028 Study Period (</w:t>
      </w:r>
      <w:r w:rsidR="004A15A6">
        <w:rPr>
          <w:szCs w:val="24"/>
        </w:rPr>
        <w:t>5-14 February 2025)</w:t>
      </w:r>
      <w:r w:rsidR="00CC7838">
        <w:rPr>
          <w:szCs w:val="24"/>
        </w:rPr>
        <w:t xml:space="preserve">, in addition to ongoing interim virtual activities.  </w:t>
      </w:r>
      <w:r w:rsidR="00E773AD">
        <w:rPr>
          <w:szCs w:val="24"/>
        </w:rPr>
        <w:t xml:space="preserve">(For the complete schedule of planned interim activities, refer to </w:t>
      </w:r>
      <w:r w:rsidR="007B159A">
        <w:rPr>
          <w:szCs w:val="24"/>
        </w:rPr>
        <w:t xml:space="preserve">Table 8 of the last SG2 meeting report at </w:t>
      </w:r>
      <w:hyperlink r:id="rId9" w:history="1">
        <w:r w:rsidR="00693F2B" w:rsidRPr="00693F2B">
          <w:rPr>
            <w:rStyle w:val="Hyperlink"/>
            <w:szCs w:val="24"/>
          </w:rPr>
          <w:t>SG2-R1</w:t>
        </w:r>
      </w:hyperlink>
      <w:r w:rsidR="00693F2B">
        <w:rPr>
          <w:szCs w:val="24"/>
        </w:rPr>
        <w:t xml:space="preserve">.) </w:t>
      </w:r>
      <w:r w:rsidR="0016106B">
        <w:rPr>
          <w:szCs w:val="24"/>
        </w:rPr>
        <w:t xml:space="preserve">SG2 will next hold a one-day decisional plenary on 5 September 2025 </w:t>
      </w:r>
      <w:r w:rsidR="00F357CE">
        <w:rPr>
          <w:szCs w:val="24"/>
        </w:rPr>
        <w:t xml:space="preserve">(refer to </w:t>
      </w:r>
      <w:r w:rsidR="00922204">
        <w:rPr>
          <w:szCs w:val="24"/>
        </w:rPr>
        <w:t xml:space="preserve">TSB </w:t>
      </w:r>
      <w:r w:rsidR="00F357CE">
        <w:rPr>
          <w:szCs w:val="24"/>
        </w:rPr>
        <w:t>Collective Letter</w:t>
      </w:r>
      <w:r w:rsidR="00922204">
        <w:rPr>
          <w:szCs w:val="24"/>
        </w:rPr>
        <w:t xml:space="preserve"> </w:t>
      </w:r>
      <w:r w:rsidR="00DB1D2E">
        <w:rPr>
          <w:szCs w:val="24"/>
        </w:rPr>
        <w:t>2/2</w:t>
      </w:r>
      <w:r w:rsidR="00F357CE">
        <w:rPr>
          <w:szCs w:val="24"/>
        </w:rPr>
        <w:t>)</w:t>
      </w:r>
      <w:r w:rsidR="0073468B">
        <w:rPr>
          <w:szCs w:val="24"/>
        </w:rPr>
        <w:t>,</w:t>
      </w:r>
      <w:r w:rsidR="0016106B">
        <w:rPr>
          <w:szCs w:val="24"/>
        </w:rPr>
        <w:t xml:space="preserve"> with the next full SG2 meeting scheduled for </w:t>
      </w:r>
      <w:r w:rsidR="001F4CB9">
        <w:rPr>
          <w:szCs w:val="24"/>
        </w:rPr>
        <w:t xml:space="preserve">2-11 February </w:t>
      </w:r>
      <w:r w:rsidR="0016106B">
        <w:rPr>
          <w:szCs w:val="24"/>
        </w:rPr>
        <w:t>2026.</w:t>
      </w:r>
    </w:p>
    <w:p w14:paraId="28460EDC" w14:textId="157E292C" w:rsidR="004F4B23" w:rsidRDefault="004F4B23" w:rsidP="0093527B">
      <w:pPr>
        <w:ind w:right="-187"/>
        <w:rPr>
          <w:szCs w:val="24"/>
        </w:rPr>
      </w:pPr>
      <w:r>
        <w:rPr>
          <w:szCs w:val="24"/>
        </w:rPr>
        <w:t>SG2 has</w:t>
      </w:r>
      <w:r w:rsidR="00F64D73">
        <w:rPr>
          <w:szCs w:val="24"/>
        </w:rPr>
        <w:t xml:space="preserve"> a robust programme of</w:t>
      </w:r>
      <w:r>
        <w:rPr>
          <w:szCs w:val="24"/>
        </w:rPr>
        <w:t xml:space="preserve"> active ongoing work items </w:t>
      </w:r>
      <w:r w:rsidR="00FD628F">
        <w:rPr>
          <w:szCs w:val="24"/>
        </w:rPr>
        <w:t xml:space="preserve">to progress </w:t>
      </w:r>
      <w:r w:rsidR="00F64D73">
        <w:rPr>
          <w:szCs w:val="24"/>
        </w:rPr>
        <w:t>all</w:t>
      </w:r>
      <w:r w:rsidR="00FD628F">
        <w:rPr>
          <w:szCs w:val="24"/>
        </w:rPr>
        <w:t xml:space="preserve"> its lead study group roles</w:t>
      </w:r>
      <w:r w:rsidR="00DD1E1B">
        <w:rPr>
          <w:szCs w:val="24"/>
        </w:rPr>
        <w:t xml:space="preserve">.  </w:t>
      </w:r>
      <w:r w:rsidR="00F64D73">
        <w:rPr>
          <w:szCs w:val="24"/>
        </w:rPr>
        <w:t xml:space="preserve">(For the SG2 work programme, see </w:t>
      </w:r>
      <w:hyperlink r:id="rId10" w:history="1">
        <w:r w:rsidR="004D3327" w:rsidRPr="00B40152">
          <w:rPr>
            <w:rStyle w:val="Hyperlink"/>
            <w:szCs w:val="24"/>
          </w:rPr>
          <w:t>SG2-TD</w:t>
        </w:r>
        <w:r w:rsidR="00BD7D26" w:rsidRPr="00B40152">
          <w:rPr>
            <w:rStyle w:val="Hyperlink"/>
            <w:szCs w:val="24"/>
          </w:rPr>
          <w:t>1</w:t>
        </w:r>
        <w:r w:rsidR="00BD7D26" w:rsidRPr="000D1300">
          <w:rPr>
            <w:rStyle w:val="Hyperlink"/>
            <w:szCs w:val="24"/>
          </w:rPr>
          <w:t>4R1/P</w:t>
        </w:r>
        <w:r w:rsidR="00BD7D26" w:rsidRPr="00B40152">
          <w:rPr>
            <w:rStyle w:val="Hyperlink"/>
            <w:szCs w:val="24"/>
          </w:rPr>
          <w:t>LEN</w:t>
        </w:r>
      </w:hyperlink>
      <w:r w:rsidR="00BD7D26">
        <w:rPr>
          <w:szCs w:val="24"/>
        </w:rPr>
        <w:t>).</w:t>
      </w:r>
    </w:p>
    <w:p w14:paraId="38191C46" w14:textId="2CD43D3F" w:rsidR="00437EEB" w:rsidRPr="00686AA8" w:rsidRDefault="00CD388A" w:rsidP="008B10BF">
      <w:pPr>
        <w:pStyle w:val="ListParagraph"/>
        <w:keepNext/>
        <w:numPr>
          <w:ilvl w:val="0"/>
          <w:numId w:val="19"/>
        </w:numPr>
        <w:spacing w:before="240"/>
        <w:ind w:left="900" w:right="-187" w:hanging="900"/>
        <w:contextualSpacing w:val="0"/>
        <w:rPr>
          <w:b/>
          <w:bCs/>
          <w:szCs w:val="24"/>
        </w:rPr>
      </w:pPr>
      <w:r w:rsidRPr="00686AA8">
        <w:rPr>
          <w:b/>
          <w:bCs/>
          <w:szCs w:val="24"/>
        </w:rPr>
        <w:t>Recent SG2 Outcomes</w:t>
      </w:r>
    </w:p>
    <w:p w14:paraId="1E7DA64E" w14:textId="28DF9F26" w:rsidR="00AC1674" w:rsidRDefault="009760DB" w:rsidP="0093527B">
      <w:pPr>
        <w:contextualSpacing/>
        <w:rPr>
          <w:szCs w:val="24"/>
        </w:rPr>
      </w:pPr>
      <w:r>
        <w:rPr>
          <w:szCs w:val="24"/>
        </w:rPr>
        <w:t>At its recent meeting, i</w:t>
      </w:r>
      <w:r w:rsidR="007B164B">
        <w:rPr>
          <w:szCs w:val="24"/>
        </w:rPr>
        <w:t xml:space="preserve">n support of its lead study group roles, </w:t>
      </w:r>
      <w:r w:rsidR="00C54A36">
        <w:rPr>
          <w:szCs w:val="24"/>
        </w:rPr>
        <w:t>SG2</w:t>
      </w:r>
      <w:r w:rsidR="00AC1674">
        <w:rPr>
          <w:szCs w:val="24"/>
        </w:rPr>
        <w:t xml:space="preserve"> approved </w:t>
      </w:r>
      <w:r w:rsidR="00A8741B">
        <w:rPr>
          <w:szCs w:val="24"/>
        </w:rPr>
        <w:t>two</w:t>
      </w:r>
      <w:r w:rsidR="00AC1674">
        <w:rPr>
          <w:szCs w:val="24"/>
        </w:rPr>
        <w:t xml:space="preserve"> </w:t>
      </w:r>
      <w:r w:rsidR="003057E5">
        <w:rPr>
          <w:szCs w:val="24"/>
        </w:rPr>
        <w:t>Recommendations</w:t>
      </w:r>
      <w:r w:rsidR="00732CFB">
        <w:rPr>
          <w:szCs w:val="24"/>
        </w:rPr>
        <w:t xml:space="preserve"> and</w:t>
      </w:r>
      <w:r w:rsidR="00546EC3">
        <w:rPr>
          <w:szCs w:val="24"/>
        </w:rPr>
        <w:t xml:space="preserve"> </w:t>
      </w:r>
      <w:r w:rsidR="00E1554F">
        <w:rPr>
          <w:szCs w:val="24"/>
        </w:rPr>
        <w:t xml:space="preserve">determined </w:t>
      </w:r>
      <w:r w:rsidR="00A8741B">
        <w:rPr>
          <w:szCs w:val="24"/>
        </w:rPr>
        <w:t>four</w:t>
      </w:r>
      <w:r w:rsidR="00E1554F">
        <w:rPr>
          <w:szCs w:val="24"/>
        </w:rPr>
        <w:t xml:space="preserve"> </w:t>
      </w:r>
      <w:r w:rsidR="002C3F19">
        <w:rPr>
          <w:szCs w:val="24"/>
        </w:rPr>
        <w:t>Recommendations under TAP</w:t>
      </w:r>
      <w:r w:rsidR="00E1554F">
        <w:rPr>
          <w:szCs w:val="24"/>
        </w:rPr>
        <w:t>,</w:t>
      </w:r>
      <w:r w:rsidR="002C3F19">
        <w:rPr>
          <w:szCs w:val="24"/>
        </w:rPr>
        <w:t xml:space="preserve"> consented </w:t>
      </w:r>
      <w:r w:rsidR="00A8741B">
        <w:rPr>
          <w:szCs w:val="24"/>
        </w:rPr>
        <w:t>ten</w:t>
      </w:r>
      <w:r w:rsidR="002C3F19">
        <w:rPr>
          <w:szCs w:val="24"/>
        </w:rPr>
        <w:t xml:space="preserve"> Recommendations under AAP, </w:t>
      </w:r>
      <w:r w:rsidR="002C3F19">
        <w:rPr>
          <w:szCs w:val="24"/>
        </w:rPr>
        <w:lastRenderedPageBreak/>
        <w:t>deleted one Recommendation, and approved one new Technical Report</w:t>
      </w:r>
      <w:r w:rsidR="007B164B">
        <w:rPr>
          <w:szCs w:val="24"/>
        </w:rPr>
        <w:t>, as summarized below.</w:t>
      </w:r>
      <w:r w:rsidR="001D047D">
        <w:rPr>
          <w:szCs w:val="24"/>
        </w:rPr>
        <w:t xml:space="preserve">  </w:t>
      </w:r>
      <w:r w:rsidR="00C54A36">
        <w:rPr>
          <w:szCs w:val="24"/>
        </w:rPr>
        <w:t>(</w:t>
      </w:r>
      <w:r w:rsidR="00D1204E">
        <w:rPr>
          <w:szCs w:val="24"/>
        </w:rPr>
        <w:t xml:space="preserve">For complete details, please refer to the meeting report at </w:t>
      </w:r>
      <w:hyperlink r:id="rId11" w:history="1">
        <w:r w:rsidR="00D1204E" w:rsidRPr="00693F2B">
          <w:rPr>
            <w:rStyle w:val="Hyperlink"/>
            <w:szCs w:val="24"/>
          </w:rPr>
          <w:t>SG2-R1</w:t>
        </w:r>
      </w:hyperlink>
      <w:r w:rsidR="00D1204E">
        <w:rPr>
          <w:szCs w:val="24"/>
        </w:rPr>
        <w:t>.</w:t>
      </w:r>
      <w:r w:rsidR="00C54A36">
        <w:rPr>
          <w:szCs w:val="24"/>
        </w:rPr>
        <w:t>)</w:t>
      </w:r>
    </w:p>
    <w:p w14:paraId="5BEEB082" w14:textId="4EBE3629" w:rsidR="00732CFB" w:rsidRPr="0093527B" w:rsidRDefault="00EB7704" w:rsidP="0093527B">
      <w:pPr>
        <w:pStyle w:val="ListParagraph"/>
        <w:keepNext/>
        <w:numPr>
          <w:ilvl w:val="0"/>
          <w:numId w:val="20"/>
        </w:numPr>
        <w:spacing w:before="240" w:after="120"/>
        <w:ind w:left="714" w:hanging="357"/>
        <w:contextualSpacing w:val="0"/>
        <w:rPr>
          <w:b/>
          <w:szCs w:val="24"/>
          <w:lang w:val="en-US"/>
        </w:rPr>
      </w:pPr>
      <w:r w:rsidRPr="0093527B">
        <w:rPr>
          <w:b/>
        </w:rPr>
        <w:t>Approved Recommendations</w:t>
      </w:r>
      <w:r w:rsidR="00A8741B" w:rsidRPr="0093527B">
        <w:rPr>
          <w:b/>
        </w:rPr>
        <w:t>:</w:t>
      </w:r>
    </w:p>
    <w:tbl>
      <w:tblPr>
        <w:tblStyle w:val="TableGrid"/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64"/>
        <w:gridCol w:w="2426"/>
      </w:tblGrid>
      <w:tr w:rsidR="00732CFB" w:rsidRPr="00516C29" w14:paraId="2028DC63" w14:textId="77777777" w:rsidTr="00BF139B">
        <w:trPr>
          <w:tblHeader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3C87" w14:textId="77777777" w:rsidR="00732CFB" w:rsidRPr="00516C29" w:rsidRDefault="00732CFB" w:rsidP="00BF139B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Rec. #</w:t>
            </w:r>
          </w:p>
        </w:tc>
        <w:tc>
          <w:tcPr>
            <w:tcW w:w="5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E395" w14:textId="77777777" w:rsidR="00732CFB" w:rsidRPr="00516C29" w:rsidRDefault="00732CFB" w:rsidP="00BF139B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Rec. title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F8B1E" w14:textId="77777777" w:rsidR="00732CFB" w:rsidRPr="00516C29" w:rsidRDefault="00732CFB" w:rsidP="00BF139B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Document(s)</w:t>
            </w:r>
          </w:p>
        </w:tc>
      </w:tr>
      <w:tr w:rsidR="00732CFB" w:rsidRPr="00516C29" w14:paraId="798DA3E0" w14:textId="77777777" w:rsidTr="00BF13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7750" w14:textId="77777777" w:rsidR="00732CFB" w:rsidRPr="00516C29" w:rsidRDefault="00732CFB" w:rsidP="00BF139B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E.190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1E7E" w14:textId="77777777" w:rsidR="00732CFB" w:rsidRPr="00516C29" w:rsidRDefault="00732CFB" w:rsidP="00BF139B">
            <w:pPr>
              <w:pStyle w:val="Tabletext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Principles and responsibilities for the allocation, reservation, assignment, reclamation and management of international telecommunications Numbering, Naming, Addressing, and Identification (NNAI) resources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C786DD" w14:textId="77777777" w:rsidR="00732CFB" w:rsidRPr="00516C29" w:rsidRDefault="00732CFB" w:rsidP="00BF139B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hyperlink r:id="rId12" w:history="1">
              <w:r w:rsidRPr="00516C29">
                <w:rPr>
                  <w:rStyle w:val="Hyperlink"/>
                  <w:rFonts w:ascii="Times New Roman" w:hAnsi="Times New Roman" w:cs="Times New Roman"/>
                  <w:lang w:val="en-US" w:eastAsia="en-GB"/>
                </w:rPr>
                <w:t>SG2-TD89R1/P</w:t>
              </w:r>
            </w:hyperlink>
          </w:p>
        </w:tc>
      </w:tr>
      <w:tr w:rsidR="00732CFB" w:rsidRPr="00516C29" w14:paraId="67F691E7" w14:textId="77777777" w:rsidTr="00BF13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D4AF2D" w14:textId="77777777" w:rsidR="00732CFB" w:rsidRPr="00516C29" w:rsidRDefault="00732CFB" w:rsidP="00BF139B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E.1120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513347" w14:textId="77777777" w:rsidR="00732CFB" w:rsidRPr="00516C29" w:rsidRDefault="00732CFB" w:rsidP="00BF139B">
            <w:pPr>
              <w:pStyle w:val="Tabletext"/>
              <w:rPr>
                <w:rFonts w:ascii="Times New Roman" w:hAnsi="Times New Roman" w:cs="Times New Roman"/>
                <w:highlight w:val="yellow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Assignment procedures for international numbering, naming, addressing, and identification (NNAI) resources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91424" w14:textId="77777777" w:rsidR="00732CFB" w:rsidRPr="00516C29" w:rsidRDefault="00732CFB" w:rsidP="00BF139B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hyperlink r:id="rId13" w:history="1">
              <w:r w:rsidRPr="00516C29">
                <w:rPr>
                  <w:rStyle w:val="Hyperlink"/>
                  <w:rFonts w:ascii="Times New Roman" w:hAnsi="Times New Roman" w:cs="Times New Roman"/>
                  <w:lang w:val="en-US" w:eastAsia="en-GB"/>
                </w:rPr>
                <w:t>SG2-TD88R2/P</w:t>
              </w:r>
            </w:hyperlink>
          </w:p>
        </w:tc>
      </w:tr>
    </w:tbl>
    <w:p w14:paraId="4E4193A2" w14:textId="2B5F47BD" w:rsidR="00732CFB" w:rsidRPr="0093527B" w:rsidRDefault="003057E5" w:rsidP="0093527B">
      <w:pPr>
        <w:pStyle w:val="ListParagraph"/>
        <w:keepNext/>
        <w:numPr>
          <w:ilvl w:val="0"/>
          <w:numId w:val="20"/>
        </w:numPr>
        <w:spacing w:before="240" w:after="120"/>
        <w:ind w:left="714" w:hanging="357"/>
        <w:contextualSpacing w:val="0"/>
        <w:rPr>
          <w:b/>
          <w:szCs w:val="24"/>
          <w:lang w:val="en-US"/>
        </w:rPr>
      </w:pPr>
      <w:r w:rsidRPr="0093527B">
        <w:rPr>
          <w:b/>
          <w:lang w:val="en-US"/>
        </w:rPr>
        <w:t xml:space="preserve">Recommendations </w:t>
      </w:r>
      <w:r w:rsidR="00A8741B" w:rsidRPr="0093527B">
        <w:rPr>
          <w:b/>
          <w:lang w:val="en-US"/>
        </w:rPr>
        <w:t>d</w:t>
      </w:r>
      <w:r w:rsidRPr="0093527B">
        <w:rPr>
          <w:b/>
          <w:lang w:val="en-US"/>
        </w:rPr>
        <w:t>etermined under TAP</w:t>
      </w:r>
      <w:r w:rsidR="00A8741B" w:rsidRPr="0093527B">
        <w:rPr>
          <w:b/>
          <w:lang w:val="en-US"/>
        </w:rPr>
        <w:t>:</w:t>
      </w:r>
    </w:p>
    <w:tbl>
      <w:tblPr>
        <w:tblStyle w:val="TableGrid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4"/>
        <w:gridCol w:w="2416"/>
      </w:tblGrid>
      <w:tr w:rsidR="00732CFB" w:rsidRPr="00516C29" w14:paraId="057DB308" w14:textId="77777777" w:rsidTr="00BF139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7808C" w14:textId="77777777" w:rsidR="00732CFB" w:rsidRPr="00516C29" w:rsidRDefault="00732CFB" w:rsidP="00BF139B">
            <w:pPr>
              <w:pStyle w:val="Tablehead"/>
              <w:rPr>
                <w:szCs w:val="22"/>
                <w:lang w:val="en-US" w:eastAsia="en-GB"/>
              </w:rPr>
            </w:pPr>
            <w:r w:rsidRPr="00516C29">
              <w:rPr>
                <w:szCs w:val="22"/>
                <w:lang w:val="en-US" w:eastAsia="en-GB"/>
              </w:rPr>
              <w:t>Rec. 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B2B44" w14:textId="77777777" w:rsidR="00732CFB" w:rsidRPr="00516C29" w:rsidRDefault="00732CFB" w:rsidP="00BF139B">
            <w:pPr>
              <w:pStyle w:val="Tablehead"/>
              <w:rPr>
                <w:szCs w:val="22"/>
                <w:lang w:val="en-US" w:eastAsia="en-GB"/>
              </w:rPr>
            </w:pPr>
            <w:r w:rsidRPr="00516C29">
              <w:rPr>
                <w:szCs w:val="22"/>
                <w:lang w:val="en-US" w:eastAsia="en-GB"/>
              </w:rPr>
              <w:t>Rec. title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7D79BB7" w14:textId="77777777" w:rsidR="00732CFB" w:rsidRPr="00516C29" w:rsidRDefault="00732CFB" w:rsidP="00BF139B">
            <w:pPr>
              <w:pStyle w:val="Tablehead"/>
              <w:rPr>
                <w:szCs w:val="22"/>
                <w:lang w:val="en-US" w:eastAsia="en-GB"/>
              </w:rPr>
            </w:pPr>
            <w:r w:rsidRPr="00516C29">
              <w:rPr>
                <w:szCs w:val="22"/>
                <w:lang w:val="en-US" w:eastAsia="en-GB"/>
              </w:rPr>
              <w:t>Document(s)</w:t>
            </w:r>
          </w:p>
        </w:tc>
      </w:tr>
      <w:tr w:rsidR="00732CFB" w:rsidRPr="00516C29" w14:paraId="28A69E5A" w14:textId="77777777" w:rsidTr="00BF139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9F925" w14:textId="77777777" w:rsidR="00732CFB" w:rsidRPr="009368B9" w:rsidRDefault="00732CFB" w:rsidP="00BF139B">
            <w:pPr>
              <w:keepNext/>
              <w:spacing w:before="40" w:after="40"/>
              <w:jc w:val="center"/>
              <w:rPr>
                <w:sz w:val="22"/>
                <w:szCs w:val="22"/>
                <w:lang w:val="en-US" w:eastAsia="ja-JP"/>
              </w:rPr>
            </w:pPr>
            <w:bookmarkStart w:id="8" w:name="_Hlk169069856"/>
            <w:r w:rsidRPr="009368B9">
              <w:rPr>
                <w:sz w:val="22"/>
                <w:szCs w:val="22"/>
                <w:lang w:val="en-US" w:eastAsia="en-GB"/>
              </w:rPr>
              <w:t>E.118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7E5F9" w14:textId="77777777" w:rsidR="00732CFB" w:rsidRPr="009368B9" w:rsidRDefault="00732CFB" w:rsidP="00BF139B">
            <w:pPr>
              <w:keepNext/>
              <w:spacing w:before="40" w:after="40"/>
              <w:rPr>
                <w:bCs/>
                <w:sz w:val="22"/>
                <w:szCs w:val="22"/>
                <w:lang w:val="en-US" w:eastAsia="en-GB"/>
              </w:rPr>
            </w:pPr>
            <w:r w:rsidRPr="009368B9">
              <w:rPr>
                <w:bCs/>
                <w:sz w:val="22"/>
                <w:szCs w:val="22"/>
                <w:lang w:val="en-US" w:eastAsia="en-GB"/>
              </w:rPr>
              <w:t>Numbering resources to identify Accounts for charging telecommunication services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D6E39A8" w14:textId="2CF51A46" w:rsidR="00732CFB" w:rsidRPr="009368B9" w:rsidRDefault="00812AC5" w:rsidP="00BF139B">
            <w:pPr>
              <w:keepNext/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14" w:history="1">
              <w:r w:rsidRPr="00772F6C">
                <w:rPr>
                  <w:rStyle w:val="Hyperlink"/>
                  <w:sz w:val="22"/>
                  <w:szCs w:val="22"/>
                  <w:lang w:val="en-US" w:eastAsia="en-GB"/>
                </w:rPr>
                <w:t>SG2-R4</w:t>
              </w:r>
            </w:hyperlink>
          </w:p>
        </w:tc>
      </w:tr>
      <w:tr w:rsidR="00732CFB" w:rsidRPr="00516C29" w14:paraId="05DEF160" w14:textId="77777777" w:rsidTr="00BF139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59EA4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bookmarkStart w:id="9" w:name="_Hlk169069888"/>
            <w:r w:rsidRPr="009368B9">
              <w:rPr>
                <w:sz w:val="22"/>
                <w:szCs w:val="22"/>
                <w:lang w:val="en-US" w:eastAsia="en-GB"/>
              </w:rPr>
              <w:t>E.156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3B90B" w14:textId="77777777" w:rsidR="00732CFB" w:rsidRPr="009368B9" w:rsidRDefault="00732CFB" w:rsidP="00BF139B">
            <w:pPr>
              <w:spacing w:before="40" w:after="40"/>
              <w:rPr>
                <w:bCs/>
                <w:sz w:val="22"/>
                <w:szCs w:val="22"/>
                <w:lang w:val="en-US" w:eastAsia="en-GB"/>
              </w:rPr>
            </w:pPr>
            <w:r w:rsidRPr="009368B9">
              <w:rPr>
                <w:bCs/>
                <w:sz w:val="22"/>
                <w:szCs w:val="22"/>
                <w:lang w:val="en-US" w:eastAsia="en-GB"/>
              </w:rPr>
              <w:t>Guidelines for ITU-T action on reported misuse of ITU-T E.164 number resources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D8EAF11" w14:textId="20A751EA" w:rsidR="00732CFB" w:rsidRPr="009368B9" w:rsidRDefault="00812AC5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15" w:history="1">
              <w:r w:rsidRPr="00772F6C">
                <w:rPr>
                  <w:rStyle w:val="Hyperlink"/>
                  <w:sz w:val="22"/>
                  <w:szCs w:val="22"/>
                  <w:lang w:val="en-US" w:eastAsia="en-GB"/>
                </w:rPr>
                <w:t>SG2-R5</w:t>
              </w:r>
            </w:hyperlink>
          </w:p>
        </w:tc>
        <w:bookmarkEnd w:id="9"/>
      </w:tr>
      <w:tr w:rsidR="00732CFB" w:rsidRPr="00516C29" w14:paraId="7FF86779" w14:textId="77777777" w:rsidTr="00BF139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EAD51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E.164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BD42A" w14:textId="77777777" w:rsidR="00732CFB" w:rsidRPr="009368B9" w:rsidRDefault="00732CFB" w:rsidP="00BF139B">
            <w:pPr>
              <w:spacing w:before="40" w:after="40"/>
              <w:rPr>
                <w:bCs/>
                <w:sz w:val="22"/>
                <w:szCs w:val="22"/>
                <w:lang w:val="en-US" w:eastAsia="en-GB"/>
              </w:rPr>
            </w:pPr>
            <w:r w:rsidRPr="009368B9">
              <w:rPr>
                <w:bCs/>
                <w:sz w:val="22"/>
                <w:szCs w:val="22"/>
                <w:lang w:val="en-US" w:eastAsia="en-GB"/>
              </w:rPr>
              <w:t>The international telecommunication numbering plan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3F743FF" w14:textId="1A21AF61" w:rsidR="00732CFB" w:rsidRPr="009368B9" w:rsidRDefault="00812AC5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16" w:history="1">
              <w:r w:rsidRPr="00B32736">
                <w:rPr>
                  <w:rStyle w:val="Hyperlink"/>
                  <w:sz w:val="22"/>
                  <w:szCs w:val="22"/>
                  <w:lang w:val="en-US" w:eastAsia="en-GB"/>
                </w:rPr>
                <w:t>SG2-R6</w:t>
              </w:r>
            </w:hyperlink>
          </w:p>
        </w:tc>
      </w:tr>
      <w:tr w:rsidR="00732CFB" w:rsidRPr="00516C29" w14:paraId="049292F5" w14:textId="77777777" w:rsidTr="00BF139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7A684FD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 xml:space="preserve">E.371 (ex. </w:t>
            </w:r>
            <w:proofErr w:type="spellStart"/>
            <w:r w:rsidRPr="009368B9">
              <w:rPr>
                <w:sz w:val="22"/>
                <w:szCs w:val="22"/>
                <w:lang w:val="en-US" w:eastAsia="en-GB"/>
              </w:rPr>
              <w:t>E.dit</w:t>
            </w:r>
            <w:proofErr w:type="spellEnd"/>
            <w:r w:rsidRPr="009368B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A48DDD0" w14:textId="77777777" w:rsidR="00732CFB" w:rsidRPr="009368B9" w:rsidRDefault="00732CFB" w:rsidP="00BF139B">
            <w:pPr>
              <w:spacing w:before="40" w:after="40"/>
              <w:rPr>
                <w:bCs/>
                <w:sz w:val="22"/>
                <w:szCs w:val="22"/>
                <w:lang w:val="en-US" w:eastAsia="en-GB"/>
              </w:rPr>
            </w:pPr>
            <w:r w:rsidRPr="009368B9">
              <w:rPr>
                <w:bCs/>
                <w:sz w:val="22"/>
                <w:szCs w:val="22"/>
                <w:lang w:val="en-US" w:eastAsia="en-GB"/>
              </w:rPr>
              <w:t>Deemed impermissible traffic 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250CC" w14:textId="6B583CD5" w:rsidR="00732CFB" w:rsidRPr="009368B9" w:rsidRDefault="00884B2F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17" w:history="1">
              <w:r w:rsidRPr="00B32736">
                <w:rPr>
                  <w:rStyle w:val="Hyperlink"/>
                  <w:sz w:val="22"/>
                  <w:szCs w:val="22"/>
                  <w:lang w:val="en-US" w:eastAsia="en-GB"/>
                </w:rPr>
                <w:t>SG2-</w:t>
              </w:r>
              <w:r w:rsidR="00812AC5" w:rsidRPr="00B32736">
                <w:rPr>
                  <w:rStyle w:val="Hyperlink"/>
                  <w:sz w:val="22"/>
                  <w:szCs w:val="22"/>
                  <w:lang w:val="en-US" w:eastAsia="en-GB"/>
                </w:rPr>
                <w:t>R7</w:t>
              </w:r>
            </w:hyperlink>
          </w:p>
        </w:tc>
        <w:bookmarkEnd w:id="8"/>
      </w:tr>
    </w:tbl>
    <w:p w14:paraId="61FA7703" w14:textId="4B5E02A6" w:rsidR="003057E5" w:rsidRPr="00516C29" w:rsidRDefault="003057E5" w:rsidP="0093527B">
      <w:pPr>
        <w:pStyle w:val="ListParagraph"/>
        <w:keepNext/>
        <w:numPr>
          <w:ilvl w:val="0"/>
          <w:numId w:val="20"/>
        </w:numPr>
        <w:spacing w:before="240" w:after="120"/>
        <w:ind w:left="714" w:hanging="357"/>
        <w:contextualSpacing w:val="0"/>
        <w:rPr>
          <w:b/>
          <w:szCs w:val="24"/>
          <w:lang w:val="en-US"/>
        </w:rPr>
      </w:pPr>
      <w:r w:rsidRPr="00516C29">
        <w:rPr>
          <w:b/>
          <w:lang w:val="en-US"/>
        </w:rPr>
        <w:t xml:space="preserve">Recommendations </w:t>
      </w:r>
      <w:r w:rsidR="00A8741B">
        <w:rPr>
          <w:b/>
          <w:lang w:val="en-US"/>
        </w:rPr>
        <w:t>c</w:t>
      </w:r>
      <w:r w:rsidRPr="00516C29">
        <w:rPr>
          <w:b/>
          <w:lang w:val="en-US"/>
        </w:rPr>
        <w:t>onsented under AAP</w:t>
      </w:r>
      <w:r w:rsidR="00A8741B">
        <w:rPr>
          <w:b/>
          <w:lang w:val="en-US"/>
        </w:rPr>
        <w:t>:</w:t>
      </w:r>
    </w:p>
    <w:tbl>
      <w:tblPr>
        <w:tblStyle w:val="TableGrid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4"/>
        <w:gridCol w:w="2416"/>
      </w:tblGrid>
      <w:tr w:rsidR="00732CFB" w:rsidRPr="00516C29" w14:paraId="01FD11D7" w14:textId="77777777" w:rsidTr="0093527B">
        <w:trPr>
          <w:tblHeader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D97DB" w14:textId="77777777" w:rsidR="00732CFB" w:rsidRPr="00516C29" w:rsidRDefault="00732CFB" w:rsidP="00BF139B">
            <w:pPr>
              <w:pStyle w:val="Tablehead"/>
              <w:keepLines/>
              <w:rPr>
                <w:szCs w:val="22"/>
                <w:lang w:val="en-US" w:eastAsia="en-GB"/>
              </w:rPr>
            </w:pPr>
            <w:r w:rsidRPr="00516C29">
              <w:rPr>
                <w:szCs w:val="22"/>
                <w:lang w:val="en-US" w:eastAsia="en-GB"/>
              </w:rPr>
              <w:t>Rec. #</w:t>
            </w:r>
          </w:p>
        </w:tc>
        <w:tc>
          <w:tcPr>
            <w:tcW w:w="56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785CD" w14:textId="77777777" w:rsidR="00732CFB" w:rsidRPr="00516C29" w:rsidRDefault="00732CFB" w:rsidP="00BF139B">
            <w:pPr>
              <w:pStyle w:val="Tablehead"/>
              <w:keepLines/>
              <w:rPr>
                <w:szCs w:val="22"/>
                <w:lang w:val="en-US" w:eastAsia="en-GB"/>
              </w:rPr>
            </w:pPr>
            <w:r w:rsidRPr="00516C29">
              <w:rPr>
                <w:szCs w:val="22"/>
                <w:lang w:val="en-US" w:eastAsia="en-GB"/>
              </w:rPr>
              <w:t>Rec. title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844C9C2" w14:textId="77777777" w:rsidR="00732CFB" w:rsidRPr="00516C29" w:rsidRDefault="00732CFB" w:rsidP="00BF139B">
            <w:pPr>
              <w:pStyle w:val="Tablehead"/>
              <w:keepLines/>
              <w:rPr>
                <w:szCs w:val="22"/>
                <w:lang w:val="en-US" w:eastAsia="en-GB"/>
              </w:rPr>
            </w:pPr>
            <w:r w:rsidRPr="00516C29">
              <w:rPr>
                <w:szCs w:val="22"/>
                <w:lang w:val="en-US" w:eastAsia="en-GB"/>
              </w:rPr>
              <w:t>Documents</w:t>
            </w:r>
          </w:p>
        </w:tc>
      </w:tr>
      <w:tr w:rsidR="00732CFB" w:rsidRPr="00516C29" w14:paraId="32F8CF79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20A0B" w14:textId="77777777" w:rsidR="00732CFB" w:rsidRPr="009368B9" w:rsidRDefault="00732CFB" w:rsidP="00BF139B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 w:eastAsia="zh-CN"/>
              </w:rPr>
            </w:pPr>
            <w:bookmarkStart w:id="10" w:name="_Hlk169070144"/>
            <w:r w:rsidRPr="009368B9">
              <w:rPr>
                <w:sz w:val="22"/>
                <w:szCs w:val="22"/>
                <w:lang w:val="en-US" w:eastAsia="zh-CN"/>
              </w:rPr>
              <w:t>M.3042</w:t>
            </w:r>
            <w:r w:rsidRPr="009368B9">
              <w:rPr>
                <w:sz w:val="22"/>
                <w:szCs w:val="22"/>
                <w:lang w:val="en-US" w:eastAsia="zh-CN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zh-CN"/>
              </w:rPr>
              <w:t>M.fcnhe</w:t>
            </w:r>
            <w:proofErr w:type="spellEnd"/>
            <w:proofErr w:type="gramEnd"/>
            <w:r w:rsidRPr="009368B9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836E5" w14:textId="77777777" w:rsidR="00732CFB" w:rsidRPr="009368B9" w:rsidRDefault="00732CFB" w:rsidP="00BF139B">
            <w:pPr>
              <w:keepNext/>
              <w:keepLines/>
              <w:spacing w:before="40" w:after="40"/>
              <w:rPr>
                <w:sz w:val="22"/>
                <w:szCs w:val="22"/>
                <w:lang w:val="en-US" w:eastAsia="ja-JP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Framework of communication network health evaluation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40EB314" w14:textId="77777777" w:rsidR="00732CFB" w:rsidRPr="009368B9" w:rsidRDefault="00732CFB" w:rsidP="00BF139B">
            <w:pPr>
              <w:keepNext/>
              <w:keepLines/>
              <w:spacing w:before="40" w:after="40"/>
              <w:jc w:val="center"/>
              <w:rPr>
                <w:bCs/>
                <w:sz w:val="22"/>
                <w:szCs w:val="22"/>
                <w:lang w:val="en-US" w:eastAsia="zh-CN"/>
              </w:rPr>
            </w:pPr>
            <w:hyperlink r:id="rId18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SG2-TD119R2/PLEN</w:t>
              </w:r>
            </w:hyperlink>
          </w:p>
        </w:tc>
      </w:tr>
      <w:tr w:rsidR="00732CFB" w:rsidRPr="00516C29" w14:paraId="39135DD3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3C1A32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zh-CN"/>
              </w:rPr>
            </w:pPr>
            <w:r w:rsidRPr="009368B9">
              <w:rPr>
                <w:sz w:val="22"/>
                <w:szCs w:val="22"/>
                <w:lang w:val="en-US" w:eastAsia="zh-CN"/>
              </w:rPr>
              <w:t>M.3389</w:t>
            </w:r>
            <w:r w:rsidRPr="009368B9">
              <w:rPr>
                <w:sz w:val="22"/>
                <w:szCs w:val="22"/>
                <w:lang w:val="en-US" w:eastAsia="zh-CN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zh-CN"/>
              </w:rPr>
              <w:t>M.rcem</w:t>
            </w:r>
            <w:proofErr w:type="spellEnd"/>
            <w:proofErr w:type="gramEnd"/>
            <w:r w:rsidRPr="009368B9">
              <w:rPr>
                <w:sz w:val="22"/>
                <w:szCs w:val="22"/>
                <w:lang w:val="en-US" w:eastAsia="zh-CN"/>
              </w:rPr>
              <w:t>-AI)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59D59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lang w:val="en-US" w:eastAsia="ja-JP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Requirements for AI-based customer experience management of telecom services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232271D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19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SG2-TD123R1/PLEN</w:t>
              </w:r>
            </w:hyperlink>
          </w:p>
        </w:tc>
      </w:tr>
      <w:tr w:rsidR="00732CFB" w:rsidRPr="00516C29" w14:paraId="077A364A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33CC6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 w:eastAsia="zh-CN"/>
              </w:rPr>
            </w:pPr>
            <w:r w:rsidRPr="009368B9">
              <w:rPr>
                <w:sz w:val="22"/>
                <w:szCs w:val="22"/>
                <w:lang w:val="en-US" w:eastAsia="zh-CN"/>
              </w:rPr>
              <w:t>M.3390</w:t>
            </w:r>
            <w:r w:rsidRPr="009368B9">
              <w:rPr>
                <w:sz w:val="22"/>
                <w:szCs w:val="22"/>
                <w:lang w:val="en-US" w:eastAsia="zh-CN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zh-CN"/>
              </w:rPr>
              <w:t>M.rsca</w:t>
            </w:r>
            <w:proofErr w:type="spellEnd"/>
            <w:proofErr w:type="gramEnd"/>
            <w:r w:rsidRPr="009368B9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F3899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highlight w:val="yellow"/>
                <w:lang w:val="en-US" w:eastAsia="ja-JP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Requirements for smart comprehensive analysis within AITOM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E6AEFB2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0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SG2-TD124R1/PLEN</w:t>
              </w:r>
            </w:hyperlink>
          </w:p>
        </w:tc>
      </w:tr>
      <w:tr w:rsidR="00732CFB" w:rsidRPr="00516C29" w14:paraId="5291C075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17851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zh-CN"/>
              </w:rPr>
            </w:pPr>
            <w:r w:rsidRPr="009368B9">
              <w:rPr>
                <w:sz w:val="22"/>
                <w:szCs w:val="22"/>
                <w:lang w:val="en-US" w:eastAsia="zh-CN"/>
              </w:rPr>
              <w:t>M.3391 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zh-CN"/>
              </w:rPr>
              <w:t>M.rsmti</w:t>
            </w:r>
            <w:proofErr w:type="gramEnd"/>
            <w:r w:rsidRPr="009368B9">
              <w:rPr>
                <w:sz w:val="22"/>
                <w:szCs w:val="22"/>
                <w:lang w:val="en-US" w:eastAsia="zh-CN"/>
              </w:rPr>
              <w:t>-uav</w:t>
            </w:r>
            <w:proofErr w:type="spellEnd"/>
            <w:r w:rsidRPr="009368B9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1A78C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lang w:val="en-US" w:eastAsia="ja-JP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Requirements for smart maintenance of telecommunications infrastructure based on unmanned aerial vehicle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4B583E5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1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SG2-TD125R1/PLEN</w:t>
              </w:r>
            </w:hyperlink>
          </w:p>
        </w:tc>
      </w:tr>
      <w:tr w:rsidR="00732CFB" w:rsidRPr="00516C29" w14:paraId="2833447B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1214B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M.3167.1</w:t>
            </w:r>
            <w:r w:rsidRPr="009368B9">
              <w:rPr>
                <w:sz w:val="22"/>
                <w:szCs w:val="22"/>
                <w:lang w:val="en-US" w:eastAsia="en-GB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en-GB"/>
              </w:rPr>
              <w:t>M.rosp</w:t>
            </w:r>
            <w:proofErr w:type="gramEnd"/>
            <w:r w:rsidRPr="009368B9">
              <w:rPr>
                <w:sz w:val="22"/>
                <w:szCs w:val="22"/>
                <w:lang w:val="en-US" w:eastAsia="en-GB"/>
              </w:rPr>
              <w:t>-ir</w:t>
            </w:r>
            <w:proofErr w:type="spellEnd"/>
            <w:r w:rsidRPr="009368B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B71D74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Interface for robot-based on-site smart patrol of telecommunication networks - Protocol neutral requirements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9F1B17F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2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SG2-TD103/PLEN</w:t>
              </w:r>
            </w:hyperlink>
          </w:p>
        </w:tc>
      </w:tr>
      <w:tr w:rsidR="00732CFB" w:rsidRPr="00516C29" w14:paraId="4495B1B4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6F960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M.3370</w:t>
            </w:r>
            <w:r w:rsidRPr="009368B9">
              <w:rPr>
                <w:sz w:val="22"/>
                <w:szCs w:val="22"/>
                <w:lang w:val="en-US" w:eastAsia="en-GB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en-GB"/>
              </w:rPr>
              <w:t>M.tpmto</w:t>
            </w:r>
            <w:proofErr w:type="spellEnd"/>
            <w:proofErr w:type="gramEnd"/>
            <w:r w:rsidRPr="009368B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9B7C9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highlight w:val="yellow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Telecommunication preventive maintenance task - Overview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E7C60AD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3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SG2-TD127R2/PLEN</w:t>
              </w:r>
            </w:hyperlink>
          </w:p>
        </w:tc>
      </w:tr>
      <w:tr w:rsidR="00732CFB" w:rsidRPr="00516C29" w14:paraId="50EDDFA1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CF0C99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M.3411</w:t>
            </w:r>
            <w:r w:rsidRPr="009368B9">
              <w:rPr>
                <w:sz w:val="22"/>
                <w:szCs w:val="22"/>
                <w:lang w:val="en-US" w:eastAsia="en-GB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en-GB"/>
              </w:rPr>
              <w:t>M.uiamr</w:t>
            </w:r>
            <w:proofErr w:type="spellEnd"/>
            <w:proofErr w:type="gramEnd"/>
            <w:r w:rsidRPr="009368B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32AFD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highlight w:val="yellow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User identity and access management requirements for telecommunications management network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F350AD9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4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SG2-TD120R1/PLEN</w:t>
              </w:r>
            </w:hyperlink>
          </w:p>
        </w:tc>
      </w:tr>
      <w:tr w:rsidR="00732CFB" w:rsidRPr="00516C29" w14:paraId="15550D78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A8F130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M.3110.1</w:t>
            </w:r>
            <w:r w:rsidRPr="009368B9">
              <w:rPr>
                <w:sz w:val="22"/>
                <w:szCs w:val="22"/>
                <w:lang w:val="en-US" w:eastAsia="en-GB"/>
              </w:rPr>
              <w:br/>
              <w:t>(</w:t>
            </w:r>
            <w:proofErr w:type="spellStart"/>
            <w:proofErr w:type="gramStart"/>
            <w:r w:rsidRPr="009368B9">
              <w:rPr>
                <w:sz w:val="22"/>
                <w:szCs w:val="22"/>
                <w:lang w:val="en-US" w:eastAsia="en-GB"/>
              </w:rPr>
              <w:t>M.xrmsnr</w:t>
            </w:r>
            <w:proofErr w:type="gramEnd"/>
            <w:r w:rsidRPr="009368B9">
              <w:rPr>
                <w:sz w:val="22"/>
                <w:szCs w:val="22"/>
                <w:lang w:val="en-US" w:eastAsia="en-GB"/>
              </w:rPr>
              <w:t>-ir</w:t>
            </w:r>
            <w:proofErr w:type="spellEnd"/>
            <w:r w:rsidRPr="009368B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9A623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X-interface for management of shared network resources - Protocol neutral requirements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AA7758A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5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SG2-TD101R2/PLEN</w:t>
              </w:r>
            </w:hyperlink>
          </w:p>
        </w:tc>
      </w:tr>
      <w:tr w:rsidR="00732CFB" w:rsidRPr="00516C29" w14:paraId="42B22AFE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2825E" w14:textId="77777777" w:rsidR="00732CFB" w:rsidRPr="00516C2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r w:rsidRPr="00516C29">
              <w:rPr>
                <w:sz w:val="22"/>
                <w:szCs w:val="22"/>
                <w:lang w:val="en-US" w:eastAsia="en-GB"/>
              </w:rPr>
              <w:t>M.3111.1</w:t>
            </w:r>
            <w:r w:rsidRPr="00516C29">
              <w:rPr>
                <w:sz w:val="22"/>
                <w:szCs w:val="22"/>
                <w:lang w:val="en-US" w:eastAsia="en-GB"/>
              </w:rPr>
              <w:br/>
              <w:t>(</w:t>
            </w:r>
            <w:proofErr w:type="spellStart"/>
            <w:proofErr w:type="gramStart"/>
            <w:r w:rsidRPr="00516C29">
              <w:rPr>
                <w:sz w:val="22"/>
                <w:szCs w:val="22"/>
                <w:lang w:val="en-US" w:eastAsia="en-GB"/>
              </w:rPr>
              <w:t>M.tosiep</w:t>
            </w:r>
            <w:proofErr w:type="gramEnd"/>
            <w:r w:rsidRPr="00516C29">
              <w:rPr>
                <w:sz w:val="22"/>
                <w:szCs w:val="22"/>
                <w:lang w:val="en-US" w:eastAsia="en-GB"/>
              </w:rPr>
              <w:t>-ir</w:t>
            </w:r>
            <w:proofErr w:type="spellEnd"/>
            <w:r w:rsidRPr="00516C2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03ED1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X interface for telecom operation system and internet e-commerce platform - Protocol neutral requirements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6F6BCB5" w14:textId="77777777" w:rsidR="00732CFB" w:rsidRPr="009368B9" w:rsidRDefault="00732CFB" w:rsidP="00BF139B">
            <w:pPr>
              <w:spacing w:before="40" w:after="40"/>
              <w:jc w:val="center"/>
              <w:rPr>
                <w:b/>
                <w:sz w:val="22"/>
                <w:szCs w:val="22"/>
                <w:lang w:val="en-US" w:eastAsia="en-GB"/>
              </w:rPr>
            </w:pPr>
            <w:hyperlink r:id="rId26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SG2-TD102R2/PLEN</w:t>
              </w:r>
            </w:hyperlink>
          </w:p>
        </w:tc>
      </w:tr>
      <w:tr w:rsidR="00732CFB" w:rsidRPr="00516C29" w14:paraId="5BD49FCC" w14:textId="77777777" w:rsidTr="0093527B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82837CD" w14:textId="77777777" w:rsidR="00732CFB" w:rsidRPr="00516C2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r w:rsidRPr="00516C29">
              <w:rPr>
                <w:sz w:val="22"/>
                <w:szCs w:val="22"/>
                <w:lang w:val="en-US" w:eastAsia="en-GB"/>
              </w:rPr>
              <w:t>M.3392</w:t>
            </w:r>
            <w:r w:rsidRPr="00516C29">
              <w:rPr>
                <w:sz w:val="22"/>
                <w:szCs w:val="22"/>
                <w:lang w:val="en-US" w:eastAsia="en-GB"/>
              </w:rPr>
              <w:br/>
              <w:t>(</w:t>
            </w:r>
            <w:proofErr w:type="spellStart"/>
            <w:r w:rsidRPr="00516C29">
              <w:rPr>
                <w:sz w:val="22"/>
                <w:szCs w:val="22"/>
                <w:lang w:val="en-US" w:eastAsia="en-GB"/>
              </w:rPr>
              <w:t>M.rsds</w:t>
            </w:r>
            <w:proofErr w:type="spellEnd"/>
            <w:r w:rsidRPr="00516C29">
              <w:rPr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9F19208" w14:textId="77777777" w:rsidR="00732CFB" w:rsidRPr="009368B9" w:rsidRDefault="00732CFB" w:rsidP="00BF139B">
            <w:pPr>
              <w:spacing w:before="40" w:after="40"/>
              <w:rPr>
                <w:sz w:val="22"/>
                <w:szCs w:val="22"/>
                <w:lang w:val="en-US" w:eastAsia="en-GB"/>
              </w:rPr>
            </w:pPr>
            <w:r w:rsidRPr="009368B9">
              <w:rPr>
                <w:sz w:val="22"/>
                <w:szCs w:val="22"/>
                <w:lang w:val="en-US" w:eastAsia="en-GB"/>
              </w:rPr>
              <w:t>Requirements for telecommunications service design within SOMM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7C1F96" w14:textId="77777777" w:rsidR="00732CFB" w:rsidRPr="009368B9" w:rsidRDefault="00732CFB" w:rsidP="00BF139B">
            <w:pPr>
              <w:spacing w:before="40" w:after="40"/>
              <w:jc w:val="center"/>
              <w:rPr>
                <w:sz w:val="22"/>
                <w:szCs w:val="22"/>
                <w:lang w:val="en-US" w:eastAsia="en-GB"/>
              </w:rPr>
            </w:pPr>
            <w:hyperlink r:id="rId27" w:history="1">
              <w:r w:rsidRPr="009368B9">
                <w:rPr>
                  <w:rStyle w:val="Hyperlink"/>
                  <w:sz w:val="22"/>
                  <w:szCs w:val="22"/>
                  <w:lang w:val="en-US" w:eastAsia="en-GB"/>
                </w:rPr>
                <w:t>SG2-TD126R1/PLEN</w:t>
              </w:r>
            </w:hyperlink>
          </w:p>
        </w:tc>
        <w:bookmarkEnd w:id="10"/>
      </w:tr>
    </w:tbl>
    <w:p w14:paraId="21ACFAA1" w14:textId="79DE2A5F" w:rsidR="00732CFB" w:rsidRPr="00516C29" w:rsidRDefault="00732CFB" w:rsidP="0093527B">
      <w:pPr>
        <w:pStyle w:val="ListParagraph"/>
        <w:keepNext/>
        <w:numPr>
          <w:ilvl w:val="0"/>
          <w:numId w:val="20"/>
        </w:numPr>
        <w:spacing w:before="240" w:after="120"/>
        <w:ind w:left="714" w:hanging="357"/>
        <w:contextualSpacing w:val="0"/>
        <w:rPr>
          <w:b/>
          <w:szCs w:val="24"/>
          <w:lang w:val="en-US"/>
        </w:rPr>
      </w:pPr>
      <w:r w:rsidRPr="00516C29">
        <w:rPr>
          <w:b/>
          <w:lang w:val="en-US"/>
        </w:rPr>
        <w:lastRenderedPageBreak/>
        <w:t>Recommendations to be deleted</w:t>
      </w:r>
      <w:r w:rsidR="00A8741B">
        <w:rPr>
          <w:b/>
          <w:lang w:val="en-US"/>
        </w:rPr>
        <w:t>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0"/>
        <w:gridCol w:w="2306"/>
      </w:tblGrid>
      <w:tr w:rsidR="00732CFB" w:rsidRPr="00516C29" w14:paraId="14BBF22F" w14:textId="77777777" w:rsidTr="00BF139B">
        <w:trPr>
          <w:tblHeader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30ADAB" w14:textId="77777777" w:rsidR="00732CFB" w:rsidRPr="00516C29" w:rsidRDefault="00732CFB" w:rsidP="00BF139B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Rec. 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8338CF" w14:textId="77777777" w:rsidR="00732CFB" w:rsidRPr="00516C29" w:rsidRDefault="00732CFB" w:rsidP="00BF139B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Rec. title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27462E" w14:textId="77777777" w:rsidR="00732CFB" w:rsidRPr="00516C29" w:rsidRDefault="00732CFB" w:rsidP="00BF139B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Document</w:t>
            </w:r>
          </w:p>
        </w:tc>
      </w:tr>
      <w:tr w:rsidR="00732CFB" w:rsidRPr="00516C29" w14:paraId="670308CC" w14:textId="77777777" w:rsidTr="00BF139B">
        <w:trPr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46B3A5" w14:textId="77777777" w:rsidR="00732CFB" w:rsidRPr="00516C29" w:rsidRDefault="00732CFB" w:rsidP="00BF139B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ITU-T E.213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667EC1" w14:textId="77777777" w:rsidR="00732CFB" w:rsidRPr="00516C29" w:rsidRDefault="00732CFB" w:rsidP="00BF139B">
            <w:pPr>
              <w:pStyle w:val="Tabletext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Telephone and ISDN numbering plan for land mobile stations in public land mobile networks (PLMN)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19ACB3" w14:textId="77777777" w:rsidR="00732CFB" w:rsidRPr="00516C29" w:rsidRDefault="00732CFB" w:rsidP="00BF139B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>N/A</w:t>
            </w:r>
          </w:p>
        </w:tc>
      </w:tr>
    </w:tbl>
    <w:p w14:paraId="32134FEF" w14:textId="3021E59D" w:rsidR="00EB7704" w:rsidRPr="00516C29" w:rsidRDefault="00732CFB" w:rsidP="0093527B">
      <w:pPr>
        <w:pStyle w:val="ListParagraph"/>
        <w:keepNext/>
        <w:numPr>
          <w:ilvl w:val="0"/>
          <w:numId w:val="20"/>
        </w:numPr>
        <w:spacing w:before="240" w:after="120"/>
        <w:ind w:left="714" w:hanging="357"/>
        <w:contextualSpacing w:val="0"/>
        <w:rPr>
          <w:b/>
          <w:szCs w:val="24"/>
          <w:lang w:val="en-US"/>
        </w:rPr>
      </w:pPr>
      <w:r w:rsidRPr="00516C29">
        <w:rPr>
          <w:b/>
          <w:lang w:val="en-US"/>
        </w:rPr>
        <w:t>Technical reports agreed</w:t>
      </w:r>
      <w:r w:rsidR="00A8741B">
        <w:rPr>
          <w:b/>
          <w:lang w:val="en-US"/>
        </w:rPr>
        <w:t>:</w:t>
      </w:r>
    </w:p>
    <w:tbl>
      <w:tblPr>
        <w:tblStyle w:val="TableGrid"/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6042"/>
        <w:gridCol w:w="2139"/>
      </w:tblGrid>
      <w:tr w:rsidR="00EB7704" w:rsidRPr="00516C29" w14:paraId="39AC0ADA" w14:textId="77777777" w:rsidTr="00516C29">
        <w:trPr>
          <w:tblHeader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EE5BCB" w14:textId="77777777" w:rsidR="00EB7704" w:rsidRPr="00516C29" w:rsidRDefault="00EB7704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Rec. #</w:t>
            </w:r>
          </w:p>
        </w:tc>
        <w:tc>
          <w:tcPr>
            <w:tcW w:w="60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437AA" w14:textId="77777777" w:rsidR="00EB7704" w:rsidRPr="00516C29" w:rsidRDefault="00EB7704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Technical report title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184216" w14:textId="77777777" w:rsidR="00EB7704" w:rsidRPr="00516C29" w:rsidRDefault="00EB7704">
            <w:pPr>
              <w:pStyle w:val="Tablehead"/>
              <w:rPr>
                <w:lang w:val="en-US" w:eastAsia="en-GB"/>
              </w:rPr>
            </w:pPr>
            <w:r w:rsidRPr="00516C29">
              <w:rPr>
                <w:lang w:val="en-US" w:eastAsia="en-GB"/>
              </w:rPr>
              <w:t>Documents</w:t>
            </w:r>
          </w:p>
        </w:tc>
      </w:tr>
      <w:tr w:rsidR="00EB7704" w:rsidRPr="00516C29" w14:paraId="13DD6F47" w14:textId="77777777" w:rsidTr="00516C29">
        <w:trPr>
          <w:trHeight w:val="330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292444" w14:textId="77777777" w:rsidR="00EB7704" w:rsidRPr="00516C29" w:rsidRDefault="00EB7704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proofErr w:type="gramStart"/>
            <w:r w:rsidRPr="00516C29">
              <w:rPr>
                <w:rFonts w:ascii="Times New Roman" w:hAnsi="Times New Roman" w:cs="Times New Roman"/>
                <w:lang w:val="en-US" w:eastAsia="en-GB"/>
              </w:rPr>
              <w:t>TR.MMWF</w:t>
            </w:r>
            <w:proofErr w:type="gramEnd"/>
          </w:p>
        </w:tc>
        <w:tc>
          <w:tcPr>
            <w:tcW w:w="60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60FAB9" w14:textId="77777777" w:rsidR="00EB7704" w:rsidRPr="00516C29" w:rsidRDefault="00EB7704">
            <w:pPr>
              <w:pStyle w:val="Tabletext"/>
              <w:rPr>
                <w:rFonts w:ascii="Times New Roman" w:hAnsi="Times New Roman" w:cs="Times New Roman"/>
                <w:lang w:val="en-US" w:eastAsia="en-GB"/>
              </w:rPr>
            </w:pPr>
            <w:r w:rsidRPr="00516C29">
              <w:rPr>
                <w:rFonts w:ascii="Times New Roman" w:hAnsi="Times New Roman" w:cs="Times New Roman"/>
                <w:lang w:val="en-US" w:eastAsia="en-GB"/>
              </w:rPr>
              <w:t xml:space="preserve">Methodologies to mitigate </w:t>
            </w:r>
            <w:proofErr w:type="spellStart"/>
            <w:r w:rsidRPr="00516C29">
              <w:rPr>
                <w:rFonts w:ascii="Times New Roman" w:hAnsi="Times New Roman" w:cs="Times New Roman"/>
                <w:lang w:val="en-US" w:eastAsia="en-GB"/>
              </w:rPr>
              <w:t>Wangiri</w:t>
            </w:r>
            <w:proofErr w:type="spellEnd"/>
            <w:r w:rsidRPr="00516C29">
              <w:rPr>
                <w:rFonts w:ascii="Times New Roman" w:hAnsi="Times New Roman" w:cs="Times New Roman"/>
                <w:lang w:val="en-US" w:eastAsia="en-GB"/>
              </w:rPr>
              <w:t xml:space="preserve"> fraud 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7F89FD" w14:textId="77777777" w:rsidR="00EB7704" w:rsidRPr="00516C29" w:rsidRDefault="00EB7704">
            <w:pPr>
              <w:pStyle w:val="Tabletext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hyperlink r:id="rId28" w:history="1">
              <w:r w:rsidRPr="00516C29">
                <w:rPr>
                  <w:rStyle w:val="Hyperlink"/>
                  <w:rFonts w:ascii="Times New Roman" w:hAnsi="Times New Roman" w:cs="Times New Roman"/>
                  <w:lang w:val="en-US" w:eastAsia="en-GB"/>
                </w:rPr>
                <w:t>SG2-TD67R1/P</w:t>
              </w:r>
            </w:hyperlink>
          </w:p>
        </w:tc>
      </w:tr>
    </w:tbl>
    <w:p w14:paraId="6FCE67C2" w14:textId="78426D58" w:rsidR="00E57B56" w:rsidRDefault="00ED1D7B" w:rsidP="008B10BF">
      <w:pPr>
        <w:pStyle w:val="ListParagraph"/>
        <w:keepNext/>
        <w:numPr>
          <w:ilvl w:val="0"/>
          <w:numId w:val="19"/>
        </w:numPr>
        <w:spacing w:before="240"/>
        <w:ind w:left="900" w:right="-187" w:hanging="90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Administration of </w:t>
      </w:r>
      <w:r w:rsidR="00286666">
        <w:rPr>
          <w:b/>
          <w:bCs/>
          <w:szCs w:val="24"/>
        </w:rPr>
        <w:t>International Numbering, Naming, Addressing, and Identification (NNAI) Resources</w:t>
      </w:r>
    </w:p>
    <w:p w14:paraId="1545751F" w14:textId="3EA59A30" w:rsidR="0097031D" w:rsidRDefault="009D6A53" w:rsidP="0093527B">
      <w:pPr>
        <w:ind w:right="-187"/>
        <w:rPr>
          <w:lang w:val="en-AU"/>
        </w:rPr>
      </w:pPr>
      <w:r w:rsidRPr="00E57B56">
        <w:rPr>
          <w:szCs w:val="24"/>
        </w:rPr>
        <w:t>Consistent</w:t>
      </w:r>
      <w:r w:rsidR="004352E2" w:rsidRPr="00E57B56">
        <w:rPr>
          <w:szCs w:val="24"/>
        </w:rPr>
        <w:t xml:space="preserve"> with </w:t>
      </w:r>
      <w:r w:rsidRPr="00E57B56">
        <w:rPr>
          <w:rFonts w:eastAsiaTheme="minorEastAsia"/>
          <w:szCs w:val="24"/>
          <w:lang w:val="en-US" w:eastAsia="zh-CN"/>
        </w:rPr>
        <w:t xml:space="preserve">SG2’s lead role for the administration of international </w:t>
      </w:r>
      <w:r w:rsidR="00286666">
        <w:rPr>
          <w:rFonts w:eastAsiaTheme="minorEastAsia"/>
          <w:szCs w:val="24"/>
          <w:lang w:val="en-US" w:eastAsia="zh-CN"/>
        </w:rPr>
        <w:t>NNAI</w:t>
      </w:r>
      <w:r w:rsidRPr="00E57B56">
        <w:rPr>
          <w:rFonts w:eastAsiaTheme="minorEastAsia"/>
          <w:szCs w:val="24"/>
          <w:lang w:val="en-US" w:eastAsia="zh-CN"/>
        </w:rPr>
        <w:t xml:space="preserve"> resources, the </w:t>
      </w:r>
      <w:r w:rsidR="00286666">
        <w:rPr>
          <w:rFonts w:eastAsiaTheme="minorEastAsia"/>
          <w:szCs w:val="24"/>
          <w:lang w:val="en-US" w:eastAsia="zh-CN"/>
        </w:rPr>
        <w:t>Numbering Coordination Team (</w:t>
      </w:r>
      <w:r w:rsidR="007913D5" w:rsidRPr="00E57B56">
        <w:rPr>
          <w:szCs w:val="24"/>
        </w:rPr>
        <w:t>NCT</w:t>
      </w:r>
      <w:r w:rsidR="00286666">
        <w:rPr>
          <w:szCs w:val="24"/>
        </w:rPr>
        <w:t>)</w:t>
      </w:r>
      <w:r w:rsidR="007913D5" w:rsidRPr="00E57B56">
        <w:rPr>
          <w:szCs w:val="24"/>
        </w:rPr>
        <w:t xml:space="preserve"> continues</w:t>
      </w:r>
      <w:r w:rsidR="00E57B56">
        <w:rPr>
          <w:szCs w:val="24"/>
        </w:rPr>
        <w:t xml:space="preserve"> to</w:t>
      </w:r>
      <w:r w:rsidR="00BB3D39">
        <w:rPr>
          <w:szCs w:val="24"/>
        </w:rPr>
        <w:t xml:space="preserve"> meet monthly to</w:t>
      </w:r>
      <w:r w:rsidR="00E57B56">
        <w:rPr>
          <w:szCs w:val="24"/>
        </w:rPr>
        <w:t xml:space="preserve"> fulfil its duties</w:t>
      </w:r>
      <w:r w:rsidR="007913D5" w:rsidRPr="00E57B56">
        <w:rPr>
          <w:szCs w:val="24"/>
        </w:rPr>
        <w:t xml:space="preserve"> in line with the processes</w:t>
      </w:r>
      <w:r w:rsidR="004352E2" w:rsidRPr="00E57B56">
        <w:rPr>
          <w:szCs w:val="24"/>
        </w:rPr>
        <w:t xml:space="preserve"> and procedures described in </w:t>
      </w:r>
      <w:r w:rsidRPr="00E57B56">
        <w:rPr>
          <w:szCs w:val="24"/>
        </w:rPr>
        <w:t>Rec</w:t>
      </w:r>
      <w:r w:rsidR="000D1300">
        <w:rPr>
          <w:szCs w:val="24"/>
        </w:rPr>
        <w:t>ommendation</w:t>
      </w:r>
      <w:r w:rsidR="000D1300" w:rsidRPr="00E57B56">
        <w:rPr>
          <w:szCs w:val="24"/>
        </w:rPr>
        <w:t xml:space="preserve"> </w:t>
      </w:r>
      <w:r w:rsidRPr="00E57B56">
        <w:rPr>
          <w:szCs w:val="24"/>
        </w:rPr>
        <w:t>ITU-T E.1120</w:t>
      </w:r>
      <w:r w:rsidR="006B2D7F">
        <w:rPr>
          <w:lang w:val="en-AU"/>
        </w:rPr>
        <w:t>.</w:t>
      </w:r>
      <w:r w:rsidR="0016690B">
        <w:rPr>
          <w:lang w:val="en-AU"/>
        </w:rPr>
        <w:t xml:space="preserve">  </w:t>
      </w:r>
    </w:p>
    <w:p w14:paraId="05984EC4" w14:textId="77777777" w:rsidR="007B2862" w:rsidRDefault="0016690B" w:rsidP="0093527B">
      <w:pPr>
        <w:ind w:right="-187"/>
      </w:pPr>
      <w:r>
        <w:rPr>
          <w:lang w:val="en-AU"/>
        </w:rPr>
        <w:t xml:space="preserve">For the </w:t>
      </w:r>
      <w:r w:rsidR="002D01B3">
        <w:rPr>
          <w:lang w:val="en-AU"/>
        </w:rPr>
        <w:t>report on numbering issues, including NCT activities,</w:t>
      </w:r>
      <w:r>
        <w:rPr>
          <w:lang w:val="en-AU"/>
        </w:rPr>
        <w:t xml:space="preserve"> from the period June 2024-January 2025, please see </w:t>
      </w:r>
      <w:hyperlink r:id="rId29" w:history="1">
        <w:r w:rsidR="00E35436" w:rsidRPr="002D01B3">
          <w:rPr>
            <w:rStyle w:val="Hyperlink"/>
            <w:lang w:val="en-AU"/>
          </w:rPr>
          <w:t>SG2-TD36R1/PLEN</w:t>
        </w:r>
      </w:hyperlink>
      <w:r w:rsidR="00E35436">
        <w:rPr>
          <w:lang w:val="en-AU"/>
        </w:rPr>
        <w:t>.</w:t>
      </w:r>
      <w:r w:rsidR="0097031D" w:rsidRPr="0097031D">
        <w:t xml:space="preserve"> </w:t>
      </w:r>
      <w:r w:rsidR="002D01B3">
        <w:t xml:space="preserve"> </w:t>
      </w:r>
      <w:r w:rsidR="00874294">
        <w:t xml:space="preserve">Note that, with respect to section 12 (other items for SG2 consideration) and the </w:t>
      </w:r>
      <w:r w:rsidR="0097031D">
        <w:t xml:space="preserve">reference to “military use cases” and use of numbering resources in war zones, </w:t>
      </w:r>
      <w:r w:rsidR="00281BB7">
        <w:t>SG2 has called for contributions</w:t>
      </w:r>
      <w:r w:rsidR="0097031D">
        <w:t xml:space="preserve"> to consider whether changes to the assignment criteria </w:t>
      </w:r>
      <w:r w:rsidR="00FC331C">
        <w:t xml:space="preserve">are </w:t>
      </w:r>
      <w:r w:rsidR="0097031D">
        <w:t>necessary.</w:t>
      </w:r>
    </w:p>
    <w:p w14:paraId="009927A0" w14:textId="2C721748" w:rsidR="007B2862" w:rsidRDefault="007B2862" w:rsidP="0093527B">
      <w:pPr>
        <w:ind w:right="-187"/>
      </w:pPr>
      <w:r>
        <w:t xml:space="preserve">Regarding numbering issues, at its </w:t>
      </w:r>
      <w:r w:rsidR="00501897">
        <w:t>last</w:t>
      </w:r>
      <w:r>
        <w:t xml:space="preserve"> meeting, SG2 also agreed to </w:t>
      </w:r>
      <w:r w:rsidR="00E86C49" w:rsidRPr="007B2862">
        <w:rPr>
          <w:rFonts w:asciiTheme="majorBidi" w:hAnsiTheme="majorBidi" w:cstheme="majorBidi"/>
        </w:rPr>
        <w:t xml:space="preserve">advise the TSB Director to: </w:t>
      </w:r>
    </w:p>
    <w:p w14:paraId="20DC6DF4" w14:textId="176D1185" w:rsidR="007B2862" w:rsidRPr="007B2862" w:rsidRDefault="00E86C49" w:rsidP="0093527B">
      <w:pPr>
        <w:pStyle w:val="ListParagraph"/>
        <w:numPr>
          <w:ilvl w:val="0"/>
          <w:numId w:val="26"/>
        </w:numPr>
        <w:ind w:right="-187"/>
        <w:contextualSpacing w:val="0"/>
      </w:pPr>
      <w:r w:rsidRPr="007B2862">
        <w:rPr>
          <w:rFonts w:asciiTheme="majorBidi" w:hAnsiTheme="majorBidi" w:cstheme="majorBidi"/>
          <w:noProof/>
        </w:rPr>
        <w:t xml:space="preserve">Not assign resources under E.164 </w:t>
      </w:r>
      <w:r w:rsidR="007B2862">
        <w:rPr>
          <w:rFonts w:asciiTheme="majorBidi" w:hAnsiTheme="majorBidi" w:cstheme="majorBidi"/>
          <w:noProof/>
        </w:rPr>
        <w:t>country code (</w:t>
      </w:r>
      <w:r w:rsidRPr="007B2862">
        <w:rPr>
          <w:rFonts w:asciiTheme="majorBidi" w:hAnsiTheme="majorBidi" w:cstheme="majorBidi"/>
          <w:noProof/>
        </w:rPr>
        <w:t>CC</w:t>
      </w:r>
      <w:r w:rsidR="007B2862">
        <w:rPr>
          <w:rFonts w:asciiTheme="majorBidi" w:hAnsiTheme="majorBidi" w:cstheme="majorBidi"/>
          <w:noProof/>
        </w:rPr>
        <w:t xml:space="preserve">) </w:t>
      </w:r>
      <w:r w:rsidRPr="007B2862">
        <w:rPr>
          <w:rFonts w:asciiTheme="majorBidi" w:hAnsiTheme="majorBidi" w:cstheme="majorBidi"/>
          <w:noProof/>
        </w:rPr>
        <w:t>+881 until the conclusion of the work on draft revised Rec. ITU-T E.164.1</w:t>
      </w:r>
      <w:r w:rsidR="008073EA">
        <w:rPr>
          <w:rFonts w:asciiTheme="majorBidi" w:hAnsiTheme="majorBidi" w:cstheme="majorBidi"/>
          <w:noProof/>
        </w:rPr>
        <w:t xml:space="preserve"> </w:t>
      </w:r>
      <w:r w:rsidR="00882ACE">
        <w:rPr>
          <w:rFonts w:asciiTheme="majorBidi" w:hAnsiTheme="majorBidi" w:cstheme="majorBidi"/>
          <w:noProof/>
        </w:rPr>
        <w:t>(aimed at</w:t>
      </w:r>
      <w:r w:rsidR="008073EA">
        <w:rPr>
          <w:rFonts w:asciiTheme="majorBidi" w:hAnsiTheme="majorBidi" w:cstheme="majorBidi"/>
          <w:noProof/>
        </w:rPr>
        <w:t xml:space="preserve"> develop</w:t>
      </w:r>
      <w:r w:rsidR="00882ACE">
        <w:rPr>
          <w:rFonts w:asciiTheme="majorBidi" w:hAnsiTheme="majorBidi" w:cstheme="majorBidi"/>
          <w:noProof/>
        </w:rPr>
        <w:t>ing</w:t>
      </w:r>
      <w:r w:rsidR="008073EA">
        <w:rPr>
          <w:rFonts w:asciiTheme="majorBidi" w:hAnsiTheme="majorBidi" w:cstheme="majorBidi"/>
          <w:noProof/>
        </w:rPr>
        <w:t xml:space="preserve"> </w:t>
      </w:r>
      <w:r w:rsidR="00E62827">
        <w:rPr>
          <w:rStyle w:val="normaltextrun"/>
        </w:rPr>
        <w:t xml:space="preserve">the necessary assignment criteria for the use of </w:t>
      </w:r>
      <w:r w:rsidR="00882ACE">
        <w:rPr>
          <w:rStyle w:val="normaltextrun"/>
        </w:rPr>
        <w:t xml:space="preserve">CC </w:t>
      </w:r>
      <w:r w:rsidR="00E62827">
        <w:rPr>
          <w:rStyle w:val="normaltextrun"/>
        </w:rPr>
        <w:t>+881 for Global Mobile Satellite System operators). </w:t>
      </w:r>
    </w:p>
    <w:p w14:paraId="63FBBB7D" w14:textId="1E204294" w:rsidR="007B2862" w:rsidRPr="007B2862" w:rsidRDefault="00E86C49" w:rsidP="0093527B">
      <w:pPr>
        <w:pStyle w:val="ListParagraph"/>
        <w:numPr>
          <w:ilvl w:val="0"/>
          <w:numId w:val="26"/>
        </w:numPr>
        <w:ind w:right="-187"/>
        <w:contextualSpacing w:val="0"/>
      </w:pPr>
      <w:r w:rsidRPr="007B2862">
        <w:rPr>
          <w:rFonts w:asciiTheme="majorBidi" w:hAnsiTheme="majorBidi" w:cstheme="majorBidi"/>
          <w:noProof/>
        </w:rPr>
        <w:t xml:space="preserve">Redesignate E.164 CC +883 as “IoT/M2M,” and send a note to all current assignees of CC +883 </w:t>
      </w:r>
      <w:r w:rsidR="005E25E1">
        <w:rPr>
          <w:rFonts w:asciiTheme="majorBidi" w:hAnsiTheme="majorBidi" w:cstheme="majorBidi"/>
          <w:noProof/>
        </w:rPr>
        <w:t>idenfication codes (</w:t>
      </w:r>
      <w:r w:rsidRPr="007B2862">
        <w:rPr>
          <w:rFonts w:asciiTheme="majorBidi" w:hAnsiTheme="majorBidi" w:cstheme="majorBidi"/>
          <w:noProof/>
        </w:rPr>
        <w:t>ICs</w:t>
      </w:r>
      <w:r w:rsidR="005E25E1">
        <w:rPr>
          <w:rFonts w:asciiTheme="majorBidi" w:hAnsiTheme="majorBidi" w:cstheme="majorBidi"/>
          <w:noProof/>
        </w:rPr>
        <w:t>)</w:t>
      </w:r>
      <w:r w:rsidRPr="007B2862">
        <w:rPr>
          <w:rFonts w:asciiTheme="majorBidi" w:hAnsiTheme="majorBidi" w:cstheme="majorBidi"/>
          <w:noProof/>
        </w:rPr>
        <w:t xml:space="preserve"> to inform them of this change, making it clear that this amendment does not impact any current assignment of numbering resources from this range. </w:t>
      </w:r>
    </w:p>
    <w:p w14:paraId="4C4FEAB8" w14:textId="1FB849FE" w:rsidR="007B2862" w:rsidRPr="007B2862" w:rsidRDefault="007B2862" w:rsidP="0093527B">
      <w:pPr>
        <w:pStyle w:val="ListParagraph"/>
        <w:numPr>
          <w:ilvl w:val="0"/>
          <w:numId w:val="26"/>
        </w:numPr>
        <w:ind w:right="-187"/>
        <w:contextualSpacing w:val="0"/>
      </w:pPr>
      <w:r w:rsidRPr="007B2862">
        <w:rPr>
          <w:rFonts w:asciiTheme="majorBidi" w:hAnsiTheme="majorBidi" w:cstheme="majorBidi"/>
          <w:noProof/>
        </w:rPr>
        <w:t xml:space="preserve">Grant permission to </w:t>
      </w:r>
      <w:r w:rsidR="00271BC1">
        <w:rPr>
          <w:rFonts w:asciiTheme="majorBidi" w:hAnsiTheme="majorBidi" w:cstheme="majorBidi"/>
          <w:noProof/>
        </w:rPr>
        <w:t>a</w:t>
      </w:r>
      <w:r w:rsidR="00E7653C">
        <w:rPr>
          <w:rFonts w:asciiTheme="majorBidi" w:hAnsiTheme="majorBidi" w:cstheme="majorBidi"/>
          <w:noProof/>
        </w:rPr>
        <w:t xml:space="preserve">ssignee </w:t>
      </w:r>
      <w:r w:rsidRPr="007B2862">
        <w:rPr>
          <w:rFonts w:asciiTheme="majorBidi" w:hAnsiTheme="majorBidi" w:cstheme="majorBidi"/>
          <w:noProof/>
        </w:rPr>
        <w:t>Phone</w:t>
      </w:r>
      <w:r w:rsidR="004F523D">
        <w:rPr>
          <w:rFonts w:asciiTheme="majorBidi" w:hAnsiTheme="majorBidi" w:cstheme="majorBidi"/>
          <w:noProof/>
        </w:rPr>
        <w:t>G</w:t>
      </w:r>
      <w:r w:rsidRPr="007B2862">
        <w:rPr>
          <w:rFonts w:asciiTheme="majorBidi" w:hAnsiTheme="majorBidi" w:cstheme="majorBidi"/>
          <w:noProof/>
        </w:rPr>
        <w:t xml:space="preserve">roup </w:t>
      </w:r>
      <w:r w:rsidR="009E3F3E">
        <w:rPr>
          <w:rFonts w:asciiTheme="majorBidi" w:hAnsiTheme="majorBidi" w:cstheme="majorBidi"/>
          <w:noProof/>
        </w:rPr>
        <w:t>(if</w:t>
      </w:r>
      <w:r w:rsidRPr="007B2862">
        <w:rPr>
          <w:rFonts w:asciiTheme="majorBidi" w:hAnsiTheme="majorBidi" w:cstheme="majorBidi"/>
          <w:noProof/>
        </w:rPr>
        <w:t xml:space="preserve"> requested) for purposes of </w:t>
      </w:r>
      <w:r w:rsidR="00271BC1">
        <w:rPr>
          <w:rFonts w:asciiTheme="majorBidi" w:hAnsiTheme="majorBidi" w:cstheme="majorBidi"/>
          <w:noProof/>
        </w:rPr>
        <w:t>a forthcoming demonstration by WGT</w:t>
      </w:r>
      <w:r w:rsidR="00E7653C">
        <w:rPr>
          <w:rFonts w:asciiTheme="majorBidi" w:hAnsiTheme="majorBidi" w:cstheme="majorBidi"/>
          <w:noProof/>
        </w:rPr>
        <w:t xml:space="preserve"> (World’s Global Telecom)</w:t>
      </w:r>
      <w:r w:rsidR="00271BC1">
        <w:rPr>
          <w:rFonts w:asciiTheme="majorBidi" w:hAnsiTheme="majorBidi" w:cstheme="majorBidi"/>
          <w:noProof/>
        </w:rPr>
        <w:t xml:space="preserve">, </w:t>
      </w:r>
      <w:r w:rsidR="005E582E">
        <w:rPr>
          <w:rFonts w:asciiTheme="majorBidi" w:hAnsiTheme="majorBidi" w:cstheme="majorBidi"/>
          <w:noProof/>
        </w:rPr>
        <w:t xml:space="preserve">to </w:t>
      </w:r>
      <w:r w:rsidR="00E7653C">
        <w:rPr>
          <w:rFonts w:asciiTheme="majorBidi" w:hAnsiTheme="majorBidi" w:cstheme="majorBidi"/>
          <w:noProof/>
        </w:rPr>
        <w:t>showcase</w:t>
      </w:r>
      <w:r w:rsidR="005E582E">
        <w:rPr>
          <w:rFonts w:asciiTheme="majorBidi" w:hAnsiTheme="majorBidi" w:cstheme="majorBidi"/>
          <w:noProof/>
        </w:rPr>
        <w:t xml:space="preserve"> the intended service reflected in </w:t>
      </w:r>
      <w:r w:rsidR="00AD0AAD">
        <w:rPr>
          <w:rFonts w:asciiTheme="majorBidi" w:hAnsiTheme="majorBidi" w:cstheme="majorBidi"/>
          <w:noProof/>
        </w:rPr>
        <w:t>their</w:t>
      </w:r>
      <w:r w:rsidR="005E582E">
        <w:rPr>
          <w:rFonts w:asciiTheme="majorBidi" w:hAnsiTheme="majorBidi" w:cstheme="majorBidi"/>
          <w:noProof/>
        </w:rPr>
        <w:t xml:space="preserve"> pending application for</w:t>
      </w:r>
      <w:r w:rsidR="000B34C2">
        <w:rPr>
          <w:rFonts w:asciiTheme="majorBidi" w:hAnsiTheme="majorBidi" w:cstheme="majorBidi"/>
          <w:noProof/>
        </w:rPr>
        <w:t xml:space="preserve"> shared E.164 and E.212 numbering resources</w:t>
      </w:r>
      <w:r w:rsidR="00E7653C">
        <w:rPr>
          <w:rFonts w:asciiTheme="majorBidi" w:hAnsiTheme="majorBidi" w:cstheme="majorBidi"/>
          <w:noProof/>
        </w:rPr>
        <w:t>.</w:t>
      </w:r>
    </w:p>
    <w:p w14:paraId="7EB5873C" w14:textId="1C9C289A" w:rsidR="00437EEB" w:rsidRDefault="00437EEB" w:rsidP="008B10BF">
      <w:pPr>
        <w:pStyle w:val="ListParagraph"/>
        <w:keepNext/>
        <w:numPr>
          <w:ilvl w:val="0"/>
          <w:numId w:val="19"/>
        </w:numPr>
        <w:tabs>
          <w:tab w:val="left" w:pos="990"/>
        </w:tabs>
        <w:spacing w:before="240"/>
        <w:ind w:left="900" w:right="-187" w:hanging="900"/>
        <w:contextualSpacing w:val="0"/>
        <w:rPr>
          <w:b/>
          <w:bCs/>
          <w:szCs w:val="24"/>
        </w:rPr>
      </w:pPr>
      <w:r w:rsidRPr="00BE2893">
        <w:rPr>
          <w:b/>
          <w:bCs/>
          <w:szCs w:val="24"/>
        </w:rPr>
        <w:t>Coordination with Other Study Groups</w:t>
      </w:r>
      <w:r w:rsidR="00393D83">
        <w:rPr>
          <w:b/>
          <w:bCs/>
          <w:szCs w:val="24"/>
        </w:rPr>
        <w:t xml:space="preserve"> </w:t>
      </w:r>
      <w:r w:rsidR="00824104">
        <w:rPr>
          <w:b/>
          <w:bCs/>
          <w:szCs w:val="24"/>
        </w:rPr>
        <w:t>(including WTSA Follow-Up)</w:t>
      </w:r>
    </w:p>
    <w:p w14:paraId="607F2FD4" w14:textId="0DC33485" w:rsidR="009F266A" w:rsidRPr="009F266A" w:rsidRDefault="009F266A" w:rsidP="0093527B">
      <w:pPr>
        <w:keepNext/>
        <w:ind w:right="-187"/>
        <w:rPr>
          <w:szCs w:val="24"/>
        </w:rPr>
      </w:pPr>
      <w:r w:rsidRPr="009F266A">
        <w:rPr>
          <w:szCs w:val="24"/>
        </w:rPr>
        <w:t xml:space="preserve">SG2 has </w:t>
      </w:r>
      <w:r w:rsidR="00626868">
        <w:rPr>
          <w:szCs w:val="24"/>
        </w:rPr>
        <w:t>taken a p</w:t>
      </w:r>
      <w:r w:rsidR="0009448C">
        <w:rPr>
          <w:szCs w:val="24"/>
        </w:rPr>
        <w:t>ositive, p</w:t>
      </w:r>
      <w:r w:rsidR="00626868">
        <w:rPr>
          <w:szCs w:val="24"/>
        </w:rPr>
        <w:t xml:space="preserve">roactive approach </w:t>
      </w:r>
      <w:r w:rsidR="00307E8C">
        <w:rPr>
          <w:szCs w:val="24"/>
        </w:rPr>
        <w:t xml:space="preserve">towards </w:t>
      </w:r>
      <w:r w:rsidR="00DD22AA">
        <w:rPr>
          <w:szCs w:val="24"/>
        </w:rPr>
        <w:t>coordination with other Study Groups</w:t>
      </w:r>
      <w:r w:rsidR="0009448C">
        <w:rPr>
          <w:szCs w:val="24"/>
        </w:rPr>
        <w:t>:</w:t>
      </w:r>
      <w:r w:rsidR="00DD22AA">
        <w:rPr>
          <w:szCs w:val="24"/>
        </w:rPr>
        <w:t xml:space="preserve"> </w:t>
      </w:r>
    </w:p>
    <w:p w14:paraId="5D710564" w14:textId="2DC20D9E" w:rsidR="00005BDF" w:rsidRPr="00005BDF" w:rsidRDefault="00C8012E" w:rsidP="008B10BF">
      <w:pPr>
        <w:pStyle w:val="ListParagraph"/>
        <w:keepNext/>
        <w:numPr>
          <w:ilvl w:val="0"/>
          <w:numId w:val="28"/>
        </w:numPr>
        <w:ind w:left="900"/>
        <w:rPr>
          <w:noProof/>
          <w:szCs w:val="24"/>
        </w:rPr>
      </w:pPr>
      <w:r w:rsidRPr="00782DEE">
        <w:rPr>
          <w:b/>
          <w:bCs/>
          <w:szCs w:val="24"/>
        </w:rPr>
        <w:t>Coordination with ITU-T SG20</w:t>
      </w:r>
      <w:r w:rsidR="00C47A41" w:rsidRPr="00782DEE">
        <w:rPr>
          <w:b/>
          <w:bCs/>
          <w:szCs w:val="24"/>
        </w:rPr>
        <w:t xml:space="preserve">: </w:t>
      </w:r>
      <w:r w:rsidR="00691C6C" w:rsidRPr="00782DEE">
        <w:rPr>
          <w:szCs w:val="24"/>
        </w:rPr>
        <w:t>WTSA-24 instructed SG2 and SG20 “to establish a joint coordination or agreement mechanism between the study groups to determine a demarcation line for IoT identification and NNAI aspects, and report to TSAG”</w:t>
      </w:r>
      <w:r w:rsidR="00691C6C" w:rsidRPr="00782DEE">
        <w:rPr>
          <w:rFonts w:eastAsia="Malgun Gothic"/>
          <w:lang w:eastAsia="ko-KR"/>
        </w:rPr>
        <w:t xml:space="preserve"> (see </w:t>
      </w:r>
      <w:hyperlink r:id="rId30" w:history="1">
        <w:r w:rsidR="00691C6C" w:rsidRPr="00782DEE">
          <w:rPr>
            <w:rStyle w:val="Hyperlink"/>
            <w:lang w:val="en-US"/>
          </w:rPr>
          <w:t>WTSA Action [39A1/1]</w:t>
        </w:r>
      </w:hyperlink>
      <w:r w:rsidR="00691C6C">
        <w:t xml:space="preserve">). </w:t>
      </w:r>
      <w:r w:rsidR="0016602C">
        <w:t xml:space="preserve"> </w:t>
      </w:r>
      <w:r w:rsidR="00C60721">
        <w:t>In support of this action item,</w:t>
      </w:r>
      <w:r w:rsidR="00D52A58">
        <w:t xml:space="preserve"> </w:t>
      </w:r>
      <w:r w:rsidR="0016602C">
        <w:t>SG2</w:t>
      </w:r>
      <w:r w:rsidR="00416B9F">
        <w:t xml:space="preserve">0 sent a </w:t>
      </w:r>
      <w:r w:rsidR="00D52A58">
        <w:t>liaison statement to SG2 proposing</w:t>
      </w:r>
      <w:r w:rsidR="003A6EF4">
        <w:t xml:space="preserve"> a </w:t>
      </w:r>
      <w:r w:rsidR="00C51438">
        <w:t xml:space="preserve">joint correspondence </w:t>
      </w:r>
      <w:r w:rsidR="00700A6A">
        <w:t xml:space="preserve">group </w:t>
      </w:r>
      <w:r w:rsidR="00D52A58">
        <w:t xml:space="preserve">on IoT identification and NNAI aspects </w:t>
      </w:r>
      <w:r w:rsidR="00C51438">
        <w:t>(TSAG-</w:t>
      </w:r>
      <w:r w:rsidR="00C51438" w:rsidRPr="00782DEE">
        <w:rPr>
          <w:szCs w:val="24"/>
        </w:rPr>
        <w:t>TD47)</w:t>
      </w:r>
      <w:r w:rsidR="00D52A58" w:rsidRPr="00782DEE">
        <w:rPr>
          <w:szCs w:val="24"/>
        </w:rPr>
        <w:t xml:space="preserve">.  SG2 considered this proposal </w:t>
      </w:r>
      <w:r w:rsidR="00782DEE">
        <w:rPr>
          <w:rFonts w:asciiTheme="majorBidi" w:hAnsiTheme="majorBidi" w:cstheme="majorBidi"/>
          <w:szCs w:val="24"/>
        </w:rPr>
        <w:t>but identified several challenges for its successful execution;</w:t>
      </w:r>
      <w:r w:rsidR="00782DEE" w:rsidRPr="00782DEE">
        <w:rPr>
          <w:rFonts w:asciiTheme="majorBidi" w:hAnsiTheme="majorBidi" w:cstheme="majorBidi"/>
          <w:szCs w:val="24"/>
        </w:rPr>
        <w:t xml:space="preserve"> </w:t>
      </w:r>
      <w:r w:rsidR="005D7CDF">
        <w:rPr>
          <w:rFonts w:asciiTheme="majorBidi" w:hAnsiTheme="majorBidi" w:cstheme="majorBidi"/>
          <w:szCs w:val="24"/>
        </w:rPr>
        <w:t>therefore, rather than a correspondence group, SG2 sent a reply liaison to SG20 suggesting</w:t>
      </w:r>
      <w:r w:rsidR="00782DEE" w:rsidRPr="00782DEE">
        <w:rPr>
          <w:rFonts w:asciiTheme="majorBidi" w:hAnsiTheme="majorBidi" w:cstheme="majorBidi"/>
          <w:szCs w:val="24"/>
        </w:rPr>
        <w:t xml:space="preserve"> a series of three </w:t>
      </w:r>
      <w:r w:rsidR="005D7CDF">
        <w:rPr>
          <w:rFonts w:asciiTheme="majorBidi" w:hAnsiTheme="majorBidi" w:cstheme="majorBidi"/>
          <w:szCs w:val="24"/>
        </w:rPr>
        <w:t xml:space="preserve">virtual </w:t>
      </w:r>
      <w:r w:rsidR="00782DEE" w:rsidRPr="00782DEE">
        <w:rPr>
          <w:rFonts w:asciiTheme="majorBidi" w:hAnsiTheme="majorBidi" w:cstheme="majorBidi"/>
          <w:szCs w:val="24"/>
        </w:rPr>
        <w:t>joint meetings between Q1/2 and Q6/20</w:t>
      </w:r>
      <w:r w:rsidR="005D7CDF">
        <w:rPr>
          <w:rFonts w:asciiTheme="majorBidi" w:hAnsiTheme="majorBidi" w:cstheme="majorBidi"/>
          <w:szCs w:val="24"/>
        </w:rPr>
        <w:t xml:space="preserve"> (the relevant Questions), contained in </w:t>
      </w:r>
      <w:hyperlink r:id="rId31" w:history="1">
        <w:r w:rsidR="005D7CDF" w:rsidRPr="00314F36">
          <w:rPr>
            <w:rStyle w:val="Hyperlink"/>
            <w:rFonts w:asciiTheme="majorBidi" w:hAnsiTheme="majorBidi" w:cstheme="majorBidi"/>
            <w:szCs w:val="24"/>
          </w:rPr>
          <w:t>TSAG</w:t>
        </w:r>
        <w:r w:rsidR="00D01761" w:rsidRPr="00314F36">
          <w:rPr>
            <w:rStyle w:val="Hyperlink"/>
            <w:rFonts w:asciiTheme="majorBidi" w:hAnsiTheme="majorBidi" w:cstheme="majorBidi"/>
            <w:szCs w:val="24"/>
          </w:rPr>
          <w:t>-TD62</w:t>
        </w:r>
      </w:hyperlink>
      <w:r w:rsidR="00782DEE" w:rsidRPr="00782DEE">
        <w:rPr>
          <w:rFonts w:asciiTheme="majorBidi" w:hAnsiTheme="majorBidi" w:cstheme="majorBidi"/>
          <w:szCs w:val="24"/>
        </w:rPr>
        <w:t xml:space="preserve"> (</w:t>
      </w:r>
      <w:hyperlink r:id="rId32" w:history="1">
        <w:r w:rsidR="00782DEE" w:rsidRPr="00782DEE">
          <w:rPr>
            <w:rStyle w:val="Hyperlink"/>
            <w:rFonts w:asciiTheme="majorBidi" w:hAnsiTheme="majorBidi" w:cstheme="majorBidi"/>
            <w:szCs w:val="24"/>
          </w:rPr>
          <w:t>SG2-TD103/G</w:t>
        </w:r>
      </w:hyperlink>
      <w:r w:rsidR="00782DEE" w:rsidRPr="00782DEE">
        <w:rPr>
          <w:rFonts w:asciiTheme="majorBidi" w:hAnsiTheme="majorBidi" w:cstheme="majorBidi"/>
          <w:szCs w:val="24"/>
        </w:rPr>
        <w:t>).</w:t>
      </w:r>
      <w:r w:rsidR="00314F36">
        <w:rPr>
          <w:rFonts w:asciiTheme="majorBidi" w:hAnsiTheme="majorBidi" w:cstheme="majorBidi"/>
          <w:szCs w:val="24"/>
        </w:rPr>
        <w:t xml:space="preserve">  </w:t>
      </w:r>
      <w:r w:rsidR="003A3BC6" w:rsidRPr="003A3BC6">
        <w:rPr>
          <w:szCs w:val="24"/>
        </w:rPr>
        <w:t>To</w:t>
      </w:r>
      <w:r w:rsidR="00B17432" w:rsidRPr="003A3BC6">
        <w:rPr>
          <w:szCs w:val="24"/>
        </w:rPr>
        <w:t xml:space="preserve"> make </w:t>
      </w:r>
      <w:r w:rsidR="00B250C3" w:rsidRPr="003A3BC6">
        <w:rPr>
          <w:szCs w:val="24"/>
        </w:rPr>
        <w:t>continued progress, the</w:t>
      </w:r>
      <w:r w:rsidR="00314F36" w:rsidRPr="003A3BC6">
        <w:rPr>
          <w:szCs w:val="24"/>
        </w:rPr>
        <w:t xml:space="preserve"> SG2 Chair also followed up with the SG20 Chair directly </w:t>
      </w:r>
      <w:r w:rsidR="00E831E1" w:rsidRPr="003A3BC6">
        <w:rPr>
          <w:szCs w:val="24"/>
        </w:rPr>
        <w:t>to flag this liaison statement and suggest concrete dates/times for the proposed series of joint meetings.</w:t>
      </w:r>
      <w:r w:rsidR="00B63C37">
        <w:rPr>
          <w:szCs w:val="24"/>
        </w:rPr>
        <w:t xml:space="preserve">  </w:t>
      </w:r>
      <w:r w:rsidR="00637B90" w:rsidRPr="004E176D">
        <w:rPr>
          <w:rFonts w:asciiTheme="majorBidi" w:hAnsiTheme="majorBidi" w:cstheme="majorBidi"/>
          <w:szCs w:val="24"/>
        </w:rPr>
        <w:t xml:space="preserve">The </w:t>
      </w:r>
      <w:r w:rsidR="004F656F" w:rsidRPr="004E176D">
        <w:rPr>
          <w:rFonts w:asciiTheme="majorBidi" w:hAnsiTheme="majorBidi" w:cstheme="majorBidi"/>
          <w:szCs w:val="24"/>
        </w:rPr>
        <w:lastRenderedPageBreak/>
        <w:t>SG20</w:t>
      </w:r>
      <w:r w:rsidR="00637B90" w:rsidRPr="004E176D">
        <w:rPr>
          <w:rFonts w:asciiTheme="majorBidi" w:hAnsiTheme="majorBidi" w:cstheme="majorBidi"/>
          <w:szCs w:val="24"/>
        </w:rPr>
        <w:t xml:space="preserve"> Chair </w:t>
      </w:r>
      <w:r w:rsidR="00A66F25">
        <w:rPr>
          <w:rFonts w:asciiTheme="majorBidi" w:hAnsiTheme="majorBidi" w:cstheme="majorBidi"/>
          <w:szCs w:val="24"/>
        </w:rPr>
        <w:t xml:space="preserve">has </w:t>
      </w:r>
      <w:r w:rsidR="00637B90" w:rsidRPr="00A66F25">
        <w:rPr>
          <w:rFonts w:asciiTheme="majorBidi" w:hAnsiTheme="majorBidi" w:cstheme="majorBidi"/>
          <w:szCs w:val="24"/>
        </w:rPr>
        <w:t>advised that SG20 could not</w:t>
      </w:r>
      <w:r w:rsidR="004F656F" w:rsidRPr="00A66F25">
        <w:rPr>
          <w:rFonts w:asciiTheme="majorBidi" w:hAnsiTheme="majorBidi" w:cstheme="majorBidi"/>
          <w:szCs w:val="24"/>
        </w:rPr>
        <w:t xml:space="preserve"> move forward with any next steps</w:t>
      </w:r>
      <w:r w:rsidR="00637B90" w:rsidRPr="00A66F25">
        <w:rPr>
          <w:rFonts w:asciiTheme="majorBidi" w:hAnsiTheme="majorBidi" w:cstheme="majorBidi"/>
          <w:szCs w:val="24"/>
        </w:rPr>
        <w:t xml:space="preserve"> until the next SG20 meeting</w:t>
      </w:r>
      <w:r w:rsidR="00B63C37" w:rsidRPr="00A66F25">
        <w:rPr>
          <w:rFonts w:asciiTheme="majorBidi" w:hAnsiTheme="majorBidi" w:cstheme="majorBidi"/>
          <w:szCs w:val="24"/>
        </w:rPr>
        <w:t>.</w:t>
      </w:r>
    </w:p>
    <w:p w14:paraId="3615EF34" w14:textId="77777777" w:rsidR="00005BDF" w:rsidRPr="00005BDF" w:rsidRDefault="00005BDF" w:rsidP="00005BDF">
      <w:pPr>
        <w:pStyle w:val="ListParagraph"/>
        <w:keepNext/>
        <w:rPr>
          <w:noProof/>
          <w:szCs w:val="24"/>
        </w:rPr>
      </w:pPr>
    </w:p>
    <w:p w14:paraId="37B74DFE" w14:textId="52CC09B7" w:rsidR="00C8012E" w:rsidRPr="00005BDF" w:rsidRDefault="00C8012E" w:rsidP="008B10BF">
      <w:pPr>
        <w:pStyle w:val="ListParagraph"/>
        <w:numPr>
          <w:ilvl w:val="0"/>
          <w:numId w:val="28"/>
        </w:numPr>
        <w:ind w:left="900" w:right="-187"/>
        <w:rPr>
          <w:szCs w:val="24"/>
        </w:rPr>
      </w:pPr>
      <w:r w:rsidRPr="00005BDF">
        <w:rPr>
          <w:b/>
          <w:bCs/>
          <w:szCs w:val="24"/>
        </w:rPr>
        <w:t xml:space="preserve">Coordination with ITU-T SG3: </w:t>
      </w:r>
      <w:r w:rsidR="00555845" w:rsidRPr="00005BDF">
        <w:rPr>
          <w:szCs w:val="24"/>
        </w:rPr>
        <w:t xml:space="preserve">At </w:t>
      </w:r>
      <w:r w:rsidR="002347F3" w:rsidRPr="00005BDF">
        <w:rPr>
          <w:szCs w:val="24"/>
        </w:rPr>
        <w:t>its last meeting, TSAG</w:t>
      </w:r>
      <w:r w:rsidR="00355799" w:rsidRPr="00005BDF">
        <w:rPr>
          <w:szCs w:val="24"/>
        </w:rPr>
        <w:t xml:space="preserve"> </w:t>
      </w:r>
      <w:r w:rsidR="00E67358" w:rsidRPr="00005BDF">
        <w:rPr>
          <w:szCs w:val="24"/>
        </w:rPr>
        <w:t xml:space="preserve">considered </w:t>
      </w:r>
      <w:hyperlink r:id="rId33" w:history="1">
        <w:r w:rsidR="00355799" w:rsidRPr="00005BDF">
          <w:rPr>
            <w:rStyle w:val="Hyperlink"/>
            <w:szCs w:val="24"/>
          </w:rPr>
          <w:t>TSAG-TD634</w:t>
        </w:r>
      </w:hyperlink>
      <w:r w:rsidR="00E67358" w:rsidRPr="00005BDF">
        <w:rPr>
          <w:szCs w:val="24"/>
        </w:rPr>
        <w:t xml:space="preserve">, a liaison statement from SG3 to SG2 proposing a </w:t>
      </w:r>
      <w:r w:rsidR="00BD462F" w:rsidRPr="00005BDF">
        <w:rPr>
          <w:szCs w:val="24"/>
        </w:rPr>
        <w:t>joint working party (</w:t>
      </w:r>
      <w:r w:rsidR="00F26434" w:rsidRPr="00005BDF">
        <w:rPr>
          <w:szCs w:val="24"/>
        </w:rPr>
        <w:t>JWP</w:t>
      </w:r>
      <w:r w:rsidR="00BD462F" w:rsidRPr="00005BDF">
        <w:rPr>
          <w:szCs w:val="24"/>
        </w:rPr>
        <w:t>)</w:t>
      </w:r>
      <w:r w:rsidR="00E67358" w:rsidRPr="00005BDF">
        <w:rPr>
          <w:szCs w:val="24"/>
        </w:rPr>
        <w:t xml:space="preserve"> on OTT definitions; </w:t>
      </w:r>
      <w:r w:rsidR="002347F3" w:rsidRPr="00005BDF">
        <w:rPr>
          <w:szCs w:val="24"/>
        </w:rPr>
        <w:t>TSAG</w:t>
      </w:r>
      <w:r w:rsidR="007B343B" w:rsidRPr="00005BDF">
        <w:rPr>
          <w:szCs w:val="24"/>
        </w:rPr>
        <w:t xml:space="preserve"> noted this for information, </w:t>
      </w:r>
      <w:r w:rsidR="006B47C1" w:rsidRPr="00005BDF">
        <w:rPr>
          <w:szCs w:val="24"/>
        </w:rPr>
        <w:t xml:space="preserve">given that SG2 had not yet </w:t>
      </w:r>
      <w:r w:rsidR="00AE3B32" w:rsidRPr="00005BDF">
        <w:rPr>
          <w:szCs w:val="24"/>
        </w:rPr>
        <w:t>me</w:t>
      </w:r>
      <w:r w:rsidR="003523D4" w:rsidRPr="00005BDF">
        <w:rPr>
          <w:szCs w:val="24"/>
        </w:rPr>
        <w:t xml:space="preserve">t </w:t>
      </w:r>
      <w:r w:rsidR="009F7F8F" w:rsidRPr="00005BDF">
        <w:rPr>
          <w:szCs w:val="24"/>
        </w:rPr>
        <w:t>to have the</w:t>
      </w:r>
      <w:r w:rsidR="00AE3B32" w:rsidRPr="00005BDF">
        <w:rPr>
          <w:szCs w:val="24"/>
        </w:rPr>
        <w:t xml:space="preserve"> opportunity to consider the proposal</w:t>
      </w:r>
      <w:r w:rsidR="009F7F8F" w:rsidRPr="00005BDF">
        <w:rPr>
          <w:szCs w:val="24"/>
        </w:rPr>
        <w:t xml:space="preserve">.  </w:t>
      </w:r>
      <w:r w:rsidR="00A536A5" w:rsidRPr="00005BDF">
        <w:rPr>
          <w:szCs w:val="24"/>
        </w:rPr>
        <w:t>SG2 has since considered this incoming liaison statement from SG3 and has sent a reply, cont</w:t>
      </w:r>
      <w:r w:rsidR="00297558" w:rsidRPr="00005BDF">
        <w:rPr>
          <w:szCs w:val="24"/>
        </w:rPr>
        <w:t>ained in</w:t>
      </w:r>
      <w:r w:rsidR="00DF6B03" w:rsidRPr="00005BDF">
        <w:rPr>
          <w:szCs w:val="24"/>
        </w:rPr>
        <w:t xml:space="preserve"> </w:t>
      </w:r>
      <w:hyperlink r:id="rId34" w:history="1">
        <w:r w:rsidR="00DF6B03" w:rsidRPr="00005BDF">
          <w:rPr>
            <w:rStyle w:val="Hyperlink"/>
            <w:szCs w:val="24"/>
          </w:rPr>
          <w:t>TSAG-TD61</w:t>
        </w:r>
      </w:hyperlink>
      <w:r w:rsidR="00297558" w:rsidRPr="00005BDF">
        <w:rPr>
          <w:szCs w:val="24"/>
        </w:rPr>
        <w:t xml:space="preserve"> </w:t>
      </w:r>
      <w:r w:rsidR="00DF6B03" w:rsidRPr="00005BDF">
        <w:rPr>
          <w:szCs w:val="24"/>
        </w:rPr>
        <w:t>(</w:t>
      </w:r>
      <w:hyperlink r:id="rId35" w:history="1">
        <w:r w:rsidR="00446A53" w:rsidRPr="00005BDF">
          <w:rPr>
            <w:rStyle w:val="Hyperlink"/>
            <w:rFonts w:asciiTheme="majorBidi" w:hAnsiTheme="majorBidi" w:cstheme="majorBidi"/>
            <w:szCs w:val="24"/>
          </w:rPr>
          <w:t>SG2-TD102/</w:t>
        </w:r>
        <w:r w:rsidR="00D417D0" w:rsidRPr="00005BDF">
          <w:rPr>
            <w:rStyle w:val="Hyperlink"/>
            <w:rFonts w:asciiTheme="majorBidi" w:hAnsiTheme="majorBidi" w:cstheme="majorBidi"/>
            <w:szCs w:val="24"/>
          </w:rPr>
          <w:t>GEN</w:t>
        </w:r>
      </w:hyperlink>
      <w:r w:rsidR="00D417D0" w:rsidRPr="00005BDF">
        <w:rPr>
          <w:szCs w:val="24"/>
        </w:rPr>
        <w:t xml:space="preserve">).  </w:t>
      </w:r>
      <w:r w:rsidR="003468FD" w:rsidRPr="00005BDF">
        <w:rPr>
          <w:rFonts w:asciiTheme="majorBidi" w:hAnsiTheme="majorBidi" w:cstheme="majorBidi"/>
          <w:szCs w:val="24"/>
        </w:rPr>
        <w:t xml:space="preserve">This LS/o/r explains the substantive and procedural challenges with the </w:t>
      </w:r>
      <w:r w:rsidR="003523D4" w:rsidRPr="00005BDF">
        <w:rPr>
          <w:rFonts w:asciiTheme="majorBidi" w:hAnsiTheme="majorBidi" w:cstheme="majorBidi"/>
          <w:szCs w:val="24"/>
        </w:rPr>
        <w:t>JWP</w:t>
      </w:r>
      <w:r w:rsidR="003468FD" w:rsidRPr="00005BDF">
        <w:rPr>
          <w:rFonts w:asciiTheme="majorBidi" w:hAnsiTheme="majorBidi" w:cstheme="majorBidi"/>
          <w:szCs w:val="24"/>
        </w:rPr>
        <w:t xml:space="preserve"> originally proposed by SG3 and instead suggests a </w:t>
      </w:r>
      <w:r w:rsidR="00E679C3" w:rsidRPr="00005BDF">
        <w:rPr>
          <w:rFonts w:asciiTheme="majorBidi" w:hAnsiTheme="majorBidi" w:cstheme="majorBidi"/>
          <w:szCs w:val="24"/>
        </w:rPr>
        <w:t xml:space="preserve">virtual </w:t>
      </w:r>
      <w:r w:rsidR="003468FD" w:rsidRPr="00005BDF">
        <w:rPr>
          <w:rFonts w:asciiTheme="majorBidi" w:hAnsiTheme="majorBidi" w:cstheme="majorBidi"/>
          <w:szCs w:val="24"/>
        </w:rPr>
        <w:t>joint meeting between Q3/2 and Q9/3 (the relevant Questions)</w:t>
      </w:r>
      <w:r w:rsidR="00E679C3" w:rsidRPr="00005BDF">
        <w:rPr>
          <w:rFonts w:asciiTheme="majorBidi" w:hAnsiTheme="majorBidi" w:cstheme="majorBidi"/>
          <w:szCs w:val="24"/>
        </w:rPr>
        <w:t xml:space="preserve">, to more efficiently and effectively achieve the same underlying goals motivating the original proposal.  </w:t>
      </w:r>
      <w:r w:rsidR="004A3341" w:rsidRPr="006222F1">
        <w:rPr>
          <w:rFonts w:asciiTheme="majorBidi" w:hAnsiTheme="majorBidi" w:cstheme="majorBidi"/>
          <w:szCs w:val="24"/>
        </w:rPr>
        <w:t xml:space="preserve">As of </w:t>
      </w:r>
      <w:r w:rsidR="00D37EE3" w:rsidRPr="006222F1">
        <w:rPr>
          <w:rFonts w:asciiTheme="majorBidi" w:hAnsiTheme="majorBidi" w:cstheme="majorBidi"/>
          <w:szCs w:val="24"/>
        </w:rPr>
        <w:t xml:space="preserve">the submission of </w:t>
      </w:r>
      <w:r w:rsidR="004A3341" w:rsidRPr="006222F1">
        <w:rPr>
          <w:rFonts w:asciiTheme="majorBidi" w:hAnsiTheme="majorBidi" w:cstheme="majorBidi"/>
          <w:szCs w:val="24"/>
        </w:rPr>
        <w:t xml:space="preserve">the present report, </w:t>
      </w:r>
      <w:r w:rsidR="007B7AE4" w:rsidRPr="006222F1">
        <w:rPr>
          <w:rFonts w:asciiTheme="majorBidi" w:hAnsiTheme="majorBidi" w:cstheme="majorBidi"/>
          <w:szCs w:val="24"/>
        </w:rPr>
        <w:t xml:space="preserve">SG2 </w:t>
      </w:r>
      <w:r w:rsidR="00E679C3" w:rsidRPr="006222F1">
        <w:rPr>
          <w:rFonts w:asciiTheme="majorBidi" w:hAnsiTheme="majorBidi" w:cstheme="majorBidi"/>
          <w:szCs w:val="24"/>
        </w:rPr>
        <w:t>is awaiting the response from the next SG3 meeting (8-17 April 2025).</w:t>
      </w:r>
      <w:r w:rsidR="007B7AE4" w:rsidRPr="00005BDF">
        <w:rPr>
          <w:rFonts w:asciiTheme="majorBidi" w:hAnsiTheme="majorBidi" w:cstheme="majorBidi"/>
          <w:szCs w:val="24"/>
        </w:rPr>
        <w:t xml:space="preserve"> </w:t>
      </w:r>
    </w:p>
    <w:p w14:paraId="6B4622EA" w14:textId="77777777" w:rsidR="00077FB0" w:rsidRPr="00996E0F" w:rsidRDefault="00077FB0" w:rsidP="00077FB0">
      <w:pPr>
        <w:pStyle w:val="ListParagraph"/>
        <w:spacing w:before="0"/>
        <w:ind w:left="360" w:right="-187"/>
        <w:rPr>
          <w:szCs w:val="24"/>
        </w:rPr>
      </w:pPr>
    </w:p>
    <w:p w14:paraId="6FF454CB" w14:textId="4ED930A9" w:rsidR="00043A66" w:rsidRPr="00727F09" w:rsidRDefault="00824104" w:rsidP="008B10BF">
      <w:pPr>
        <w:rPr>
          <w:shd w:val="clear" w:color="auto" w:fill="FFFFFF"/>
        </w:rPr>
      </w:pPr>
      <w:r w:rsidRPr="00996E0F">
        <w:t>Regarding instructions from WTSA-24</w:t>
      </w:r>
      <w:r w:rsidR="00996E0F" w:rsidRPr="00996E0F">
        <w:t xml:space="preserve">, </w:t>
      </w:r>
      <w:r w:rsidR="00F06F8C">
        <w:t>we take note</w:t>
      </w:r>
      <w:r w:rsidRPr="00996E0F">
        <w:t xml:space="preserve"> of TS</w:t>
      </w:r>
      <w:r w:rsidR="00996E0F" w:rsidRPr="00996E0F">
        <w:t>AG-TD10 (</w:t>
      </w:r>
      <w:r w:rsidR="00996E0F" w:rsidRPr="00996E0F">
        <w:rPr>
          <w:shd w:val="clear" w:color="auto" w:fill="FFFFFF"/>
        </w:rPr>
        <w:t>Action plan related to the Resolutions and Opinion of WTSA)</w:t>
      </w:r>
      <w:r w:rsidR="00F06F8C">
        <w:rPr>
          <w:shd w:val="clear" w:color="auto" w:fill="FFFFFF"/>
        </w:rPr>
        <w:t xml:space="preserve">; moving forward, SG2 </w:t>
      </w:r>
      <w:r w:rsidR="00996E0F" w:rsidRPr="00996E0F">
        <w:rPr>
          <w:shd w:val="clear" w:color="auto" w:fill="FFFFFF"/>
        </w:rPr>
        <w:t xml:space="preserve">remains committed to </w:t>
      </w:r>
      <w:r w:rsidR="00A423E7">
        <w:rPr>
          <w:shd w:val="clear" w:color="auto" w:fill="FFFFFF"/>
        </w:rPr>
        <w:t>carrying out a</w:t>
      </w:r>
      <w:r w:rsidR="00727F09">
        <w:rPr>
          <w:shd w:val="clear" w:color="auto" w:fill="FFFFFF"/>
        </w:rPr>
        <w:t>ll</w:t>
      </w:r>
      <w:r w:rsidR="00A423E7">
        <w:rPr>
          <w:shd w:val="clear" w:color="auto" w:fill="FFFFFF"/>
        </w:rPr>
        <w:t xml:space="preserve"> duties </w:t>
      </w:r>
      <w:r w:rsidR="00F06F8C">
        <w:rPr>
          <w:shd w:val="clear" w:color="auto" w:fill="FFFFFF"/>
        </w:rPr>
        <w:t xml:space="preserve">assigned to the </w:t>
      </w:r>
      <w:r w:rsidR="00727F09">
        <w:rPr>
          <w:shd w:val="clear" w:color="auto" w:fill="FFFFFF"/>
        </w:rPr>
        <w:t>study groups</w:t>
      </w:r>
      <w:r w:rsidR="00F06F8C">
        <w:rPr>
          <w:shd w:val="clear" w:color="auto" w:fill="FFFFFF"/>
        </w:rPr>
        <w:t xml:space="preserve"> by WTSA Resolutions, </w:t>
      </w:r>
      <w:r w:rsidR="00F06F8C" w:rsidRPr="00727F09">
        <w:rPr>
          <w:i/>
          <w:iCs/>
          <w:shd w:val="clear" w:color="auto" w:fill="FFFFFF"/>
        </w:rPr>
        <w:t>e.g.</w:t>
      </w:r>
      <w:r w:rsidR="00F06F8C">
        <w:rPr>
          <w:shd w:val="clear" w:color="auto" w:fill="FFFFFF"/>
        </w:rPr>
        <w:t xml:space="preserve">, </w:t>
      </w:r>
      <w:r w:rsidR="00B22A03">
        <w:rPr>
          <w:shd w:val="clear" w:color="auto" w:fill="FFFFFF"/>
        </w:rPr>
        <w:t>new WTSA Resolution 108, “</w:t>
      </w:r>
      <w:r w:rsidR="00043A66" w:rsidRPr="00727F09">
        <w:rPr>
          <w:lang w:val="en"/>
        </w:rPr>
        <w:t>Strategic planning in ITU Telecommunication Standardization Sector</w:t>
      </w:r>
      <w:r w:rsidR="00B22A03">
        <w:rPr>
          <w:lang w:val="en"/>
        </w:rPr>
        <w:t>,”</w:t>
      </w:r>
      <w:r w:rsidR="00043A66" w:rsidRPr="00727F09">
        <w:rPr>
          <w:lang w:val="en"/>
        </w:rPr>
        <w:t xml:space="preserve"> </w:t>
      </w:r>
      <w:r w:rsidR="00B22A03">
        <w:rPr>
          <w:lang w:val="en"/>
        </w:rPr>
        <w:t xml:space="preserve">which </w:t>
      </w:r>
      <w:r w:rsidR="00727F09">
        <w:rPr>
          <w:lang w:val="en"/>
        </w:rPr>
        <w:t>instructs</w:t>
      </w:r>
      <w:r w:rsidR="00B22A03">
        <w:rPr>
          <w:lang w:val="en"/>
        </w:rPr>
        <w:t xml:space="preserve"> ITU-T </w:t>
      </w:r>
      <w:r w:rsidR="00727F09">
        <w:rPr>
          <w:lang w:val="en"/>
        </w:rPr>
        <w:t>study groups to</w:t>
      </w:r>
      <w:r w:rsidR="00043A66" w:rsidRPr="00727F09">
        <w:t xml:space="preserve"> actively participate in the ITU-T strategic planning process</w:t>
      </w:r>
      <w:r w:rsidR="00727F09">
        <w:t>.</w:t>
      </w:r>
    </w:p>
    <w:p w14:paraId="69EF5DC0" w14:textId="74725B90" w:rsidR="00B04118" w:rsidRPr="001C0444" w:rsidRDefault="001F34F9" w:rsidP="0093527B">
      <w:pPr>
        <w:spacing w:after="120"/>
        <w:jc w:val="center"/>
        <w:rPr>
          <w:rFonts w:asciiTheme="majorBidi" w:eastAsia="SimSun" w:hAnsiTheme="majorBidi" w:cstheme="majorBidi"/>
          <w:szCs w:val="24"/>
        </w:rPr>
      </w:pPr>
      <w:r>
        <w:t>_______________________</w:t>
      </w:r>
    </w:p>
    <w:sectPr w:rsidR="00B04118" w:rsidRPr="001C0444" w:rsidSect="003D4D20">
      <w:headerReference w:type="default" r:id="rId36"/>
      <w:pgSz w:w="11909" w:h="16834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CB75" w14:textId="77777777" w:rsidR="00CC383A" w:rsidRDefault="00CC383A" w:rsidP="00BF3F95">
      <w:pPr>
        <w:spacing w:before="0"/>
      </w:pPr>
      <w:r>
        <w:separator/>
      </w:r>
    </w:p>
  </w:endnote>
  <w:endnote w:type="continuationSeparator" w:id="0">
    <w:p w14:paraId="0DA52816" w14:textId="77777777" w:rsidR="00CC383A" w:rsidRDefault="00CC383A" w:rsidP="00BF3F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FCE4" w14:textId="77777777" w:rsidR="00CC383A" w:rsidRDefault="00CC383A" w:rsidP="00BF3F95">
      <w:pPr>
        <w:spacing w:before="0"/>
      </w:pPr>
      <w:r>
        <w:separator/>
      </w:r>
    </w:p>
  </w:footnote>
  <w:footnote w:type="continuationSeparator" w:id="0">
    <w:p w14:paraId="7899404B" w14:textId="77777777" w:rsidR="00CC383A" w:rsidRDefault="00CC383A" w:rsidP="00BF3F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FBED" w14:textId="47797134" w:rsidR="004336B5" w:rsidRPr="003D4D20" w:rsidRDefault="003D4D20" w:rsidP="003D4D20">
    <w:pPr>
      <w:pStyle w:val="Header"/>
      <w:jc w:val="center"/>
      <w:rPr>
        <w:sz w:val="18"/>
      </w:rPr>
    </w:pPr>
    <w:r w:rsidRPr="003D4D20">
      <w:rPr>
        <w:sz w:val="18"/>
      </w:rPr>
      <w:t xml:space="preserve">- </w:t>
    </w:r>
    <w:r w:rsidRPr="003D4D20">
      <w:rPr>
        <w:sz w:val="18"/>
      </w:rPr>
      <w:fldChar w:fldCharType="begin"/>
    </w:r>
    <w:r w:rsidRPr="003D4D20">
      <w:rPr>
        <w:sz w:val="18"/>
      </w:rPr>
      <w:instrText xml:space="preserve"> PAGE  \* MERGEFORMAT </w:instrText>
    </w:r>
    <w:r w:rsidRPr="003D4D20">
      <w:rPr>
        <w:sz w:val="18"/>
      </w:rPr>
      <w:fldChar w:fldCharType="separate"/>
    </w:r>
    <w:r w:rsidRPr="003D4D20">
      <w:rPr>
        <w:noProof/>
        <w:sz w:val="18"/>
      </w:rPr>
      <w:t>1</w:t>
    </w:r>
    <w:r w:rsidRPr="003D4D20">
      <w:rPr>
        <w:sz w:val="18"/>
      </w:rPr>
      <w:fldChar w:fldCharType="end"/>
    </w:r>
    <w:r w:rsidRPr="003D4D20">
      <w:rPr>
        <w:sz w:val="18"/>
      </w:rPr>
      <w:t xml:space="preserve"> -</w:t>
    </w:r>
  </w:p>
  <w:p w14:paraId="19063641" w14:textId="3E77E53B" w:rsidR="003D4D20" w:rsidRPr="003D4D20" w:rsidRDefault="003D4D20" w:rsidP="003D4D20">
    <w:pPr>
      <w:pStyle w:val="Header"/>
      <w:spacing w:after="240"/>
      <w:jc w:val="center"/>
      <w:rPr>
        <w:sz w:val="18"/>
      </w:rPr>
    </w:pPr>
    <w:r w:rsidRPr="003D4D20">
      <w:rPr>
        <w:sz w:val="18"/>
      </w:rPr>
      <w:fldChar w:fldCharType="begin"/>
    </w:r>
    <w:r w:rsidRPr="003D4D20">
      <w:rPr>
        <w:sz w:val="18"/>
      </w:rPr>
      <w:instrText xml:space="preserve"> STYLEREF  Docnumber  </w:instrText>
    </w:r>
    <w:r w:rsidRPr="003D4D20">
      <w:rPr>
        <w:sz w:val="18"/>
      </w:rPr>
      <w:fldChar w:fldCharType="separate"/>
    </w:r>
    <w:r w:rsidR="006B6E09">
      <w:rPr>
        <w:noProof/>
        <w:sz w:val="18"/>
      </w:rPr>
      <w:t>TSAG-TD20</w:t>
    </w:r>
    <w:r w:rsidRPr="003D4D20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8AE"/>
    <w:multiLevelType w:val="hybridMultilevel"/>
    <w:tmpl w:val="E3BA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1F"/>
    <w:multiLevelType w:val="hybridMultilevel"/>
    <w:tmpl w:val="AE10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8EA"/>
    <w:multiLevelType w:val="hybridMultilevel"/>
    <w:tmpl w:val="AAC0376E"/>
    <w:lvl w:ilvl="0" w:tplc="D2709B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78F6"/>
    <w:multiLevelType w:val="hybridMultilevel"/>
    <w:tmpl w:val="7F101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405C"/>
    <w:multiLevelType w:val="hybridMultilevel"/>
    <w:tmpl w:val="639A8DC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395B"/>
    <w:multiLevelType w:val="hybridMultilevel"/>
    <w:tmpl w:val="AABEE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4505"/>
    <w:multiLevelType w:val="hybridMultilevel"/>
    <w:tmpl w:val="061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694"/>
    <w:multiLevelType w:val="hybridMultilevel"/>
    <w:tmpl w:val="71A06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C2572"/>
    <w:multiLevelType w:val="hybridMultilevel"/>
    <w:tmpl w:val="96A00D74"/>
    <w:lvl w:ilvl="0" w:tplc="622A39A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1EE4"/>
    <w:multiLevelType w:val="hybridMultilevel"/>
    <w:tmpl w:val="2DF8EE1C"/>
    <w:lvl w:ilvl="0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31CB03D6"/>
    <w:multiLevelType w:val="hybridMultilevel"/>
    <w:tmpl w:val="D00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7C06">
      <w:numFmt w:val="bullet"/>
      <w:lvlText w:val="-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7426"/>
    <w:multiLevelType w:val="hybridMultilevel"/>
    <w:tmpl w:val="6E5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11E4A"/>
    <w:multiLevelType w:val="hybridMultilevel"/>
    <w:tmpl w:val="6C927C3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40C45A00"/>
    <w:multiLevelType w:val="hybridMultilevel"/>
    <w:tmpl w:val="715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1AFE"/>
    <w:multiLevelType w:val="hybridMultilevel"/>
    <w:tmpl w:val="859E5F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C040167"/>
    <w:multiLevelType w:val="hybridMultilevel"/>
    <w:tmpl w:val="299A7DC2"/>
    <w:lvl w:ilvl="0" w:tplc="5ED0DF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751E4"/>
    <w:multiLevelType w:val="hybridMultilevel"/>
    <w:tmpl w:val="9C40C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73913"/>
    <w:multiLevelType w:val="hybridMultilevel"/>
    <w:tmpl w:val="BAFE5D16"/>
    <w:lvl w:ilvl="0" w:tplc="723851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0D82"/>
    <w:multiLevelType w:val="hybridMultilevel"/>
    <w:tmpl w:val="3DD21B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C1F61D6"/>
    <w:multiLevelType w:val="hybridMultilevel"/>
    <w:tmpl w:val="42B6C4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15508E"/>
    <w:multiLevelType w:val="hybridMultilevel"/>
    <w:tmpl w:val="8AE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66DB"/>
    <w:multiLevelType w:val="hybridMultilevel"/>
    <w:tmpl w:val="65ECA034"/>
    <w:lvl w:ilvl="0" w:tplc="622A39A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00C09"/>
    <w:multiLevelType w:val="hybridMultilevel"/>
    <w:tmpl w:val="EA52F26E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50415F"/>
    <w:multiLevelType w:val="hybridMultilevel"/>
    <w:tmpl w:val="66F2AB70"/>
    <w:lvl w:ilvl="0" w:tplc="76365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6E70"/>
    <w:multiLevelType w:val="hybridMultilevel"/>
    <w:tmpl w:val="1AB4CFDC"/>
    <w:lvl w:ilvl="0" w:tplc="3A287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7B08"/>
    <w:multiLevelType w:val="hybridMultilevel"/>
    <w:tmpl w:val="1F14B088"/>
    <w:lvl w:ilvl="0" w:tplc="C7E67B34">
      <w:start w:val="1"/>
      <w:numFmt w:val="lowerLetter"/>
      <w:lvlText w:val="%1)"/>
      <w:lvlJc w:val="left"/>
      <w:pPr>
        <w:ind w:left="1417" w:hanging="62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7CE81325"/>
    <w:multiLevelType w:val="hybridMultilevel"/>
    <w:tmpl w:val="5580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50CC"/>
    <w:multiLevelType w:val="hybridMultilevel"/>
    <w:tmpl w:val="D3A027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24670082">
    <w:abstractNumId w:val="3"/>
  </w:num>
  <w:num w:numId="2" w16cid:durableId="750006623">
    <w:abstractNumId w:val="22"/>
  </w:num>
  <w:num w:numId="3" w16cid:durableId="1335106614">
    <w:abstractNumId w:val="25"/>
  </w:num>
  <w:num w:numId="4" w16cid:durableId="549616395">
    <w:abstractNumId w:val="19"/>
  </w:num>
  <w:num w:numId="5" w16cid:durableId="2042708436">
    <w:abstractNumId w:val="9"/>
  </w:num>
  <w:num w:numId="6" w16cid:durableId="278145626">
    <w:abstractNumId w:val="26"/>
  </w:num>
  <w:num w:numId="7" w16cid:durableId="1018507228">
    <w:abstractNumId w:val="12"/>
  </w:num>
  <w:num w:numId="8" w16cid:durableId="1027560994">
    <w:abstractNumId w:val="6"/>
  </w:num>
  <w:num w:numId="9" w16cid:durableId="1542326533">
    <w:abstractNumId w:val="7"/>
  </w:num>
  <w:num w:numId="10" w16cid:durableId="1806655546">
    <w:abstractNumId w:val="18"/>
  </w:num>
  <w:num w:numId="11" w16cid:durableId="624314779">
    <w:abstractNumId w:val="27"/>
  </w:num>
  <w:num w:numId="12" w16cid:durableId="2022127361">
    <w:abstractNumId w:val="5"/>
  </w:num>
  <w:num w:numId="13" w16cid:durableId="727799608">
    <w:abstractNumId w:val="14"/>
  </w:num>
  <w:num w:numId="14" w16cid:durableId="268245167">
    <w:abstractNumId w:val="24"/>
  </w:num>
  <w:num w:numId="15" w16cid:durableId="2082483684">
    <w:abstractNumId w:val="23"/>
  </w:num>
  <w:num w:numId="16" w16cid:durableId="1375808145">
    <w:abstractNumId w:val="10"/>
  </w:num>
  <w:num w:numId="17" w16cid:durableId="524288669">
    <w:abstractNumId w:val="20"/>
  </w:num>
  <w:num w:numId="18" w16cid:durableId="1472594057">
    <w:abstractNumId w:val="11"/>
  </w:num>
  <w:num w:numId="19" w16cid:durableId="1575622966">
    <w:abstractNumId w:val="0"/>
  </w:num>
  <w:num w:numId="20" w16cid:durableId="1109278322">
    <w:abstractNumId w:val="16"/>
  </w:num>
  <w:num w:numId="21" w16cid:durableId="723452882">
    <w:abstractNumId w:val="4"/>
  </w:num>
  <w:num w:numId="22" w16cid:durableId="796028828">
    <w:abstractNumId w:val="1"/>
  </w:num>
  <w:num w:numId="23" w16cid:durableId="401876197">
    <w:abstractNumId w:val="8"/>
  </w:num>
  <w:num w:numId="24" w16cid:durableId="1397512229">
    <w:abstractNumId w:val="17"/>
  </w:num>
  <w:num w:numId="25" w16cid:durableId="674502774">
    <w:abstractNumId w:val="13"/>
  </w:num>
  <w:num w:numId="26" w16cid:durableId="575555547">
    <w:abstractNumId w:val="21"/>
  </w:num>
  <w:num w:numId="27" w16cid:durableId="1506703580">
    <w:abstractNumId w:val="2"/>
  </w:num>
  <w:num w:numId="28" w16cid:durableId="1040134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0B"/>
    <w:rsid w:val="00000A99"/>
    <w:rsid w:val="00000AAB"/>
    <w:rsid w:val="00005BDF"/>
    <w:rsid w:val="000068BA"/>
    <w:rsid w:val="0001040D"/>
    <w:rsid w:val="000108D8"/>
    <w:rsid w:val="00012206"/>
    <w:rsid w:val="00017110"/>
    <w:rsid w:val="00017F90"/>
    <w:rsid w:val="000201ED"/>
    <w:rsid w:val="0002087D"/>
    <w:rsid w:val="000219BF"/>
    <w:rsid w:val="000233AC"/>
    <w:rsid w:val="000243F2"/>
    <w:rsid w:val="000245F3"/>
    <w:rsid w:val="000300A1"/>
    <w:rsid w:val="0003172E"/>
    <w:rsid w:val="000327CD"/>
    <w:rsid w:val="00043A66"/>
    <w:rsid w:val="00043A8F"/>
    <w:rsid w:val="00043E3B"/>
    <w:rsid w:val="000458D1"/>
    <w:rsid w:val="00045BD3"/>
    <w:rsid w:val="0004699A"/>
    <w:rsid w:val="00046BE9"/>
    <w:rsid w:val="00046D64"/>
    <w:rsid w:val="00047660"/>
    <w:rsid w:val="00047B79"/>
    <w:rsid w:val="0005203B"/>
    <w:rsid w:val="00053BFA"/>
    <w:rsid w:val="00055275"/>
    <w:rsid w:val="0006073F"/>
    <w:rsid w:val="00061677"/>
    <w:rsid w:val="00063322"/>
    <w:rsid w:val="00063F3E"/>
    <w:rsid w:val="000656A0"/>
    <w:rsid w:val="00070BDF"/>
    <w:rsid w:val="00070E41"/>
    <w:rsid w:val="00070FEF"/>
    <w:rsid w:val="00072EF8"/>
    <w:rsid w:val="000769F3"/>
    <w:rsid w:val="00077FB0"/>
    <w:rsid w:val="000817A0"/>
    <w:rsid w:val="00082E83"/>
    <w:rsid w:val="000905CF"/>
    <w:rsid w:val="0009193F"/>
    <w:rsid w:val="00092115"/>
    <w:rsid w:val="0009448C"/>
    <w:rsid w:val="000961FA"/>
    <w:rsid w:val="00096D86"/>
    <w:rsid w:val="000A1950"/>
    <w:rsid w:val="000A26D2"/>
    <w:rsid w:val="000A274C"/>
    <w:rsid w:val="000A2E61"/>
    <w:rsid w:val="000A337B"/>
    <w:rsid w:val="000A4C57"/>
    <w:rsid w:val="000A588C"/>
    <w:rsid w:val="000A6649"/>
    <w:rsid w:val="000B008A"/>
    <w:rsid w:val="000B0CB7"/>
    <w:rsid w:val="000B1298"/>
    <w:rsid w:val="000B34C2"/>
    <w:rsid w:val="000B7949"/>
    <w:rsid w:val="000C0638"/>
    <w:rsid w:val="000C1B4D"/>
    <w:rsid w:val="000C209B"/>
    <w:rsid w:val="000C20BD"/>
    <w:rsid w:val="000C253D"/>
    <w:rsid w:val="000C60D4"/>
    <w:rsid w:val="000D000A"/>
    <w:rsid w:val="000D0847"/>
    <w:rsid w:val="000D1300"/>
    <w:rsid w:val="000D28BF"/>
    <w:rsid w:val="000D4A72"/>
    <w:rsid w:val="000D7DC3"/>
    <w:rsid w:val="000E1738"/>
    <w:rsid w:val="000F5F66"/>
    <w:rsid w:val="000F6F7B"/>
    <w:rsid w:val="000F76C1"/>
    <w:rsid w:val="000F7EB4"/>
    <w:rsid w:val="001007DC"/>
    <w:rsid w:val="001008FD"/>
    <w:rsid w:val="00101A0D"/>
    <w:rsid w:val="00102B6A"/>
    <w:rsid w:val="00102C36"/>
    <w:rsid w:val="0010544E"/>
    <w:rsid w:val="001067BE"/>
    <w:rsid w:val="00107537"/>
    <w:rsid w:val="00110C07"/>
    <w:rsid w:val="00111638"/>
    <w:rsid w:val="00111AFC"/>
    <w:rsid w:val="00117FAC"/>
    <w:rsid w:val="001201B4"/>
    <w:rsid w:val="00124BFB"/>
    <w:rsid w:val="00125604"/>
    <w:rsid w:val="001317D2"/>
    <w:rsid w:val="00132E0E"/>
    <w:rsid w:val="0013345C"/>
    <w:rsid w:val="0013446A"/>
    <w:rsid w:val="00135E10"/>
    <w:rsid w:val="00136915"/>
    <w:rsid w:val="00137611"/>
    <w:rsid w:val="00137B96"/>
    <w:rsid w:val="00140651"/>
    <w:rsid w:val="0014119E"/>
    <w:rsid w:val="00143F19"/>
    <w:rsid w:val="00151C43"/>
    <w:rsid w:val="00153800"/>
    <w:rsid w:val="00153F42"/>
    <w:rsid w:val="0016106B"/>
    <w:rsid w:val="00164516"/>
    <w:rsid w:val="00165163"/>
    <w:rsid w:val="0016561A"/>
    <w:rsid w:val="00165BC5"/>
    <w:rsid w:val="0016602C"/>
    <w:rsid w:val="001665C7"/>
    <w:rsid w:val="0016690B"/>
    <w:rsid w:val="00167EA3"/>
    <w:rsid w:val="00175924"/>
    <w:rsid w:val="00175B1B"/>
    <w:rsid w:val="00177E78"/>
    <w:rsid w:val="00185EE8"/>
    <w:rsid w:val="0018667C"/>
    <w:rsid w:val="00191DF7"/>
    <w:rsid w:val="00196066"/>
    <w:rsid w:val="00196391"/>
    <w:rsid w:val="00196E71"/>
    <w:rsid w:val="001A1FE0"/>
    <w:rsid w:val="001A312C"/>
    <w:rsid w:val="001A571A"/>
    <w:rsid w:val="001A7E85"/>
    <w:rsid w:val="001B090D"/>
    <w:rsid w:val="001B2DBC"/>
    <w:rsid w:val="001C0444"/>
    <w:rsid w:val="001C1E32"/>
    <w:rsid w:val="001C5093"/>
    <w:rsid w:val="001D047D"/>
    <w:rsid w:val="001D22F9"/>
    <w:rsid w:val="001D3A9A"/>
    <w:rsid w:val="001D6688"/>
    <w:rsid w:val="001D7F61"/>
    <w:rsid w:val="001E76D7"/>
    <w:rsid w:val="001F34F9"/>
    <w:rsid w:val="001F4CB9"/>
    <w:rsid w:val="001F5550"/>
    <w:rsid w:val="001F7762"/>
    <w:rsid w:val="0020006E"/>
    <w:rsid w:val="00202B2B"/>
    <w:rsid w:val="002033A9"/>
    <w:rsid w:val="00203ACA"/>
    <w:rsid w:val="00211E9C"/>
    <w:rsid w:val="00213F2B"/>
    <w:rsid w:val="0021495E"/>
    <w:rsid w:val="00216AFB"/>
    <w:rsid w:val="002211AD"/>
    <w:rsid w:val="00221EA9"/>
    <w:rsid w:val="00223640"/>
    <w:rsid w:val="00224323"/>
    <w:rsid w:val="00231D41"/>
    <w:rsid w:val="002347F3"/>
    <w:rsid w:val="00242113"/>
    <w:rsid w:val="00242556"/>
    <w:rsid w:val="002448CD"/>
    <w:rsid w:val="0025094B"/>
    <w:rsid w:val="00250B40"/>
    <w:rsid w:val="0025149B"/>
    <w:rsid w:val="00252112"/>
    <w:rsid w:val="0025261C"/>
    <w:rsid w:val="002537F9"/>
    <w:rsid w:val="002538E9"/>
    <w:rsid w:val="00255C4E"/>
    <w:rsid w:val="00256175"/>
    <w:rsid w:val="0025675B"/>
    <w:rsid w:val="00256D25"/>
    <w:rsid w:val="0026016E"/>
    <w:rsid w:val="002638DF"/>
    <w:rsid w:val="00263934"/>
    <w:rsid w:val="002639C5"/>
    <w:rsid w:val="00265723"/>
    <w:rsid w:val="00271BC1"/>
    <w:rsid w:val="00271FA1"/>
    <w:rsid w:val="00276744"/>
    <w:rsid w:val="00280395"/>
    <w:rsid w:val="00281BB7"/>
    <w:rsid w:val="00286666"/>
    <w:rsid w:val="0028669B"/>
    <w:rsid w:val="00287225"/>
    <w:rsid w:val="00287410"/>
    <w:rsid w:val="00291998"/>
    <w:rsid w:val="00292CEC"/>
    <w:rsid w:val="00292E47"/>
    <w:rsid w:val="00294DAA"/>
    <w:rsid w:val="00295970"/>
    <w:rsid w:val="00296056"/>
    <w:rsid w:val="002964A5"/>
    <w:rsid w:val="002966D2"/>
    <w:rsid w:val="00297558"/>
    <w:rsid w:val="002A12DB"/>
    <w:rsid w:val="002A1C80"/>
    <w:rsid w:val="002A1DAE"/>
    <w:rsid w:val="002A249B"/>
    <w:rsid w:val="002A2FEA"/>
    <w:rsid w:val="002A39DB"/>
    <w:rsid w:val="002A48D2"/>
    <w:rsid w:val="002A54AD"/>
    <w:rsid w:val="002A7670"/>
    <w:rsid w:val="002B0414"/>
    <w:rsid w:val="002B0A80"/>
    <w:rsid w:val="002B0C82"/>
    <w:rsid w:val="002B2672"/>
    <w:rsid w:val="002B2774"/>
    <w:rsid w:val="002B31B5"/>
    <w:rsid w:val="002B4AC1"/>
    <w:rsid w:val="002B5615"/>
    <w:rsid w:val="002C0A67"/>
    <w:rsid w:val="002C0B1C"/>
    <w:rsid w:val="002C1756"/>
    <w:rsid w:val="002C3F19"/>
    <w:rsid w:val="002D01B3"/>
    <w:rsid w:val="002D1475"/>
    <w:rsid w:val="002D28E6"/>
    <w:rsid w:val="002D40C3"/>
    <w:rsid w:val="002D47D8"/>
    <w:rsid w:val="002D7ECA"/>
    <w:rsid w:val="002E0858"/>
    <w:rsid w:val="002E19BA"/>
    <w:rsid w:val="002E3B89"/>
    <w:rsid w:val="002E5E8B"/>
    <w:rsid w:val="002F1B85"/>
    <w:rsid w:val="002F617A"/>
    <w:rsid w:val="002F70CC"/>
    <w:rsid w:val="00303336"/>
    <w:rsid w:val="00304771"/>
    <w:rsid w:val="00304B10"/>
    <w:rsid w:val="00304F31"/>
    <w:rsid w:val="003057E5"/>
    <w:rsid w:val="00306CE5"/>
    <w:rsid w:val="00307E8C"/>
    <w:rsid w:val="00312A4B"/>
    <w:rsid w:val="00314F36"/>
    <w:rsid w:val="003210D0"/>
    <w:rsid w:val="00321747"/>
    <w:rsid w:val="00321F37"/>
    <w:rsid w:val="00324F4B"/>
    <w:rsid w:val="003333F3"/>
    <w:rsid w:val="00335BFC"/>
    <w:rsid w:val="0033679C"/>
    <w:rsid w:val="00337B1F"/>
    <w:rsid w:val="00337B2F"/>
    <w:rsid w:val="00337C5C"/>
    <w:rsid w:val="00337F1A"/>
    <w:rsid w:val="00341762"/>
    <w:rsid w:val="00341976"/>
    <w:rsid w:val="003421FB"/>
    <w:rsid w:val="003468FD"/>
    <w:rsid w:val="0034735E"/>
    <w:rsid w:val="00350415"/>
    <w:rsid w:val="003523D4"/>
    <w:rsid w:val="00352B24"/>
    <w:rsid w:val="003551D2"/>
    <w:rsid w:val="00355799"/>
    <w:rsid w:val="00357731"/>
    <w:rsid w:val="003614C5"/>
    <w:rsid w:val="00361B06"/>
    <w:rsid w:val="003628C4"/>
    <w:rsid w:val="00362AAD"/>
    <w:rsid w:val="003651EF"/>
    <w:rsid w:val="00366B95"/>
    <w:rsid w:val="003705CB"/>
    <w:rsid w:val="0037169E"/>
    <w:rsid w:val="003720FD"/>
    <w:rsid w:val="00377FA7"/>
    <w:rsid w:val="0038164B"/>
    <w:rsid w:val="00381BBE"/>
    <w:rsid w:val="00381CE0"/>
    <w:rsid w:val="00383163"/>
    <w:rsid w:val="00384B4B"/>
    <w:rsid w:val="00384F29"/>
    <w:rsid w:val="00385BC5"/>
    <w:rsid w:val="00387B21"/>
    <w:rsid w:val="00390B6F"/>
    <w:rsid w:val="003929F7"/>
    <w:rsid w:val="00392F13"/>
    <w:rsid w:val="00393D83"/>
    <w:rsid w:val="00394A77"/>
    <w:rsid w:val="00395BD4"/>
    <w:rsid w:val="003A02B9"/>
    <w:rsid w:val="003A3BC6"/>
    <w:rsid w:val="003A6EF4"/>
    <w:rsid w:val="003B2386"/>
    <w:rsid w:val="003B3F2E"/>
    <w:rsid w:val="003B436F"/>
    <w:rsid w:val="003B547C"/>
    <w:rsid w:val="003C004B"/>
    <w:rsid w:val="003C020A"/>
    <w:rsid w:val="003C08A5"/>
    <w:rsid w:val="003C47E3"/>
    <w:rsid w:val="003C594C"/>
    <w:rsid w:val="003C5B6F"/>
    <w:rsid w:val="003C5D26"/>
    <w:rsid w:val="003C71E8"/>
    <w:rsid w:val="003C7745"/>
    <w:rsid w:val="003D0319"/>
    <w:rsid w:val="003D0B41"/>
    <w:rsid w:val="003D2AFF"/>
    <w:rsid w:val="003D4D20"/>
    <w:rsid w:val="003D58F9"/>
    <w:rsid w:val="003D7C99"/>
    <w:rsid w:val="003E0898"/>
    <w:rsid w:val="003E4E1A"/>
    <w:rsid w:val="003F0EF2"/>
    <w:rsid w:val="003F3F2B"/>
    <w:rsid w:val="003F4AF6"/>
    <w:rsid w:val="003F7F56"/>
    <w:rsid w:val="003F7F89"/>
    <w:rsid w:val="00400C23"/>
    <w:rsid w:val="00402C62"/>
    <w:rsid w:val="00403B66"/>
    <w:rsid w:val="004041FC"/>
    <w:rsid w:val="00406E48"/>
    <w:rsid w:val="00413820"/>
    <w:rsid w:val="00416197"/>
    <w:rsid w:val="00416B9F"/>
    <w:rsid w:val="00416C5F"/>
    <w:rsid w:val="00421F41"/>
    <w:rsid w:val="00424321"/>
    <w:rsid w:val="004243AD"/>
    <w:rsid w:val="00424475"/>
    <w:rsid w:val="00424D93"/>
    <w:rsid w:val="00427CE0"/>
    <w:rsid w:val="004336B5"/>
    <w:rsid w:val="004352E2"/>
    <w:rsid w:val="004367E3"/>
    <w:rsid w:val="00436FFA"/>
    <w:rsid w:val="0043702C"/>
    <w:rsid w:val="004375C0"/>
    <w:rsid w:val="00437A8A"/>
    <w:rsid w:val="00437EEB"/>
    <w:rsid w:val="00442D75"/>
    <w:rsid w:val="004442E1"/>
    <w:rsid w:val="00446A53"/>
    <w:rsid w:val="00446B8E"/>
    <w:rsid w:val="0045002B"/>
    <w:rsid w:val="00450AC2"/>
    <w:rsid w:val="0045328B"/>
    <w:rsid w:val="004539CA"/>
    <w:rsid w:val="00454672"/>
    <w:rsid w:val="0045500F"/>
    <w:rsid w:val="0045503B"/>
    <w:rsid w:val="00457A4B"/>
    <w:rsid w:val="00464520"/>
    <w:rsid w:val="00464FC8"/>
    <w:rsid w:val="00466EAB"/>
    <w:rsid w:val="00471C22"/>
    <w:rsid w:val="004743C7"/>
    <w:rsid w:val="00480380"/>
    <w:rsid w:val="00481FCD"/>
    <w:rsid w:val="00487438"/>
    <w:rsid w:val="0049084F"/>
    <w:rsid w:val="00490B4A"/>
    <w:rsid w:val="00490B5A"/>
    <w:rsid w:val="00491467"/>
    <w:rsid w:val="00491565"/>
    <w:rsid w:val="00495301"/>
    <w:rsid w:val="00496F2D"/>
    <w:rsid w:val="004A0B94"/>
    <w:rsid w:val="004A122E"/>
    <w:rsid w:val="004A15A6"/>
    <w:rsid w:val="004A3341"/>
    <w:rsid w:val="004A3F91"/>
    <w:rsid w:val="004A7753"/>
    <w:rsid w:val="004B2B8E"/>
    <w:rsid w:val="004B3831"/>
    <w:rsid w:val="004B5420"/>
    <w:rsid w:val="004B5AB5"/>
    <w:rsid w:val="004C1BC3"/>
    <w:rsid w:val="004C4A1C"/>
    <w:rsid w:val="004C6E86"/>
    <w:rsid w:val="004D06D7"/>
    <w:rsid w:val="004D0C84"/>
    <w:rsid w:val="004D31D5"/>
    <w:rsid w:val="004D3327"/>
    <w:rsid w:val="004D4F17"/>
    <w:rsid w:val="004D60E6"/>
    <w:rsid w:val="004E1005"/>
    <w:rsid w:val="004E1200"/>
    <w:rsid w:val="004E176D"/>
    <w:rsid w:val="004E2A4E"/>
    <w:rsid w:val="004F143F"/>
    <w:rsid w:val="004F1F86"/>
    <w:rsid w:val="004F2246"/>
    <w:rsid w:val="004F4B23"/>
    <w:rsid w:val="004F4D08"/>
    <w:rsid w:val="004F523D"/>
    <w:rsid w:val="004F64DB"/>
    <w:rsid w:val="004F656F"/>
    <w:rsid w:val="00501897"/>
    <w:rsid w:val="00501BFC"/>
    <w:rsid w:val="005020BF"/>
    <w:rsid w:val="005020DE"/>
    <w:rsid w:val="00502F3A"/>
    <w:rsid w:val="00504032"/>
    <w:rsid w:val="005067D2"/>
    <w:rsid w:val="0051430C"/>
    <w:rsid w:val="00516074"/>
    <w:rsid w:val="00516C29"/>
    <w:rsid w:val="0051776E"/>
    <w:rsid w:val="00522432"/>
    <w:rsid w:val="005236C5"/>
    <w:rsid w:val="00525618"/>
    <w:rsid w:val="0052597E"/>
    <w:rsid w:val="00533001"/>
    <w:rsid w:val="005339F7"/>
    <w:rsid w:val="00533D88"/>
    <w:rsid w:val="00536429"/>
    <w:rsid w:val="0054065D"/>
    <w:rsid w:val="00541328"/>
    <w:rsid w:val="00542313"/>
    <w:rsid w:val="00542920"/>
    <w:rsid w:val="0054465F"/>
    <w:rsid w:val="005449EB"/>
    <w:rsid w:val="005465E1"/>
    <w:rsid w:val="00546EC3"/>
    <w:rsid w:val="00550703"/>
    <w:rsid w:val="00554D79"/>
    <w:rsid w:val="00555415"/>
    <w:rsid w:val="00555845"/>
    <w:rsid w:val="00557994"/>
    <w:rsid w:val="00560C72"/>
    <w:rsid w:val="00561D15"/>
    <w:rsid w:val="0056250D"/>
    <w:rsid w:val="00573AD2"/>
    <w:rsid w:val="00575597"/>
    <w:rsid w:val="00584174"/>
    <w:rsid w:val="00584217"/>
    <w:rsid w:val="00584A92"/>
    <w:rsid w:val="0058634F"/>
    <w:rsid w:val="00593123"/>
    <w:rsid w:val="00595944"/>
    <w:rsid w:val="005A3B88"/>
    <w:rsid w:val="005A4266"/>
    <w:rsid w:val="005A4B55"/>
    <w:rsid w:val="005A508E"/>
    <w:rsid w:val="005A6CE3"/>
    <w:rsid w:val="005A72D3"/>
    <w:rsid w:val="005B1775"/>
    <w:rsid w:val="005B39DB"/>
    <w:rsid w:val="005B3FD5"/>
    <w:rsid w:val="005B4C58"/>
    <w:rsid w:val="005B700F"/>
    <w:rsid w:val="005D0644"/>
    <w:rsid w:val="005D3D8C"/>
    <w:rsid w:val="005D468E"/>
    <w:rsid w:val="005D6492"/>
    <w:rsid w:val="005D6866"/>
    <w:rsid w:val="005D7CDF"/>
    <w:rsid w:val="005E0582"/>
    <w:rsid w:val="005E0F8D"/>
    <w:rsid w:val="005E25E1"/>
    <w:rsid w:val="005E5310"/>
    <w:rsid w:val="005E582E"/>
    <w:rsid w:val="005F096E"/>
    <w:rsid w:val="005F29C0"/>
    <w:rsid w:val="005F2E49"/>
    <w:rsid w:val="005F641F"/>
    <w:rsid w:val="005F7ACA"/>
    <w:rsid w:val="00600C44"/>
    <w:rsid w:val="0060135C"/>
    <w:rsid w:val="00601776"/>
    <w:rsid w:val="00601B81"/>
    <w:rsid w:val="0060494C"/>
    <w:rsid w:val="00604F94"/>
    <w:rsid w:val="00605F95"/>
    <w:rsid w:val="006061BA"/>
    <w:rsid w:val="0060782F"/>
    <w:rsid w:val="00607BAA"/>
    <w:rsid w:val="00610138"/>
    <w:rsid w:val="006104A1"/>
    <w:rsid w:val="00610C7A"/>
    <w:rsid w:val="006126FD"/>
    <w:rsid w:val="006139C2"/>
    <w:rsid w:val="00616F85"/>
    <w:rsid w:val="00620572"/>
    <w:rsid w:val="00620A80"/>
    <w:rsid w:val="006222F1"/>
    <w:rsid w:val="006235CC"/>
    <w:rsid w:val="006240E8"/>
    <w:rsid w:val="0062552E"/>
    <w:rsid w:val="00625671"/>
    <w:rsid w:val="00625CF2"/>
    <w:rsid w:val="00626603"/>
    <w:rsid w:val="00626868"/>
    <w:rsid w:val="00626FD9"/>
    <w:rsid w:val="00630083"/>
    <w:rsid w:val="00630A10"/>
    <w:rsid w:val="00630A73"/>
    <w:rsid w:val="00630F76"/>
    <w:rsid w:val="0063163D"/>
    <w:rsid w:val="0063266A"/>
    <w:rsid w:val="00637B90"/>
    <w:rsid w:val="00643558"/>
    <w:rsid w:val="00644508"/>
    <w:rsid w:val="00646A01"/>
    <w:rsid w:val="006470D6"/>
    <w:rsid w:val="006472A1"/>
    <w:rsid w:val="006504C4"/>
    <w:rsid w:val="00652F9C"/>
    <w:rsid w:val="00653C9E"/>
    <w:rsid w:val="00655C97"/>
    <w:rsid w:val="00660D71"/>
    <w:rsid w:val="006611FE"/>
    <w:rsid w:val="00662C2C"/>
    <w:rsid w:val="00666C57"/>
    <w:rsid w:val="00666C5F"/>
    <w:rsid w:val="00673805"/>
    <w:rsid w:val="00673865"/>
    <w:rsid w:val="00676915"/>
    <w:rsid w:val="00676BE5"/>
    <w:rsid w:val="006856C9"/>
    <w:rsid w:val="00686AA8"/>
    <w:rsid w:val="00687462"/>
    <w:rsid w:val="0069044F"/>
    <w:rsid w:val="006907C9"/>
    <w:rsid w:val="00691652"/>
    <w:rsid w:val="0069180B"/>
    <w:rsid w:val="00691C6C"/>
    <w:rsid w:val="006932C3"/>
    <w:rsid w:val="00693AFA"/>
    <w:rsid w:val="00693F2B"/>
    <w:rsid w:val="00694833"/>
    <w:rsid w:val="00695B13"/>
    <w:rsid w:val="006A0641"/>
    <w:rsid w:val="006A2A17"/>
    <w:rsid w:val="006A58FB"/>
    <w:rsid w:val="006A6F24"/>
    <w:rsid w:val="006A7114"/>
    <w:rsid w:val="006A756E"/>
    <w:rsid w:val="006A7AA4"/>
    <w:rsid w:val="006A7C18"/>
    <w:rsid w:val="006B1828"/>
    <w:rsid w:val="006B208D"/>
    <w:rsid w:val="006B217D"/>
    <w:rsid w:val="006B2D7F"/>
    <w:rsid w:val="006B47C1"/>
    <w:rsid w:val="006B537C"/>
    <w:rsid w:val="006B6E09"/>
    <w:rsid w:val="006C16F2"/>
    <w:rsid w:val="006C17A5"/>
    <w:rsid w:val="006C2E0A"/>
    <w:rsid w:val="006C3F4D"/>
    <w:rsid w:val="006C40E9"/>
    <w:rsid w:val="006C7F79"/>
    <w:rsid w:val="006D2A7D"/>
    <w:rsid w:val="006D39B0"/>
    <w:rsid w:val="006D4765"/>
    <w:rsid w:val="006D49B7"/>
    <w:rsid w:val="006D4A64"/>
    <w:rsid w:val="006D66F8"/>
    <w:rsid w:val="006E146B"/>
    <w:rsid w:val="006E4548"/>
    <w:rsid w:val="006F22CB"/>
    <w:rsid w:val="006F3FDA"/>
    <w:rsid w:val="006F61A8"/>
    <w:rsid w:val="00700A6A"/>
    <w:rsid w:val="0070366C"/>
    <w:rsid w:val="00703974"/>
    <w:rsid w:val="007052EB"/>
    <w:rsid w:val="00706D7B"/>
    <w:rsid w:val="00707D77"/>
    <w:rsid w:val="00710C98"/>
    <w:rsid w:val="00712576"/>
    <w:rsid w:val="00712CDC"/>
    <w:rsid w:val="0071714C"/>
    <w:rsid w:val="00722A04"/>
    <w:rsid w:val="007232C3"/>
    <w:rsid w:val="00723F5A"/>
    <w:rsid w:val="00727F09"/>
    <w:rsid w:val="007313CA"/>
    <w:rsid w:val="00732298"/>
    <w:rsid w:val="00732CFB"/>
    <w:rsid w:val="007340AD"/>
    <w:rsid w:val="0073468B"/>
    <w:rsid w:val="00735180"/>
    <w:rsid w:val="007363B0"/>
    <w:rsid w:val="0074007E"/>
    <w:rsid w:val="007405D5"/>
    <w:rsid w:val="00740ADC"/>
    <w:rsid w:val="00740F11"/>
    <w:rsid w:val="00741DF9"/>
    <w:rsid w:val="007459A7"/>
    <w:rsid w:val="00746C91"/>
    <w:rsid w:val="00747A0D"/>
    <w:rsid w:val="00750BF1"/>
    <w:rsid w:val="0075178F"/>
    <w:rsid w:val="00753FA4"/>
    <w:rsid w:val="007557BA"/>
    <w:rsid w:val="00760005"/>
    <w:rsid w:val="007620D2"/>
    <w:rsid w:val="007626DD"/>
    <w:rsid w:val="00766937"/>
    <w:rsid w:val="00772F6C"/>
    <w:rsid w:val="00773026"/>
    <w:rsid w:val="007737E9"/>
    <w:rsid w:val="007745A9"/>
    <w:rsid w:val="00774A27"/>
    <w:rsid w:val="00782DEE"/>
    <w:rsid w:val="00784F62"/>
    <w:rsid w:val="00785305"/>
    <w:rsid w:val="007872E1"/>
    <w:rsid w:val="007913D5"/>
    <w:rsid w:val="00792845"/>
    <w:rsid w:val="00797EBD"/>
    <w:rsid w:val="007A654B"/>
    <w:rsid w:val="007A7719"/>
    <w:rsid w:val="007B06B4"/>
    <w:rsid w:val="007B159A"/>
    <w:rsid w:val="007B164B"/>
    <w:rsid w:val="007B2862"/>
    <w:rsid w:val="007B343B"/>
    <w:rsid w:val="007B3DA7"/>
    <w:rsid w:val="007B4B62"/>
    <w:rsid w:val="007B6A8E"/>
    <w:rsid w:val="007B6C54"/>
    <w:rsid w:val="007B70D2"/>
    <w:rsid w:val="007B7AE4"/>
    <w:rsid w:val="007C019A"/>
    <w:rsid w:val="007C02F9"/>
    <w:rsid w:val="007C0832"/>
    <w:rsid w:val="007C1DD3"/>
    <w:rsid w:val="007C259B"/>
    <w:rsid w:val="007C59C5"/>
    <w:rsid w:val="007D2808"/>
    <w:rsid w:val="007D3845"/>
    <w:rsid w:val="007D4C50"/>
    <w:rsid w:val="007D5E0E"/>
    <w:rsid w:val="007E49A0"/>
    <w:rsid w:val="007E55DF"/>
    <w:rsid w:val="007E62A9"/>
    <w:rsid w:val="007F16F2"/>
    <w:rsid w:val="007F18AD"/>
    <w:rsid w:val="007F1A2E"/>
    <w:rsid w:val="007F1F59"/>
    <w:rsid w:val="007F4A47"/>
    <w:rsid w:val="007F4EA0"/>
    <w:rsid w:val="007F4F8E"/>
    <w:rsid w:val="007F5BD8"/>
    <w:rsid w:val="007F648A"/>
    <w:rsid w:val="007F6ED3"/>
    <w:rsid w:val="00801605"/>
    <w:rsid w:val="00801CC6"/>
    <w:rsid w:val="0080512B"/>
    <w:rsid w:val="008058DB"/>
    <w:rsid w:val="008073EA"/>
    <w:rsid w:val="0081056C"/>
    <w:rsid w:val="008106C6"/>
    <w:rsid w:val="008108D1"/>
    <w:rsid w:val="00812AC5"/>
    <w:rsid w:val="00816E31"/>
    <w:rsid w:val="00822891"/>
    <w:rsid w:val="00823371"/>
    <w:rsid w:val="00824104"/>
    <w:rsid w:val="008278C4"/>
    <w:rsid w:val="00827BF0"/>
    <w:rsid w:val="00827CE6"/>
    <w:rsid w:val="00827E07"/>
    <w:rsid w:val="00832E74"/>
    <w:rsid w:val="0083363D"/>
    <w:rsid w:val="00836028"/>
    <w:rsid w:val="008361CF"/>
    <w:rsid w:val="00840CB7"/>
    <w:rsid w:val="00843077"/>
    <w:rsid w:val="00844A22"/>
    <w:rsid w:val="00850502"/>
    <w:rsid w:val="00850F37"/>
    <w:rsid w:val="00852A59"/>
    <w:rsid w:val="00853EDB"/>
    <w:rsid w:val="00856941"/>
    <w:rsid w:val="00856959"/>
    <w:rsid w:val="00861A3B"/>
    <w:rsid w:val="00861D9B"/>
    <w:rsid w:val="0086769C"/>
    <w:rsid w:val="00867C38"/>
    <w:rsid w:val="00867E84"/>
    <w:rsid w:val="00870E48"/>
    <w:rsid w:val="00871C6B"/>
    <w:rsid w:val="008720E1"/>
    <w:rsid w:val="00873894"/>
    <w:rsid w:val="00873990"/>
    <w:rsid w:val="00874294"/>
    <w:rsid w:val="008762FA"/>
    <w:rsid w:val="00877E15"/>
    <w:rsid w:val="00881450"/>
    <w:rsid w:val="00881659"/>
    <w:rsid w:val="00881BAD"/>
    <w:rsid w:val="00882ACE"/>
    <w:rsid w:val="00884B2F"/>
    <w:rsid w:val="008907BB"/>
    <w:rsid w:val="008937F7"/>
    <w:rsid w:val="008955C5"/>
    <w:rsid w:val="00895DEE"/>
    <w:rsid w:val="008967BD"/>
    <w:rsid w:val="00896BE4"/>
    <w:rsid w:val="008A09E9"/>
    <w:rsid w:val="008A2AEC"/>
    <w:rsid w:val="008A3FE0"/>
    <w:rsid w:val="008A724F"/>
    <w:rsid w:val="008B0296"/>
    <w:rsid w:val="008B10BF"/>
    <w:rsid w:val="008B211D"/>
    <w:rsid w:val="008B2F1F"/>
    <w:rsid w:val="008B478B"/>
    <w:rsid w:val="008B483E"/>
    <w:rsid w:val="008C03DF"/>
    <w:rsid w:val="008C0823"/>
    <w:rsid w:val="008C26C8"/>
    <w:rsid w:val="008C2703"/>
    <w:rsid w:val="008C4791"/>
    <w:rsid w:val="008C5B15"/>
    <w:rsid w:val="008D0A9C"/>
    <w:rsid w:val="008D19C6"/>
    <w:rsid w:val="008D1DCA"/>
    <w:rsid w:val="008D3D39"/>
    <w:rsid w:val="008D43EF"/>
    <w:rsid w:val="008E1136"/>
    <w:rsid w:val="008E1F71"/>
    <w:rsid w:val="008F15CD"/>
    <w:rsid w:val="008F2216"/>
    <w:rsid w:val="008F2486"/>
    <w:rsid w:val="008F28EC"/>
    <w:rsid w:val="008F40A9"/>
    <w:rsid w:val="008F4CD7"/>
    <w:rsid w:val="008F5B76"/>
    <w:rsid w:val="008F7961"/>
    <w:rsid w:val="00900995"/>
    <w:rsid w:val="00901A25"/>
    <w:rsid w:val="00906CDE"/>
    <w:rsid w:val="00912646"/>
    <w:rsid w:val="009169A5"/>
    <w:rsid w:val="00922204"/>
    <w:rsid w:val="00924469"/>
    <w:rsid w:val="00925639"/>
    <w:rsid w:val="009258D9"/>
    <w:rsid w:val="00925D49"/>
    <w:rsid w:val="00926595"/>
    <w:rsid w:val="00927D54"/>
    <w:rsid w:val="009306C8"/>
    <w:rsid w:val="0093527B"/>
    <w:rsid w:val="00936483"/>
    <w:rsid w:val="009368B9"/>
    <w:rsid w:val="00937322"/>
    <w:rsid w:val="00941642"/>
    <w:rsid w:val="00941952"/>
    <w:rsid w:val="009428B9"/>
    <w:rsid w:val="009432E4"/>
    <w:rsid w:val="00945966"/>
    <w:rsid w:val="00946CF9"/>
    <w:rsid w:val="009477C2"/>
    <w:rsid w:val="009506DA"/>
    <w:rsid w:val="0095108F"/>
    <w:rsid w:val="009578BF"/>
    <w:rsid w:val="0097031D"/>
    <w:rsid w:val="00972381"/>
    <w:rsid w:val="00975DFA"/>
    <w:rsid w:val="009760DB"/>
    <w:rsid w:val="009761F5"/>
    <w:rsid w:val="0097794E"/>
    <w:rsid w:val="00977EE9"/>
    <w:rsid w:val="009810FF"/>
    <w:rsid w:val="009815F9"/>
    <w:rsid w:val="00981772"/>
    <w:rsid w:val="00985F96"/>
    <w:rsid w:val="00987B0A"/>
    <w:rsid w:val="00996E0F"/>
    <w:rsid w:val="00996FE8"/>
    <w:rsid w:val="00997DCC"/>
    <w:rsid w:val="009A2017"/>
    <w:rsid w:val="009A2FFB"/>
    <w:rsid w:val="009A730B"/>
    <w:rsid w:val="009A79FB"/>
    <w:rsid w:val="009B0148"/>
    <w:rsid w:val="009B21C0"/>
    <w:rsid w:val="009B4D53"/>
    <w:rsid w:val="009B5FEB"/>
    <w:rsid w:val="009C3517"/>
    <w:rsid w:val="009C3B06"/>
    <w:rsid w:val="009C45A8"/>
    <w:rsid w:val="009C4CE5"/>
    <w:rsid w:val="009C674D"/>
    <w:rsid w:val="009D0A1D"/>
    <w:rsid w:val="009D2255"/>
    <w:rsid w:val="009D3FE5"/>
    <w:rsid w:val="009D6A53"/>
    <w:rsid w:val="009D7022"/>
    <w:rsid w:val="009E3F3E"/>
    <w:rsid w:val="009F240A"/>
    <w:rsid w:val="009F266A"/>
    <w:rsid w:val="009F4C52"/>
    <w:rsid w:val="009F612C"/>
    <w:rsid w:val="009F662E"/>
    <w:rsid w:val="009F7052"/>
    <w:rsid w:val="009F7F8F"/>
    <w:rsid w:val="00A01B21"/>
    <w:rsid w:val="00A01CD3"/>
    <w:rsid w:val="00A07051"/>
    <w:rsid w:val="00A07E45"/>
    <w:rsid w:val="00A10BFC"/>
    <w:rsid w:val="00A121CE"/>
    <w:rsid w:val="00A202AF"/>
    <w:rsid w:val="00A20B11"/>
    <w:rsid w:val="00A236D8"/>
    <w:rsid w:val="00A253BC"/>
    <w:rsid w:val="00A3358B"/>
    <w:rsid w:val="00A34D8D"/>
    <w:rsid w:val="00A34EA5"/>
    <w:rsid w:val="00A3743E"/>
    <w:rsid w:val="00A401D5"/>
    <w:rsid w:val="00A423E7"/>
    <w:rsid w:val="00A428FD"/>
    <w:rsid w:val="00A45DD1"/>
    <w:rsid w:val="00A46959"/>
    <w:rsid w:val="00A504C5"/>
    <w:rsid w:val="00A51149"/>
    <w:rsid w:val="00A536A5"/>
    <w:rsid w:val="00A539EA"/>
    <w:rsid w:val="00A61222"/>
    <w:rsid w:val="00A621CB"/>
    <w:rsid w:val="00A6250E"/>
    <w:rsid w:val="00A62899"/>
    <w:rsid w:val="00A66330"/>
    <w:rsid w:val="00A66F00"/>
    <w:rsid w:val="00A66F25"/>
    <w:rsid w:val="00A67CEA"/>
    <w:rsid w:val="00A70A92"/>
    <w:rsid w:val="00A71437"/>
    <w:rsid w:val="00A71D3C"/>
    <w:rsid w:val="00A73CB9"/>
    <w:rsid w:val="00A7402B"/>
    <w:rsid w:val="00A74FF1"/>
    <w:rsid w:val="00A750F2"/>
    <w:rsid w:val="00A764FD"/>
    <w:rsid w:val="00A80B07"/>
    <w:rsid w:val="00A814D9"/>
    <w:rsid w:val="00A823DF"/>
    <w:rsid w:val="00A8395B"/>
    <w:rsid w:val="00A84A46"/>
    <w:rsid w:val="00A8741B"/>
    <w:rsid w:val="00A902A1"/>
    <w:rsid w:val="00A926F9"/>
    <w:rsid w:val="00A92A69"/>
    <w:rsid w:val="00A92ADD"/>
    <w:rsid w:val="00A95BE6"/>
    <w:rsid w:val="00AA154E"/>
    <w:rsid w:val="00AA2A33"/>
    <w:rsid w:val="00AA2B40"/>
    <w:rsid w:val="00AA2FB3"/>
    <w:rsid w:val="00AA3833"/>
    <w:rsid w:val="00AA5214"/>
    <w:rsid w:val="00AA6E1F"/>
    <w:rsid w:val="00AA6FE9"/>
    <w:rsid w:val="00AA7478"/>
    <w:rsid w:val="00AB35D3"/>
    <w:rsid w:val="00AB3759"/>
    <w:rsid w:val="00AB3D2D"/>
    <w:rsid w:val="00AB5B54"/>
    <w:rsid w:val="00AB772D"/>
    <w:rsid w:val="00AC0C0F"/>
    <w:rsid w:val="00AC1674"/>
    <w:rsid w:val="00AC40C5"/>
    <w:rsid w:val="00AC4ED1"/>
    <w:rsid w:val="00AC548F"/>
    <w:rsid w:val="00AC73F9"/>
    <w:rsid w:val="00AD0AAD"/>
    <w:rsid w:val="00AD2025"/>
    <w:rsid w:val="00AD65FB"/>
    <w:rsid w:val="00AE04ED"/>
    <w:rsid w:val="00AE070F"/>
    <w:rsid w:val="00AE1799"/>
    <w:rsid w:val="00AE382A"/>
    <w:rsid w:val="00AE3B32"/>
    <w:rsid w:val="00AF1405"/>
    <w:rsid w:val="00AF2AE6"/>
    <w:rsid w:val="00AF71A4"/>
    <w:rsid w:val="00B005F3"/>
    <w:rsid w:val="00B00E99"/>
    <w:rsid w:val="00B019A2"/>
    <w:rsid w:val="00B04118"/>
    <w:rsid w:val="00B060B1"/>
    <w:rsid w:val="00B0727C"/>
    <w:rsid w:val="00B1595A"/>
    <w:rsid w:val="00B159A9"/>
    <w:rsid w:val="00B17432"/>
    <w:rsid w:val="00B21599"/>
    <w:rsid w:val="00B216D2"/>
    <w:rsid w:val="00B226E7"/>
    <w:rsid w:val="00B22A03"/>
    <w:rsid w:val="00B250C3"/>
    <w:rsid w:val="00B25219"/>
    <w:rsid w:val="00B259CE"/>
    <w:rsid w:val="00B270EB"/>
    <w:rsid w:val="00B32736"/>
    <w:rsid w:val="00B40152"/>
    <w:rsid w:val="00B46E6D"/>
    <w:rsid w:val="00B47A5E"/>
    <w:rsid w:val="00B47C88"/>
    <w:rsid w:val="00B50844"/>
    <w:rsid w:val="00B51295"/>
    <w:rsid w:val="00B5150A"/>
    <w:rsid w:val="00B52F69"/>
    <w:rsid w:val="00B561F9"/>
    <w:rsid w:val="00B60291"/>
    <w:rsid w:val="00B60C06"/>
    <w:rsid w:val="00B61DBB"/>
    <w:rsid w:val="00B6276D"/>
    <w:rsid w:val="00B6373E"/>
    <w:rsid w:val="00B63C37"/>
    <w:rsid w:val="00B65118"/>
    <w:rsid w:val="00B70E10"/>
    <w:rsid w:val="00B73718"/>
    <w:rsid w:val="00B73A37"/>
    <w:rsid w:val="00B802BB"/>
    <w:rsid w:val="00B809D6"/>
    <w:rsid w:val="00B85F74"/>
    <w:rsid w:val="00B92323"/>
    <w:rsid w:val="00B94E62"/>
    <w:rsid w:val="00B960C6"/>
    <w:rsid w:val="00BA2375"/>
    <w:rsid w:val="00BA2F15"/>
    <w:rsid w:val="00BA350F"/>
    <w:rsid w:val="00BA3A63"/>
    <w:rsid w:val="00BB3D39"/>
    <w:rsid w:val="00BB5369"/>
    <w:rsid w:val="00BC627D"/>
    <w:rsid w:val="00BC7470"/>
    <w:rsid w:val="00BD25FC"/>
    <w:rsid w:val="00BD3B63"/>
    <w:rsid w:val="00BD462F"/>
    <w:rsid w:val="00BD6FE5"/>
    <w:rsid w:val="00BD742E"/>
    <w:rsid w:val="00BD7D26"/>
    <w:rsid w:val="00BE2893"/>
    <w:rsid w:val="00BE6AFF"/>
    <w:rsid w:val="00BF0E18"/>
    <w:rsid w:val="00BF14F7"/>
    <w:rsid w:val="00BF19FD"/>
    <w:rsid w:val="00BF3F95"/>
    <w:rsid w:val="00BF5581"/>
    <w:rsid w:val="00C050EF"/>
    <w:rsid w:val="00C05217"/>
    <w:rsid w:val="00C06E0B"/>
    <w:rsid w:val="00C12DA8"/>
    <w:rsid w:val="00C23643"/>
    <w:rsid w:val="00C25368"/>
    <w:rsid w:val="00C257EA"/>
    <w:rsid w:val="00C3010E"/>
    <w:rsid w:val="00C31143"/>
    <w:rsid w:val="00C34DDB"/>
    <w:rsid w:val="00C357A1"/>
    <w:rsid w:val="00C35ECF"/>
    <w:rsid w:val="00C372D8"/>
    <w:rsid w:val="00C42A4D"/>
    <w:rsid w:val="00C43494"/>
    <w:rsid w:val="00C43BC7"/>
    <w:rsid w:val="00C4424F"/>
    <w:rsid w:val="00C45B51"/>
    <w:rsid w:val="00C460F0"/>
    <w:rsid w:val="00C47A41"/>
    <w:rsid w:val="00C51438"/>
    <w:rsid w:val="00C52D58"/>
    <w:rsid w:val="00C54A36"/>
    <w:rsid w:val="00C565D0"/>
    <w:rsid w:val="00C5703A"/>
    <w:rsid w:val="00C57FCD"/>
    <w:rsid w:val="00C60721"/>
    <w:rsid w:val="00C650BA"/>
    <w:rsid w:val="00C70B64"/>
    <w:rsid w:val="00C70D15"/>
    <w:rsid w:val="00C7255F"/>
    <w:rsid w:val="00C76671"/>
    <w:rsid w:val="00C76B2D"/>
    <w:rsid w:val="00C77B96"/>
    <w:rsid w:val="00C8012E"/>
    <w:rsid w:val="00C80323"/>
    <w:rsid w:val="00C80B5E"/>
    <w:rsid w:val="00C87D1F"/>
    <w:rsid w:val="00C918F6"/>
    <w:rsid w:val="00C91F4A"/>
    <w:rsid w:val="00C92BE2"/>
    <w:rsid w:val="00C97690"/>
    <w:rsid w:val="00CA39C6"/>
    <w:rsid w:val="00CA52CC"/>
    <w:rsid w:val="00CB08B7"/>
    <w:rsid w:val="00CB233C"/>
    <w:rsid w:val="00CB25C7"/>
    <w:rsid w:val="00CB37BF"/>
    <w:rsid w:val="00CB4256"/>
    <w:rsid w:val="00CB6205"/>
    <w:rsid w:val="00CC04C6"/>
    <w:rsid w:val="00CC0F41"/>
    <w:rsid w:val="00CC383A"/>
    <w:rsid w:val="00CC7838"/>
    <w:rsid w:val="00CD002A"/>
    <w:rsid w:val="00CD22AB"/>
    <w:rsid w:val="00CD3108"/>
    <w:rsid w:val="00CD388A"/>
    <w:rsid w:val="00CD4190"/>
    <w:rsid w:val="00CD5C6B"/>
    <w:rsid w:val="00CD754B"/>
    <w:rsid w:val="00CE094F"/>
    <w:rsid w:val="00CE21FC"/>
    <w:rsid w:val="00CE32F9"/>
    <w:rsid w:val="00CE38E0"/>
    <w:rsid w:val="00CE4715"/>
    <w:rsid w:val="00CE56F9"/>
    <w:rsid w:val="00CE62FC"/>
    <w:rsid w:val="00CE749C"/>
    <w:rsid w:val="00CE79C0"/>
    <w:rsid w:val="00CF0978"/>
    <w:rsid w:val="00CF220E"/>
    <w:rsid w:val="00CF2456"/>
    <w:rsid w:val="00CF52C3"/>
    <w:rsid w:val="00CF6D37"/>
    <w:rsid w:val="00D01547"/>
    <w:rsid w:val="00D01761"/>
    <w:rsid w:val="00D01965"/>
    <w:rsid w:val="00D03B84"/>
    <w:rsid w:val="00D10F85"/>
    <w:rsid w:val="00D1204E"/>
    <w:rsid w:val="00D12BF3"/>
    <w:rsid w:val="00D152E3"/>
    <w:rsid w:val="00D17D7C"/>
    <w:rsid w:val="00D200A2"/>
    <w:rsid w:val="00D203A2"/>
    <w:rsid w:val="00D20428"/>
    <w:rsid w:val="00D20C70"/>
    <w:rsid w:val="00D2269B"/>
    <w:rsid w:val="00D239ED"/>
    <w:rsid w:val="00D2487A"/>
    <w:rsid w:val="00D248C1"/>
    <w:rsid w:val="00D25ADF"/>
    <w:rsid w:val="00D26608"/>
    <w:rsid w:val="00D272FD"/>
    <w:rsid w:val="00D321AF"/>
    <w:rsid w:val="00D32E05"/>
    <w:rsid w:val="00D34783"/>
    <w:rsid w:val="00D356BB"/>
    <w:rsid w:val="00D37EE3"/>
    <w:rsid w:val="00D413BE"/>
    <w:rsid w:val="00D417D0"/>
    <w:rsid w:val="00D4236F"/>
    <w:rsid w:val="00D50A73"/>
    <w:rsid w:val="00D527A8"/>
    <w:rsid w:val="00D529C5"/>
    <w:rsid w:val="00D52A58"/>
    <w:rsid w:val="00D53CF1"/>
    <w:rsid w:val="00D546F5"/>
    <w:rsid w:val="00D552FE"/>
    <w:rsid w:val="00D557B5"/>
    <w:rsid w:val="00D55FB9"/>
    <w:rsid w:val="00D60BAA"/>
    <w:rsid w:val="00D632BD"/>
    <w:rsid w:val="00D63440"/>
    <w:rsid w:val="00D63478"/>
    <w:rsid w:val="00D6798A"/>
    <w:rsid w:val="00D67A57"/>
    <w:rsid w:val="00D712BE"/>
    <w:rsid w:val="00D72F51"/>
    <w:rsid w:val="00D80BF0"/>
    <w:rsid w:val="00D81461"/>
    <w:rsid w:val="00D81EC7"/>
    <w:rsid w:val="00D8447D"/>
    <w:rsid w:val="00D85279"/>
    <w:rsid w:val="00D8528A"/>
    <w:rsid w:val="00D90433"/>
    <w:rsid w:val="00D92A99"/>
    <w:rsid w:val="00D943A5"/>
    <w:rsid w:val="00D95210"/>
    <w:rsid w:val="00D97A90"/>
    <w:rsid w:val="00DA03E0"/>
    <w:rsid w:val="00DA10CA"/>
    <w:rsid w:val="00DA1724"/>
    <w:rsid w:val="00DA1EC2"/>
    <w:rsid w:val="00DA2F8D"/>
    <w:rsid w:val="00DA4D3E"/>
    <w:rsid w:val="00DA65E5"/>
    <w:rsid w:val="00DB1D2E"/>
    <w:rsid w:val="00DB573C"/>
    <w:rsid w:val="00DB5EF8"/>
    <w:rsid w:val="00DC0B4B"/>
    <w:rsid w:val="00DC33A1"/>
    <w:rsid w:val="00DC4851"/>
    <w:rsid w:val="00DC4D44"/>
    <w:rsid w:val="00DC5C08"/>
    <w:rsid w:val="00DD182C"/>
    <w:rsid w:val="00DD1C20"/>
    <w:rsid w:val="00DD1E1B"/>
    <w:rsid w:val="00DD22AA"/>
    <w:rsid w:val="00DD24A6"/>
    <w:rsid w:val="00DD4AE0"/>
    <w:rsid w:val="00DD5FCE"/>
    <w:rsid w:val="00DD7C9B"/>
    <w:rsid w:val="00DE4474"/>
    <w:rsid w:val="00DF0432"/>
    <w:rsid w:val="00DF0632"/>
    <w:rsid w:val="00DF2155"/>
    <w:rsid w:val="00DF3E89"/>
    <w:rsid w:val="00DF50DE"/>
    <w:rsid w:val="00DF540B"/>
    <w:rsid w:val="00DF5572"/>
    <w:rsid w:val="00DF60F1"/>
    <w:rsid w:val="00DF6B03"/>
    <w:rsid w:val="00E05438"/>
    <w:rsid w:val="00E1554F"/>
    <w:rsid w:val="00E25951"/>
    <w:rsid w:val="00E31422"/>
    <w:rsid w:val="00E3260B"/>
    <w:rsid w:val="00E35436"/>
    <w:rsid w:val="00E35AE3"/>
    <w:rsid w:val="00E35E2B"/>
    <w:rsid w:val="00E42D7A"/>
    <w:rsid w:val="00E434DB"/>
    <w:rsid w:val="00E43B32"/>
    <w:rsid w:val="00E43F69"/>
    <w:rsid w:val="00E44FF1"/>
    <w:rsid w:val="00E56773"/>
    <w:rsid w:val="00E57027"/>
    <w:rsid w:val="00E57B56"/>
    <w:rsid w:val="00E61E02"/>
    <w:rsid w:val="00E625ED"/>
    <w:rsid w:val="00E62827"/>
    <w:rsid w:val="00E62B7F"/>
    <w:rsid w:val="00E63F0B"/>
    <w:rsid w:val="00E65263"/>
    <w:rsid w:val="00E65AC3"/>
    <w:rsid w:val="00E66D6B"/>
    <w:rsid w:val="00E66DD0"/>
    <w:rsid w:val="00E67358"/>
    <w:rsid w:val="00E675CC"/>
    <w:rsid w:val="00E679C3"/>
    <w:rsid w:val="00E72AAD"/>
    <w:rsid w:val="00E74DAA"/>
    <w:rsid w:val="00E7653C"/>
    <w:rsid w:val="00E773AD"/>
    <w:rsid w:val="00E82466"/>
    <w:rsid w:val="00E829DF"/>
    <w:rsid w:val="00E82ADB"/>
    <w:rsid w:val="00E831E1"/>
    <w:rsid w:val="00E840B7"/>
    <w:rsid w:val="00E86745"/>
    <w:rsid w:val="00E86B82"/>
    <w:rsid w:val="00E86C49"/>
    <w:rsid w:val="00E929D2"/>
    <w:rsid w:val="00EA129D"/>
    <w:rsid w:val="00EA1AD5"/>
    <w:rsid w:val="00EA35FD"/>
    <w:rsid w:val="00EB11E8"/>
    <w:rsid w:val="00EB28DB"/>
    <w:rsid w:val="00EB5603"/>
    <w:rsid w:val="00EB57A6"/>
    <w:rsid w:val="00EB7704"/>
    <w:rsid w:val="00EC00D4"/>
    <w:rsid w:val="00EC6D40"/>
    <w:rsid w:val="00EC701F"/>
    <w:rsid w:val="00ED0BE7"/>
    <w:rsid w:val="00ED15BD"/>
    <w:rsid w:val="00ED1D7B"/>
    <w:rsid w:val="00ED2284"/>
    <w:rsid w:val="00ED285F"/>
    <w:rsid w:val="00ED3B4A"/>
    <w:rsid w:val="00ED54A9"/>
    <w:rsid w:val="00ED6E12"/>
    <w:rsid w:val="00EE290B"/>
    <w:rsid w:val="00EE47F3"/>
    <w:rsid w:val="00EE4C43"/>
    <w:rsid w:val="00EF3CC1"/>
    <w:rsid w:val="00EF5D37"/>
    <w:rsid w:val="00EF60EA"/>
    <w:rsid w:val="00F00761"/>
    <w:rsid w:val="00F01884"/>
    <w:rsid w:val="00F025D0"/>
    <w:rsid w:val="00F03F93"/>
    <w:rsid w:val="00F055EC"/>
    <w:rsid w:val="00F055EE"/>
    <w:rsid w:val="00F056CE"/>
    <w:rsid w:val="00F064A0"/>
    <w:rsid w:val="00F06F4B"/>
    <w:rsid w:val="00F06F8C"/>
    <w:rsid w:val="00F074CF"/>
    <w:rsid w:val="00F12E1C"/>
    <w:rsid w:val="00F13930"/>
    <w:rsid w:val="00F13C07"/>
    <w:rsid w:val="00F15BA9"/>
    <w:rsid w:val="00F15CED"/>
    <w:rsid w:val="00F2082F"/>
    <w:rsid w:val="00F260E1"/>
    <w:rsid w:val="00F26434"/>
    <w:rsid w:val="00F26770"/>
    <w:rsid w:val="00F27BC6"/>
    <w:rsid w:val="00F3050B"/>
    <w:rsid w:val="00F30B57"/>
    <w:rsid w:val="00F32892"/>
    <w:rsid w:val="00F357CE"/>
    <w:rsid w:val="00F403A0"/>
    <w:rsid w:val="00F50FAB"/>
    <w:rsid w:val="00F515FF"/>
    <w:rsid w:val="00F5173F"/>
    <w:rsid w:val="00F53207"/>
    <w:rsid w:val="00F53D31"/>
    <w:rsid w:val="00F543BF"/>
    <w:rsid w:val="00F545AC"/>
    <w:rsid w:val="00F565EF"/>
    <w:rsid w:val="00F56D71"/>
    <w:rsid w:val="00F60132"/>
    <w:rsid w:val="00F60739"/>
    <w:rsid w:val="00F617E5"/>
    <w:rsid w:val="00F6264F"/>
    <w:rsid w:val="00F642C2"/>
    <w:rsid w:val="00F647E8"/>
    <w:rsid w:val="00F64D73"/>
    <w:rsid w:val="00F65F11"/>
    <w:rsid w:val="00F675CC"/>
    <w:rsid w:val="00F711BA"/>
    <w:rsid w:val="00F71554"/>
    <w:rsid w:val="00F74E01"/>
    <w:rsid w:val="00F75B7D"/>
    <w:rsid w:val="00F761D2"/>
    <w:rsid w:val="00F76C34"/>
    <w:rsid w:val="00F810B6"/>
    <w:rsid w:val="00F95CFD"/>
    <w:rsid w:val="00FA31DD"/>
    <w:rsid w:val="00FA3915"/>
    <w:rsid w:val="00FA3E9B"/>
    <w:rsid w:val="00FA5152"/>
    <w:rsid w:val="00FB1E34"/>
    <w:rsid w:val="00FB29D2"/>
    <w:rsid w:val="00FB5C89"/>
    <w:rsid w:val="00FC0C0F"/>
    <w:rsid w:val="00FC29AC"/>
    <w:rsid w:val="00FC2AB3"/>
    <w:rsid w:val="00FC2CCE"/>
    <w:rsid w:val="00FC331C"/>
    <w:rsid w:val="00FC392F"/>
    <w:rsid w:val="00FC4F9B"/>
    <w:rsid w:val="00FC5424"/>
    <w:rsid w:val="00FC769E"/>
    <w:rsid w:val="00FD4DB1"/>
    <w:rsid w:val="00FD628F"/>
    <w:rsid w:val="00FE1EF8"/>
    <w:rsid w:val="00FE250F"/>
    <w:rsid w:val="00FF1AC5"/>
    <w:rsid w:val="00FF1D76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51FB"/>
  <w15:chartTrackingRefBased/>
  <w15:docId w15:val="{1DB63E27-85C8-464F-9380-E077D00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,하이퍼링크2,超?级链,CEO_Hyperlink,超链接1,하이퍼링크21,超??级链Ú,fL????,fL?级,超??级链,超?级链Ú,’´?级链,’´????,’´??级链Ú,’´??级"/>
    <w:basedOn w:val="DefaultParagraphFont"/>
    <w:uiPriority w:val="99"/>
    <w:qFormat/>
    <w:rsid w:val="009A2017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A201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qFormat/>
    <w:rsid w:val="009A2017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A2017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7438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A2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FD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AnnexNo">
    <w:name w:val="Annex_No"/>
    <w:basedOn w:val="Normal"/>
    <w:next w:val="Normal"/>
    <w:rsid w:val="00F1393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Theme="minorHAnsi" w:hAnsiTheme="minorHAnsi"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17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1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SBHeaderQuestion">
    <w:name w:val="TSBHeaderQuestion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Source">
    <w:name w:val="TSBHeaderSourc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Title">
    <w:name w:val="TSBHeaderTitl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Right14">
    <w:name w:val="TSBHeaderRight14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B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B9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B95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AC40C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C40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auto"/>
    </w:pPr>
  </w:style>
  <w:style w:type="paragraph" w:customStyle="1" w:styleId="LSDeadline">
    <w:name w:val="LSDeadline"/>
    <w:basedOn w:val="LSForAction"/>
    <w:next w:val="Normal"/>
    <w:qFormat/>
    <w:rsid w:val="001F34F9"/>
    <w:rPr>
      <w:bCs w:val="0"/>
    </w:rPr>
  </w:style>
  <w:style w:type="paragraph" w:customStyle="1" w:styleId="LSForAction">
    <w:name w:val="LSForAction"/>
    <w:basedOn w:val="Normal"/>
    <w:qFormat/>
    <w:rsid w:val="001F34F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Cs/>
    </w:rPr>
  </w:style>
  <w:style w:type="paragraph" w:customStyle="1" w:styleId="LSForInfo">
    <w:name w:val="LSForInfo"/>
    <w:basedOn w:val="LSForAction"/>
    <w:next w:val="Normal"/>
    <w:qFormat/>
    <w:rsid w:val="001F34F9"/>
  </w:style>
  <w:style w:type="paragraph" w:customStyle="1" w:styleId="Tablehead">
    <w:name w:val="Table_head"/>
    <w:basedOn w:val="Normal"/>
    <w:next w:val="Normal"/>
    <w:qFormat/>
    <w:rsid w:val="00EB7704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eastAsia="SimSun"/>
      <w:b/>
      <w:sz w:val="22"/>
    </w:rPr>
  </w:style>
  <w:style w:type="character" w:customStyle="1" w:styleId="TabletextChar">
    <w:name w:val="Table_text Char"/>
    <w:link w:val="Tabletext"/>
    <w:locked/>
    <w:rsid w:val="00EB7704"/>
    <w:rPr>
      <w:lang w:eastAsia="en-US"/>
    </w:rPr>
  </w:style>
  <w:style w:type="paragraph" w:customStyle="1" w:styleId="Tabletext">
    <w:name w:val="Table_text"/>
    <w:basedOn w:val="Normal"/>
    <w:link w:val="TabletextChar"/>
    <w:qFormat/>
    <w:rsid w:val="00EB770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rFonts w:asciiTheme="minorHAnsi" w:eastAsiaTheme="minorEastAsia" w:hAnsiTheme="minorHAnsi" w:cstheme="minorBidi"/>
      <w:sz w:val="22"/>
      <w:szCs w:val="22"/>
      <w:lang w:val="fr-CH"/>
    </w:rPr>
  </w:style>
  <w:style w:type="paragraph" w:customStyle="1" w:styleId="Rectitle">
    <w:name w:val="Rec_title"/>
    <w:basedOn w:val="Normal"/>
    <w:next w:val="Normal"/>
    <w:rsid w:val="00E57B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  <w:textAlignment w:val="auto"/>
    </w:pPr>
    <w:rPr>
      <w:rFonts w:eastAsiaTheme="minorEastAsia"/>
      <w:b/>
      <w:sz w:val="28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E86C4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textrun">
    <w:name w:val="normaltextrun"/>
    <w:basedOn w:val="DefaultParagraphFont"/>
    <w:rsid w:val="00E6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5-SG02-250205-TD-PLEN-0088/en" TargetMode="External"/><Relationship Id="rId18" Type="http://schemas.openxmlformats.org/officeDocument/2006/relationships/hyperlink" Target="https://www.itu.int/md/T25-SG02-250205-TD-PLEN-0119/en" TargetMode="External"/><Relationship Id="rId26" Type="http://schemas.openxmlformats.org/officeDocument/2006/relationships/hyperlink" Target="https://www.itu.int/md/T25-SG02-250205-TD-PLEN-0102/en" TargetMode="External"/><Relationship Id="rId21" Type="http://schemas.openxmlformats.org/officeDocument/2006/relationships/hyperlink" Target="https://www.itu.int/md/T25-SG02-250205-TD-PLEN-0125/en" TargetMode="External"/><Relationship Id="rId34" Type="http://schemas.openxmlformats.org/officeDocument/2006/relationships/hyperlink" Target="https://www.itu.int/md/T25-TSAG-250526-TD-GEN-006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SG02-250205-TD-PLEN-0089/en" TargetMode="External"/><Relationship Id="rId17" Type="http://schemas.openxmlformats.org/officeDocument/2006/relationships/hyperlink" Target="https://www.itu.int/md/T25-SG02-R-0007/en" TargetMode="External"/><Relationship Id="rId25" Type="http://schemas.openxmlformats.org/officeDocument/2006/relationships/hyperlink" Target="https://www.itu.int/md/T25-SG02-250205-TD-PLEN-0101/en" TargetMode="External"/><Relationship Id="rId33" Type="http://schemas.openxmlformats.org/officeDocument/2006/relationships/hyperlink" Target="https://www.itu.int/md/T22-TSAG-240729-TD-GEN-0634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5-SG02-R-0006/en" TargetMode="External"/><Relationship Id="rId20" Type="http://schemas.openxmlformats.org/officeDocument/2006/relationships/hyperlink" Target="https://www.itu.int/md/T25-SG02-250205-TD-PLEN-0124/en" TargetMode="External"/><Relationship Id="rId29" Type="http://schemas.openxmlformats.org/officeDocument/2006/relationships/hyperlink" Target="https://www.itu.int/md/T25-SG02-250205-TD-PLEN-003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2-R-0001/en" TargetMode="External"/><Relationship Id="rId24" Type="http://schemas.openxmlformats.org/officeDocument/2006/relationships/hyperlink" Target="https://www.itu.int/md/T25-SG02-250205-TD-PLEN-0120/en" TargetMode="External"/><Relationship Id="rId32" Type="http://schemas.openxmlformats.org/officeDocument/2006/relationships/hyperlink" Target="https://www.itu.int/md/T25-SG02-250205-TD-GEN-0103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5-SG02-R-0005/en" TargetMode="External"/><Relationship Id="rId23" Type="http://schemas.openxmlformats.org/officeDocument/2006/relationships/hyperlink" Target="https://www.itu.int/md/T25-SG02-250205-TD-PLEN-0127/en" TargetMode="External"/><Relationship Id="rId28" Type="http://schemas.openxmlformats.org/officeDocument/2006/relationships/hyperlink" Target="https://www.itu.int/md/T25-SG02-250205-TD-PLEN-0067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T25-SG02-250205-TD-PLEN-0014/en" TargetMode="External"/><Relationship Id="rId19" Type="http://schemas.openxmlformats.org/officeDocument/2006/relationships/hyperlink" Target="https://www.itu.int/md/T25-SG02-250205-TD-PLEN-0123/en" TargetMode="External"/><Relationship Id="rId31" Type="http://schemas.openxmlformats.org/officeDocument/2006/relationships/hyperlink" Target="https://www.itu.int/md/T25-TSAG-250526-TD-GEN-00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25-SG02-R-0001/en" TargetMode="External"/><Relationship Id="rId14" Type="http://schemas.openxmlformats.org/officeDocument/2006/relationships/hyperlink" Target="https://www.itu.int/md/T25-SG02-R-0004/en" TargetMode="External"/><Relationship Id="rId22" Type="http://schemas.openxmlformats.org/officeDocument/2006/relationships/hyperlink" Target="https://www.itu.int/md/T25-SG02-250205-TD-PLEN-0103/en" TargetMode="External"/><Relationship Id="rId27" Type="http://schemas.openxmlformats.org/officeDocument/2006/relationships/hyperlink" Target="https://www.itu.int/md/T25-SG02-250205-TD-PLEN-0126/en" TargetMode="External"/><Relationship Id="rId30" Type="http://schemas.openxmlformats.org/officeDocument/2006/relationships/hyperlink" Target="https://www.itu.int/md/T22-WTSA.24-241015-TD-GEN-0106/en" TargetMode="External"/><Relationship Id="rId35" Type="http://schemas.openxmlformats.org/officeDocument/2006/relationships/hyperlink" Target="https://www.itu.int/md/T25-SG02-250205-TD-GEN-0102/en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B786-DBD8-41AD-B2E3-9416F24D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1582</Words>
  <Characters>8990</Characters>
  <Application>Microsoft Office Word</Application>
  <DocSecurity>0</DocSecurity>
  <Lines>359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- ITU-T Study Group 2 meeting (Geneva, 19-28 June 2024)</vt:lpstr>
    </vt:vector>
  </TitlesOfParts>
  <Manager>ITU-T</Manager>
  <Company>International Telecommunication Union (ITU)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- ITU-T Study Group 2 meeting (Geneva, 19-28 June 2024)</dc:title>
  <dc:subject/>
  <dc:creator>Chair, SG2</dc:creator>
  <cp:keywords>SG2; draft agenda.</cp:keywords>
  <dc:description>SG2-TD1/PLEN  For: Geneva, 5-14 February 2025_x000d_Document date: _x000d_Saved by ITU51017913 at 10:08:27 AM on 11/25/2024</dc:description>
  <cp:lastModifiedBy>TSB - JB</cp:lastModifiedBy>
  <cp:revision>5</cp:revision>
  <cp:lastPrinted>2019-12-13T12:42:00Z</cp:lastPrinted>
  <dcterms:created xsi:type="dcterms:W3CDTF">2025-03-25T15:16:00Z</dcterms:created>
  <dcterms:modified xsi:type="dcterms:W3CDTF">2025-03-25T15:19:00Z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SG2-TD1/PLEN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Geneva, 5-14 February 2025</vt:lpwstr>
  </property>
  <property fmtid="{D5CDD505-2E9C-101B-9397-08002B2CF9AE}" pid="7" name="Docauthor">
    <vt:lpwstr>Chair, SG2</vt:lpwstr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etDate">
    <vt:lpwstr>2025-01-14T14:43:22Z</vt:lpwstr>
  </property>
  <property fmtid="{D5CDD505-2E9C-101B-9397-08002B2CF9AE}" pid="10" name="MSIP_Label_1665d9ee-429a-4d5f-97cc-cfb56e044a6e_Method">
    <vt:lpwstr>Privileged</vt:lpwstr>
  </property>
  <property fmtid="{D5CDD505-2E9C-101B-9397-08002B2CF9AE}" pid="11" name="MSIP_Label_1665d9ee-429a-4d5f-97cc-cfb56e044a6e_Name">
    <vt:lpwstr>1665d9ee-429a-4d5f-97cc-cfb56e044a6e</vt:lpwstr>
  </property>
  <property fmtid="{D5CDD505-2E9C-101B-9397-08002B2CF9AE}" pid="12" name="MSIP_Label_1665d9ee-429a-4d5f-97cc-cfb56e044a6e_SiteId">
    <vt:lpwstr>66cf5074-5afe-48d1-a691-a12b2121f44b</vt:lpwstr>
  </property>
  <property fmtid="{D5CDD505-2E9C-101B-9397-08002B2CF9AE}" pid="13" name="MSIP_Label_1665d9ee-429a-4d5f-97cc-cfb56e044a6e_ActionId">
    <vt:lpwstr>c440d81a-4f0b-4af9-b76f-e74412c140b6</vt:lpwstr>
  </property>
  <property fmtid="{D5CDD505-2E9C-101B-9397-08002B2CF9AE}" pid="14" name="MSIP_Label_1665d9ee-429a-4d5f-97cc-cfb56e044a6e_ContentBits">
    <vt:lpwstr>0</vt:lpwstr>
  </property>
</Properties>
</file>