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19"/>
        <w:gridCol w:w="520"/>
        <w:gridCol w:w="3487"/>
        <w:gridCol w:w="237"/>
        <w:gridCol w:w="3789"/>
      </w:tblGrid>
      <w:tr w:rsidR="00BE4B34" w:rsidRPr="00B303A7" w14:paraId="221C4589" w14:textId="77777777" w:rsidTr="00BE4B34">
        <w:trPr>
          <w:cantSplit/>
        </w:trPr>
        <w:tc>
          <w:tcPr>
            <w:tcW w:w="1132" w:type="dxa"/>
            <w:vMerge w:val="restart"/>
            <w:vAlign w:val="center"/>
          </w:tcPr>
          <w:p w14:paraId="67E2D521" w14:textId="77777777" w:rsidR="00BE4B34" w:rsidRPr="00BE4B34" w:rsidRDefault="00BE4B34" w:rsidP="00BE4B34">
            <w:pPr>
              <w:spacing w:before="0"/>
              <w:jc w:val="center"/>
              <w:rPr>
                <w:sz w:val="20"/>
                <w:szCs w:val="20"/>
              </w:rPr>
            </w:pPr>
            <w:bookmarkStart w:id="0" w:name="dnum" w:colFirst="2" w:colLast="2"/>
            <w:bookmarkStart w:id="1" w:name="dtableau"/>
            <w:r w:rsidRPr="00BE4B34">
              <w:rPr>
                <w:noProof/>
              </w:rPr>
              <w:drawing>
                <wp:inline distT="0" distB="0" distL="0" distR="0" wp14:anchorId="5A058385" wp14:editId="20937290">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0417482E" w14:textId="77777777" w:rsidR="00BE4B34" w:rsidRPr="00BE4B34" w:rsidRDefault="00BE4B34" w:rsidP="00BE4B34">
            <w:pPr>
              <w:rPr>
                <w:sz w:val="16"/>
                <w:szCs w:val="16"/>
              </w:rPr>
            </w:pPr>
            <w:r w:rsidRPr="00BE4B34">
              <w:rPr>
                <w:sz w:val="16"/>
                <w:szCs w:val="16"/>
              </w:rPr>
              <w:t>INTERNATIONAL TELECOMMUNICATION UNION</w:t>
            </w:r>
          </w:p>
          <w:p w14:paraId="0C38C37D" w14:textId="77777777" w:rsidR="00BE4B34" w:rsidRPr="00BE4B34" w:rsidRDefault="00BE4B34" w:rsidP="00BE4B34">
            <w:pPr>
              <w:rPr>
                <w:b/>
                <w:bCs/>
                <w:sz w:val="26"/>
                <w:szCs w:val="26"/>
              </w:rPr>
            </w:pPr>
            <w:r w:rsidRPr="00BE4B34">
              <w:rPr>
                <w:b/>
                <w:bCs/>
                <w:sz w:val="26"/>
                <w:szCs w:val="26"/>
              </w:rPr>
              <w:t>TELECOMMUNICATION</w:t>
            </w:r>
            <w:r w:rsidRPr="00BE4B34">
              <w:rPr>
                <w:b/>
                <w:bCs/>
                <w:sz w:val="26"/>
                <w:szCs w:val="26"/>
              </w:rPr>
              <w:br/>
              <w:t>STANDARDIZATION SECTOR</w:t>
            </w:r>
          </w:p>
          <w:p w14:paraId="78B03D6A" w14:textId="19E79DB9" w:rsidR="00BE4B34" w:rsidRPr="00BE4B34" w:rsidRDefault="00BE4B34" w:rsidP="00BE4B34">
            <w:pPr>
              <w:rPr>
                <w:sz w:val="20"/>
                <w:szCs w:val="20"/>
              </w:rPr>
            </w:pPr>
            <w:r w:rsidRPr="00BE4B34">
              <w:rPr>
                <w:sz w:val="20"/>
                <w:szCs w:val="20"/>
              </w:rPr>
              <w:t xml:space="preserve">STUDY PERIOD </w:t>
            </w:r>
            <w:r>
              <w:rPr>
                <w:sz w:val="20"/>
              </w:rPr>
              <w:t>2025-2028</w:t>
            </w:r>
          </w:p>
        </w:tc>
        <w:tc>
          <w:tcPr>
            <w:tcW w:w="4026" w:type="dxa"/>
            <w:gridSpan w:val="2"/>
            <w:vAlign w:val="center"/>
          </w:tcPr>
          <w:p w14:paraId="1C3115C1" w14:textId="0E5DB6EA" w:rsidR="00BE4B34" w:rsidRPr="00B303A7" w:rsidRDefault="00BE4B34" w:rsidP="00BE4B34">
            <w:pPr>
              <w:pStyle w:val="Docnumber"/>
            </w:pPr>
            <w:r w:rsidRPr="00B303A7">
              <w:t>TSAG-TD</w:t>
            </w:r>
            <w:r w:rsidR="00FA1464">
              <w:t>86</w:t>
            </w:r>
          </w:p>
        </w:tc>
      </w:tr>
      <w:tr w:rsidR="00BE4B34" w:rsidRPr="00BE4B34" w14:paraId="13395155" w14:textId="77777777" w:rsidTr="00BE4B34">
        <w:trPr>
          <w:cantSplit/>
        </w:trPr>
        <w:tc>
          <w:tcPr>
            <w:tcW w:w="1132" w:type="dxa"/>
            <w:vMerge/>
          </w:tcPr>
          <w:p w14:paraId="31A469FE" w14:textId="77777777" w:rsidR="00BE4B34" w:rsidRPr="00BE4B34" w:rsidRDefault="00BE4B34" w:rsidP="00BE4B34">
            <w:pPr>
              <w:rPr>
                <w:smallCaps/>
                <w:sz w:val="20"/>
              </w:rPr>
            </w:pPr>
            <w:bookmarkStart w:id="2" w:name="dsg" w:colFirst="2" w:colLast="2"/>
            <w:bookmarkEnd w:id="0"/>
          </w:p>
        </w:tc>
        <w:tc>
          <w:tcPr>
            <w:tcW w:w="4481" w:type="dxa"/>
            <w:gridSpan w:val="4"/>
            <w:vMerge/>
          </w:tcPr>
          <w:p w14:paraId="0B830B38" w14:textId="77777777" w:rsidR="00BE4B34" w:rsidRPr="00BE4B34" w:rsidRDefault="00BE4B34" w:rsidP="00BE4B34">
            <w:pPr>
              <w:rPr>
                <w:smallCaps/>
                <w:sz w:val="20"/>
              </w:rPr>
            </w:pPr>
          </w:p>
        </w:tc>
        <w:tc>
          <w:tcPr>
            <w:tcW w:w="4026" w:type="dxa"/>
            <w:gridSpan w:val="2"/>
          </w:tcPr>
          <w:p w14:paraId="3D5223EF" w14:textId="78463660" w:rsidR="00BE4B34" w:rsidRPr="00BE4B34" w:rsidRDefault="00BE4B34" w:rsidP="00BE4B34">
            <w:pPr>
              <w:pStyle w:val="TSBHeaderRight14"/>
              <w:rPr>
                <w:smallCaps/>
              </w:rPr>
            </w:pPr>
            <w:r>
              <w:rPr>
                <w:smallCaps/>
              </w:rPr>
              <w:t>TSAG</w:t>
            </w:r>
          </w:p>
        </w:tc>
      </w:tr>
      <w:bookmarkEnd w:id="2"/>
      <w:tr w:rsidR="00BE4B34" w:rsidRPr="00BE4B34" w14:paraId="3DC10A0C" w14:textId="77777777" w:rsidTr="00BE4B34">
        <w:trPr>
          <w:cantSplit/>
        </w:trPr>
        <w:tc>
          <w:tcPr>
            <w:tcW w:w="1132" w:type="dxa"/>
            <w:vMerge/>
            <w:tcBorders>
              <w:bottom w:val="single" w:sz="12" w:space="0" w:color="auto"/>
            </w:tcBorders>
          </w:tcPr>
          <w:p w14:paraId="18F1E4A0" w14:textId="77777777" w:rsidR="00BE4B34" w:rsidRPr="00BE4B34" w:rsidRDefault="00BE4B34" w:rsidP="00BE4B34">
            <w:pPr>
              <w:rPr>
                <w:b/>
                <w:bCs/>
                <w:sz w:val="26"/>
              </w:rPr>
            </w:pPr>
          </w:p>
        </w:tc>
        <w:tc>
          <w:tcPr>
            <w:tcW w:w="4481" w:type="dxa"/>
            <w:gridSpan w:val="4"/>
            <w:vMerge/>
            <w:tcBorders>
              <w:bottom w:val="single" w:sz="12" w:space="0" w:color="auto"/>
            </w:tcBorders>
          </w:tcPr>
          <w:p w14:paraId="12DC9130" w14:textId="77777777" w:rsidR="00BE4B34" w:rsidRPr="00BE4B34" w:rsidRDefault="00BE4B34" w:rsidP="00BE4B34">
            <w:pPr>
              <w:rPr>
                <w:b/>
                <w:bCs/>
                <w:sz w:val="26"/>
              </w:rPr>
            </w:pPr>
          </w:p>
        </w:tc>
        <w:tc>
          <w:tcPr>
            <w:tcW w:w="4026" w:type="dxa"/>
            <w:gridSpan w:val="2"/>
            <w:tcBorders>
              <w:bottom w:val="single" w:sz="12" w:space="0" w:color="auto"/>
            </w:tcBorders>
            <w:vAlign w:val="center"/>
          </w:tcPr>
          <w:p w14:paraId="32BAA7B8" w14:textId="77777777" w:rsidR="00BE4B34" w:rsidRPr="00BE4B34" w:rsidRDefault="00BE4B34" w:rsidP="00BE4B34">
            <w:pPr>
              <w:pStyle w:val="TSBHeaderRight14"/>
            </w:pPr>
            <w:r w:rsidRPr="00BE4B34">
              <w:t>Original: English</w:t>
            </w:r>
          </w:p>
        </w:tc>
      </w:tr>
      <w:tr w:rsidR="00BE4B34" w:rsidRPr="00BE4B34" w14:paraId="3A86F06A" w14:textId="77777777" w:rsidTr="00BE4B34">
        <w:trPr>
          <w:cantSplit/>
        </w:trPr>
        <w:tc>
          <w:tcPr>
            <w:tcW w:w="1587" w:type="dxa"/>
            <w:gridSpan w:val="2"/>
          </w:tcPr>
          <w:p w14:paraId="31AB3DC9" w14:textId="0DEF8099" w:rsidR="00BE4B34" w:rsidRPr="00BE4B34" w:rsidRDefault="00BE4B34" w:rsidP="00BE4B34">
            <w:pPr>
              <w:rPr>
                <w:b/>
                <w:bCs/>
              </w:rPr>
            </w:pPr>
            <w:bookmarkStart w:id="3" w:name="dbluepink" w:colFirst="1" w:colLast="1"/>
            <w:bookmarkStart w:id="4" w:name="dmeeting" w:colFirst="2" w:colLast="2"/>
          </w:p>
        </w:tc>
        <w:tc>
          <w:tcPr>
            <w:tcW w:w="4026" w:type="dxa"/>
            <w:gridSpan w:val="3"/>
          </w:tcPr>
          <w:p w14:paraId="116E102E" w14:textId="2D256063" w:rsidR="00BE4B34" w:rsidRPr="00BE4B34" w:rsidRDefault="00BE4B34" w:rsidP="00BE4B34">
            <w:pPr>
              <w:pStyle w:val="TSBHeaderQuestion"/>
            </w:pPr>
          </w:p>
        </w:tc>
        <w:tc>
          <w:tcPr>
            <w:tcW w:w="4026" w:type="dxa"/>
            <w:gridSpan w:val="2"/>
          </w:tcPr>
          <w:p w14:paraId="466F651D" w14:textId="35E65204" w:rsidR="00BE4B34" w:rsidRPr="00BE4B34" w:rsidRDefault="00BE4B34" w:rsidP="00BE4B34">
            <w:pPr>
              <w:pStyle w:val="VenueDate"/>
            </w:pPr>
            <w:r w:rsidRPr="00BE4B34">
              <w:t>Geneva, 26-30 May 2025</w:t>
            </w:r>
          </w:p>
        </w:tc>
      </w:tr>
      <w:tr w:rsidR="00BE4B34" w:rsidRPr="00BE4B34" w14:paraId="5816EC39" w14:textId="77777777" w:rsidTr="00BE4B34">
        <w:trPr>
          <w:cantSplit/>
        </w:trPr>
        <w:tc>
          <w:tcPr>
            <w:tcW w:w="9639" w:type="dxa"/>
            <w:gridSpan w:val="7"/>
          </w:tcPr>
          <w:p w14:paraId="65C1D50B" w14:textId="17590354" w:rsidR="00BE4B34" w:rsidRPr="00BE4B34" w:rsidRDefault="00BE4B34" w:rsidP="00BE4B34">
            <w:pPr>
              <w:jc w:val="center"/>
              <w:rPr>
                <w:b/>
                <w:bCs/>
              </w:rPr>
            </w:pPr>
            <w:bookmarkStart w:id="5" w:name="ddoctype"/>
            <w:bookmarkEnd w:id="3"/>
            <w:bookmarkEnd w:id="4"/>
            <w:r w:rsidRPr="00BE4B34">
              <w:rPr>
                <w:b/>
                <w:bCs/>
              </w:rPr>
              <w:t>TD</w:t>
            </w:r>
            <w:r>
              <w:rPr>
                <w:b/>
                <w:bCs/>
              </w:rPr>
              <w:br/>
            </w:r>
            <w:r w:rsidRPr="009477E9">
              <w:rPr>
                <w:b/>
                <w:bCs/>
              </w:rPr>
              <w:t xml:space="preserve">(Ref.: </w:t>
            </w:r>
            <w:hyperlink r:id="rId12" w:history="1">
              <w:r w:rsidR="00E402EE" w:rsidRPr="009D1DAD">
                <w:rPr>
                  <w:rStyle w:val="Hyperlink"/>
                </w:rPr>
                <w:t xml:space="preserve"> https://www.itu.int/md/R00-CA-CIR-0277/en</w:t>
              </w:r>
              <w:r w:rsidR="00E402EE" w:rsidRPr="00B303A7">
                <w:rPr>
                  <w:b/>
                  <w:bCs/>
                </w:rPr>
                <w:t>)</w:t>
              </w:r>
            </w:hyperlink>
          </w:p>
        </w:tc>
      </w:tr>
      <w:tr w:rsidR="00BE4B34" w:rsidRPr="00BE4B34" w14:paraId="3BF86E9A" w14:textId="77777777" w:rsidTr="00BE4B34">
        <w:trPr>
          <w:cantSplit/>
        </w:trPr>
        <w:tc>
          <w:tcPr>
            <w:tcW w:w="1587" w:type="dxa"/>
            <w:gridSpan w:val="2"/>
          </w:tcPr>
          <w:p w14:paraId="02712FC3" w14:textId="77777777" w:rsidR="00BE4B34" w:rsidRPr="00BE4B34" w:rsidRDefault="00BE4B34" w:rsidP="00BE4B34">
            <w:pPr>
              <w:rPr>
                <w:b/>
                <w:bCs/>
              </w:rPr>
            </w:pPr>
            <w:bookmarkStart w:id="6" w:name="dsource" w:colFirst="1" w:colLast="1"/>
            <w:bookmarkEnd w:id="5"/>
            <w:r w:rsidRPr="00BE4B34">
              <w:rPr>
                <w:b/>
                <w:bCs/>
              </w:rPr>
              <w:t>Source:</w:t>
            </w:r>
          </w:p>
        </w:tc>
        <w:tc>
          <w:tcPr>
            <w:tcW w:w="8052" w:type="dxa"/>
            <w:gridSpan w:val="5"/>
          </w:tcPr>
          <w:p w14:paraId="4B41F247" w14:textId="74DE9E4B" w:rsidR="00BE4B34" w:rsidRPr="00BE4B34" w:rsidRDefault="00BE4B34" w:rsidP="00BE4B34">
            <w:pPr>
              <w:pStyle w:val="TSBHeaderSource"/>
            </w:pPr>
            <w:r w:rsidRPr="00BE4B34">
              <w:t>ITU-</w:t>
            </w:r>
            <w:r w:rsidR="00ED542F">
              <w:t>R</w:t>
            </w:r>
            <w:r>
              <w:t xml:space="preserve"> </w:t>
            </w:r>
            <w:r w:rsidR="00ED542F">
              <w:t>R</w:t>
            </w:r>
            <w:r>
              <w:t>AG</w:t>
            </w:r>
          </w:p>
        </w:tc>
      </w:tr>
      <w:tr w:rsidR="00BE4B34" w:rsidRPr="00BE4B34" w14:paraId="06ADF10F" w14:textId="77777777" w:rsidTr="00BE4B34">
        <w:trPr>
          <w:cantSplit/>
        </w:trPr>
        <w:tc>
          <w:tcPr>
            <w:tcW w:w="1587" w:type="dxa"/>
            <w:gridSpan w:val="2"/>
            <w:tcBorders>
              <w:bottom w:val="single" w:sz="8" w:space="0" w:color="auto"/>
            </w:tcBorders>
          </w:tcPr>
          <w:p w14:paraId="44B7EE80" w14:textId="77777777" w:rsidR="00BE4B34" w:rsidRPr="00BE4B34" w:rsidRDefault="00BE4B34" w:rsidP="00BE4B34">
            <w:pPr>
              <w:rPr>
                <w:b/>
                <w:bCs/>
              </w:rPr>
            </w:pPr>
            <w:bookmarkStart w:id="7" w:name="dtitle1" w:colFirst="1" w:colLast="1"/>
            <w:bookmarkEnd w:id="6"/>
            <w:r w:rsidRPr="00BE4B34">
              <w:rPr>
                <w:b/>
                <w:bCs/>
              </w:rPr>
              <w:t>Title:</w:t>
            </w:r>
          </w:p>
        </w:tc>
        <w:tc>
          <w:tcPr>
            <w:tcW w:w="8052" w:type="dxa"/>
            <w:gridSpan w:val="5"/>
            <w:tcBorders>
              <w:bottom w:val="single" w:sz="8" w:space="0" w:color="auto"/>
            </w:tcBorders>
          </w:tcPr>
          <w:p w14:paraId="5F457532" w14:textId="64037CFB" w:rsidR="00BE4B34" w:rsidRPr="00BE4B34" w:rsidRDefault="001D3FAB" w:rsidP="00BE4B34">
            <w:pPr>
              <w:pStyle w:val="TSBHeaderTitle"/>
            </w:pPr>
            <w:r>
              <w:t>LS/</w:t>
            </w:r>
            <w:r w:rsidR="00167539">
              <w:t>i/</w:t>
            </w:r>
            <w:r>
              <w:t>r</w:t>
            </w:r>
            <w:r w:rsidR="00FF2412" w:rsidRPr="00FF2412">
              <w:t xml:space="preserve"> on the creation of new ITU-T work items and definitions on Terrestrial and satellite Radiocommunication Issues</w:t>
            </w:r>
            <w:r w:rsidR="00396E45">
              <w:t xml:space="preserve"> </w:t>
            </w:r>
            <w:r>
              <w:t xml:space="preserve">(reply to </w:t>
            </w:r>
            <w:r w:rsidR="00733F23">
              <w:t>TSAG-LS52)</w:t>
            </w:r>
            <w:r w:rsidR="00167539">
              <w:t xml:space="preserve"> [from ITU-R RAG]</w:t>
            </w:r>
          </w:p>
        </w:tc>
      </w:tr>
      <w:bookmarkEnd w:id="1"/>
      <w:bookmarkEnd w:id="7"/>
      <w:tr w:rsidR="00BE4B34" w:rsidRPr="00333209" w14:paraId="2A80A85B" w14:textId="77777777" w:rsidTr="00BE4B34">
        <w:tblPrEx>
          <w:tblLook w:val="04A0" w:firstRow="1" w:lastRow="0" w:firstColumn="1" w:lastColumn="0" w:noHBand="0" w:noVBand="1"/>
        </w:tblPrEx>
        <w:trPr>
          <w:cantSplit/>
          <w:trHeight w:val="357"/>
        </w:trPr>
        <w:tc>
          <w:tcPr>
            <w:tcW w:w="9639" w:type="dxa"/>
            <w:gridSpan w:val="7"/>
            <w:tcBorders>
              <w:top w:val="single" w:sz="12" w:space="0" w:color="auto"/>
            </w:tcBorders>
          </w:tcPr>
          <w:p w14:paraId="6C6CF1AF" w14:textId="77777777" w:rsidR="00BE4B34" w:rsidRPr="00333209" w:rsidRDefault="00BE4B34" w:rsidP="007D2281">
            <w:pPr>
              <w:jc w:val="center"/>
              <w:rPr>
                <w:b/>
              </w:rPr>
            </w:pPr>
            <w:r w:rsidRPr="00333209">
              <w:rPr>
                <w:b/>
              </w:rPr>
              <w:t>LIAISON STATEMENT</w:t>
            </w:r>
          </w:p>
        </w:tc>
      </w:tr>
      <w:tr w:rsidR="00BE4B34" w:rsidRPr="009F1CEF" w14:paraId="2340CD0E" w14:textId="77777777" w:rsidTr="00BE4B34">
        <w:tblPrEx>
          <w:tblLook w:val="04A0" w:firstRow="1" w:lastRow="0" w:firstColumn="1" w:lastColumn="0" w:noHBand="0" w:noVBand="1"/>
        </w:tblPrEx>
        <w:trPr>
          <w:cantSplit/>
          <w:trHeight w:val="357"/>
        </w:trPr>
        <w:tc>
          <w:tcPr>
            <w:tcW w:w="2126" w:type="dxa"/>
            <w:gridSpan w:val="4"/>
          </w:tcPr>
          <w:p w14:paraId="24C7868C" w14:textId="77777777" w:rsidR="00BE4B34" w:rsidRPr="00333209" w:rsidRDefault="00BE4B34" w:rsidP="007D2281">
            <w:pPr>
              <w:rPr>
                <w:b/>
                <w:bCs/>
              </w:rPr>
            </w:pPr>
            <w:r w:rsidRPr="00333209">
              <w:rPr>
                <w:b/>
                <w:bCs/>
              </w:rPr>
              <w:t>For action to:</w:t>
            </w:r>
          </w:p>
        </w:tc>
        <w:tc>
          <w:tcPr>
            <w:tcW w:w="7513" w:type="dxa"/>
            <w:gridSpan w:val="3"/>
          </w:tcPr>
          <w:p w14:paraId="15817A62" w14:textId="7B7C0445" w:rsidR="00BE4B34" w:rsidRPr="009F1CEF" w:rsidRDefault="00396E45" w:rsidP="007D2281">
            <w:pPr>
              <w:pStyle w:val="LSForAction"/>
              <w:rPr>
                <w:rFonts w:eastAsiaTheme="minorEastAsia"/>
                <w:lang w:eastAsia="zh-CN"/>
              </w:rPr>
            </w:pPr>
            <w:r>
              <w:t>TSAG</w:t>
            </w:r>
          </w:p>
        </w:tc>
      </w:tr>
      <w:tr w:rsidR="00BE4B34" w:rsidRPr="00333209" w14:paraId="62C8A5E0" w14:textId="77777777" w:rsidTr="00BE4B34">
        <w:tblPrEx>
          <w:tblLook w:val="04A0" w:firstRow="1" w:lastRow="0" w:firstColumn="1" w:lastColumn="0" w:noHBand="0" w:noVBand="1"/>
        </w:tblPrEx>
        <w:trPr>
          <w:cantSplit/>
          <w:trHeight w:val="357"/>
        </w:trPr>
        <w:tc>
          <w:tcPr>
            <w:tcW w:w="2126" w:type="dxa"/>
            <w:gridSpan w:val="4"/>
          </w:tcPr>
          <w:p w14:paraId="0807688F" w14:textId="77777777" w:rsidR="00BE4B34" w:rsidRPr="00333209" w:rsidRDefault="00BE4B34" w:rsidP="007D2281">
            <w:pPr>
              <w:rPr>
                <w:b/>
                <w:bCs/>
              </w:rPr>
            </w:pPr>
            <w:r w:rsidRPr="00333209">
              <w:rPr>
                <w:b/>
                <w:bCs/>
              </w:rPr>
              <w:t>For information to:</w:t>
            </w:r>
          </w:p>
        </w:tc>
        <w:tc>
          <w:tcPr>
            <w:tcW w:w="7513" w:type="dxa"/>
            <w:gridSpan w:val="3"/>
          </w:tcPr>
          <w:p w14:paraId="1F42DA97" w14:textId="7B77C473" w:rsidR="00BE4B34" w:rsidRPr="00333209" w:rsidRDefault="00824B6D" w:rsidP="007D2281">
            <w:pPr>
              <w:pStyle w:val="LSForInfo"/>
              <w:rPr>
                <w:rFonts w:eastAsiaTheme="minorEastAsia"/>
                <w:lang w:eastAsia="zh-CN"/>
              </w:rPr>
            </w:pPr>
            <w:r w:rsidRPr="00FF2412">
              <w:t>ITU-T SG2, SG3 and CCT</w:t>
            </w:r>
          </w:p>
        </w:tc>
      </w:tr>
      <w:tr w:rsidR="00BE4B34" w:rsidRPr="00333209" w14:paraId="0D9928A1" w14:textId="77777777" w:rsidTr="00BE4B34">
        <w:tblPrEx>
          <w:tblLook w:val="04A0" w:firstRow="1" w:lastRow="0" w:firstColumn="1" w:lastColumn="0" w:noHBand="0" w:noVBand="1"/>
        </w:tblPrEx>
        <w:trPr>
          <w:cantSplit/>
          <w:trHeight w:val="357"/>
        </w:trPr>
        <w:tc>
          <w:tcPr>
            <w:tcW w:w="2126" w:type="dxa"/>
            <w:gridSpan w:val="4"/>
          </w:tcPr>
          <w:p w14:paraId="4690661B" w14:textId="77777777" w:rsidR="00BE4B34" w:rsidRPr="00333209" w:rsidRDefault="00BE4B34" w:rsidP="007D2281">
            <w:pPr>
              <w:rPr>
                <w:b/>
                <w:bCs/>
              </w:rPr>
            </w:pPr>
            <w:r w:rsidRPr="00333209">
              <w:rPr>
                <w:b/>
                <w:bCs/>
              </w:rPr>
              <w:t>Approval:</w:t>
            </w:r>
          </w:p>
        </w:tc>
        <w:tc>
          <w:tcPr>
            <w:tcW w:w="7513" w:type="dxa"/>
            <w:gridSpan w:val="3"/>
          </w:tcPr>
          <w:p w14:paraId="2CA9EA95" w14:textId="5C8DA5D4" w:rsidR="00BE4B34" w:rsidRPr="00333209" w:rsidRDefault="00BE4B34" w:rsidP="007D2281">
            <w:r>
              <w:t>ITU-</w:t>
            </w:r>
            <w:r w:rsidR="00FF2412">
              <w:t>R</w:t>
            </w:r>
            <w:r>
              <w:t xml:space="preserve"> </w:t>
            </w:r>
            <w:r w:rsidR="00FF2412">
              <w:t xml:space="preserve">RAG </w:t>
            </w:r>
            <w:r w:rsidRPr="00BE4B34">
              <w:t xml:space="preserve">meeting, </w:t>
            </w:r>
            <w:r w:rsidR="00FF2412">
              <w:t>1</w:t>
            </w:r>
            <w:r w:rsidR="004D6F38">
              <w:t xml:space="preserve">7 April </w:t>
            </w:r>
            <w:r w:rsidRPr="00BE4B34">
              <w:t>202</w:t>
            </w:r>
            <w:r w:rsidR="004D6F38">
              <w:t>5</w:t>
            </w:r>
          </w:p>
        </w:tc>
      </w:tr>
      <w:tr w:rsidR="00BE4B34" w:rsidRPr="00333209" w14:paraId="2DD63793" w14:textId="77777777" w:rsidTr="00BE4B34">
        <w:tblPrEx>
          <w:tblLook w:val="04A0" w:firstRow="1" w:lastRow="0" w:firstColumn="1" w:lastColumn="0" w:noHBand="0" w:noVBand="1"/>
        </w:tblPrEx>
        <w:trPr>
          <w:cantSplit/>
          <w:trHeight w:val="357"/>
        </w:trPr>
        <w:tc>
          <w:tcPr>
            <w:tcW w:w="2126" w:type="dxa"/>
            <w:gridSpan w:val="4"/>
            <w:tcBorders>
              <w:bottom w:val="single" w:sz="12" w:space="0" w:color="auto"/>
            </w:tcBorders>
          </w:tcPr>
          <w:p w14:paraId="47B85B70" w14:textId="77777777" w:rsidR="00BE4B34" w:rsidRPr="00333209" w:rsidRDefault="00BE4B34" w:rsidP="007D2281">
            <w:pPr>
              <w:rPr>
                <w:b/>
                <w:bCs/>
              </w:rPr>
            </w:pPr>
            <w:r w:rsidRPr="00333209">
              <w:rPr>
                <w:b/>
                <w:bCs/>
              </w:rPr>
              <w:t>Deadline:</w:t>
            </w:r>
          </w:p>
        </w:tc>
        <w:tc>
          <w:tcPr>
            <w:tcW w:w="7513" w:type="dxa"/>
            <w:gridSpan w:val="3"/>
            <w:tcBorders>
              <w:bottom w:val="single" w:sz="12" w:space="0" w:color="auto"/>
            </w:tcBorders>
          </w:tcPr>
          <w:p w14:paraId="0698C550" w14:textId="47794581" w:rsidR="00BE4B34" w:rsidRPr="00333209" w:rsidRDefault="00BE4B34" w:rsidP="007D2281">
            <w:pPr>
              <w:pStyle w:val="LSDeadline"/>
            </w:pPr>
            <w:r>
              <w:t>-</w:t>
            </w:r>
          </w:p>
        </w:tc>
      </w:tr>
      <w:tr w:rsidR="00BE4B34" w:rsidRPr="00FA1464" w14:paraId="354E7249" w14:textId="77777777" w:rsidTr="00BE4B34">
        <w:trPr>
          <w:cantSplit/>
        </w:trPr>
        <w:tc>
          <w:tcPr>
            <w:tcW w:w="1606" w:type="dxa"/>
            <w:gridSpan w:val="3"/>
            <w:tcBorders>
              <w:top w:val="single" w:sz="8" w:space="0" w:color="auto"/>
              <w:bottom w:val="single" w:sz="8" w:space="0" w:color="auto"/>
            </w:tcBorders>
          </w:tcPr>
          <w:p w14:paraId="0E1ECE02" w14:textId="77777777" w:rsidR="00BE4B34" w:rsidRPr="00BE4B34" w:rsidRDefault="00BE4B34" w:rsidP="007D2281">
            <w:pPr>
              <w:rPr>
                <w:b/>
                <w:bCs/>
              </w:rPr>
            </w:pPr>
            <w:r w:rsidRPr="00BE4B34">
              <w:rPr>
                <w:b/>
                <w:bCs/>
              </w:rPr>
              <w:t>Contact:</w:t>
            </w:r>
          </w:p>
        </w:tc>
        <w:tc>
          <w:tcPr>
            <w:tcW w:w="4244" w:type="dxa"/>
            <w:gridSpan w:val="3"/>
            <w:tcBorders>
              <w:top w:val="single" w:sz="8" w:space="0" w:color="auto"/>
              <w:bottom w:val="single" w:sz="8" w:space="0" w:color="auto"/>
            </w:tcBorders>
          </w:tcPr>
          <w:p w14:paraId="4ED1E0C4" w14:textId="7FE7D148" w:rsidR="00BE4B34" w:rsidRPr="00BE4B34" w:rsidRDefault="00F1409E" w:rsidP="00CC6537">
            <w:r w:rsidRPr="00F1409E">
              <w:t>Mr Mohammed Aljnoobi (Saudi Arabia)</w:t>
            </w:r>
            <w:r w:rsidR="00CC6537">
              <w:br/>
            </w:r>
            <w:r w:rsidR="00BE4B34" w:rsidRPr="00BE4B34">
              <w:t>Chair</w:t>
            </w:r>
            <w:r>
              <w:t>, RAG</w:t>
            </w:r>
          </w:p>
        </w:tc>
        <w:tc>
          <w:tcPr>
            <w:tcW w:w="3789" w:type="dxa"/>
            <w:tcBorders>
              <w:top w:val="single" w:sz="8" w:space="0" w:color="auto"/>
              <w:bottom w:val="single" w:sz="8" w:space="0" w:color="auto"/>
            </w:tcBorders>
          </w:tcPr>
          <w:p w14:paraId="64A8A853" w14:textId="7BCDECC2" w:rsidR="00BE4B34" w:rsidRPr="00BE4B34" w:rsidRDefault="00BE4B34" w:rsidP="007D2281">
            <w:pPr>
              <w:rPr>
                <w:lang w:val="de-AT"/>
              </w:rPr>
            </w:pPr>
            <w:r w:rsidRPr="00BE4B34">
              <w:rPr>
                <w:lang w:val="de-AT"/>
              </w:rPr>
              <w:t xml:space="preserve">E-mail: </w:t>
            </w:r>
            <w:hyperlink r:id="rId13" w:tgtFrame="_blank" w:tooltip="mailto:mjnoobi@cst.gov.sa" w:history="1">
              <w:r w:rsidR="007D2281" w:rsidRPr="001D3FAB">
                <w:rPr>
                  <w:rStyle w:val="Hyperlink"/>
                  <w:lang w:val="fr-CH"/>
                </w:rPr>
                <w:t>mjnoobi@cst.gov.sa</w:t>
              </w:r>
            </w:hyperlink>
          </w:p>
        </w:tc>
      </w:tr>
      <w:tr w:rsidR="00BE4B34" w:rsidRPr="00FA1464" w14:paraId="5FCD091A" w14:textId="77777777" w:rsidTr="00BE4B34">
        <w:trPr>
          <w:cantSplit/>
        </w:trPr>
        <w:tc>
          <w:tcPr>
            <w:tcW w:w="1606" w:type="dxa"/>
            <w:gridSpan w:val="3"/>
            <w:tcBorders>
              <w:top w:val="single" w:sz="8" w:space="0" w:color="auto"/>
              <w:bottom w:val="single" w:sz="8" w:space="0" w:color="auto"/>
            </w:tcBorders>
          </w:tcPr>
          <w:p w14:paraId="1D833735" w14:textId="77777777" w:rsidR="00BE4B34" w:rsidRPr="00BE4B34" w:rsidRDefault="00BE4B34" w:rsidP="007D2281">
            <w:pPr>
              <w:rPr>
                <w:b/>
                <w:bCs/>
              </w:rPr>
            </w:pPr>
            <w:r w:rsidRPr="00BE4B34">
              <w:rPr>
                <w:b/>
                <w:bCs/>
              </w:rPr>
              <w:t>Contact:</w:t>
            </w:r>
          </w:p>
        </w:tc>
        <w:tc>
          <w:tcPr>
            <w:tcW w:w="4244" w:type="dxa"/>
            <w:gridSpan w:val="3"/>
            <w:tcBorders>
              <w:top w:val="single" w:sz="8" w:space="0" w:color="auto"/>
              <w:bottom w:val="single" w:sz="8" w:space="0" w:color="auto"/>
            </w:tcBorders>
          </w:tcPr>
          <w:p w14:paraId="4DE9BA2E" w14:textId="175E650B" w:rsidR="00BE4B34" w:rsidRPr="00BE4B34" w:rsidRDefault="00F1409E" w:rsidP="007D2281">
            <w:pPr>
              <w:rPr>
                <w:rFonts w:eastAsia="SimSun"/>
                <w:lang w:eastAsia="zh-CN"/>
              </w:rPr>
            </w:pPr>
            <w:r>
              <w:t>Mr Sergio Buonomo</w:t>
            </w:r>
            <w:r>
              <w:br/>
              <w:t>Chief, Study Groups Department</w:t>
            </w:r>
            <w:r w:rsidR="00BE4B34" w:rsidRPr="00BE4B34">
              <w:br/>
            </w:r>
            <w:r w:rsidR="004D6F38">
              <w:t>Radio</w:t>
            </w:r>
            <w:r w:rsidR="00BE4B34" w:rsidRPr="00BE4B34">
              <w:t>communication Bureau</w:t>
            </w:r>
          </w:p>
        </w:tc>
        <w:tc>
          <w:tcPr>
            <w:tcW w:w="3789" w:type="dxa"/>
            <w:tcBorders>
              <w:top w:val="single" w:sz="8" w:space="0" w:color="auto"/>
              <w:bottom w:val="single" w:sz="8" w:space="0" w:color="auto"/>
            </w:tcBorders>
          </w:tcPr>
          <w:p w14:paraId="1A984CF5" w14:textId="251631F4" w:rsidR="00BE4B34" w:rsidRPr="00BE4B34" w:rsidRDefault="00BE4B34" w:rsidP="007D2281">
            <w:pPr>
              <w:rPr>
                <w:lang w:val="fr-CH"/>
              </w:rPr>
            </w:pPr>
            <w:r w:rsidRPr="00BE4B34">
              <w:rPr>
                <w:lang w:val="de-AT"/>
              </w:rPr>
              <w:t xml:space="preserve">E-mail: </w:t>
            </w:r>
            <w:hyperlink r:id="rId14" w:history="1">
              <w:r w:rsidR="00BA77CE" w:rsidRPr="001D3FAB">
                <w:rPr>
                  <w:rStyle w:val="Hyperlink"/>
                  <w:rFonts w:cs="Times New Roman Bold"/>
                  <w:lang w:val="fr-CH"/>
                </w:rPr>
                <w:t>sergio.buonomo@itu.int</w:t>
              </w:r>
            </w:hyperlink>
          </w:p>
        </w:tc>
      </w:tr>
    </w:tbl>
    <w:p w14:paraId="7BE2AAAF" w14:textId="77777777" w:rsidR="00932746" w:rsidRPr="00BE4B34" w:rsidRDefault="00932746" w:rsidP="00932746">
      <w:pPr>
        <w:rPr>
          <w:lang w:val="de-AT"/>
        </w:rPr>
      </w:pPr>
    </w:p>
    <w:p w14:paraId="184DEF45" w14:textId="3945283C" w:rsidR="00932746" w:rsidRDefault="00BE4B34" w:rsidP="00932746">
      <w:r>
        <w:t>Please see below.</w:t>
      </w:r>
    </w:p>
    <w:p w14:paraId="00E0F393" w14:textId="77777777" w:rsidR="00932746" w:rsidRDefault="00932746" w:rsidP="00932746">
      <w:pPr>
        <w:spacing w:before="0"/>
        <w:jc w:val="center"/>
      </w:pPr>
    </w:p>
    <w:p w14:paraId="1F369468" w14:textId="77777777" w:rsidR="00932746" w:rsidRDefault="00932746">
      <w:r>
        <w:br w:type="page"/>
      </w:r>
    </w:p>
    <w:p w14:paraId="0F4DEE2F" w14:textId="65C782E0" w:rsidR="003B4031" w:rsidRPr="002E0149" w:rsidRDefault="003B4031" w:rsidP="003B403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center"/>
        <w:rPr>
          <w:b/>
        </w:rPr>
      </w:pPr>
      <w:r w:rsidRPr="002E0149">
        <w:rPr>
          <w:b/>
        </w:rPr>
        <w:lastRenderedPageBreak/>
        <w:t xml:space="preserve">Reply Liaison Statement to TSAG (copy to ITU-T SG2, SG3 and CCT) on the </w:t>
      </w:r>
      <w:r w:rsidRPr="002E0149">
        <w:rPr>
          <w:b/>
        </w:rPr>
        <w:br/>
        <w:t>Creation of New ITU-T Work Items and Definitions on Terrestrial and Satellite Radiocommunication Issues</w:t>
      </w:r>
    </w:p>
    <w:p w14:paraId="3BB737EC" w14:textId="77777777" w:rsidR="003B4031" w:rsidRDefault="003B4031" w:rsidP="003B403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b/>
        </w:rPr>
      </w:pPr>
    </w:p>
    <w:p w14:paraId="7EE93112" w14:textId="77777777" w:rsidR="003B4031" w:rsidRDefault="003B4031" w:rsidP="003B4031">
      <w:r>
        <w:t>During its 32</w:t>
      </w:r>
      <w:r w:rsidRPr="001B7F21">
        <w:rPr>
          <w:vertAlign w:val="superscript"/>
        </w:rPr>
        <w:t>nd</w:t>
      </w:r>
      <w:r>
        <w:t xml:space="preserve"> Meeting held in April 2025, RAG considered numerous liaison statements relating to ITU-T new work items and definitions on terrestrial and satellite radiocommunication issues such as </w:t>
      </w:r>
      <w:r w:rsidRPr="00847B82">
        <w:t>International Mobile Telecommunications (IMT) (</w:t>
      </w:r>
      <w:hyperlink r:id="rId15" w:history="1">
        <w:r>
          <w:rPr>
            <w:rStyle w:val="Hyperlink"/>
          </w:rPr>
          <w:t>RAG/</w:t>
        </w:r>
        <w:r w:rsidRPr="00847B82">
          <w:rPr>
            <w:rStyle w:val="Hyperlink"/>
          </w:rPr>
          <w:t>25</w:t>
        </w:r>
      </w:hyperlink>
      <w:r w:rsidRPr="00847B82">
        <w:t xml:space="preserve">, </w:t>
      </w:r>
      <w:hyperlink r:id="rId16" w:history="1">
        <w:r>
          <w:rPr>
            <w:rStyle w:val="Hyperlink"/>
          </w:rPr>
          <w:t>RAG/</w:t>
        </w:r>
        <w:r w:rsidRPr="00847B82">
          <w:rPr>
            <w:rStyle w:val="Hyperlink"/>
          </w:rPr>
          <w:t>28</w:t>
        </w:r>
      </w:hyperlink>
      <w:r w:rsidRPr="00847B82">
        <w:t xml:space="preserve">, and </w:t>
      </w:r>
      <w:hyperlink r:id="rId17" w:history="1">
        <w:r>
          <w:rPr>
            <w:rStyle w:val="Hyperlink"/>
          </w:rPr>
          <w:t>RAG/</w:t>
        </w:r>
        <w:r w:rsidRPr="00847B82">
          <w:rPr>
            <w:rStyle w:val="Hyperlink"/>
          </w:rPr>
          <w:t>29</w:t>
        </w:r>
      </w:hyperlink>
      <w:r w:rsidRPr="00847B82">
        <w:t>), unmanned aerial vehicles (</w:t>
      </w:r>
      <w:hyperlink r:id="rId18" w:history="1">
        <w:r>
          <w:rPr>
            <w:rStyle w:val="Hyperlink"/>
          </w:rPr>
          <w:t>RAG/</w:t>
        </w:r>
        <w:r w:rsidRPr="00847B82">
          <w:rPr>
            <w:rStyle w:val="Hyperlink"/>
          </w:rPr>
          <w:t>17</w:t>
        </w:r>
      </w:hyperlink>
      <w:r w:rsidRPr="00847B82">
        <w:t xml:space="preserve"> and </w:t>
      </w:r>
      <w:hyperlink r:id="rId19" w:history="1">
        <w:r>
          <w:rPr>
            <w:rStyle w:val="Hyperlink"/>
          </w:rPr>
          <w:t>RAG/</w:t>
        </w:r>
        <w:r w:rsidRPr="00847B82">
          <w:rPr>
            <w:rStyle w:val="Hyperlink"/>
          </w:rPr>
          <w:t>32</w:t>
        </w:r>
      </w:hyperlink>
      <w:r w:rsidRPr="00847B82">
        <w:t>), and retail satellite connectivity (</w:t>
      </w:r>
      <w:hyperlink r:id="rId20" w:history="1">
        <w:r>
          <w:rPr>
            <w:rStyle w:val="Hyperlink"/>
          </w:rPr>
          <w:t>RAG/</w:t>
        </w:r>
        <w:r w:rsidRPr="00847B82">
          <w:rPr>
            <w:rStyle w:val="Hyperlink"/>
          </w:rPr>
          <w:t>19</w:t>
        </w:r>
      </w:hyperlink>
      <w:r w:rsidRPr="00847B82">
        <w:t xml:space="preserve"> and </w:t>
      </w:r>
      <w:hyperlink r:id="rId21" w:history="1">
        <w:r>
          <w:rPr>
            <w:rStyle w:val="Hyperlink"/>
          </w:rPr>
          <w:t>RAG/</w:t>
        </w:r>
        <w:r w:rsidRPr="00847B82">
          <w:rPr>
            <w:rStyle w:val="Hyperlink"/>
          </w:rPr>
          <w:t>26</w:t>
        </w:r>
      </w:hyperlink>
      <w:r w:rsidRPr="00847B82">
        <w:t xml:space="preserve">) </w:t>
      </w:r>
      <w:r>
        <w:t xml:space="preserve">where there is </w:t>
      </w:r>
      <w:r w:rsidRPr="00847B82">
        <w:t xml:space="preserve">overlap with the scope of the ITU-R on technical and regulatory matters related to radiocommunications.  </w:t>
      </w:r>
    </w:p>
    <w:p w14:paraId="530C85A9" w14:textId="77777777" w:rsidR="003B4031" w:rsidRPr="005D3A46" w:rsidRDefault="003B4031" w:rsidP="003B4031">
      <w:r>
        <w:t>RAG also considered and appreciated several liaison statements from ITU-T on steps that they are already taking to address this overlap with ITU-R (</w:t>
      </w:r>
      <w:hyperlink r:id="rId22">
        <w:r w:rsidRPr="3FB55294">
          <w:rPr>
            <w:rStyle w:val="Hyperlink"/>
          </w:rPr>
          <w:t>RAG/22</w:t>
        </w:r>
      </w:hyperlink>
      <w:r>
        <w:t xml:space="preserve"> and </w:t>
      </w:r>
      <w:hyperlink r:id="rId23">
        <w:r w:rsidRPr="3FB55294">
          <w:rPr>
            <w:rStyle w:val="Hyperlink"/>
          </w:rPr>
          <w:t>RAG/46</w:t>
        </w:r>
      </w:hyperlink>
      <w:r>
        <w:t>).</w:t>
      </w:r>
    </w:p>
    <w:p w14:paraId="227083A1" w14:textId="77777777" w:rsidR="003B4031" w:rsidRDefault="003B4031" w:rsidP="003B4031">
      <w:pPr>
        <w:rPr>
          <w:bCs/>
        </w:rPr>
      </w:pPr>
      <w:r>
        <w:t>As it has previously concluded, “</w:t>
      </w:r>
      <w:r w:rsidRPr="00951FB6">
        <w:rPr>
          <w:rFonts w:eastAsia="Calibri" w:cs="Arial"/>
        </w:rPr>
        <w:t>RAG is very concerned about the growing trend in ITU-T</w:t>
      </w:r>
      <w:r>
        <w:rPr>
          <w:rFonts w:eastAsia="Calibri" w:cs="Arial"/>
        </w:rPr>
        <w:t xml:space="preserve"> of</w:t>
      </w:r>
      <w:r w:rsidRPr="00951FB6">
        <w:rPr>
          <w:rFonts w:eastAsia="Calibri" w:cs="Arial"/>
        </w:rPr>
        <w:t xml:space="preserve"> addressing matters that are uniquely within the mandates of ITU-R Study Groups</w:t>
      </w:r>
      <w:r>
        <w:rPr>
          <w:rFonts w:eastAsia="Calibri" w:cs="Arial"/>
        </w:rPr>
        <w:t>” and “</w:t>
      </w:r>
      <w:r w:rsidRPr="00951FB6">
        <w:rPr>
          <w:rFonts w:eastAsia="Calibri" w:cs="Arial"/>
        </w:rPr>
        <w:t>stresses that both the ITU-T and ITU-R should avoid initiating any work that is clearly within the mandate of the other sector</w:t>
      </w:r>
      <w:r>
        <w:rPr>
          <w:rFonts w:eastAsia="Calibri" w:cs="Arial"/>
        </w:rPr>
        <w:t>” (</w:t>
      </w:r>
      <w:r w:rsidRPr="003E0E54">
        <w:t xml:space="preserve">see </w:t>
      </w:r>
      <w:r w:rsidRPr="003E0E54">
        <w:rPr>
          <w:bCs/>
        </w:rPr>
        <w:t xml:space="preserve">§ 10 </w:t>
      </w:r>
      <w:r>
        <w:rPr>
          <w:bCs/>
        </w:rPr>
        <w:t>of</w:t>
      </w:r>
      <w:r w:rsidRPr="003E0E54">
        <w:rPr>
          <w:bCs/>
        </w:rPr>
        <w:t xml:space="preserve"> </w:t>
      </w:r>
      <w:r w:rsidRPr="003E0E54">
        <w:t xml:space="preserve">Administrative Circular </w:t>
      </w:r>
      <w:hyperlink r:id="rId24" w:history="1">
        <w:r w:rsidRPr="003E0E54">
          <w:rPr>
            <w:bCs/>
            <w:color w:val="0563C1" w:themeColor="hyperlink"/>
            <w:u w:val="single"/>
          </w:rPr>
          <w:t>CA/267</w:t>
        </w:r>
      </w:hyperlink>
      <w:r>
        <w:rPr>
          <w:bCs/>
        </w:rPr>
        <w:t xml:space="preserve">, from the May 2023 RAG meeting).  </w:t>
      </w:r>
    </w:p>
    <w:p w14:paraId="51768C28" w14:textId="77777777" w:rsidR="003B4031" w:rsidRDefault="003B4031" w:rsidP="003B4031">
      <w:r w:rsidRPr="3FB55294">
        <w:t xml:space="preserve">Furthermore,  RAG welcomes the conclusion of TSAG in </w:t>
      </w:r>
      <w:hyperlink r:id="rId25">
        <w:r w:rsidRPr="3FB55294">
          <w:rPr>
            <w:rStyle w:val="Hyperlink"/>
          </w:rPr>
          <w:t>RAG/22</w:t>
        </w:r>
      </w:hyperlink>
      <w:r w:rsidRPr="3FB55294">
        <w:t xml:space="preserve"> that “TSAG therefore urges all ITU Study Groups to engage with relevant ITU-R Study Groups and Working Parties to carry out necessary cooperation and coordination as stipulated in CV197F and Resolution 18 (WTSA, Geneva 2022) before initiating study on any work item such as UAV, satellite and propagation topics which  might have an impact on terrestrial and space radiocommunication services.” RAG also notes that IMT is such a topic.</w:t>
      </w:r>
    </w:p>
    <w:p w14:paraId="4BEBBE1C" w14:textId="77777777" w:rsidR="003B4031" w:rsidRDefault="003B4031" w:rsidP="003B4031">
      <w:r>
        <w:t xml:space="preserve">RAG requests TSAG and the ITU-T Study Groups to remain within their mandates on telecommunication standardization other than radio spectrum and orbital resources and take further steps to avoid the potential for overlap of the ITU-T sector into the work of the ITU-R sector on technical and regulatory matters related to radiocommunications.  RAG requests that TSAG review the items above and provide appropriate guidance to the concerned ITU-T Study Groups so as to avoid any work that is within the scope of the ITU-R.  </w:t>
      </w:r>
    </w:p>
    <w:p w14:paraId="2DE9215F" w14:textId="77777777" w:rsidR="003B4031" w:rsidRDefault="003B4031" w:rsidP="003B4031">
      <w:r w:rsidRPr="008A5AFF">
        <w:t>RAG also recommends that the ITU-T use more precise wording within the scope of the ITU-T sector to avoid overlap with the ITU-R. When using a term that is in the Radio Regulations, ITU-T should ensure that its usage is consistent with the Radio Regulations.</w:t>
      </w:r>
      <w:r>
        <w:t xml:space="preserve"> As regards the proposals for a new term, “UAV telecom service”, the RAG draw the attention of ITU-T and TSAG to the fact that this term overlaps with the terminology of the Radio Regulations, and to a certain degree contradicts it.</w:t>
      </w:r>
    </w:p>
    <w:p w14:paraId="63B2143F" w14:textId="77777777" w:rsidR="003B4031" w:rsidRPr="00FF68DA" w:rsidRDefault="003B4031" w:rsidP="003B4031">
      <w:r>
        <w:t xml:space="preserve">Furthermore, when sending liaison statements to the ITU-R, ITU-T Study Groups and Working Parties should send such statements to their counterpart ITU-R Study Groups or Working Parties for consideration of potential overlap or area of collaboration before raising the matter to </w:t>
      </w:r>
      <w:r w:rsidRPr="00AD4184">
        <w:t>RAG.</w:t>
      </w:r>
      <w:r>
        <w:t xml:space="preserve">  </w:t>
      </w:r>
      <w:r w:rsidRPr="00AD4184">
        <w:t>RAG also requests that TSAG advise the ITU-T Study Groups to allocate adequate time if responses are being sought from ITU-R Study Groups before</w:t>
      </w:r>
      <w:r w:rsidRPr="00E847D0">
        <w:t xml:space="preserve"> final approval of new work items or definitions.</w:t>
      </w:r>
    </w:p>
    <w:p w14:paraId="41BFB3D1" w14:textId="77777777" w:rsidR="003B4031" w:rsidRDefault="003B4031" w:rsidP="003B4031">
      <w:pPr>
        <w:rPr>
          <w:rFonts w:eastAsia="Calibri"/>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00"/>
      </w:tblGrid>
      <w:tr w:rsidR="003B4031" w:rsidRPr="00F67716" w14:paraId="3A87AECB" w14:textId="77777777" w:rsidTr="007D2281">
        <w:tc>
          <w:tcPr>
            <w:tcW w:w="9629" w:type="dxa"/>
            <w:gridSpan w:val="2"/>
          </w:tcPr>
          <w:p w14:paraId="72622739" w14:textId="77777777" w:rsidR="003B4031" w:rsidRPr="00F67716" w:rsidRDefault="003B4031" w:rsidP="007D2281">
            <w:pPr>
              <w:keepNext/>
              <w:spacing w:after="120"/>
              <w:rPr>
                <w:b/>
                <w:bCs/>
              </w:rPr>
            </w:pPr>
            <w:r w:rsidRPr="00F67716">
              <w:rPr>
                <w:b/>
                <w:bCs/>
              </w:rPr>
              <w:t>Status:</w:t>
            </w:r>
            <w:r w:rsidRPr="00F67716">
              <w:rPr>
                <w:b/>
                <w:bCs/>
              </w:rPr>
              <w:tab/>
            </w:r>
            <w:r>
              <w:rPr>
                <w:b/>
                <w:bCs/>
              </w:rPr>
              <w:t xml:space="preserve">      </w:t>
            </w:r>
            <w:r w:rsidRPr="00F67716">
              <w:t xml:space="preserve">For </w:t>
            </w:r>
            <w:r>
              <w:t>action</w:t>
            </w:r>
          </w:p>
        </w:tc>
      </w:tr>
      <w:tr w:rsidR="003B4031" w:rsidRPr="00F67716" w14:paraId="22AB0DE4" w14:textId="77777777" w:rsidTr="007D2281">
        <w:tc>
          <w:tcPr>
            <w:tcW w:w="5529" w:type="dxa"/>
            <w:hideMark/>
          </w:tcPr>
          <w:p w14:paraId="0249699B" w14:textId="77777777" w:rsidR="003B4031" w:rsidRPr="00F67716" w:rsidRDefault="003B4031" w:rsidP="007D2281">
            <w:pPr>
              <w:keepNext/>
              <w:spacing w:after="120"/>
              <w:ind w:left="1134" w:hanging="1134"/>
            </w:pPr>
            <w:r w:rsidRPr="00F67716">
              <w:rPr>
                <w:b/>
                <w:bCs/>
              </w:rPr>
              <w:t>Contact:</w:t>
            </w:r>
            <w:r w:rsidRPr="00F67716">
              <w:tab/>
            </w:r>
            <w:r w:rsidRPr="009D1CB3">
              <w:t>Sergio B</w:t>
            </w:r>
            <w:r>
              <w:t>uo</w:t>
            </w:r>
            <w:r w:rsidRPr="009D1CB3">
              <w:t>nomo</w:t>
            </w:r>
          </w:p>
        </w:tc>
        <w:tc>
          <w:tcPr>
            <w:tcW w:w="4100" w:type="dxa"/>
            <w:hideMark/>
          </w:tcPr>
          <w:p w14:paraId="55651A34" w14:textId="77777777" w:rsidR="003B4031" w:rsidRPr="00F67716" w:rsidRDefault="003B4031" w:rsidP="007D2281">
            <w:pPr>
              <w:keepNext/>
              <w:spacing w:after="120"/>
            </w:pPr>
            <w:r w:rsidRPr="00F67716">
              <w:rPr>
                <w:b/>
                <w:bCs/>
              </w:rPr>
              <w:t>E-mail:</w:t>
            </w:r>
            <w:r w:rsidRPr="00F67716">
              <w:tab/>
            </w:r>
            <w:hyperlink r:id="rId26" w:history="1">
              <w:r w:rsidRPr="00B85619">
                <w:rPr>
                  <w:rStyle w:val="Hyperlink"/>
                </w:rPr>
                <w:t>Sergio.Buonomo@itu.int</w:t>
              </w:r>
            </w:hyperlink>
          </w:p>
        </w:tc>
      </w:tr>
    </w:tbl>
    <w:p w14:paraId="7F627137" w14:textId="77777777" w:rsidR="001C3F48" w:rsidRDefault="001C3F48" w:rsidP="003B4031">
      <w:pPr>
        <w:jc w:val="both"/>
      </w:pPr>
    </w:p>
    <w:p w14:paraId="5BB6044C" w14:textId="43ABBD02" w:rsidR="00B303A7" w:rsidRDefault="00B303A7" w:rsidP="00B303A7">
      <w:pPr>
        <w:jc w:val="center"/>
      </w:pPr>
      <w:r>
        <w:t>_______________</w:t>
      </w:r>
    </w:p>
    <w:sectPr w:rsidR="00B303A7" w:rsidSect="00BE4B34">
      <w:headerReference w:type="default" r:id="rId27"/>
      <w:pgSz w:w="11907" w:h="16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18A5B" w14:textId="77777777" w:rsidR="00E70F0B" w:rsidRDefault="00E70F0B">
      <w:pPr>
        <w:spacing w:before="0"/>
      </w:pPr>
      <w:r>
        <w:separator/>
      </w:r>
    </w:p>
  </w:endnote>
  <w:endnote w:type="continuationSeparator" w:id="0">
    <w:p w14:paraId="218E2575" w14:textId="77777777" w:rsidR="00E70F0B" w:rsidRDefault="00E70F0B">
      <w:pPr>
        <w:spacing w:before="0"/>
      </w:pPr>
      <w:r>
        <w:continuationSeparator/>
      </w:r>
    </w:p>
  </w:endnote>
  <w:endnote w:type="continuationNotice" w:id="1">
    <w:p w14:paraId="58883796" w14:textId="77777777" w:rsidR="00E70F0B" w:rsidRDefault="00E70F0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28657" w14:textId="77777777" w:rsidR="00E70F0B" w:rsidRDefault="00E70F0B">
      <w:pPr>
        <w:spacing w:before="0"/>
      </w:pPr>
      <w:r>
        <w:separator/>
      </w:r>
    </w:p>
  </w:footnote>
  <w:footnote w:type="continuationSeparator" w:id="0">
    <w:p w14:paraId="2CA1DDB7" w14:textId="77777777" w:rsidR="00E70F0B" w:rsidRDefault="00E70F0B">
      <w:pPr>
        <w:spacing w:before="0"/>
      </w:pPr>
      <w:r>
        <w:continuationSeparator/>
      </w:r>
    </w:p>
  </w:footnote>
  <w:footnote w:type="continuationNotice" w:id="1">
    <w:p w14:paraId="5DF155E7" w14:textId="77777777" w:rsidR="00E70F0B" w:rsidRDefault="00E70F0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DC27" w14:textId="77777777" w:rsidR="002761F5" w:rsidRDefault="00FA1464" w:rsidP="002761F5">
    <w:pPr>
      <w:pStyle w:val="Header"/>
      <w:rPr>
        <w:noProof/>
      </w:rPr>
    </w:pPr>
    <w:sdt>
      <w:sdtPr>
        <w:id w:val="586744840"/>
        <w:docPartObj>
          <w:docPartGallery w:val="Page Numbers (Top of Page)"/>
          <w:docPartUnique/>
        </w:docPartObj>
      </w:sdtPr>
      <w:sdtEndPr>
        <w:rPr>
          <w:noProof/>
        </w:rPr>
      </w:sdtEndPr>
      <w:sdtContent>
        <w:r w:rsidR="002761F5">
          <w:rPr>
            <w:noProof/>
          </w:rPr>
          <w:t>-</w:t>
        </w:r>
        <w:r w:rsidR="002761F5">
          <w:t xml:space="preserve"> </w:t>
        </w:r>
        <w:r w:rsidR="002761F5">
          <w:fldChar w:fldCharType="begin"/>
        </w:r>
        <w:r w:rsidR="002761F5">
          <w:instrText xml:space="preserve"> PAGE   \* MERGEFORMAT </w:instrText>
        </w:r>
        <w:r w:rsidR="002761F5">
          <w:fldChar w:fldCharType="separate"/>
        </w:r>
        <w:r w:rsidR="002761F5">
          <w:t>3</w:t>
        </w:r>
        <w:r w:rsidR="002761F5">
          <w:rPr>
            <w:noProof/>
          </w:rPr>
          <w:fldChar w:fldCharType="end"/>
        </w:r>
      </w:sdtContent>
    </w:sdt>
    <w:r w:rsidR="002761F5">
      <w:rPr>
        <w:noProof/>
      </w:rPr>
      <w:t xml:space="preserve"> -</w:t>
    </w:r>
  </w:p>
  <w:p w14:paraId="3DEF61FD" w14:textId="532DE85C" w:rsidR="002761F5" w:rsidRPr="00C740E1" w:rsidRDefault="002761F5" w:rsidP="002761F5">
    <w:pPr>
      <w:pStyle w:val="Header"/>
      <w:spacing w:after="240"/>
      <w:rPr>
        <w:lang w:val="en-US"/>
      </w:rPr>
    </w:pPr>
    <w:r>
      <w:rPr>
        <w:noProof/>
      </w:rPr>
      <w:t>TSAG-TD</w:t>
    </w:r>
    <w:r w:rsidR="00B303A7">
      <w:rPr>
        <w:noProof/>
      </w:rPr>
      <w:t>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11A80528"/>
    <w:multiLevelType w:val="hybridMultilevel"/>
    <w:tmpl w:val="72827F5E"/>
    <w:lvl w:ilvl="0" w:tplc="1000000F">
      <w:start w:val="1"/>
      <w:numFmt w:val="decimal"/>
      <w:lvlText w:val="%1."/>
      <w:lvlJc w:val="left"/>
      <w:pPr>
        <w:ind w:left="360" w:hanging="360"/>
      </w:pPr>
    </w:lvl>
    <w:lvl w:ilvl="1" w:tplc="10000001">
      <w:start w:val="1"/>
      <w:numFmt w:val="bullet"/>
      <w:lvlText w:val=""/>
      <w:lvlJc w:val="left"/>
      <w:pPr>
        <w:ind w:left="1080" w:hanging="360"/>
      </w:pPr>
      <w:rPr>
        <w:rFonts w:ascii="Symbol" w:hAnsi="Symbol" w:hint="default"/>
      </w:rPr>
    </w:lvl>
    <w:lvl w:ilvl="2" w:tplc="1000001B">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16cid:durableId="1101952559">
    <w:abstractNumId w:val="3"/>
  </w:num>
  <w:num w:numId="2" w16cid:durableId="1776094839">
    <w:abstractNumId w:val="5"/>
  </w:num>
  <w:num w:numId="3" w16cid:durableId="629243166">
    <w:abstractNumId w:val="8"/>
  </w:num>
  <w:num w:numId="4" w16cid:durableId="1951278267">
    <w:abstractNumId w:val="9"/>
  </w:num>
  <w:num w:numId="5" w16cid:durableId="1983382669">
    <w:abstractNumId w:val="6"/>
  </w:num>
  <w:num w:numId="6" w16cid:durableId="1143472275">
    <w:abstractNumId w:val="2"/>
  </w:num>
  <w:num w:numId="7" w16cid:durableId="456140055">
    <w:abstractNumId w:val="7"/>
  </w:num>
  <w:num w:numId="8" w16cid:durableId="682585529">
    <w:abstractNumId w:val="4"/>
  </w:num>
  <w:num w:numId="9" w16cid:durableId="922682426">
    <w:abstractNumId w:val="1"/>
  </w:num>
  <w:num w:numId="10" w16cid:durableId="95291119">
    <w:abstractNumId w:val="0"/>
  </w:num>
  <w:num w:numId="11" w16cid:durableId="795565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1A"/>
    <w:rsid w:val="00013125"/>
    <w:rsid w:val="00014F69"/>
    <w:rsid w:val="000171DB"/>
    <w:rsid w:val="00023D9A"/>
    <w:rsid w:val="00027FED"/>
    <w:rsid w:val="00031C9B"/>
    <w:rsid w:val="0003582E"/>
    <w:rsid w:val="00043D75"/>
    <w:rsid w:val="00057000"/>
    <w:rsid w:val="00061268"/>
    <w:rsid w:val="0006224D"/>
    <w:rsid w:val="000640E0"/>
    <w:rsid w:val="000920CE"/>
    <w:rsid w:val="000966A8"/>
    <w:rsid w:val="000A5CA2"/>
    <w:rsid w:val="000B22C6"/>
    <w:rsid w:val="000B739D"/>
    <w:rsid w:val="000C397B"/>
    <w:rsid w:val="000E303F"/>
    <w:rsid w:val="000E6125"/>
    <w:rsid w:val="00113DBE"/>
    <w:rsid w:val="001200A6"/>
    <w:rsid w:val="00122984"/>
    <w:rsid w:val="00124A40"/>
    <w:rsid w:val="001251DA"/>
    <w:rsid w:val="00125432"/>
    <w:rsid w:val="00136A04"/>
    <w:rsid w:val="00136DDD"/>
    <w:rsid w:val="00137F40"/>
    <w:rsid w:val="001410FD"/>
    <w:rsid w:val="00144BDF"/>
    <w:rsid w:val="00155DDC"/>
    <w:rsid w:val="00161830"/>
    <w:rsid w:val="00167539"/>
    <w:rsid w:val="0017170B"/>
    <w:rsid w:val="00186213"/>
    <w:rsid w:val="001871EC"/>
    <w:rsid w:val="00190928"/>
    <w:rsid w:val="001A20C3"/>
    <w:rsid w:val="001A670F"/>
    <w:rsid w:val="001B3A24"/>
    <w:rsid w:val="001B6A45"/>
    <w:rsid w:val="001C3F48"/>
    <w:rsid w:val="001C62B8"/>
    <w:rsid w:val="001D22D8"/>
    <w:rsid w:val="001D3FAB"/>
    <w:rsid w:val="001D4296"/>
    <w:rsid w:val="001E01F8"/>
    <w:rsid w:val="001E7B0E"/>
    <w:rsid w:val="001F141D"/>
    <w:rsid w:val="00200310"/>
    <w:rsid w:val="00200A06"/>
    <w:rsid w:val="00200A98"/>
    <w:rsid w:val="00201AFA"/>
    <w:rsid w:val="002229F1"/>
    <w:rsid w:val="00233F75"/>
    <w:rsid w:val="0023590C"/>
    <w:rsid w:val="00236F3D"/>
    <w:rsid w:val="00253DBE"/>
    <w:rsid w:val="00253DC6"/>
    <w:rsid w:val="0025489C"/>
    <w:rsid w:val="00260BAD"/>
    <w:rsid w:val="002622FA"/>
    <w:rsid w:val="00263518"/>
    <w:rsid w:val="00263B33"/>
    <w:rsid w:val="00271BD7"/>
    <w:rsid w:val="002759E7"/>
    <w:rsid w:val="002760EE"/>
    <w:rsid w:val="002761F5"/>
    <w:rsid w:val="00277326"/>
    <w:rsid w:val="002A11C4"/>
    <w:rsid w:val="002A399B"/>
    <w:rsid w:val="002B3243"/>
    <w:rsid w:val="002C26C0"/>
    <w:rsid w:val="002C2BC5"/>
    <w:rsid w:val="002C502A"/>
    <w:rsid w:val="002C5CC0"/>
    <w:rsid w:val="002C71BB"/>
    <w:rsid w:val="002D6447"/>
    <w:rsid w:val="002E0149"/>
    <w:rsid w:val="002E0407"/>
    <w:rsid w:val="002E3C52"/>
    <w:rsid w:val="002E4F1D"/>
    <w:rsid w:val="002E79CB"/>
    <w:rsid w:val="002F4181"/>
    <w:rsid w:val="002F5070"/>
    <w:rsid w:val="002F7F55"/>
    <w:rsid w:val="003039D6"/>
    <w:rsid w:val="0030745F"/>
    <w:rsid w:val="00314630"/>
    <w:rsid w:val="00314BE4"/>
    <w:rsid w:val="0032090A"/>
    <w:rsid w:val="00321CDE"/>
    <w:rsid w:val="00322BF9"/>
    <w:rsid w:val="00331A1D"/>
    <w:rsid w:val="00333E15"/>
    <w:rsid w:val="003449F4"/>
    <w:rsid w:val="00345378"/>
    <w:rsid w:val="003571BC"/>
    <w:rsid w:val="0036090C"/>
    <w:rsid w:val="00361116"/>
    <w:rsid w:val="00362059"/>
    <w:rsid w:val="00362562"/>
    <w:rsid w:val="00372666"/>
    <w:rsid w:val="0037663C"/>
    <w:rsid w:val="00385FB5"/>
    <w:rsid w:val="0038715D"/>
    <w:rsid w:val="00394DBF"/>
    <w:rsid w:val="003957A6"/>
    <w:rsid w:val="003957BB"/>
    <w:rsid w:val="00396E45"/>
    <w:rsid w:val="003A05AE"/>
    <w:rsid w:val="003A43EF"/>
    <w:rsid w:val="003B4031"/>
    <w:rsid w:val="003B4CF8"/>
    <w:rsid w:val="003C7445"/>
    <w:rsid w:val="003D0336"/>
    <w:rsid w:val="003E1F8C"/>
    <w:rsid w:val="003E39A2"/>
    <w:rsid w:val="003E57AB"/>
    <w:rsid w:val="003E7207"/>
    <w:rsid w:val="003F2BED"/>
    <w:rsid w:val="003F5531"/>
    <w:rsid w:val="00400B49"/>
    <w:rsid w:val="00414B7D"/>
    <w:rsid w:val="00433B03"/>
    <w:rsid w:val="00443878"/>
    <w:rsid w:val="00450E01"/>
    <w:rsid w:val="004539A8"/>
    <w:rsid w:val="004712CA"/>
    <w:rsid w:val="00473782"/>
    <w:rsid w:val="0047422E"/>
    <w:rsid w:val="0049090D"/>
    <w:rsid w:val="00492656"/>
    <w:rsid w:val="0049674B"/>
    <w:rsid w:val="004B7C02"/>
    <w:rsid w:val="004C024C"/>
    <w:rsid w:val="004C0673"/>
    <w:rsid w:val="004C3904"/>
    <w:rsid w:val="004C4E4E"/>
    <w:rsid w:val="004C74B1"/>
    <w:rsid w:val="004D11A6"/>
    <w:rsid w:val="004D6F38"/>
    <w:rsid w:val="004E22AB"/>
    <w:rsid w:val="004F23BA"/>
    <w:rsid w:val="004F3816"/>
    <w:rsid w:val="0050586A"/>
    <w:rsid w:val="00520DBF"/>
    <w:rsid w:val="0053731C"/>
    <w:rsid w:val="00543D41"/>
    <w:rsid w:val="00556A5B"/>
    <w:rsid w:val="00562F95"/>
    <w:rsid w:val="00566EDA"/>
    <w:rsid w:val="0057081A"/>
    <w:rsid w:val="00572654"/>
    <w:rsid w:val="00574D74"/>
    <w:rsid w:val="005976A1"/>
    <w:rsid w:val="005A2A1A"/>
    <w:rsid w:val="005A580D"/>
    <w:rsid w:val="005B5629"/>
    <w:rsid w:val="005B6B78"/>
    <w:rsid w:val="005C0300"/>
    <w:rsid w:val="005C27A2"/>
    <w:rsid w:val="005D4FEB"/>
    <w:rsid w:val="005F4B6A"/>
    <w:rsid w:val="006010F3"/>
    <w:rsid w:val="0060304A"/>
    <w:rsid w:val="00606DB6"/>
    <w:rsid w:val="00606FA3"/>
    <w:rsid w:val="006153B5"/>
    <w:rsid w:val="00615A0A"/>
    <w:rsid w:val="00626673"/>
    <w:rsid w:val="006333D4"/>
    <w:rsid w:val="006369B2"/>
    <w:rsid w:val="0063718D"/>
    <w:rsid w:val="00637800"/>
    <w:rsid w:val="00647525"/>
    <w:rsid w:val="00647A71"/>
    <w:rsid w:val="00652D9F"/>
    <w:rsid w:val="006570B0"/>
    <w:rsid w:val="0066022F"/>
    <w:rsid w:val="006813BC"/>
    <w:rsid w:val="00681513"/>
    <w:rsid w:val="006823F3"/>
    <w:rsid w:val="0069210B"/>
    <w:rsid w:val="00692AB1"/>
    <w:rsid w:val="00695A8E"/>
    <w:rsid w:val="00695DD7"/>
    <w:rsid w:val="00695FC2"/>
    <w:rsid w:val="006A4055"/>
    <w:rsid w:val="006A6DA0"/>
    <w:rsid w:val="006A7C27"/>
    <w:rsid w:val="006B2FE4"/>
    <w:rsid w:val="006B37B0"/>
    <w:rsid w:val="006C5641"/>
    <w:rsid w:val="006D1089"/>
    <w:rsid w:val="006D1B86"/>
    <w:rsid w:val="006D3F6B"/>
    <w:rsid w:val="006D7355"/>
    <w:rsid w:val="006E44F2"/>
    <w:rsid w:val="006F7DEE"/>
    <w:rsid w:val="00715551"/>
    <w:rsid w:val="00715CA6"/>
    <w:rsid w:val="00716115"/>
    <w:rsid w:val="007277EB"/>
    <w:rsid w:val="00731135"/>
    <w:rsid w:val="007324AF"/>
    <w:rsid w:val="00733F23"/>
    <w:rsid w:val="00737C09"/>
    <w:rsid w:val="00740128"/>
    <w:rsid w:val="007409B4"/>
    <w:rsid w:val="00741974"/>
    <w:rsid w:val="00747D50"/>
    <w:rsid w:val="00754192"/>
    <w:rsid w:val="0075525E"/>
    <w:rsid w:val="00756D3D"/>
    <w:rsid w:val="00760281"/>
    <w:rsid w:val="00761CF5"/>
    <w:rsid w:val="00770F4B"/>
    <w:rsid w:val="007806C2"/>
    <w:rsid w:val="00781FEE"/>
    <w:rsid w:val="007903F8"/>
    <w:rsid w:val="00794F4F"/>
    <w:rsid w:val="007974BE"/>
    <w:rsid w:val="007A0916"/>
    <w:rsid w:val="007A0DFD"/>
    <w:rsid w:val="007B2BC6"/>
    <w:rsid w:val="007B311A"/>
    <w:rsid w:val="007C4477"/>
    <w:rsid w:val="007C7122"/>
    <w:rsid w:val="007D2281"/>
    <w:rsid w:val="007D3F11"/>
    <w:rsid w:val="007D66E2"/>
    <w:rsid w:val="007E2C69"/>
    <w:rsid w:val="007E53E4"/>
    <w:rsid w:val="007E656A"/>
    <w:rsid w:val="007F3CAA"/>
    <w:rsid w:val="007F664D"/>
    <w:rsid w:val="008060C5"/>
    <w:rsid w:val="00812E67"/>
    <w:rsid w:val="00824B6D"/>
    <w:rsid w:val="00836C6D"/>
    <w:rsid w:val="00837203"/>
    <w:rsid w:val="00842137"/>
    <w:rsid w:val="00853F5F"/>
    <w:rsid w:val="008623ED"/>
    <w:rsid w:val="00864B5A"/>
    <w:rsid w:val="00872559"/>
    <w:rsid w:val="00874AA3"/>
    <w:rsid w:val="00874E4F"/>
    <w:rsid w:val="00875AA6"/>
    <w:rsid w:val="00880944"/>
    <w:rsid w:val="0089088E"/>
    <w:rsid w:val="00892297"/>
    <w:rsid w:val="008964D6"/>
    <w:rsid w:val="008A58E2"/>
    <w:rsid w:val="008B067C"/>
    <w:rsid w:val="008B5123"/>
    <w:rsid w:val="008B72EF"/>
    <w:rsid w:val="008D098D"/>
    <w:rsid w:val="008E0172"/>
    <w:rsid w:val="008E22DA"/>
    <w:rsid w:val="008F23BF"/>
    <w:rsid w:val="008F737B"/>
    <w:rsid w:val="00900EF1"/>
    <w:rsid w:val="009010AF"/>
    <w:rsid w:val="009025BF"/>
    <w:rsid w:val="00906CD2"/>
    <w:rsid w:val="00921732"/>
    <w:rsid w:val="009302DE"/>
    <w:rsid w:val="00930A63"/>
    <w:rsid w:val="00932746"/>
    <w:rsid w:val="00936852"/>
    <w:rsid w:val="009400D5"/>
    <w:rsid w:val="0094045D"/>
    <w:rsid w:val="009406B5"/>
    <w:rsid w:val="00946166"/>
    <w:rsid w:val="009507EC"/>
    <w:rsid w:val="009608A3"/>
    <w:rsid w:val="00971DD8"/>
    <w:rsid w:val="00983164"/>
    <w:rsid w:val="00991626"/>
    <w:rsid w:val="009972EF"/>
    <w:rsid w:val="009B5035"/>
    <w:rsid w:val="009C3160"/>
    <w:rsid w:val="009D5DDD"/>
    <w:rsid w:val="009E09A8"/>
    <w:rsid w:val="009E766E"/>
    <w:rsid w:val="009F1960"/>
    <w:rsid w:val="009F2ABB"/>
    <w:rsid w:val="009F2C64"/>
    <w:rsid w:val="009F715E"/>
    <w:rsid w:val="00A016C1"/>
    <w:rsid w:val="00A10DBB"/>
    <w:rsid w:val="00A11720"/>
    <w:rsid w:val="00A21148"/>
    <w:rsid w:val="00A21247"/>
    <w:rsid w:val="00A31D47"/>
    <w:rsid w:val="00A4013E"/>
    <w:rsid w:val="00A4045F"/>
    <w:rsid w:val="00A409D9"/>
    <w:rsid w:val="00A427CD"/>
    <w:rsid w:val="00A45FEE"/>
    <w:rsid w:val="00A4600B"/>
    <w:rsid w:val="00A50506"/>
    <w:rsid w:val="00A50557"/>
    <w:rsid w:val="00A51EF0"/>
    <w:rsid w:val="00A67A81"/>
    <w:rsid w:val="00A730A6"/>
    <w:rsid w:val="00A757B9"/>
    <w:rsid w:val="00A84724"/>
    <w:rsid w:val="00A971A0"/>
    <w:rsid w:val="00AA1F22"/>
    <w:rsid w:val="00AB1B72"/>
    <w:rsid w:val="00AE0D89"/>
    <w:rsid w:val="00AE1232"/>
    <w:rsid w:val="00AF57AF"/>
    <w:rsid w:val="00AF5A57"/>
    <w:rsid w:val="00AF735D"/>
    <w:rsid w:val="00B024D7"/>
    <w:rsid w:val="00B02AC8"/>
    <w:rsid w:val="00B05821"/>
    <w:rsid w:val="00B100D6"/>
    <w:rsid w:val="00B164C9"/>
    <w:rsid w:val="00B26C28"/>
    <w:rsid w:val="00B303A7"/>
    <w:rsid w:val="00B30F21"/>
    <w:rsid w:val="00B376D2"/>
    <w:rsid w:val="00B4174C"/>
    <w:rsid w:val="00B453F5"/>
    <w:rsid w:val="00B532CE"/>
    <w:rsid w:val="00B61624"/>
    <w:rsid w:val="00B66481"/>
    <w:rsid w:val="00B7189C"/>
    <w:rsid w:val="00B718A5"/>
    <w:rsid w:val="00B776B6"/>
    <w:rsid w:val="00B80CE8"/>
    <w:rsid w:val="00B90AD6"/>
    <w:rsid w:val="00B9283E"/>
    <w:rsid w:val="00BA77CE"/>
    <w:rsid w:val="00BA788A"/>
    <w:rsid w:val="00BB4983"/>
    <w:rsid w:val="00BB7597"/>
    <w:rsid w:val="00BC2AAB"/>
    <w:rsid w:val="00BC62E2"/>
    <w:rsid w:val="00BD3504"/>
    <w:rsid w:val="00BE09D5"/>
    <w:rsid w:val="00BE4B34"/>
    <w:rsid w:val="00BF02DC"/>
    <w:rsid w:val="00BF03D0"/>
    <w:rsid w:val="00BF1C1D"/>
    <w:rsid w:val="00C26CE3"/>
    <w:rsid w:val="00C37820"/>
    <w:rsid w:val="00C42125"/>
    <w:rsid w:val="00C62814"/>
    <w:rsid w:val="00C62BE6"/>
    <w:rsid w:val="00C67B25"/>
    <w:rsid w:val="00C748F7"/>
    <w:rsid w:val="00C74937"/>
    <w:rsid w:val="00C91535"/>
    <w:rsid w:val="00C96F13"/>
    <w:rsid w:val="00CA51E3"/>
    <w:rsid w:val="00CA6409"/>
    <w:rsid w:val="00CB2599"/>
    <w:rsid w:val="00CC6537"/>
    <w:rsid w:val="00CD2139"/>
    <w:rsid w:val="00CD2497"/>
    <w:rsid w:val="00CD6848"/>
    <w:rsid w:val="00CE1E6E"/>
    <w:rsid w:val="00CE5986"/>
    <w:rsid w:val="00CF34C4"/>
    <w:rsid w:val="00D02972"/>
    <w:rsid w:val="00D11885"/>
    <w:rsid w:val="00D134EA"/>
    <w:rsid w:val="00D45D31"/>
    <w:rsid w:val="00D647EF"/>
    <w:rsid w:val="00D73137"/>
    <w:rsid w:val="00D745B2"/>
    <w:rsid w:val="00D80DD9"/>
    <w:rsid w:val="00D900AE"/>
    <w:rsid w:val="00D9232D"/>
    <w:rsid w:val="00D954E1"/>
    <w:rsid w:val="00D977A2"/>
    <w:rsid w:val="00DA1D47"/>
    <w:rsid w:val="00DA2F4F"/>
    <w:rsid w:val="00DC0A72"/>
    <w:rsid w:val="00DC5BCD"/>
    <w:rsid w:val="00DC774A"/>
    <w:rsid w:val="00DD50DE"/>
    <w:rsid w:val="00DE3062"/>
    <w:rsid w:val="00DE729D"/>
    <w:rsid w:val="00DF5517"/>
    <w:rsid w:val="00E04C24"/>
    <w:rsid w:val="00E0581D"/>
    <w:rsid w:val="00E05EB7"/>
    <w:rsid w:val="00E204DD"/>
    <w:rsid w:val="00E30A80"/>
    <w:rsid w:val="00E353EC"/>
    <w:rsid w:val="00E402EE"/>
    <w:rsid w:val="00E50CAF"/>
    <w:rsid w:val="00E51323"/>
    <w:rsid w:val="00E51F61"/>
    <w:rsid w:val="00E53C24"/>
    <w:rsid w:val="00E56E77"/>
    <w:rsid w:val="00E70F0B"/>
    <w:rsid w:val="00E71046"/>
    <w:rsid w:val="00E72E36"/>
    <w:rsid w:val="00E86152"/>
    <w:rsid w:val="00E87795"/>
    <w:rsid w:val="00EB2601"/>
    <w:rsid w:val="00EB4145"/>
    <w:rsid w:val="00EB444D"/>
    <w:rsid w:val="00ED542F"/>
    <w:rsid w:val="00ED5B66"/>
    <w:rsid w:val="00EE0348"/>
    <w:rsid w:val="00EE0C00"/>
    <w:rsid w:val="00EE5C0D"/>
    <w:rsid w:val="00EF4792"/>
    <w:rsid w:val="00F02294"/>
    <w:rsid w:val="00F1409E"/>
    <w:rsid w:val="00F1751F"/>
    <w:rsid w:val="00F30DE7"/>
    <w:rsid w:val="00F35A91"/>
    <w:rsid w:val="00F35F57"/>
    <w:rsid w:val="00F376EC"/>
    <w:rsid w:val="00F44D3D"/>
    <w:rsid w:val="00F50467"/>
    <w:rsid w:val="00F562A0"/>
    <w:rsid w:val="00F57FA4"/>
    <w:rsid w:val="00F61BE4"/>
    <w:rsid w:val="00F732C6"/>
    <w:rsid w:val="00F876AA"/>
    <w:rsid w:val="00F906D1"/>
    <w:rsid w:val="00FA02CB"/>
    <w:rsid w:val="00FA1464"/>
    <w:rsid w:val="00FA2177"/>
    <w:rsid w:val="00FB0783"/>
    <w:rsid w:val="00FB673A"/>
    <w:rsid w:val="00FB7A8B"/>
    <w:rsid w:val="00FD439E"/>
    <w:rsid w:val="00FD6601"/>
    <w:rsid w:val="00FD76CB"/>
    <w:rsid w:val="00FE152B"/>
    <w:rsid w:val="00FE239E"/>
    <w:rsid w:val="00FE3437"/>
    <w:rsid w:val="00FE707F"/>
    <w:rsid w:val="00FF2096"/>
    <w:rsid w:val="00FF2412"/>
    <w:rsid w:val="00FF4546"/>
    <w:rsid w:val="00FF5094"/>
    <w:rsid w:val="00FF538F"/>
    <w:rsid w:val="02997088"/>
    <w:rsid w:val="03724D93"/>
    <w:rsid w:val="03C721E8"/>
    <w:rsid w:val="03D21514"/>
    <w:rsid w:val="04CD61FB"/>
    <w:rsid w:val="0BFB2491"/>
    <w:rsid w:val="0D22036D"/>
    <w:rsid w:val="0F361881"/>
    <w:rsid w:val="11F8418B"/>
    <w:rsid w:val="123D5196"/>
    <w:rsid w:val="17826121"/>
    <w:rsid w:val="17A675DA"/>
    <w:rsid w:val="1B26565D"/>
    <w:rsid w:val="1FCF25FA"/>
    <w:rsid w:val="22DD33C3"/>
    <w:rsid w:val="24C10D89"/>
    <w:rsid w:val="28EE24EE"/>
    <w:rsid w:val="2D017143"/>
    <w:rsid w:val="31E55EBE"/>
    <w:rsid w:val="376B04C3"/>
    <w:rsid w:val="3B7EA76E"/>
    <w:rsid w:val="3E487F05"/>
    <w:rsid w:val="3FBB41BD"/>
    <w:rsid w:val="3FF872C0"/>
    <w:rsid w:val="40F02491"/>
    <w:rsid w:val="485A4042"/>
    <w:rsid w:val="4A610CF0"/>
    <w:rsid w:val="4CB23A4E"/>
    <w:rsid w:val="4D1E49E7"/>
    <w:rsid w:val="4D381312"/>
    <w:rsid w:val="4DCF7936"/>
    <w:rsid w:val="4EED759E"/>
    <w:rsid w:val="54F77777"/>
    <w:rsid w:val="56523200"/>
    <w:rsid w:val="56C553EB"/>
    <w:rsid w:val="57453348"/>
    <w:rsid w:val="579A0B55"/>
    <w:rsid w:val="5AE74005"/>
    <w:rsid w:val="5EAE36E1"/>
    <w:rsid w:val="6005622D"/>
    <w:rsid w:val="63A65991"/>
    <w:rsid w:val="69B33DF8"/>
    <w:rsid w:val="6AFA635B"/>
    <w:rsid w:val="6D25309C"/>
    <w:rsid w:val="6F793947"/>
    <w:rsid w:val="79386064"/>
    <w:rsid w:val="7C483B7B"/>
    <w:rsid w:val="7F652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270F9"/>
  <w15:docId w15:val="{DDF0745E-CFFF-40A0-AF9D-442DFC46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0"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qFormat="1"/>
    <w:lsdException w:name="footer" w:unhideWhenUsed="1" w:qFormat="1"/>
    <w:lsdException w:name="index heading" w:semiHidden="1" w:unhideWhenUsed="1" w:qFormat="1"/>
    <w:lsdException w:name="caption" w:semiHidden="1" w:uiPriority="35" w:unhideWhenUsed="1" w:qFormat="1"/>
    <w:lsdException w:name="table of figures"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C8"/>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Times New Roman"/>
      <w:lang w:val="en-GB" w:eastAsia="ja-JP"/>
    </w:rPr>
  </w:style>
  <w:style w:type="paragraph" w:styleId="List3">
    <w:name w:val="List 3"/>
    <w:basedOn w:val="Normal"/>
    <w:uiPriority w:val="99"/>
    <w:semiHidden/>
    <w:unhideWhenUsed/>
    <w:qFormat/>
    <w:pPr>
      <w:ind w:left="1080" w:hanging="360"/>
      <w:contextualSpacing/>
    </w:pPr>
  </w:style>
  <w:style w:type="paragraph" w:styleId="TOC7">
    <w:name w:val="toc 7"/>
    <w:basedOn w:val="Normal"/>
    <w:next w:val="Normal"/>
    <w:uiPriority w:val="39"/>
    <w:semiHidden/>
    <w:unhideWhenUsed/>
    <w:qFormat/>
    <w:pPr>
      <w:spacing w:after="100"/>
      <w:ind w:left="1440"/>
    </w:pPr>
  </w:style>
  <w:style w:type="paragraph" w:styleId="ListNumber2">
    <w:name w:val="List Number 2"/>
    <w:basedOn w:val="Normal"/>
    <w:uiPriority w:val="99"/>
    <w:semiHidden/>
    <w:unhideWhenUsed/>
    <w:qFormat/>
    <w:pPr>
      <w:numPr>
        <w:numId w:val="1"/>
      </w:numPr>
      <w:tabs>
        <w:tab w:val="clear" w:pos="643"/>
        <w:tab w:val="num" w:pos="360"/>
      </w:tabs>
      <w:ind w:left="0" w:firstLine="0"/>
      <w:contextualSpacing/>
    </w:pPr>
  </w:style>
  <w:style w:type="paragraph" w:styleId="TableofAuthorities">
    <w:name w:val="table of authorities"/>
    <w:basedOn w:val="Normal"/>
    <w:next w:val="Normal"/>
    <w:uiPriority w:val="99"/>
    <w:semiHidden/>
    <w:unhideWhenUsed/>
    <w:qFormat/>
    <w:pPr>
      <w:ind w:left="240" w:hanging="240"/>
    </w:pPr>
  </w:style>
  <w:style w:type="paragraph" w:styleId="NoteHeading">
    <w:name w:val="Note Heading"/>
    <w:basedOn w:val="Normal"/>
    <w:next w:val="Normal"/>
    <w:link w:val="NoteHeadingChar"/>
    <w:uiPriority w:val="99"/>
    <w:semiHidden/>
    <w:unhideWhenUsed/>
    <w:qFormat/>
    <w:pPr>
      <w:spacing w:before="0"/>
    </w:pPr>
  </w:style>
  <w:style w:type="paragraph" w:styleId="ListBullet4">
    <w:name w:val="List Bullet 4"/>
    <w:basedOn w:val="Normal"/>
    <w:uiPriority w:val="99"/>
    <w:semiHidden/>
    <w:unhideWhenUsed/>
    <w:qFormat/>
    <w:pPr>
      <w:numPr>
        <w:numId w:val="2"/>
      </w:numPr>
      <w:tabs>
        <w:tab w:val="clear" w:pos="1209"/>
        <w:tab w:val="num" w:pos="360"/>
      </w:tabs>
      <w:ind w:left="0" w:firstLine="0"/>
      <w:contextualSpacing/>
    </w:pPr>
  </w:style>
  <w:style w:type="paragraph" w:styleId="Index8">
    <w:name w:val="index 8"/>
    <w:basedOn w:val="Normal"/>
    <w:next w:val="Normal"/>
    <w:uiPriority w:val="99"/>
    <w:semiHidden/>
    <w:unhideWhenUsed/>
    <w:qFormat/>
    <w:pPr>
      <w:spacing w:before="0"/>
      <w:ind w:left="1920" w:hanging="240"/>
    </w:pPr>
  </w:style>
  <w:style w:type="paragraph" w:styleId="E-mailSignature">
    <w:name w:val="E-mail Signature"/>
    <w:basedOn w:val="Normal"/>
    <w:link w:val="E-mailSignatureChar"/>
    <w:uiPriority w:val="99"/>
    <w:semiHidden/>
    <w:unhideWhenUsed/>
    <w:qFormat/>
    <w:pPr>
      <w:spacing w:before="0"/>
    </w:pPr>
  </w:style>
  <w:style w:type="paragraph" w:styleId="ListNumber">
    <w:name w:val="List Number"/>
    <w:basedOn w:val="Normal"/>
    <w:uiPriority w:val="99"/>
    <w:semiHidden/>
    <w:unhideWhenUsed/>
    <w:qFormat/>
    <w:pPr>
      <w:numPr>
        <w:numId w:val="3"/>
      </w:numPr>
      <w:tabs>
        <w:tab w:val="num" w:pos="360"/>
      </w:tabs>
      <w:ind w:left="0" w:firstLine="0"/>
      <w:contextualSpacing/>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pPr>
      <w:spacing w:before="0" w:after="200"/>
    </w:pPr>
    <w:rPr>
      <w:i/>
      <w:iCs/>
      <w:color w:val="44546A" w:themeColor="text2"/>
      <w:sz w:val="18"/>
      <w:szCs w:val="18"/>
    </w:rPr>
  </w:style>
  <w:style w:type="paragraph" w:styleId="Index5">
    <w:name w:val="index 5"/>
    <w:basedOn w:val="Normal"/>
    <w:next w:val="Normal"/>
    <w:uiPriority w:val="99"/>
    <w:semiHidden/>
    <w:unhideWhenUsed/>
    <w:qFormat/>
    <w:pPr>
      <w:spacing w:before="0"/>
      <w:ind w:left="1200" w:hanging="240"/>
    </w:pPr>
  </w:style>
  <w:style w:type="paragraph" w:styleId="ListBullet">
    <w:name w:val="List Bullet"/>
    <w:basedOn w:val="Normal"/>
    <w:uiPriority w:val="99"/>
    <w:semiHidden/>
    <w:unhideWhenUsed/>
    <w:qFormat/>
    <w:pPr>
      <w:numPr>
        <w:numId w:val="4"/>
      </w:numPr>
      <w:contextualSpacing/>
    </w:pPr>
  </w:style>
  <w:style w:type="paragraph" w:styleId="EnvelopeAddress">
    <w:name w:val="envelope address"/>
    <w:basedOn w:val="Normal"/>
    <w:uiPriority w:val="99"/>
    <w:semiHidden/>
    <w:unhideWhenUsed/>
    <w:qFormat/>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DocumentMap">
    <w:name w:val="Document Map"/>
    <w:basedOn w:val="Normal"/>
    <w:link w:val="DocumentMapChar"/>
    <w:uiPriority w:val="99"/>
    <w:semiHidden/>
    <w:unhideWhenUsed/>
    <w:qFormat/>
    <w:pPr>
      <w:spacing w:before="0"/>
    </w:pPr>
    <w:rPr>
      <w:rFonts w:ascii="Segoe UI" w:hAnsi="Segoe UI" w:cs="Segoe UI"/>
      <w:sz w:val="16"/>
      <w:szCs w:val="16"/>
    </w:rPr>
  </w:style>
  <w:style w:type="paragraph" w:styleId="TOAHeading">
    <w:name w:val="toa heading"/>
    <w:basedOn w:val="Normal"/>
    <w:next w:val="Normal"/>
    <w:uiPriority w:val="99"/>
    <w:semiHidden/>
    <w:unhideWhenUsed/>
    <w:qFormat/>
    <w:rPr>
      <w:rFonts w:asciiTheme="majorHAnsi" w:eastAsiaTheme="majorEastAsia" w:hAnsiTheme="majorHAnsi" w:cstheme="majorBidi"/>
      <w:b/>
      <w:bCs/>
    </w:rPr>
  </w:style>
  <w:style w:type="paragraph" w:styleId="CommentText">
    <w:name w:val="annotation text"/>
    <w:basedOn w:val="Normal"/>
    <w:link w:val="CommentTextChar"/>
    <w:uiPriority w:val="99"/>
    <w:semiHidden/>
    <w:unhideWhenUsed/>
    <w:qFormat/>
    <w:rPr>
      <w:sz w:val="20"/>
      <w:szCs w:val="20"/>
    </w:rPr>
  </w:style>
  <w:style w:type="paragraph" w:styleId="Index6">
    <w:name w:val="index 6"/>
    <w:basedOn w:val="Normal"/>
    <w:next w:val="Normal"/>
    <w:uiPriority w:val="99"/>
    <w:semiHidden/>
    <w:unhideWhenUsed/>
    <w:qFormat/>
    <w:pPr>
      <w:spacing w:before="0"/>
      <w:ind w:left="1440" w:hanging="240"/>
    </w:pPr>
  </w:style>
  <w:style w:type="paragraph" w:styleId="Salutation">
    <w:name w:val="Salutation"/>
    <w:basedOn w:val="Normal"/>
    <w:next w:val="Normal"/>
    <w:link w:val="SalutationChar"/>
    <w:uiPriority w:val="99"/>
    <w:semiHidden/>
    <w:unhideWhenUsed/>
    <w:qFormat/>
  </w:style>
  <w:style w:type="paragraph" w:styleId="BodyText3">
    <w:name w:val="Body Text 3"/>
    <w:basedOn w:val="Normal"/>
    <w:link w:val="BodyText3Char"/>
    <w:uiPriority w:val="99"/>
    <w:semiHidden/>
    <w:unhideWhenUsed/>
    <w:qFormat/>
    <w:pPr>
      <w:spacing w:after="120"/>
    </w:pPr>
    <w:rPr>
      <w:sz w:val="16"/>
      <w:szCs w:val="16"/>
    </w:rPr>
  </w:style>
  <w:style w:type="paragraph" w:styleId="Closing">
    <w:name w:val="Closing"/>
    <w:basedOn w:val="Normal"/>
    <w:link w:val="ClosingChar"/>
    <w:uiPriority w:val="99"/>
    <w:semiHidden/>
    <w:unhideWhenUsed/>
    <w:qFormat/>
    <w:pPr>
      <w:spacing w:before="0"/>
      <w:ind w:left="4320"/>
    </w:pPr>
  </w:style>
  <w:style w:type="paragraph" w:styleId="ListBullet3">
    <w:name w:val="List Bullet 3"/>
    <w:basedOn w:val="Normal"/>
    <w:uiPriority w:val="99"/>
    <w:semiHidden/>
    <w:unhideWhenUsed/>
    <w:qFormat/>
    <w:pPr>
      <w:numPr>
        <w:numId w:val="5"/>
      </w:numPr>
      <w:contextualSpacing/>
    </w:p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uiPriority w:val="99"/>
    <w:semiHidden/>
    <w:unhideWhenUsed/>
    <w:qFormat/>
    <w:pPr>
      <w:spacing w:after="120"/>
      <w:ind w:left="360"/>
    </w:pPr>
  </w:style>
  <w:style w:type="paragraph" w:styleId="ListNumber3">
    <w:name w:val="List Number 3"/>
    <w:basedOn w:val="Normal"/>
    <w:uiPriority w:val="99"/>
    <w:semiHidden/>
    <w:unhideWhenUsed/>
    <w:qFormat/>
    <w:pPr>
      <w:numPr>
        <w:numId w:val="6"/>
      </w:numPr>
      <w:contextualSpacing/>
    </w:pPr>
  </w:style>
  <w:style w:type="paragraph" w:styleId="List2">
    <w:name w:val="List 2"/>
    <w:basedOn w:val="Normal"/>
    <w:uiPriority w:val="99"/>
    <w:semiHidden/>
    <w:unhideWhenUsed/>
    <w:qFormat/>
    <w:pPr>
      <w:ind w:left="720" w:hanging="360"/>
      <w:contextualSpacing/>
    </w:pPr>
  </w:style>
  <w:style w:type="paragraph" w:styleId="ListContinue">
    <w:name w:val="List Continue"/>
    <w:basedOn w:val="Normal"/>
    <w:uiPriority w:val="99"/>
    <w:semiHidden/>
    <w:unhideWhenUsed/>
    <w:qFormat/>
    <w:pPr>
      <w:spacing w:after="120"/>
      <w:ind w:left="360"/>
      <w:contextualSpacing/>
    </w:pPr>
  </w:style>
  <w:style w:type="paragraph" w:styleId="BlockText">
    <w:name w:val="Block Text"/>
    <w:basedOn w:val="Normal"/>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ListBullet2">
    <w:name w:val="List Bullet 2"/>
    <w:basedOn w:val="Normal"/>
    <w:uiPriority w:val="99"/>
    <w:semiHidden/>
    <w:unhideWhenUsed/>
    <w:qFormat/>
    <w:pPr>
      <w:numPr>
        <w:numId w:val="7"/>
      </w:numPr>
      <w:contextualSpacing/>
    </w:pPr>
  </w:style>
  <w:style w:type="paragraph" w:styleId="HTMLAddress">
    <w:name w:val="HTML Address"/>
    <w:basedOn w:val="Normal"/>
    <w:link w:val="HTMLAddressChar"/>
    <w:uiPriority w:val="99"/>
    <w:semiHidden/>
    <w:unhideWhenUsed/>
    <w:qFormat/>
    <w:pPr>
      <w:spacing w:before="0"/>
    </w:pPr>
    <w:rPr>
      <w:i/>
      <w:iCs/>
    </w:rPr>
  </w:style>
  <w:style w:type="paragraph" w:styleId="Index4">
    <w:name w:val="index 4"/>
    <w:basedOn w:val="Normal"/>
    <w:next w:val="Normal"/>
    <w:uiPriority w:val="99"/>
    <w:semiHidden/>
    <w:unhideWhenUsed/>
    <w:qFormat/>
    <w:pPr>
      <w:spacing w:before="0"/>
      <w:ind w:left="960" w:hanging="240"/>
    </w:pPr>
  </w:style>
  <w:style w:type="paragraph" w:styleId="TOC5">
    <w:name w:val="toc 5"/>
    <w:basedOn w:val="Normal"/>
    <w:next w:val="Normal"/>
    <w:uiPriority w:val="39"/>
    <w:semiHidden/>
    <w:unhideWhenUsed/>
    <w:qFormat/>
    <w:pPr>
      <w:spacing w:after="100"/>
      <w:ind w:left="960"/>
    </w:pPr>
  </w:style>
  <w:style w:type="paragraph" w:styleId="TOC3">
    <w:name w:val="toc 3"/>
    <w:basedOn w:val="TOC2"/>
    <w:next w:val="Normal"/>
    <w:qFormat/>
    <w:pPr>
      <w:ind w:left="2269"/>
    </w:pPr>
  </w:style>
  <w:style w:type="paragraph" w:styleId="TOC2">
    <w:name w:val="toc 2"/>
    <w:basedOn w:val="TOC1"/>
    <w:next w:val="Normal"/>
    <w:uiPriority w:val="39"/>
    <w:qFormat/>
    <w:pPr>
      <w:spacing w:before="80"/>
      <w:ind w:left="1531" w:hanging="851"/>
    </w:pPr>
  </w:style>
  <w:style w:type="paragraph" w:styleId="TOC1">
    <w:name w:val="toc 1"/>
    <w:basedOn w:val="Normal"/>
    <w:next w:val="Normal"/>
    <w:uiPriority w:val="39"/>
    <w:qFormat/>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PlainText">
    <w:name w:val="Plain Text"/>
    <w:basedOn w:val="Normal"/>
    <w:link w:val="PlainTextChar"/>
    <w:uiPriority w:val="99"/>
    <w:semiHidden/>
    <w:unhideWhenUsed/>
    <w:qFormat/>
    <w:pPr>
      <w:spacing w:before="0"/>
    </w:pPr>
    <w:rPr>
      <w:rFonts w:ascii="Consolas" w:hAnsi="Consolas"/>
      <w:sz w:val="21"/>
      <w:szCs w:val="21"/>
    </w:rPr>
  </w:style>
  <w:style w:type="paragraph" w:styleId="ListBullet5">
    <w:name w:val="List Bullet 5"/>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TOC8">
    <w:name w:val="toc 8"/>
    <w:basedOn w:val="Normal"/>
    <w:next w:val="Normal"/>
    <w:uiPriority w:val="39"/>
    <w:semiHidden/>
    <w:unhideWhenUsed/>
    <w:qFormat/>
    <w:pPr>
      <w:spacing w:after="100"/>
      <w:ind w:left="1680"/>
    </w:pPr>
  </w:style>
  <w:style w:type="paragraph" w:styleId="Index3">
    <w:name w:val="index 3"/>
    <w:basedOn w:val="Normal"/>
    <w:next w:val="Normal"/>
    <w:uiPriority w:val="99"/>
    <w:semiHidden/>
    <w:unhideWhenUsed/>
    <w:qFormat/>
    <w:pPr>
      <w:spacing w:before="0"/>
      <w:ind w:left="720" w:hanging="240"/>
    </w:pPr>
  </w:style>
  <w:style w:type="paragraph" w:styleId="Date">
    <w:name w:val="Date"/>
    <w:basedOn w:val="Normal"/>
    <w:next w:val="Normal"/>
    <w:link w:val="DateChar"/>
    <w:uiPriority w:val="99"/>
    <w:semiHidden/>
    <w:unhideWhenUsed/>
    <w:qFormat/>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EndnoteText">
    <w:name w:val="endnote text"/>
    <w:basedOn w:val="Normal"/>
    <w:link w:val="EndnoteTextChar"/>
    <w:uiPriority w:val="99"/>
    <w:semiHidden/>
    <w:unhideWhenUsed/>
    <w:qFormat/>
    <w:pPr>
      <w:spacing w:before="0"/>
    </w:pPr>
    <w:rPr>
      <w:sz w:val="20"/>
      <w:szCs w:val="20"/>
    </w:rPr>
  </w:style>
  <w:style w:type="paragraph" w:styleId="ListContinue5">
    <w:name w:val="List Continue 5"/>
    <w:basedOn w:val="Normal"/>
    <w:uiPriority w:val="99"/>
    <w:semiHidden/>
    <w:unhideWhenUsed/>
    <w:qFormat/>
    <w:pPr>
      <w:spacing w:after="120"/>
      <w:ind w:left="1800"/>
      <w:contextualSpacing/>
    </w:p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EnvelopeReturn">
    <w:name w:val="envelope return"/>
    <w:basedOn w:val="Normal"/>
    <w:uiPriority w:val="99"/>
    <w:semiHidden/>
    <w:unhideWhenUsed/>
    <w:qFormat/>
    <w:pPr>
      <w:spacing w:before="0"/>
    </w:pPr>
    <w:rPr>
      <w:rFonts w:asciiTheme="majorHAnsi" w:eastAsiaTheme="majorEastAsia" w:hAnsiTheme="majorHAnsi" w:cstheme="majorBidi"/>
      <w:sz w:val="20"/>
      <w:szCs w:val="20"/>
    </w:rPr>
  </w:style>
  <w:style w:type="paragraph" w:styleId="Header">
    <w:name w:val="header"/>
    <w:basedOn w:val="Normal"/>
    <w:link w:val="HeaderChar"/>
    <w:uiPriority w:val="99"/>
    <w:qFormat/>
    <w:pPr>
      <w:overflowPunct w:val="0"/>
      <w:autoSpaceDE w:val="0"/>
      <w:autoSpaceDN w:val="0"/>
      <w:adjustRightInd w:val="0"/>
      <w:spacing w:before="0"/>
      <w:jc w:val="center"/>
      <w:textAlignment w:val="baseline"/>
    </w:pPr>
    <w:rPr>
      <w:rFonts w:eastAsia="Times New Roman"/>
      <w:sz w:val="18"/>
      <w:szCs w:val="20"/>
      <w:lang w:eastAsia="en-US"/>
    </w:rPr>
  </w:style>
  <w:style w:type="paragraph" w:styleId="Signature">
    <w:name w:val="Signature"/>
    <w:basedOn w:val="Normal"/>
    <w:link w:val="SignatureChar"/>
    <w:uiPriority w:val="99"/>
    <w:semiHidden/>
    <w:unhideWhenUsed/>
    <w:qFormat/>
    <w:pPr>
      <w:spacing w:before="0"/>
      <w:ind w:left="4320"/>
    </w:pPr>
  </w:style>
  <w:style w:type="paragraph" w:styleId="ListContinue4">
    <w:name w:val="List Continue 4"/>
    <w:basedOn w:val="Normal"/>
    <w:uiPriority w:val="99"/>
    <w:semiHidden/>
    <w:unhideWhenUsed/>
    <w:qFormat/>
    <w:pPr>
      <w:spacing w:after="120"/>
      <w:ind w:left="1440"/>
      <w:contextualSpacing/>
    </w:pPr>
  </w:style>
  <w:style w:type="paragraph" w:styleId="TOC4">
    <w:name w:val="toc 4"/>
    <w:basedOn w:val="Normal"/>
    <w:next w:val="Normal"/>
    <w:uiPriority w:val="39"/>
    <w:semiHidden/>
    <w:unhideWhenUsed/>
    <w:qFormat/>
    <w:pPr>
      <w:spacing w:after="100"/>
      <w:ind w:left="720"/>
    </w:pPr>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next w:val="Normal"/>
    <w:uiPriority w:val="99"/>
    <w:semiHidden/>
    <w:unhideWhenUsed/>
    <w:qFormat/>
    <w:pPr>
      <w:spacing w:before="0"/>
      <w:ind w:left="240" w:hanging="240"/>
    </w:p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iPriority w:val="99"/>
    <w:semiHidden/>
    <w:unhideWhenUsed/>
    <w:qFormat/>
    <w:pPr>
      <w:numPr>
        <w:numId w:val="10"/>
      </w:numPr>
      <w:contextualSpacing/>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uiPriority w:val="99"/>
    <w:semiHidden/>
    <w:unhideWhenUsed/>
    <w:qFormat/>
    <w:pPr>
      <w:spacing w:before="0"/>
    </w:pPr>
    <w:rPr>
      <w:sz w:val="20"/>
      <w:szCs w:val="20"/>
    </w:rPr>
  </w:style>
  <w:style w:type="paragraph" w:styleId="TOC6">
    <w:name w:val="toc 6"/>
    <w:basedOn w:val="Normal"/>
    <w:next w:val="Normal"/>
    <w:uiPriority w:val="39"/>
    <w:semiHidden/>
    <w:unhideWhenUsed/>
    <w:qFormat/>
    <w:pPr>
      <w:spacing w:after="100"/>
      <w:ind w:left="1200"/>
    </w:pPr>
  </w:style>
  <w:style w:type="paragraph" w:styleId="List5">
    <w:name w:val="List 5"/>
    <w:basedOn w:val="Normal"/>
    <w:uiPriority w:val="99"/>
    <w:semiHidden/>
    <w:unhideWhenUsed/>
    <w:qFormat/>
    <w:pPr>
      <w:ind w:left="1800" w:hanging="360"/>
      <w:contextualSpacing/>
    </w:pPr>
  </w:style>
  <w:style w:type="paragraph" w:styleId="BodyTextIndent3">
    <w:name w:val="Body Text Indent 3"/>
    <w:basedOn w:val="Normal"/>
    <w:link w:val="BodyTextIndent3Char"/>
    <w:uiPriority w:val="99"/>
    <w:semiHidden/>
    <w:unhideWhenUsed/>
    <w:qFormat/>
    <w:pPr>
      <w:spacing w:after="120"/>
      <w:ind w:left="360"/>
    </w:pPr>
    <w:rPr>
      <w:sz w:val="16"/>
      <w:szCs w:val="16"/>
    </w:rPr>
  </w:style>
  <w:style w:type="paragraph" w:styleId="Index7">
    <w:name w:val="index 7"/>
    <w:basedOn w:val="Normal"/>
    <w:next w:val="Normal"/>
    <w:uiPriority w:val="99"/>
    <w:semiHidden/>
    <w:unhideWhenUsed/>
    <w:qFormat/>
    <w:pPr>
      <w:spacing w:before="0"/>
      <w:ind w:left="1680" w:hanging="240"/>
    </w:pPr>
  </w:style>
  <w:style w:type="paragraph" w:styleId="Index9">
    <w:name w:val="index 9"/>
    <w:basedOn w:val="Normal"/>
    <w:next w:val="Normal"/>
    <w:uiPriority w:val="99"/>
    <w:semiHidden/>
    <w:unhideWhenUsed/>
    <w:qFormat/>
    <w:pPr>
      <w:spacing w:before="0"/>
      <w:ind w:left="2160" w:hanging="240"/>
    </w:p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9">
    <w:name w:val="toc 9"/>
    <w:basedOn w:val="Normal"/>
    <w:next w:val="Normal"/>
    <w:uiPriority w:val="39"/>
    <w:semiHidden/>
    <w:unhideWhenUsed/>
    <w:qFormat/>
    <w:pPr>
      <w:spacing w:after="100"/>
      <w:ind w:left="1920"/>
    </w:pPr>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440" w:hanging="360"/>
      <w:contextualSpacing/>
    </w:pPr>
  </w:style>
  <w:style w:type="paragraph" w:styleId="ListContinue2">
    <w:name w:val="List Continue 2"/>
    <w:basedOn w:val="Normal"/>
    <w:uiPriority w:val="99"/>
    <w:semiHidden/>
    <w:unhideWhenUsed/>
    <w:qFormat/>
    <w:pPr>
      <w:spacing w:after="120"/>
      <w:ind w:left="720"/>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paragraph" w:styleId="HTMLPreformatted">
    <w:name w:val="HTML Preformatted"/>
    <w:basedOn w:val="Normal"/>
    <w:link w:val="HTMLPreformattedChar"/>
    <w:uiPriority w:val="99"/>
    <w:semiHidden/>
    <w:unhideWhenUsed/>
    <w:qFormat/>
    <w:pPr>
      <w:spacing w:before="0"/>
    </w:pPr>
    <w:rPr>
      <w:rFonts w:ascii="Consolas" w:hAnsi="Consolas"/>
      <w:sz w:val="20"/>
      <w:szCs w:val="20"/>
    </w:rPr>
  </w:style>
  <w:style w:type="paragraph" w:styleId="NormalWeb">
    <w:name w:val="Normal (Web)"/>
    <w:basedOn w:val="Normal"/>
    <w:uiPriority w:val="99"/>
    <w:semiHidden/>
    <w:unhideWhenUsed/>
    <w:qFormat/>
  </w:style>
  <w:style w:type="paragraph" w:styleId="ListContinue3">
    <w:name w:val="List Continue 3"/>
    <w:basedOn w:val="Normal"/>
    <w:uiPriority w:val="99"/>
    <w:semiHidden/>
    <w:unhideWhenUsed/>
    <w:qFormat/>
    <w:pPr>
      <w:spacing w:after="120"/>
      <w:ind w:left="1080"/>
      <w:contextualSpacing/>
    </w:pPr>
  </w:style>
  <w:style w:type="paragraph" w:styleId="Index2">
    <w:name w:val="index 2"/>
    <w:basedOn w:val="Normal"/>
    <w:next w:val="Normal"/>
    <w:uiPriority w:val="99"/>
    <w:semiHidden/>
    <w:unhideWhenUsed/>
    <w:qFormat/>
    <w:pPr>
      <w:spacing w:before="0"/>
      <w:ind w:left="480" w:hanging="240"/>
    </w:pPr>
  </w:style>
  <w:style w:type="paragraph" w:styleId="Title">
    <w:name w:val="Title"/>
    <w:basedOn w:val="Normal"/>
    <w:next w:val="Normal"/>
    <w:link w:val="TitleChar"/>
    <w:uiPriority w:val="10"/>
    <w:qFormat/>
    <w:pPr>
      <w:spacing w:before="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paragraph" w:styleId="BodyTextFirstIndent">
    <w:name w:val="Body Text First Indent"/>
    <w:basedOn w:val="BodyText"/>
    <w:link w:val="BodyTextFirstIndentChar"/>
    <w:uiPriority w:val="99"/>
    <w:semiHidden/>
    <w:unhideWhenUsed/>
    <w:qFormat/>
    <w:pPr>
      <w:spacing w:after="0"/>
      <w:ind w:firstLine="360"/>
    </w:pPr>
  </w:style>
  <w:style w:type="paragraph" w:styleId="BodyTextFirstIndent2">
    <w:name w:val="Body Text First Indent 2"/>
    <w:basedOn w:val="BodyTextIndent"/>
    <w:link w:val="BodyTextFirstIndent2Char"/>
    <w:uiPriority w:val="99"/>
    <w:semiHidden/>
    <w:unhideWhenUsed/>
    <w:qFormat/>
    <w:pPr>
      <w:spacing w:after="0"/>
      <w:ind w:firstLine="360"/>
    </w:p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uiPriority w:val="99"/>
    <w:semiHidden/>
    <w:unhideWhenUsed/>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basedOn w:val="DefaultParagraphFont"/>
    <w:uiPriority w:val="99"/>
    <w:semiHidden/>
    <w:unhideWhenUsed/>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aliases w:val="CEO_Hyperlink,超级链接,Style 58,超?级链,超????,하이퍼링크2,超链接1,하이퍼링크21,超??级链Ú,fL????,fL?级,超??级链,超?级链Ú,’´?级链,’´????,’´??级链Ú,’´??级,超?级链?,Style?,S"/>
    <w:basedOn w:val="DefaultParagraphFont"/>
    <w:uiPriority w:val="99"/>
    <w:qFormat/>
    <w:rPr>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uiPriority w:val="99"/>
    <w:semiHidden/>
    <w:unhideWhenUsed/>
    <w:qFormat/>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basedOn w:val="DefaultParagraphFont"/>
    <w:uiPriority w:val="99"/>
    <w:semiHidden/>
    <w:unhideWhenUsed/>
    <w:qFormat/>
    <w:rPr>
      <w:vertAlign w:val="superscript"/>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Pr>
      <w:b/>
      <w:bCs/>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basedOn w:val="DefaultParagraphFont"/>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sz w:val="24"/>
      <w:szCs w:val="20"/>
      <w:lang w:val="en-GB"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18"/>
      <w:szCs w:val="20"/>
      <w:lang w:val="en-GB" w:eastAsia="en-US"/>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eastAsia="ja-JP"/>
    </w:rPr>
  </w:style>
  <w:style w:type="character" w:customStyle="1" w:styleId="SubtitleChar">
    <w:name w:val="Subtitle Char"/>
    <w:basedOn w:val="DefaultParagraphFont"/>
    <w:link w:val="Subtitle"/>
    <w:uiPriority w:val="11"/>
    <w:qFormat/>
    <w:rPr>
      <w:color w:val="595959" w:themeColor="text1" w:themeTint="A6"/>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sz w:val="24"/>
      <w:szCs w:val="24"/>
      <w:lang w:val="en-GB"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GB" w:eastAsia="ja-JP"/>
    </w:rPr>
  </w:style>
  <w:style w:type="paragraph" w:customStyle="1" w:styleId="LSDeadline">
    <w:name w:val="LSDeadline"/>
    <w:basedOn w:val="LSTitle"/>
    <w:next w:val="Normal"/>
    <w:qFormat/>
    <w:rPr>
      <w:bCs w:val="0"/>
    </w:rPr>
  </w:style>
  <w:style w:type="paragraph" w:customStyle="1" w:styleId="LSTitle">
    <w:name w:val="LSTitle"/>
    <w:basedOn w:val="Normal"/>
    <w:next w:val="Normal"/>
    <w:qFormat/>
    <w:rPr>
      <w:rFonts w:eastAsiaTheme="minorHAnsi"/>
      <w:bCs/>
    </w:rPr>
  </w:style>
  <w:style w:type="paragraph" w:customStyle="1" w:styleId="LSForAction">
    <w:name w:val="LSForAction"/>
    <w:basedOn w:val="LSTitle"/>
    <w:next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qFormat/>
  </w:style>
  <w:style w:type="paragraph" w:customStyle="1" w:styleId="LSForComment">
    <w:name w:val="LSForComment"/>
    <w:basedOn w:val="LSTitle"/>
    <w:next w:val="Normal"/>
    <w:qFormat/>
  </w:style>
  <w:style w:type="paragraph" w:customStyle="1" w:styleId="enumlev1">
    <w:name w:val="enumlev1"/>
    <w:basedOn w:val="Normal"/>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LSSource">
    <w:name w:val="LSSource"/>
    <w:basedOn w:val="LSTitle"/>
    <w:next w:val="Normal"/>
    <w:qFormat/>
    <w:rPr>
      <w:bCs w:val="0"/>
    </w:rPr>
  </w:style>
  <w:style w:type="paragraph" w:customStyle="1" w:styleId="Revision1">
    <w:name w:val="Revision1"/>
    <w:hidden/>
    <w:uiPriority w:val="99"/>
    <w:semiHidden/>
    <w:qFormat/>
    <w:rPr>
      <w:rFonts w:ascii="Times New Roman" w:hAnsi="Times New Roman" w:cs="Times New Roman"/>
      <w:sz w:val="24"/>
      <w:szCs w:val="24"/>
      <w:lang w:val="en-GB" w:eastAsia="ja-JP"/>
    </w:rPr>
  </w:style>
  <w:style w:type="paragraph" w:customStyle="1" w:styleId="VenueDate">
    <w:name w:val="VenueDate"/>
    <w:basedOn w:val="Normal"/>
    <w:qFormat/>
    <w:pPr>
      <w:overflowPunct w:val="0"/>
      <w:autoSpaceDE w:val="0"/>
      <w:autoSpaceDN w:val="0"/>
      <w:adjustRightInd w:val="0"/>
      <w:jc w:val="right"/>
      <w:textAlignment w:val="baseline"/>
    </w:pPr>
    <w:rPr>
      <w:rFonts w:eastAsia="Times New Roman"/>
      <w:szCs w:val="20"/>
      <w:lang w:eastAsia="en-US"/>
    </w:r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ReftextArial9pt">
    <w:name w:val="Ref_text Arial 9 pt"/>
    <w:qFormat/>
    <w:rPr>
      <w:rFonts w:ascii="Arial" w:hAnsi="Arial" w:cs="Arial"/>
      <w:sz w:val="18"/>
      <w:szCs w:val="18"/>
    </w:rPr>
  </w:style>
  <w:style w:type="paragraph" w:customStyle="1" w:styleId="Title4">
    <w:name w:val="Title 4"/>
    <w:basedOn w:val="Normal"/>
    <w:next w:val="Heading1"/>
    <w:qFormat/>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semiHidden/>
    <w:qFormat/>
    <w:rPr>
      <w:rFonts w:ascii="Times New Roman" w:hAnsi="Times New Roman" w:cs="Times New Roman"/>
      <w:sz w:val="20"/>
      <w:szCs w:val="20"/>
      <w:lang w:val="en-GB" w:eastAsia="ja-JP"/>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uiPriority w:val="99"/>
    <w:semiHidden/>
    <w:qFormat/>
    <w:rPr>
      <w:rFonts w:ascii="Times New Roman" w:hAnsi="Times New Roman" w:cs="Times New Roman"/>
      <w:sz w:val="24"/>
      <w:szCs w:val="24"/>
      <w:lang w:val="en-GB"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sz w:val="24"/>
      <w:szCs w:val="24"/>
      <w:lang w:val="en-GB" w:eastAsia="ja-JP"/>
    </w:rPr>
  </w:style>
  <w:style w:type="character" w:customStyle="1" w:styleId="BodyText3Char">
    <w:name w:val="Body Text 3 Char"/>
    <w:basedOn w:val="DefaultParagraphFont"/>
    <w:link w:val="BodyText3"/>
    <w:uiPriority w:val="99"/>
    <w:semiHidden/>
    <w:qFormat/>
    <w:rPr>
      <w:rFonts w:ascii="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uiPriority w:val="99"/>
    <w:semiHidden/>
    <w:qFormat/>
    <w:rPr>
      <w:rFonts w:ascii="Times New Roman" w:hAnsi="Times New Roman" w:cs="Times New Roman"/>
      <w:sz w:val="24"/>
      <w:szCs w:val="24"/>
      <w:lang w:val="en-GB" w:eastAsia="ja-JP"/>
    </w:rPr>
  </w:style>
  <w:style w:type="character" w:customStyle="1" w:styleId="BodyTextIndentChar">
    <w:name w:val="Body Text Indent Char"/>
    <w:basedOn w:val="DefaultParagraphFont"/>
    <w:link w:val="BodyTextIndent"/>
    <w:uiPriority w:val="99"/>
    <w:semiHidden/>
    <w:qFormat/>
    <w:rPr>
      <w:rFonts w:ascii="Times New Roman" w:hAnsi="Times New Roman" w:cs="Times New Roman"/>
      <w:sz w:val="24"/>
      <w:szCs w:val="24"/>
      <w:lang w:val="en-GB" w:eastAsia="ja-JP"/>
    </w:rPr>
  </w:style>
  <w:style w:type="character" w:customStyle="1" w:styleId="BodyTextFirstIndent2Char">
    <w:name w:val="Body Text First Indent 2 Char"/>
    <w:basedOn w:val="BodyTextIndentChar"/>
    <w:link w:val="BodyTextFirstIndent2"/>
    <w:uiPriority w:val="99"/>
    <w:semiHidden/>
    <w:qFormat/>
    <w:rPr>
      <w:rFonts w:ascii="Times New Roman" w:hAnsi="Times New Roman" w:cs="Times New Roman"/>
      <w:sz w:val="24"/>
      <w:szCs w:val="24"/>
      <w:lang w:val="en-GB" w:eastAsia="ja-JP"/>
    </w:rPr>
  </w:style>
  <w:style w:type="character" w:customStyle="1" w:styleId="BodyTextIndent2Char">
    <w:name w:val="Body Text Indent 2 Char"/>
    <w:basedOn w:val="DefaultParagraphFont"/>
    <w:link w:val="BodyTextIndent2"/>
    <w:uiPriority w:val="99"/>
    <w:semiHidden/>
    <w:qFormat/>
    <w:rPr>
      <w:rFonts w:ascii="Times New Roman" w:hAnsi="Times New Roman" w:cs="Times New Roman"/>
      <w:sz w:val="24"/>
      <w:szCs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sz w:val="16"/>
      <w:szCs w:val="16"/>
      <w:lang w:val="en-GB" w:eastAsia="ja-JP"/>
    </w:rPr>
  </w:style>
  <w:style w:type="character" w:customStyle="1" w:styleId="BookTitle1">
    <w:name w:val="Book Title1"/>
    <w:basedOn w:val="DefaultParagraphFont"/>
    <w:uiPriority w:val="33"/>
    <w:qFormat/>
    <w:rPr>
      <w:b/>
      <w:bCs/>
      <w:i/>
      <w:iCs/>
      <w:spacing w:val="5"/>
    </w:rPr>
  </w:style>
  <w:style w:type="character" w:customStyle="1" w:styleId="ClosingChar">
    <w:name w:val="Closing Char"/>
    <w:basedOn w:val="DefaultParagraphFont"/>
    <w:link w:val="Closing"/>
    <w:uiPriority w:val="99"/>
    <w:semiHidden/>
    <w:qFormat/>
    <w:rPr>
      <w:rFonts w:ascii="Times New Roman" w:hAnsi="Times New Roman" w:cs="Times New Roman"/>
      <w:sz w:val="24"/>
      <w:szCs w:val="24"/>
      <w:lang w:val="en-GB" w:eastAsia="ja-JP"/>
    </w:rPr>
  </w:style>
  <w:style w:type="character" w:customStyle="1" w:styleId="DateChar">
    <w:name w:val="Date Char"/>
    <w:basedOn w:val="DefaultParagraphFont"/>
    <w:link w:val="Date"/>
    <w:uiPriority w:val="99"/>
    <w:semiHidden/>
    <w:qFormat/>
    <w:rPr>
      <w:rFonts w:ascii="Times New Roman" w:hAnsi="Times New Roman" w:cs="Times New Roman"/>
      <w:sz w:val="24"/>
      <w:szCs w:val="24"/>
      <w:lang w:val="en-GB" w:eastAsia="ja-JP"/>
    </w:rPr>
  </w:style>
  <w:style w:type="character" w:customStyle="1" w:styleId="DocumentMapChar">
    <w:name w:val="Document Map Char"/>
    <w:basedOn w:val="DefaultParagraphFont"/>
    <w:link w:val="DocumentMap"/>
    <w:uiPriority w:val="99"/>
    <w:semiHidden/>
    <w:qFormat/>
    <w:rPr>
      <w:rFonts w:ascii="Segoe UI" w:hAnsi="Segoe UI" w:cs="Segoe UI"/>
      <w:sz w:val="16"/>
      <w:szCs w:val="16"/>
      <w:lang w:val="en-GB" w:eastAsia="ja-JP"/>
    </w:rPr>
  </w:style>
  <w:style w:type="character" w:customStyle="1" w:styleId="E-mailSignatureChar">
    <w:name w:val="E-mail Signature Char"/>
    <w:basedOn w:val="DefaultParagraphFont"/>
    <w:link w:val="E-mailSignature"/>
    <w:uiPriority w:val="99"/>
    <w:semiHidden/>
    <w:qFormat/>
    <w:rPr>
      <w:rFonts w:ascii="Times New Roman" w:hAnsi="Times New Roman" w:cs="Times New Roman"/>
      <w:sz w:val="24"/>
      <w:szCs w:val="24"/>
      <w:lang w:val="en-GB" w:eastAsia="ja-JP"/>
    </w:rPr>
  </w:style>
  <w:style w:type="character" w:customStyle="1" w:styleId="EndnoteTextChar">
    <w:name w:val="Endnote Text Char"/>
    <w:basedOn w:val="DefaultParagraphFont"/>
    <w:link w:val="EndnoteText"/>
    <w:uiPriority w:val="99"/>
    <w:semiHidden/>
    <w:qFormat/>
    <w:rPr>
      <w:rFonts w:ascii="Times New Roman" w:hAnsi="Times New Roman" w:cs="Times New Roman"/>
      <w:sz w:val="20"/>
      <w:szCs w:val="20"/>
      <w:lang w:val="en-GB"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HTMLAddressChar">
    <w:name w:val="HTML Address Char"/>
    <w:basedOn w:val="DefaultParagraphFont"/>
    <w:link w:val="HTMLAddress"/>
    <w:uiPriority w:val="99"/>
    <w:semiHidden/>
    <w:qFormat/>
    <w:rPr>
      <w:rFonts w:ascii="Times New Roman" w:hAnsi="Times New Roman" w:cs="Times New Roman"/>
      <w:i/>
      <w:iCs/>
      <w:sz w:val="24"/>
      <w:szCs w:val="24"/>
      <w:lang w:val="en-GB" w:eastAsia="ja-JP"/>
    </w:rPr>
  </w:style>
  <w:style w:type="character" w:customStyle="1" w:styleId="HTMLPreformattedChar">
    <w:name w:val="HTML Preformatted Char"/>
    <w:basedOn w:val="DefaultParagraphFont"/>
    <w:link w:val="HTMLPreformatted"/>
    <w:uiPriority w:val="99"/>
    <w:semiHidden/>
    <w:qFormat/>
    <w:rPr>
      <w:rFonts w:ascii="Consolas" w:hAnsi="Consolas" w:cs="Times New Roman"/>
      <w:sz w:val="20"/>
      <w:szCs w:val="20"/>
      <w:lang w:val="en-GB" w:eastAsia="ja-JP"/>
    </w:rPr>
  </w:style>
  <w:style w:type="character" w:customStyle="1" w:styleId="IntenseEmphasis1">
    <w:name w:val="Intense Emphasis1"/>
    <w:basedOn w:val="DefaultParagraphFont"/>
    <w:uiPriority w:val="21"/>
    <w:qFormat/>
    <w:rPr>
      <w:i/>
      <w:iCs/>
      <w:color w:val="5B9BD5" w:themeColor="accent1"/>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rFonts w:ascii="Times New Roman" w:hAnsi="Times New Roman" w:cs="Times New Roman"/>
      <w:i/>
      <w:iCs/>
      <w:color w:val="5B9BD5" w:themeColor="accent1"/>
      <w:sz w:val="24"/>
      <w:szCs w:val="24"/>
      <w:lang w:val="en-GB" w:eastAsia="ja-JP"/>
    </w:rPr>
  </w:style>
  <w:style w:type="character" w:customStyle="1" w:styleId="IntenseReference1">
    <w:name w:val="Intense Reference1"/>
    <w:basedOn w:val="DefaultParagraphFont"/>
    <w:uiPriority w:val="32"/>
    <w:qFormat/>
    <w:rPr>
      <w:b/>
      <w:bCs/>
      <w:smallCaps/>
      <w:color w:val="5B9BD5" w:themeColor="accent1"/>
      <w:spacing w:val="5"/>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uiPriority w:val="99"/>
    <w:semiHidden/>
    <w:qFormat/>
    <w:rPr>
      <w:rFonts w:ascii="Consolas" w:hAnsi="Consolas" w:cs="Times New Roman"/>
      <w:sz w:val="20"/>
      <w:szCs w:val="20"/>
      <w:lang w:val="en-GB" w:eastAsia="ja-JP"/>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ascii="Times New Roman" w:hAnsi="Times New Roman" w:cs="Times New Roman"/>
      <w:sz w:val="24"/>
      <w:szCs w:val="24"/>
      <w:lang w:val="en-GB" w:eastAsia="ja-JP"/>
    </w:rPr>
  </w:style>
  <w:style w:type="character" w:customStyle="1" w:styleId="NoteHeadingChar">
    <w:name w:val="Note Heading Char"/>
    <w:basedOn w:val="DefaultParagraphFont"/>
    <w:link w:val="NoteHeading"/>
    <w:uiPriority w:val="99"/>
    <w:semiHidden/>
    <w:qFormat/>
    <w:rPr>
      <w:rFonts w:ascii="Times New Roman" w:hAnsi="Times New Roman" w:cs="Times New Roman"/>
      <w:sz w:val="24"/>
      <w:szCs w:val="24"/>
      <w:lang w:val="en-GB" w:eastAsia="ja-JP"/>
    </w:rPr>
  </w:style>
  <w:style w:type="character" w:customStyle="1" w:styleId="PlainTextChar">
    <w:name w:val="Plain Text Char"/>
    <w:basedOn w:val="DefaultParagraphFont"/>
    <w:link w:val="PlainText"/>
    <w:uiPriority w:val="99"/>
    <w:semiHidden/>
    <w:qFormat/>
    <w:rPr>
      <w:rFonts w:ascii="Consolas" w:hAnsi="Consolas" w:cs="Times New Roman"/>
      <w:sz w:val="21"/>
      <w:szCs w:val="21"/>
      <w:lang w:val="en-GB" w:eastAsia="ja-JP"/>
    </w:rPr>
  </w:style>
  <w:style w:type="character" w:customStyle="1" w:styleId="SalutationChar">
    <w:name w:val="Salutation Char"/>
    <w:basedOn w:val="DefaultParagraphFont"/>
    <w:link w:val="Salutation"/>
    <w:uiPriority w:val="99"/>
    <w:semiHidden/>
    <w:qFormat/>
    <w:rPr>
      <w:rFonts w:ascii="Times New Roman" w:hAnsi="Times New Roman" w:cs="Times New Roman"/>
      <w:sz w:val="24"/>
      <w:szCs w:val="24"/>
      <w:lang w:val="en-GB" w:eastAsia="ja-JP"/>
    </w:rPr>
  </w:style>
  <w:style w:type="character" w:customStyle="1" w:styleId="SignatureChar">
    <w:name w:val="Signature Char"/>
    <w:basedOn w:val="DefaultParagraphFont"/>
    <w:link w:val="Signature"/>
    <w:uiPriority w:val="99"/>
    <w:semiHidden/>
    <w:qFormat/>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qFormat/>
    <w:rPr>
      <w:u w:val="dotted"/>
    </w:rPr>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Heading1"/>
    <w:next w:val="Normal"/>
    <w:uiPriority w:val="39"/>
    <w:semiHidden/>
    <w:unhideWhenUsed/>
    <w:qFormat/>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Summary">
    <w:name w:val="TSBHeaderSummary"/>
    <w:basedOn w:val="Normal"/>
    <w:qFormat/>
  </w:style>
  <w:style w:type="paragraph" w:customStyle="1" w:styleId="LSApproval">
    <w:name w:val="LSApproval"/>
    <w:basedOn w:val="Normal"/>
    <w:qFormat/>
    <w:rPr>
      <w:b/>
      <w:bCs/>
    </w:rPr>
  </w:style>
  <w:style w:type="paragraph" w:customStyle="1" w:styleId="TSBHeaderRight14">
    <w:name w:val="TSBHeaderRight14"/>
    <w:basedOn w:val="Normal"/>
    <w:qFormat/>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imes New Roman" w:hAnsi="Times New Roman" w:cs="Times New Roman"/>
      <w:sz w:val="24"/>
      <w:szCs w:val="24"/>
      <w:lang w:val="en-GB" w:eastAsia="ja-JP"/>
    </w:rPr>
  </w:style>
  <w:style w:type="paragraph" w:styleId="Revision">
    <w:name w:val="Revision"/>
    <w:hidden/>
    <w:uiPriority w:val="99"/>
    <w:unhideWhenUsed/>
    <w:rsid w:val="00637800"/>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921732"/>
    <w:rPr>
      <w:color w:val="605E5C"/>
      <w:shd w:val="clear" w:color="auto" w:fill="E1DFDD"/>
    </w:rPr>
  </w:style>
  <w:style w:type="paragraph" w:customStyle="1" w:styleId="FirstFooter">
    <w:name w:val="FirstFooter"/>
    <w:basedOn w:val="Footer"/>
    <w:qFormat/>
    <w:rsid w:val="00BE4B34"/>
    <w:pPr>
      <w:tabs>
        <w:tab w:val="clear" w:pos="4680"/>
        <w:tab w:val="clear" w:pos="9360"/>
        <w:tab w:val="left" w:pos="1871"/>
      </w:tabs>
      <w:spacing w:before="40"/>
    </w:pPr>
    <w:rPr>
      <w:rFonts w:asciiTheme="minorHAnsi" w:eastAsia="Times New Roman" w:hAnsiTheme="minorHAnsi"/>
      <w:sz w:val="16"/>
      <w:szCs w:val="20"/>
      <w:lang w:eastAsia="en-US"/>
    </w:rPr>
  </w:style>
  <w:style w:type="paragraph" w:customStyle="1" w:styleId="Source">
    <w:name w:val="Source"/>
    <w:basedOn w:val="Normal"/>
    <w:next w:val="Normal"/>
    <w:link w:val="SourceChar"/>
    <w:qFormat/>
    <w:rsid w:val="00BE4B34"/>
    <w:pPr>
      <w:tabs>
        <w:tab w:val="left" w:pos="1134"/>
        <w:tab w:val="left" w:pos="1871"/>
        <w:tab w:val="left" w:pos="2268"/>
      </w:tabs>
      <w:overflowPunct w:val="0"/>
      <w:autoSpaceDE w:val="0"/>
      <w:autoSpaceDN w:val="0"/>
      <w:adjustRightInd w:val="0"/>
      <w:spacing w:before="840"/>
      <w:jc w:val="center"/>
      <w:textAlignment w:val="baseline"/>
    </w:pPr>
    <w:rPr>
      <w:rFonts w:asciiTheme="minorHAnsi" w:eastAsia="Times New Roman" w:hAnsiTheme="minorHAnsi"/>
      <w:b/>
      <w:sz w:val="28"/>
      <w:szCs w:val="20"/>
      <w:lang w:eastAsia="en-US"/>
    </w:rPr>
  </w:style>
  <w:style w:type="paragraph" w:customStyle="1" w:styleId="Title1">
    <w:name w:val="Title 1"/>
    <w:basedOn w:val="Source"/>
    <w:next w:val="Normal"/>
    <w:link w:val="Title1Char"/>
    <w:qFormat/>
    <w:rsid w:val="00BE4B34"/>
    <w:pPr>
      <w:spacing w:before="240"/>
    </w:pPr>
    <w:rPr>
      <w:b w:val="0"/>
      <w:caps/>
    </w:rPr>
  </w:style>
  <w:style w:type="paragraph" w:customStyle="1" w:styleId="Committee">
    <w:name w:val="Committee"/>
    <w:basedOn w:val="Normal"/>
    <w:qFormat/>
    <w:rsid w:val="00BE4B34"/>
    <w:pPr>
      <w:framePr w:hSpace="180" w:wrap="around" w:hAnchor="margin" w:y="-675"/>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Theme="minorHAnsi" w:eastAsia="Times New Roman" w:hAnsiTheme="minorHAnsi" w:cstheme="minorHAnsi"/>
      <w:b/>
      <w:lang w:eastAsia="en-US"/>
    </w:rPr>
  </w:style>
  <w:style w:type="character" w:customStyle="1" w:styleId="ListParagraphChar">
    <w:name w:val="List Paragraph Char"/>
    <w:basedOn w:val="DefaultParagraphFont"/>
    <w:link w:val="ListParagraph"/>
    <w:uiPriority w:val="34"/>
    <w:rsid w:val="00BE4B34"/>
    <w:rPr>
      <w:rFonts w:ascii="Times New Roman" w:hAnsi="Times New Roman" w:cs="Times New Roman"/>
      <w:sz w:val="24"/>
      <w:szCs w:val="24"/>
      <w:lang w:val="en-GB" w:eastAsia="ja-JP"/>
    </w:rPr>
  </w:style>
  <w:style w:type="character" w:customStyle="1" w:styleId="ms-rtethemeforecolor-2-0">
    <w:name w:val="ms-rtethemeforecolor-2-0"/>
    <w:basedOn w:val="DefaultParagraphFont"/>
    <w:rsid w:val="00BE4B34"/>
  </w:style>
  <w:style w:type="character" w:customStyle="1" w:styleId="SourceChar">
    <w:name w:val="Source Char"/>
    <w:link w:val="Source"/>
    <w:locked/>
    <w:rsid w:val="00BE4B34"/>
    <w:rPr>
      <w:rFonts w:eastAsia="Times New Roman" w:cs="Times New Roman"/>
      <w:b/>
      <w:sz w:val="28"/>
      <w:lang w:val="en-GB" w:eastAsia="en-US"/>
    </w:rPr>
  </w:style>
  <w:style w:type="character" w:customStyle="1" w:styleId="Title1Char">
    <w:name w:val="Title 1 Char"/>
    <w:link w:val="Title1"/>
    <w:qFormat/>
    <w:locked/>
    <w:rsid w:val="00BE4B34"/>
    <w:rPr>
      <w:rFonts w:eastAsia="Times New Roman" w:cs="Times New Roman"/>
      <w:caps/>
      <w:sz w:val="28"/>
      <w:lang w:val="en-GB" w:eastAsia="en-US"/>
    </w:rPr>
  </w:style>
  <w:style w:type="table" w:customStyle="1" w:styleId="TableGrid1">
    <w:name w:val="Table Grid1"/>
    <w:basedOn w:val="TableNormal"/>
    <w:next w:val="TableGrid"/>
    <w:uiPriority w:val="59"/>
    <w:rsid w:val="009F2A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F2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jnoobi@cst.gov.sa" TargetMode="External"/><Relationship Id="rId18" Type="http://schemas.openxmlformats.org/officeDocument/2006/relationships/hyperlink" Target="https://www.itu.int/md/meetingdoc.asp?lang=en&amp;parent=R23-RAG-C-0017" TargetMode="External"/><Relationship Id="rId26" Type="http://schemas.openxmlformats.org/officeDocument/2006/relationships/hyperlink" Target="mailto:Sergio.Buonomo@itu.int" TargetMode="External"/><Relationship Id="rId3" Type="http://schemas.openxmlformats.org/officeDocument/2006/relationships/customXml" Target="../customXml/item3.xml"/><Relationship Id="rId21" Type="http://schemas.openxmlformats.org/officeDocument/2006/relationships/hyperlink" Target="https://www.itu.int/md/meetingdoc.asp?lang=en&amp;parent=R23-RAG-C-0026" TargetMode="External"/><Relationship Id="rId7" Type="http://schemas.openxmlformats.org/officeDocument/2006/relationships/settings" Target="settings.xml"/><Relationship Id="rId12" Type="http://schemas.openxmlformats.org/officeDocument/2006/relationships/hyperlink" Target="%20https://www.itu.int/md/R00-CA-CIR-0277/en)" TargetMode="External"/><Relationship Id="rId17" Type="http://schemas.openxmlformats.org/officeDocument/2006/relationships/hyperlink" Target="https://www.itu.int/md/meetingdoc.asp?lang=en&amp;parent=R23-RAG-C-0029" TargetMode="External"/><Relationship Id="rId25" Type="http://schemas.openxmlformats.org/officeDocument/2006/relationships/hyperlink" Target="https://www.itu.int/md/meetingdoc.asp?lang=en&amp;parent=R23-RAG-C-0022" TargetMode="External"/><Relationship Id="rId2" Type="http://schemas.openxmlformats.org/officeDocument/2006/relationships/customXml" Target="../customXml/item2.xml"/><Relationship Id="rId16" Type="http://schemas.openxmlformats.org/officeDocument/2006/relationships/hyperlink" Target="https://www.itu.int/md/meetingdoc.asp?lang=en&amp;parent=R23-RAG-C-0028" TargetMode="External"/><Relationship Id="rId20" Type="http://schemas.openxmlformats.org/officeDocument/2006/relationships/hyperlink" Target="https://www.itu.int/md/meetingdoc.asp?lang=en&amp;parent=R23-RAG-C-00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R00-CA-CIR-0267/en" TargetMode="External"/><Relationship Id="rId5" Type="http://schemas.openxmlformats.org/officeDocument/2006/relationships/numbering" Target="numbering.xml"/><Relationship Id="rId15" Type="http://schemas.openxmlformats.org/officeDocument/2006/relationships/hyperlink" Target="https://www.itu.int/md/meetingdoc.asp?lang=en&amp;parent=R23-RAG-C-0025" TargetMode="External"/><Relationship Id="rId23" Type="http://schemas.openxmlformats.org/officeDocument/2006/relationships/hyperlink" Target="https://www.itu.int/md/meetingdoc.asp?lang=en&amp;parent=R23-RAG-C-004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meetingdoc.asp?lang=en&amp;parent=R23-RAG-C-00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gio.buonomo@itu.int" TargetMode="External"/><Relationship Id="rId22" Type="http://schemas.openxmlformats.org/officeDocument/2006/relationships/hyperlink" Target="https://www.itu.int/md/meetingdoc.asp?lang=en&amp;parent=R23-RAG-C-0022"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e02a22a5-1858-4a26-a36b-fd26cb37ee25" origin="userSelected"/>
</file>

<file path=customXml/itemProps1.xml><?xml version="1.0" encoding="utf-8"?>
<ds:datastoreItem xmlns:ds="http://schemas.openxmlformats.org/officeDocument/2006/customXml" ds:itemID="{E9ABBF92-C92E-4C99-9B17-7BCE1CD8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3CC89B59-73DC-4331-A8A4-697A803248D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Basic_Liaison_Statement.dotx</Template>
  <TotalTime>18</TotalTime>
  <Pages>2</Pages>
  <Words>612</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LS/r on utilisation of tools to produce Recommendations (reply to SG17-LS108)</vt:lpstr>
    </vt:vector>
  </TitlesOfParts>
  <Manager>ITU-T</Manager>
  <Company>International Telecommunication Union (ITU)</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utilisation of tools to produce Recommendations (reply to SG17-LS108)</dc:title>
  <dc:subject/>
  <dc:creator>ITU-T Study Group 20</dc:creator>
  <cp:keywords/>
  <dc:description>TSAG-TD35  For: Geneva, 26-30 May 2025_x000d_Document date: _x000d_Saved by ITU51017913 at 4:20:45 PM on 1/14/2025</dc:description>
  <cp:lastModifiedBy>TSB - JB</cp:lastModifiedBy>
  <cp:revision>7</cp:revision>
  <cp:lastPrinted>2016-12-23T21:52:00Z</cp:lastPrinted>
  <dcterms:created xsi:type="dcterms:W3CDTF">2025-04-28T13:50:00Z</dcterms:created>
  <dcterms:modified xsi:type="dcterms:W3CDTF">2025-04-29T13:03:00Z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TSAG-TD35</vt:lpwstr>
  </property>
  <property fmtid="{D5CDD505-2E9C-101B-9397-08002B2CF9AE}" pid="4" name="Docdate">
    <vt:lpwstr/>
  </property>
  <property fmtid="{D5CDD505-2E9C-101B-9397-08002B2CF9AE}" pid="5" name="Docorlang">
    <vt:lpwstr/>
  </property>
  <property fmtid="{D5CDD505-2E9C-101B-9397-08002B2CF9AE}" pid="6" name="Docbluepink">
    <vt:lpwstr>6/20</vt:lpwstr>
  </property>
  <property fmtid="{D5CDD505-2E9C-101B-9397-08002B2CF9AE}" pid="7" name="Docdest">
    <vt:lpwstr>Geneva, 26-30 May 2025</vt:lpwstr>
  </property>
  <property fmtid="{D5CDD505-2E9C-101B-9397-08002B2CF9AE}" pid="8" name="Docauthor">
    <vt:lpwstr>ITU-T Study Group 20</vt:lpwstr>
  </property>
  <property fmtid="{D5CDD505-2E9C-101B-9397-08002B2CF9AE}" pid="9" name="docIndexRef">
    <vt:lpwstr>60ae584b-06a9-4786-be77-7ef1721f58ac</vt:lpwstr>
  </property>
  <property fmtid="{D5CDD505-2E9C-101B-9397-08002B2CF9AE}" pid="10" name="bjSaver">
    <vt:lpwstr>ly9WlAKhAbxEOXKc6PBqFPyovCs4/Snf</vt:lpwstr>
  </property>
  <property fmtid="{D5CDD505-2E9C-101B-9397-08002B2CF9AE}" pid="11" name="bjDocumentSecurityLabel">
    <vt:lpwstr>This item has no classification</vt:lpwstr>
  </property>
  <property fmtid="{D5CDD505-2E9C-101B-9397-08002B2CF9AE}" pid="12" name="bjClsUserRVM">
    <vt:lpwstr>[]</vt:lpwstr>
  </property>
  <property fmtid="{D5CDD505-2E9C-101B-9397-08002B2CF9AE}" pid="13" name="KSOProductBuildVer">
    <vt:lpwstr>2052-11.8.2.12085</vt:lpwstr>
  </property>
  <property fmtid="{D5CDD505-2E9C-101B-9397-08002B2CF9AE}" pid="14" name="ICV">
    <vt:lpwstr>9DEA891716A741FE88121E7999EC3794</vt:lpwstr>
  </property>
  <property fmtid="{D5CDD505-2E9C-101B-9397-08002B2CF9AE}" pid="15" name="GrammarlyDocumentId">
    <vt:lpwstr>bf6d0ebeb1caea78e62634c32cd817d6e79d06d9590dc7705a31155d55b5e2d0</vt:lpwstr>
  </property>
  <property fmtid="{D5CDD505-2E9C-101B-9397-08002B2CF9AE}" pid="16" name="MediaServiceImageTags">
    <vt:lpwstr/>
  </property>
</Properties>
</file>