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22C70" w14:textId="77777777" w:rsidR="00DF55B2" w:rsidRDefault="00DF55B2">
      <w:pPr>
        <w:widowControl w:val="0"/>
        <w:spacing w:before="0" w:line="276" w:lineRule="auto"/>
        <w:rPr>
          <w:rFonts w:ascii="Arial" w:eastAsia="Arial" w:hAnsi="Arial" w:cs="Arial"/>
          <w:color w:val="000000"/>
          <w:sz w:val="22"/>
          <w:szCs w:val="22"/>
        </w:rPr>
      </w:pPr>
    </w:p>
    <w:tbl>
      <w:tblPr>
        <w:tblStyle w:val="Style90"/>
        <w:tblW w:w="9645" w:type="dxa"/>
        <w:jc w:val="center"/>
        <w:tblInd w:w="0" w:type="dxa"/>
        <w:tblLayout w:type="fixed"/>
        <w:tblCellMar>
          <w:left w:w="115" w:type="dxa"/>
          <w:right w:w="115" w:type="dxa"/>
        </w:tblCellMar>
        <w:tblLook w:val="04A0" w:firstRow="1" w:lastRow="0" w:firstColumn="1" w:lastColumn="0" w:noHBand="0" w:noVBand="1"/>
      </w:tblPr>
      <w:tblGrid>
        <w:gridCol w:w="1140"/>
        <w:gridCol w:w="375"/>
        <w:gridCol w:w="3600"/>
        <w:gridCol w:w="135"/>
        <w:gridCol w:w="285"/>
        <w:gridCol w:w="4110"/>
      </w:tblGrid>
      <w:tr w:rsidR="00DF55B2" w14:paraId="3CACA58E" w14:textId="77777777">
        <w:trPr>
          <w:cantSplit/>
          <w:jc w:val="center"/>
        </w:trPr>
        <w:tc>
          <w:tcPr>
            <w:tcW w:w="1140" w:type="dxa"/>
            <w:vMerge w:val="restart"/>
            <w:vAlign w:val="center"/>
          </w:tcPr>
          <w:p w14:paraId="5BBF8AF8" w14:textId="77777777" w:rsidR="00DF55B2" w:rsidRDefault="00BC6F4E">
            <w:pPr>
              <w:jc w:val="center"/>
              <w:rPr>
                <w:sz w:val="20"/>
                <w:szCs w:val="20"/>
              </w:rPr>
            </w:pPr>
            <w:bookmarkStart w:id="0" w:name="bookmark=id.1fob9te" w:colFirst="0" w:colLast="0"/>
            <w:bookmarkStart w:id="1" w:name="bookmark=id.30j0zll" w:colFirst="0" w:colLast="0"/>
            <w:bookmarkStart w:id="2" w:name="bookmark=id.gjdgxs" w:colFirst="0" w:colLast="0"/>
            <w:bookmarkEnd w:id="0"/>
            <w:bookmarkEnd w:id="1"/>
            <w:bookmarkEnd w:id="2"/>
            <w:r>
              <w:pict w14:anchorId="7D3B4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5.5pt">
                  <v:imagedata r:id="rId7" o:title="" croptop="-131f" cropbottom="-203f" cropleft="-132f" cropright="-132f"/>
                </v:shape>
              </w:pict>
            </w:r>
          </w:p>
        </w:tc>
        <w:tc>
          <w:tcPr>
            <w:tcW w:w="3975" w:type="dxa"/>
            <w:gridSpan w:val="2"/>
            <w:vMerge w:val="restart"/>
          </w:tcPr>
          <w:p w14:paraId="5E433478" w14:textId="77777777" w:rsidR="00DF55B2" w:rsidRDefault="00704D93">
            <w:pPr>
              <w:rPr>
                <w:sz w:val="16"/>
                <w:szCs w:val="16"/>
              </w:rPr>
            </w:pPr>
            <w:r>
              <w:rPr>
                <w:sz w:val="16"/>
                <w:szCs w:val="16"/>
              </w:rPr>
              <w:t>INTERNATIONAL TELECOMMUNICATION UNION</w:t>
            </w:r>
          </w:p>
          <w:p w14:paraId="5340BA68" w14:textId="77777777" w:rsidR="00DF55B2" w:rsidRDefault="00704D93">
            <w:pPr>
              <w:rPr>
                <w:b/>
                <w:sz w:val="26"/>
                <w:szCs w:val="26"/>
              </w:rPr>
            </w:pPr>
            <w:r>
              <w:rPr>
                <w:b/>
                <w:sz w:val="26"/>
                <w:szCs w:val="26"/>
              </w:rPr>
              <w:t>TELECOMMUNICATION</w:t>
            </w:r>
            <w:r>
              <w:rPr>
                <w:b/>
                <w:sz w:val="26"/>
                <w:szCs w:val="26"/>
              </w:rPr>
              <w:br/>
              <w:t>STANDARDIZATION SECTOR</w:t>
            </w:r>
          </w:p>
          <w:p w14:paraId="753C0750" w14:textId="77777777" w:rsidR="00DF55B2" w:rsidRPr="00704D93" w:rsidRDefault="00704D93">
            <w:pPr>
              <w:rPr>
                <w:sz w:val="20"/>
                <w:szCs w:val="20"/>
                <w:lang w:val="en-GB"/>
              </w:rPr>
            </w:pPr>
            <w:r>
              <w:rPr>
                <w:sz w:val="20"/>
                <w:szCs w:val="20"/>
              </w:rPr>
              <w:t xml:space="preserve">STUDY PERIOD </w:t>
            </w:r>
            <w:bookmarkStart w:id="3" w:name="bookmark=id.3znysh7" w:colFirst="0" w:colLast="0"/>
            <w:bookmarkEnd w:id="3"/>
            <w:r>
              <w:rPr>
                <w:sz w:val="20"/>
                <w:szCs w:val="20"/>
              </w:rPr>
              <w:t>202</w:t>
            </w:r>
            <w:r w:rsidRPr="00704D93">
              <w:rPr>
                <w:sz w:val="20"/>
                <w:szCs w:val="20"/>
                <w:lang w:val="en-GB"/>
              </w:rPr>
              <w:t>5</w:t>
            </w:r>
            <w:r>
              <w:rPr>
                <w:sz w:val="20"/>
                <w:szCs w:val="20"/>
              </w:rPr>
              <w:t>-202</w:t>
            </w:r>
            <w:r w:rsidRPr="00704D93">
              <w:rPr>
                <w:sz w:val="20"/>
                <w:szCs w:val="20"/>
                <w:lang w:val="en-GB"/>
              </w:rPr>
              <w:t>8</w:t>
            </w:r>
          </w:p>
        </w:tc>
        <w:tc>
          <w:tcPr>
            <w:tcW w:w="4530" w:type="dxa"/>
            <w:gridSpan w:val="3"/>
            <w:vAlign w:val="center"/>
          </w:tcPr>
          <w:p w14:paraId="1AF1789B" w14:textId="1EC58D16" w:rsidR="00DF55B2" w:rsidRDefault="00704D93">
            <w:pPr>
              <w:tabs>
                <w:tab w:val="left" w:pos="794"/>
                <w:tab w:val="left" w:pos="1191"/>
                <w:tab w:val="left" w:pos="1588"/>
                <w:tab w:val="left" w:pos="1985"/>
              </w:tabs>
              <w:jc w:val="right"/>
              <w:rPr>
                <w:rFonts w:eastAsia="Times New Roman"/>
                <w:b/>
                <w:color w:val="000000"/>
                <w:sz w:val="32"/>
                <w:szCs w:val="32"/>
                <w:highlight w:val="yellow"/>
                <w:lang w:val="en-US"/>
              </w:rPr>
            </w:pPr>
            <w:r>
              <w:rPr>
                <w:rFonts w:eastAsia="Times New Roman"/>
                <w:b/>
                <w:color w:val="000000"/>
                <w:sz w:val="32"/>
                <w:szCs w:val="32"/>
              </w:rPr>
              <w:t>SG11-C</w:t>
            </w:r>
            <w:r w:rsidR="00BC6F4E">
              <w:rPr>
                <w:rFonts w:eastAsia="Times New Roman"/>
                <w:b/>
                <w:color w:val="000000"/>
                <w:sz w:val="32"/>
                <w:szCs w:val="32"/>
                <w:lang w:val="en-US"/>
              </w:rPr>
              <w:t>126</w:t>
            </w:r>
          </w:p>
        </w:tc>
      </w:tr>
      <w:tr w:rsidR="00DF55B2" w14:paraId="03061B41" w14:textId="77777777">
        <w:trPr>
          <w:cantSplit/>
          <w:jc w:val="center"/>
        </w:trPr>
        <w:tc>
          <w:tcPr>
            <w:tcW w:w="1140" w:type="dxa"/>
            <w:vMerge/>
            <w:vAlign w:val="center"/>
          </w:tcPr>
          <w:p w14:paraId="46580ADB" w14:textId="77777777" w:rsidR="00DF55B2" w:rsidRDefault="00DF55B2">
            <w:pPr>
              <w:widowControl w:val="0"/>
              <w:spacing w:before="0" w:line="276" w:lineRule="auto"/>
              <w:rPr>
                <w:rFonts w:eastAsia="Times New Roman"/>
                <w:b/>
                <w:color w:val="000000"/>
                <w:sz w:val="32"/>
                <w:szCs w:val="32"/>
              </w:rPr>
            </w:pPr>
          </w:p>
        </w:tc>
        <w:tc>
          <w:tcPr>
            <w:tcW w:w="3975" w:type="dxa"/>
            <w:gridSpan w:val="2"/>
            <w:vMerge/>
          </w:tcPr>
          <w:p w14:paraId="3AA55E55" w14:textId="77777777" w:rsidR="00DF55B2" w:rsidRDefault="00DF55B2">
            <w:pPr>
              <w:widowControl w:val="0"/>
              <w:spacing w:before="0" w:line="276" w:lineRule="auto"/>
              <w:rPr>
                <w:rFonts w:eastAsia="Times New Roman"/>
                <w:b/>
                <w:color w:val="000000"/>
                <w:sz w:val="32"/>
                <w:szCs w:val="32"/>
              </w:rPr>
            </w:pPr>
          </w:p>
        </w:tc>
        <w:tc>
          <w:tcPr>
            <w:tcW w:w="4530" w:type="dxa"/>
            <w:gridSpan w:val="3"/>
          </w:tcPr>
          <w:p w14:paraId="7520B67F" w14:textId="77777777" w:rsidR="00DF55B2" w:rsidRDefault="00704D93">
            <w:pPr>
              <w:jc w:val="right"/>
              <w:rPr>
                <w:b/>
                <w:sz w:val="28"/>
                <w:szCs w:val="28"/>
              </w:rPr>
            </w:pPr>
            <w:r>
              <w:rPr>
                <w:b/>
                <w:sz w:val="28"/>
                <w:szCs w:val="28"/>
              </w:rPr>
              <w:t>STUDY GROUP 11</w:t>
            </w:r>
          </w:p>
        </w:tc>
      </w:tr>
      <w:tr w:rsidR="00DF55B2" w14:paraId="61E8E29D" w14:textId="77777777">
        <w:trPr>
          <w:cantSplit/>
          <w:jc w:val="center"/>
        </w:trPr>
        <w:tc>
          <w:tcPr>
            <w:tcW w:w="1140" w:type="dxa"/>
            <w:vMerge/>
            <w:vAlign w:val="center"/>
          </w:tcPr>
          <w:p w14:paraId="1C503C7F" w14:textId="77777777" w:rsidR="00DF55B2" w:rsidRDefault="00DF55B2">
            <w:pPr>
              <w:widowControl w:val="0"/>
              <w:spacing w:before="0" w:line="276" w:lineRule="auto"/>
              <w:rPr>
                <w:b/>
                <w:sz w:val="28"/>
                <w:szCs w:val="28"/>
              </w:rPr>
            </w:pPr>
          </w:p>
        </w:tc>
        <w:tc>
          <w:tcPr>
            <w:tcW w:w="3975" w:type="dxa"/>
            <w:gridSpan w:val="2"/>
            <w:vMerge/>
          </w:tcPr>
          <w:p w14:paraId="4D2D8A3D" w14:textId="77777777" w:rsidR="00DF55B2" w:rsidRDefault="00DF55B2">
            <w:pPr>
              <w:widowControl w:val="0"/>
              <w:spacing w:before="0" w:line="276" w:lineRule="auto"/>
              <w:rPr>
                <w:b/>
                <w:sz w:val="28"/>
                <w:szCs w:val="28"/>
              </w:rPr>
            </w:pPr>
          </w:p>
        </w:tc>
        <w:tc>
          <w:tcPr>
            <w:tcW w:w="4530" w:type="dxa"/>
            <w:gridSpan w:val="3"/>
            <w:tcBorders>
              <w:bottom w:val="single" w:sz="12" w:space="0" w:color="000000"/>
            </w:tcBorders>
            <w:vAlign w:val="center"/>
          </w:tcPr>
          <w:p w14:paraId="671D162E" w14:textId="77777777" w:rsidR="00DF55B2" w:rsidRDefault="00704D93">
            <w:pPr>
              <w:jc w:val="right"/>
              <w:rPr>
                <w:b/>
                <w:sz w:val="28"/>
                <w:szCs w:val="28"/>
              </w:rPr>
            </w:pPr>
            <w:r>
              <w:rPr>
                <w:b/>
                <w:sz w:val="28"/>
                <w:szCs w:val="28"/>
              </w:rPr>
              <w:t>Original: English</w:t>
            </w:r>
          </w:p>
        </w:tc>
      </w:tr>
      <w:tr w:rsidR="00DF55B2" w14:paraId="6A7E5842" w14:textId="77777777">
        <w:trPr>
          <w:cantSplit/>
          <w:jc w:val="center"/>
        </w:trPr>
        <w:tc>
          <w:tcPr>
            <w:tcW w:w="1515" w:type="dxa"/>
            <w:gridSpan w:val="2"/>
          </w:tcPr>
          <w:p w14:paraId="3E4A7D33" w14:textId="77777777" w:rsidR="00DF55B2" w:rsidRDefault="00704D93">
            <w:pPr>
              <w:rPr>
                <w:b/>
              </w:rPr>
            </w:pPr>
            <w:bookmarkStart w:id="4" w:name="bookmark=id.2et92p0" w:colFirst="0" w:colLast="0"/>
            <w:bookmarkStart w:id="5" w:name="bookmark=id.tyjcwt" w:colFirst="0" w:colLast="0"/>
            <w:bookmarkEnd w:id="4"/>
            <w:bookmarkEnd w:id="5"/>
            <w:r>
              <w:rPr>
                <w:b/>
              </w:rPr>
              <w:t>Question(s):</w:t>
            </w:r>
          </w:p>
        </w:tc>
        <w:tc>
          <w:tcPr>
            <w:tcW w:w="3735" w:type="dxa"/>
            <w:gridSpan w:val="2"/>
          </w:tcPr>
          <w:p w14:paraId="4AB1D10A" w14:textId="2A5DC7F6" w:rsidR="00DF55B2" w:rsidRDefault="00704D93">
            <w:r>
              <w:rPr>
                <w:lang w:val="en-US"/>
              </w:rPr>
              <w:t>8</w:t>
            </w:r>
            <w:r>
              <w:t>/11</w:t>
            </w:r>
          </w:p>
        </w:tc>
        <w:tc>
          <w:tcPr>
            <w:tcW w:w="4395" w:type="dxa"/>
            <w:gridSpan w:val="2"/>
          </w:tcPr>
          <w:p w14:paraId="22AD395D" w14:textId="77777777" w:rsidR="00DF55B2" w:rsidRDefault="00704D93">
            <w:pPr>
              <w:jc w:val="right"/>
            </w:pPr>
            <w:r>
              <w:rPr>
                <w:rFonts w:hint="eastAsia"/>
              </w:rPr>
              <w:t>Geneva, 1</w:t>
            </w:r>
            <w:r>
              <w:rPr>
                <w:lang w:val="en-US"/>
              </w:rPr>
              <w:t>9</w:t>
            </w:r>
            <w:r>
              <w:rPr>
                <w:rFonts w:hint="eastAsia"/>
              </w:rPr>
              <w:t>-</w:t>
            </w:r>
            <w:r>
              <w:rPr>
                <w:lang w:val="en-US"/>
              </w:rPr>
              <w:t>28</w:t>
            </w:r>
            <w:r>
              <w:rPr>
                <w:rFonts w:hint="eastAsia"/>
              </w:rPr>
              <w:t xml:space="preserve"> </w:t>
            </w:r>
            <w:r>
              <w:rPr>
                <w:lang w:val="en-US"/>
              </w:rPr>
              <w:t>February</w:t>
            </w:r>
            <w:r>
              <w:rPr>
                <w:lang w:val="ru-RU"/>
              </w:rPr>
              <w:t xml:space="preserve"> </w:t>
            </w:r>
            <w:r>
              <w:rPr>
                <w:rFonts w:hint="eastAsia"/>
              </w:rPr>
              <w:t>202</w:t>
            </w:r>
            <w:r>
              <w:rPr>
                <w:lang w:val="en-US"/>
              </w:rPr>
              <w:t>5</w:t>
            </w:r>
          </w:p>
        </w:tc>
      </w:tr>
      <w:tr w:rsidR="00DF55B2" w14:paraId="632E507A" w14:textId="77777777">
        <w:trPr>
          <w:cantSplit/>
          <w:jc w:val="center"/>
        </w:trPr>
        <w:tc>
          <w:tcPr>
            <w:tcW w:w="9645" w:type="dxa"/>
            <w:gridSpan w:val="6"/>
          </w:tcPr>
          <w:p w14:paraId="0C0CD404" w14:textId="77777777" w:rsidR="00DF55B2" w:rsidRDefault="00704D93">
            <w:pPr>
              <w:jc w:val="center"/>
              <w:rPr>
                <w:b/>
              </w:rPr>
            </w:pPr>
            <w:bookmarkStart w:id="6" w:name="bookmark=id.3dy6vkm" w:colFirst="0" w:colLast="0"/>
            <w:bookmarkEnd w:id="6"/>
            <w:r>
              <w:rPr>
                <w:b/>
              </w:rPr>
              <w:t>CONTRIBUTION</w:t>
            </w:r>
          </w:p>
        </w:tc>
      </w:tr>
      <w:tr w:rsidR="00DF55B2" w14:paraId="3DAEDF09" w14:textId="77777777">
        <w:trPr>
          <w:cantSplit/>
          <w:jc w:val="center"/>
        </w:trPr>
        <w:tc>
          <w:tcPr>
            <w:tcW w:w="1515" w:type="dxa"/>
            <w:gridSpan w:val="2"/>
          </w:tcPr>
          <w:p w14:paraId="02D24CEA" w14:textId="77777777" w:rsidR="00DF55B2" w:rsidRDefault="00704D93">
            <w:pPr>
              <w:rPr>
                <w:b/>
              </w:rPr>
            </w:pPr>
            <w:bookmarkStart w:id="7" w:name="bookmark=id.1t3h5sf" w:colFirst="0" w:colLast="0"/>
            <w:bookmarkEnd w:id="7"/>
            <w:r>
              <w:rPr>
                <w:b/>
              </w:rPr>
              <w:t>Source:</w:t>
            </w:r>
          </w:p>
        </w:tc>
        <w:tc>
          <w:tcPr>
            <w:tcW w:w="8130" w:type="dxa"/>
            <w:gridSpan w:val="4"/>
          </w:tcPr>
          <w:p w14:paraId="58DD5265" w14:textId="5F040FE4" w:rsidR="00DF55B2" w:rsidRDefault="00704D93">
            <w:r>
              <w:t>The Bonch-Bruevich Saint-Petersburg State University of Telecommunications (SPbSUT</w:t>
            </w:r>
            <w:r>
              <w:rPr>
                <w:lang w:val="en-US"/>
              </w:rPr>
              <w:t xml:space="preserve">, </w:t>
            </w:r>
            <w:r>
              <w:t>Russian Federation), Regional Commonwealth in the field of Communications</w:t>
            </w:r>
            <w:r>
              <w:rPr>
                <w:lang w:val="en-US"/>
              </w:rPr>
              <w:t xml:space="preserve"> (</w:t>
            </w:r>
            <w:r>
              <w:t>RCC</w:t>
            </w:r>
            <w:r>
              <w:rPr>
                <w:lang w:val="en-US"/>
              </w:rPr>
              <w:t>)</w:t>
            </w:r>
          </w:p>
        </w:tc>
      </w:tr>
      <w:tr w:rsidR="00DF55B2" w14:paraId="0CB4CB13" w14:textId="77777777">
        <w:trPr>
          <w:cantSplit/>
          <w:jc w:val="center"/>
        </w:trPr>
        <w:tc>
          <w:tcPr>
            <w:tcW w:w="1515" w:type="dxa"/>
            <w:gridSpan w:val="2"/>
          </w:tcPr>
          <w:p w14:paraId="78AF2DCA" w14:textId="77777777" w:rsidR="00DF55B2" w:rsidRDefault="00704D93">
            <w:bookmarkStart w:id="8" w:name="bookmark=id.4d34og8" w:colFirst="0" w:colLast="0"/>
            <w:bookmarkEnd w:id="8"/>
            <w:r>
              <w:rPr>
                <w:b/>
              </w:rPr>
              <w:t>Title:</w:t>
            </w:r>
          </w:p>
        </w:tc>
        <w:tc>
          <w:tcPr>
            <w:tcW w:w="8130" w:type="dxa"/>
            <w:gridSpan w:val="4"/>
          </w:tcPr>
          <w:p w14:paraId="737C9032" w14:textId="77777777" w:rsidR="00DF55B2" w:rsidRDefault="00704D93">
            <w:pPr>
              <w:spacing w:after="200"/>
            </w:pPr>
            <w:r>
              <w:t>Proposal on initiating a new work item on Q.</w:t>
            </w:r>
            <w:r>
              <w:rPr>
                <w:lang w:val="en-US"/>
              </w:rPr>
              <w:t>PMV</w:t>
            </w:r>
            <w:r>
              <w:t xml:space="preserve"> “</w:t>
            </w:r>
            <w:r>
              <w:rPr>
                <w:lang w:val="en-US"/>
              </w:rPr>
              <w:t>Protocol map for metaverse</w:t>
            </w:r>
            <w:r>
              <w:t>”</w:t>
            </w:r>
          </w:p>
        </w:tc>
      </w:tr>
      <w:tr w:rsidR="00DF55B2" w14:paraId="695FE768" w14:textId="77777777">
        <w:trPr>
          <w:cantSplit/>
          <w:jc w:val="center"/>
        </w:trPr>
        <w:tc>
          <w:tcPr>
            <w:tcW w:w="1515" w:type="dxa"/>
            <w:gridSpan w:val="2"/>
            <w:tcBorders>
              <w:top w:val="single" w:sz="6" w:space="0" w:color="000000"/>
              <w:bottom w:val="single" w:sz="6" w:space="0" w:color="000000"/>
            </w:tcBorders>
          </w:tcPr>
          <w:p w14:paraId="0EDF4397" w14:textId="77777777" w:rsidR="00DF55B2" w:rsidRDefault="00704D93">
            <w:pPr>
              <w:spacing w:before="0"/>
              <w:rPr>
                <w:b/>
              </w:rPr>
            </w:pPr>
            <w:r>
              <w:rPr>
                <w:b/>
              </w:rPr>
              <w:t>Contact:</w:t>
            </w:r>
          </w:p>
        </w:tc>
        <w:tc>
          <w:tcPr>
            <w:tcW w:w="4020" w:type="dxa"/>
            <w:gridSpan w:val="3"/>
            <w:tcBorders>
              <w:top w:val="single" w:sz="6" w:space="0" w:color="000000"/>
              <w:bottom w:val="single" w:sz="6" w:space="0" w:color="000000"/>
            </w:tcBorders>
          </w:tcPr>
          <w:p w14:paraId="2630A75D" w14:textId="77777777" w:rsidR="00DF55B2" w:rsidRDefault="00704D93">
            <w:pPr>
              <w:spacing w:before="0"/>
            </w:pPr>
            <w:r>
              <w:t>Alexey Borodin</w:t>
            </w:r>
            <w:r>
              <w:br/>
              <w:t>RCC (Regional Commonwealth in the field of Communications)</w:t>
            </w:r>
          </w:p>
        </w:tc>
        <w:tc>
          <w:tcPr>
            <w:tcW w:w="4110" w:type="dxa"/>
            <w:tcBorders>
              <w:top w:val="single" w:sz="6" w:space="0" w:color="000000"/>
              <w:bottom w:val="single" w:sz="6" w:space="0" w:color="000000"/>
            </w:tcBorders>
          </w:tcPr>
          <w:p w14:paraId="33915468" w14:textId="77777777" w:rsidR="00DF55B2" w:rsidRDefault="00704D93">
            <w:pPr>
              <w:spacing w:before="0"/>
            </w:pPr>
            <w:r>
              <w:t>Tel: +7 985 3649319</w:t>
            </w:r>
            <w:r>
              <w:br/>
              <w:t xml:space="preserve">E-mail: </w:t>
            </w:r>
            <w:hyperlink r:id="rId8">
              <w:r>
                <w:rPr>
                  <w:color w:val="0000FF"/>
                  <w:u w:val="single"/>
                </w:rPr>
                <w:t>borodin.msk@mail.ru</w:t>
              </w:r>
            </w:hyperlink>
          </w:p>
        </w:tc>
      </w:tr>
      <w:tr w:rsidR="00DF55B2" w14:paraId="3E0EA975" w14:textId="77777777">
        <w:trPr>
          <w:cantSplit/>
          <w:jc w:val="center"/>
        </w:trPr>
        <w:tc>
          <w:tcPr>
            <w:tcW w:w="1515" w:type="dxa"/>
            <w:gridSpan w:val="2"/>
            <w:tcBorders>
              <w:top w:val="single" w:sz="6" w:space="0" w:color="000000"/>
              <w:bottom w:val="single" w:sz="6" w:space="0" w:color="000000"/>
            </w:tcBorders>
          </w:tcPr>
          <w:p w14:paraId="1F3D6184" w14:textId="77777777" w:rsidR="00DF55B2" w:rsidRDefault="00704D93">
            <w:pPr>
              <w:spacing w:before="0"/>
              <w:rPr>
                <w:b/>
              </w:rPr>
            </w:pPr>
            <w:r>
              <w:rPr>
                <w:b/>
              </w:rPr>
              <w:t>Contact:</w:t>
            </w:r>
          </w:p>
        </w:tc>
        <w:tc>
          <w:tcPr>
            <w:tcW w:w="4020" w:type="dxa"/>
            <w:gridSpan w:val="3"/>
            <w:tcBorders>
              <w:top w:val="single" w:sz="6" w:space="0" w:color="000000"/>
              <w:bottom w:val="single" w:sz="6" w:space="0" w:color="000000"/>
            </w:tcBorders>
          </w:tcPr>
          <w:p w14:paraId="10D2CB8A" w14:textId="77777777" w:rsidR="00DF55B2" w:rsidRDefault="00704D93">
            <w:pPr>
              <w:spacing w:before="0"/>
            </w:pPr>
            <w:r>
              <w:t>Andrey Koucheryavy</w:t>
            </w:r>
            <w:r>
              <w:br/>
              <w:t>Russian Federation</w:t>
            </w:r>
          </w:p>
        </w:tc>
        <w:tc>
          <w:tcPr>
            <w:tcW w:w="4110" w:type="dxa"/>
            <w:tcBorders>
              <w:top w:val="single" w:sz="6" w:space="0" w:color="000000"/>
              <w:bottom w:val="single" w:sz="6" w:space="0" w:color="000000"/>
            </w:tcBorders>
          </w:tcPr>
          <w:p w14:paraId="01D724A9" w14:textId="77777777" w:rsidR="00DF55B2" w:rsidRDefault="00704D93">
            <w:pPr>
              <w:spacing w:before="0"/>
            </w:pPr>
            <w:r>
              <w:t>Tel: +7 921 3140320</w:t>
            </w:r>
          </w:p>
          <w:p w14:paraId="35A60B5C" w14:textId="77777777" w:rsidR="00DF55B2" w:rsidRDefault="00704D93">
            <w:pPr>
              <w:spacing w:before="0"/>
            </w:pPr>
            <w:r>
              <w:t xml:space="preserve">E-mail: </w:t>
            </w:r>
            <w:hyperlink r:id="rId9">
              <w:r>
                <w:rPr>
                  <w:rFonts w:eastAsia="Times New Roman"/>
                  <w:color w:val="0000FF"/>
                  <w:u w:val="single"/>
                </w:rPr>
                <w:t>akouch@mail.ru</w:t>
              </w:r>
            </w:hyperlink>
            <w:r>
              <w:t xml:space="preserve"> </w:t>
            </w:r>
          </w:p>
        </w:tc>
      </w:tr>
      <w:tr w:rsidR="00DF55B2" w14:paraId="75D6BE54" w14:textId="77777777">
        <w:trPr>
          <w:cantSplit/>
          <w:jc w:val="center"/>
        </w:trPr>
        <w:tc>
          <w:tcPr>
            <w:tcW w:w="1515" w:type="dxa"/>
            <w:gridSpan w:val="2"/>
            <w:tcBorders>
              <w:top w:val="single" w:sz="6" w:space="0" w:color="000000"/>
              <w:bottom w:val="single" w:sz="6" w:space="0" w:color="000000"/>
            </w:tcBorders>
          </w:tcPr>
          <w:p w14:paraId="5387C099" w14:textId="77777777" w:rsidR="00DF55B2" w:rsidRDefault="00704D93">
            <w:pPr>
              <w:spacing w:before="0"/>
              <w:rPr>
                <w:b/>
              </w:rPr>
            </w:pPr>
            <w:r>
              <w:rPr>
                <w:b/>
              </w:rPr>
              <w:t>Contact:</w:t>
            </w:r>
          </w:p>
        </w:tc>
        <w:tc>
          <w:tcPr>
            <w:tcW w:w="4020" w:type="dxa"/>
            <w:gridSpan w:val="3"/>
            <w:tcBorders>
              <w:top w:val="single" w:sz="6" w:space="0" w:color="000000"/>
              <w:bottom w:val="single" w:sz="6" w:space="0" w:color="000000"/>
            </w:tcBorders>
          </w:tcPr>
          <w:p w14:paraId="19F49848" w14:textId="77777777" w:rsidR="00DF55B2" w:rsidRDefault="00704D93">
            <w:pPr>
              <w:spacing w:before="0"/>
            </w:pPr>
            <w:r>
              <w:t xml:space="preserve">Evgeny Tonkich, </w:t>
            </w:r>
            <w:r>
              <w:br/>
              <w:t>Russian Federation</w:t>
            </w:r>
          </w:p>
        </w:tc>
        <w:tc>
          <w:tcPr>
            <w:tcW w:w="4110" w:type="dxa"/>
            <w:tcBorders>
              <w:top w:val="single" w:sz="6" w:space="0" w:color="000000"/>
              <w:bottom w:val="single" w:sz="6" w:space="0" w:color="000000"/>
            </w:tcBorders>
          </w:tcPr>
          <w:p w14:paraId="5782CECF" w14:textId="77777777" w:rsidR="00DF55B2" w:rsidRDefault="00704D93">
            <w:pPr>
              <w:spacing w:before="0"/>
            </w:pPr>
            <w:r>
              <w:t>Tel: +7 903 6142576</w:t>
            </w:r>
          </w:p>
          <w:p w14:paraId="5044AE12" w14:textId="77777777" w:rsidR="00DF55B2" w:rsidRDefault="00704D93">
            <w:pPr>
              <w:spacing w:before="0"/>
            </w:pPr>
            <w:r>
              <w:t xml:space="preserve">E-mail: </w:t>
            </w:r>
            <w:hyperlink r:id="rId10">
              <w:r>
                <w:rPr>
                  <w:rFonts w:eastAsia="Times New Roman"/>
                  <w:color w:val="0000FF"/>
                  <w:u w:val="single"/>
                </w:rPr>
                <w:t>et@niir.ru</w:t>
              </w:r>
            </w:hyperlink>
            <w:r>
              <w:t xml:space="preserve"> </w:t>
            </w:r>
          </w:p>
        </w:tc>
      </w:tr>
      <w:tr w:rsidR="00DF55B2" w14:paraId="6B9098F6" w14:textId="77777777">
        <w:trPr>
          <w:cantSplit/>
          <w:jc w:val="center"/>
        </w:trPr>
        <w:tc>
          <w:tcPr>
            <w:tcW w:w="1515" w:type="dxa"/>
            <w:gridSpan w:val="2"/>
            <w:tcBorders>
              <w:top w:val="single" w:sz="6" w:space="0" w:color="000000"/>
              <w:left w:val="nil"/>
              <w:bottom w:val="single" w:sz="6" w:space="0" w:color="000000"/>
              <w:right w:val="nil"/>
            </w:tcBorders>
            <w:shd w:val="clear" w:color="auto" w:fill="auto"/>
          </w:tcPr>
          <w:p w14:paraId="4A509BE5" w14:textId="77777777" w:rsidR="00DF55B2" w:rsidRDefault="00704D93">
            <w:pPr>
              <w:spacing w:before="0"/>
              <w:rPr>
                <w:b/>
              </w:rPr>
            </w:pPr>
            <w:r>
              <w:rPr>
                <w:b/>
              </w:rPr>
              <w:t>Contact:</w:t>
            </w:r>
          </w:p>
        </w:tc>
        <w:tc>
          <w:tcPr>
            <w:tcW w:w="4020" w:type="dxa"/>
            <w:gridSpan w:val="3"/>
            <w:tcBorders>
              <w:top w:val="single" w:sz="6" w:space="0" w:color="000000"/>
              <w:left w:val="nil"/>
              <w:bottom w:val="single" w:sz="6" w:space="0" w:color="000000"/>
              <w:right w:val="nil"/>
            </w:tcBorders>
            <w:shd w:val="clear" w:color="auto" w:fill="auto"/>
          </w:tcPr>
          <w:p w14:paraId="117971F1" w14:textId="77777777" w:rsidR="00DF55B2" w:rsidRDefault="00704D93">
            <w:pPr>
              <w:spacing w:before="0"/>
            </w:pPr>
            <w:r>
              <w:t>Artem Volkov</w:t>
            </w:r>
            <w:r>
              <w:br/>
              <w:t>SPbSUT (Russian Federation)</w:t>
            </w:r>
          </w:p>
        </w:tc>
        <w:tc>
          <w:tcPr>
            <w:tcW w:w="4110" w:type="dxa"/>
            <w:tcBorders>
              <w:top w:val="single" w:sz="6" w:space="0" w:color="000000"/>
              <w:left w:val="nil"/>
              <w:bottom w:val="single" w:sz="6" w:space="0" w:color="000000"/>
              <w:right w:val="nil"/>
            </w:tcBorders>
            <w:shd w:val="clear" w:color="auto" w:fill="auto"/>
          </w:tcPr>
          <w:p w14:paraId="7B14E48B" w14:textId="77777777" w:rsidR="00DF55B2" w:rsidRDefault="00704D93">
            <w:pPr>
              <w:tabs>
                <w:tab w:val="left" w:pos="794"/>
              </w:tabs>
              <w:spacing w:before="0"/>
            </w:pPr>
            <w:r>
              <w:t>Tel: + 7 981 8335077</w:t>
            </w:r>
            <w:r>
              <w:br/>
              <w:t xml:space="preserve">E-mail: </w:t>
            </w:r>
            <w:hyperlink r:id="rId11">
              <w:r>
                <w:rPr>
                  <w:color w:val="0000FF"/>
                  <w:u w:val="single"/>
                </w:rPr>
                <w:t>artemanv.work@gmail.com</w:t>
              </w:r>
            </w:hyperlink>
            <w:r>
              <w:t xml:space="preserve"> </w:t>
            </w:r>
          </w:p>
        </w:tc>
      </w:tr>
      <w:tr w:rsidR="00DF55B2" w14:paraId="5ED01C70" w14:textId="77777777">
        <w:trPr>
          <w:cantSplit/>
          <w:jc w:val="center"/>
        </w:trPr>
        <w:tc>
          <w:tcPr>
            <w:tcW w:w="1515" w:type="dxa"/>
            <w:gridSpan w:val="2"/>
            <w:tcBorders>
              <w:top w:val="single" w:sz="6" w:space="0" w:color="000000"/>
              <w:left w:val="nil"/>
              <w:bottom w:val="single" w:sz="6" w:space="0" w:color="000000"/>
              <w:right w:val="nil"/>
            </w:tcBorders>
            <w:shd w:val="clear" w:color="auto" w:fill="auto"/>
          </w:tcPr>
          <w:p w14:paraId="254907EF" w14:textId="77777777" w:rsidR="00DF55B2" w:rsidRDefault="00704D93">
            <w:pPr>
              <w:spacing w:before="0"/>
              <w:rPr>
                <w:b/>
              </w:rPr>
            </w:pPr>
            <w:r>
              <w:rPr>
                <w:b/>
              </w:rPr>
              <w:t>Contact:</w:t>
            </w:r>
          </w:p>
        </w:tc>
        <w:tc>
          <w:tcPr>
            <w:tcW w:w="4020" w:type="dxa"/>
            <w:gridSpan w:val="3"/>
            <w:tcBorders>
              <w:top w:val="single" w:sz="6" w:space="0" w:color="000000"/>
              <w:left w:val="nil"/>
              <w:bottom w:val="single" w:sz="6" w:space="0" w:color="000000"/>
              <w:right w:val="nil"/>
            </w:tcBorders>
            <w:shd w:val="clear" w:color="auto" w:fill="auto"/>
          </w:tcPr>
          <w:p w14:paraId="7DC22B52" w14:textId="77777777" w:rsidR="00DF55B2" w:rsidRDefault="00704D93">
            <w:pPr>
              <w:spacing w:before="0"/>
            </w:pPr>
            <w:r>
              <w:t>Ammar Muthanna</w:t>
            </w:r>
            <w:r>
              <w:br/>
              <w:t>SPbSUT (Russian Federation)</w:t>
            </w:r>
          </w:p>
        </w:tc>
        <w:tc>
          <w:tcPr>
            <w:tcW w:w="4110" w:type="dxa"/>
            <w:tcBorders>
              <w:top w:val="single" w:sz="6" w:space="0" w:color="000000"/>
              <w:left w:val="nil"/>
              <w:bottom w:val="single" w:sz="6" w:space="0" w:color="000000"/>
              <w:right w:val="nil"/>
            </w:tcBorders>
            <w:shd w:val="clear" w:color="auto" w:fill="auto"/>
          </w:tcPr>
          <w:p w14:paraId="1D04DE47" w14:textId="77777777" w:rsidR="00DF55B2" w:rsidRDefault="00704D93">
            <w:pPr>
              <w:tabs>
                <w:tab w:val="left" w:pos="794"/>
              </w:tabs>
              <w:spacing w:before="0"/>
            </w:pPr>
            <w:r>
              <w:t>Tel: +7 952 2104486</w:t>
            </w:r>
            <w:r>
              <w:br/>
              <w:t xml:space="preserve">E-mail: </w:t>
            </w:r>
            <w:hyperlink r:id="rId12">
              <w:r>
                <w:rPr>
                  <w:color w:val="0000EE"/>
                  <w:u w:val="single"/>
                </w:rPr>
                <w:t>ammarexpress@gmail.com</w:t>
              </w:r>
            </w:hyperlink>
          </w:p>
        </w:tc>
      </w:tr>
    </w:tbl>
    <w:p w14:paraId="70DFDBF0" w14:textId="77777777" w:rsidR="00DF55B2" w:rsidRDefault="00DF55B2">
      <w:pPr>
        <w:rPr>
          <w:b/>
        </w:rPr>
      </w:pPr>
    </w:p>
    <w:tbl>
      <w:tblPr>
        <w:tblStyle w:val="Style91"/>
        <w:tblW w:w="9640" w:type="dxa"/>
        <w:jc w:val="center"/>
        <w:tblInd w:w="0" w:type="dxa"/>
        <w:tblLayout w:type="fixed"/>
        <w:tblCellMar>
          <w:left w:w="115" w:type="dxa"/>
          <w:right w:w="115" w:type="dxa"/>
        </w:tblCellMar>
        <w:tblLook w:val="04A0" w:firstRow="1" w:lastRow="0" w:firstColumn="1" w:lastColumn="0" w:noHBand="0" w:noVBand="1"/>
      </w:tblPr>
      <w:tblGrid>
        <w:gridCol w:w="1418"/>
        <w:gridCol w:w="8222"/>
      </w:tblGrid>
      <w:tr w:rsidR="00DF55B2" w14:paraId="3F89B067" w14:textId="77777777">
        <w:trPr>
          <w:cantSplit/>
          <w:jc w:val="center"/>
        </w:trPr>
        <w:tc>
          <w:tcPr>
            <w:tcW w:w="1418" w:type="dxa"/>
          </w:tcPr>
          <w:p w14:paraId="57056B90" w14:textId="77777777" w:rsidR="00DF55B2" w:rsidRDefault="00704D93">
            <w:pPr>
              <w:rPr>
                <w:b/>
              </w:rPr>
            </w:pPr>
            <w:r>
              <w:rPr>
                <w:b/>
              </w:rPr>
              <w:t>Keywords:</w:t>
            </w:r>
          </w:p>
        </w:tc>
        <w:tc>
          <w:tcPr>
            <w:tcW w:w="8222" w:type="dxa"/>
          </w:tcPr>
          <w:p w14:paraId="05FC6A61" w14:textId="77777777" w:rsidR="00DF55B2" w:rsidRDefault="00704D93">
            <w:pPr>
              <w:rPr>
                <w:lang w:val="en-US"/>
              </w:rPr>
            </w:pPr>
            <w:r>
              <w:t>protocol,</w:t>
            </w:r>
            <w:r>
              <w:rPr>
                <w:lang w:val="en-US"/>
              </w:rPr>
              <w:t xml:space="preserve"> map, metaverse</w:t>
            </w:r>
          </w:p>
        </w:tc>
      </w:tr>
      <w:tr w:rsidR="00DF55B2" w14:paraId="7FC21671" w14:textId="77777777">
        <w:trPr>
          <w:cantSplit/>
          <w:jc w:val="center"/>
        </w:trPr>
        <w:tc>
          <w:tcPr>
            <w:tcW w:w="1418" w:type="dxa"/>
          </w:tcPr>
          <w:p w14:paraId="20413CDB" w14:textId="77777777" w:rsidR="00DF55B2" w:rsidRDefault="00704D93">
            <w:pPr>
              <w:rPr>
                <w:b/>
              </w:rPr>
            </w:pPr>
            <w:r>
              <w:rPr>
                <w:b/>
              </w:rPr>
              <w:t>Abstract:</w:t>
            </w:r>
          </w:p>
        </w:tc>
        <w:tc>
          <w:tcPr>
            <w:tcW w:w="8222" w:type="dxa"/>
          </w:tcPr>
          <w:p w14:paraId="01C86472" w14:textId="77777777" w:rsidR="00DF55B2" w:rsidRDefault="00704D93">
            <w:r>
              <w:t>This contribution contains the A.1 justification form for proposed new work item on developing new draft Recommendation Q.</w:t>
            </w:r>
            <w:r>
              <w:rPr>
                <w:lang w:val="en-US"/>
              </w:rPr>
              <w:t>PMV</w:t>
            </w:r>
            <w:r>
              <w:t xml:space="preserve"> “</w:t>
            </w:r>
            <w:r>
              <w:rPr>
                <w:lang w:val="en-US"/>
              </w:rPr>
              <w:t>Protocol map for metaverse</w:t>
            </w:r>
            <w:r>
              <w:t>”</w:t>
            </w:r>
          </w:p>
        </w:tc>
      </w:tr>
    </w:tbl>
    <w:p w14:paraId="53E3F3A0" w14:textId="77777777" w:rsidR="00DF55B2" w:rsidRDefault="00DF55B2"/>
    <w:p w14:paraId="6B06145E" w14:textId="77777777" w:rsidR="00DF55B2" w:rsidRDefault="00704D93">
      <w:pPr>
        <w:numPr>
          <w:ilvl w:val="0"/>
          <w:numId w:val="1"/>
        </w:numPr>
        <w:tabs>
          <w:tab w:val="left" w:pos="794"/>
          <w:tab w:val="left" w:pos="1191"/>
          <w:tab w:val="left" w:pos="1588"/>
          <w:tab w:val="left" w:pos="1985"/>
        </w:tabs>
        <w:rPr>
          <w:b/>
        </w:rPr>
      </w:pPr>
      <w:bookmarkStart w:id="9" w:name="_heading=h.3znysh7" w:colFirst="0" w:colLast="0"/>
      <w:bookmarkEnd w:id="9"/>
      <w:r>
        <w:rPr>
          <w:b/>
        </w:rPr>
        <w:t>Discussion and background</w:t>
      </w:r>
    </w:p>
    <w:p w14:paraId="634852C8" w14:textId="50E3F616" w:rsidR="00DF55B2" w:rsidRDefault="00704D93">
      <w:pPr>
        <w:ind w:firstLine="720"/>
        <w:jc w:val="both"/>
        <w:rPr>
          <w:lang w:val="en-US"/>
        </w:rPr>
      </w:pPr>
      <w:r>
        <w:rPr>
          <w:lang w:val="en-US"/>
        </w:rPr>
        <w:t>ITU-T Focus Group on metaverse was established under TSAG on 16 December 2022 and have defined a lot of important documents in field of a new network and services era. There are following metaverse documents: an analysis of definitions, definition of metaverse, near-term and long-term Implications for people in the metaverse, capabilities and requirements of generative artificial intelligence in metaverse applications and services, requirements for the metaverse based on digital twins enabling integration of virtual and physical worlds, reference model for the metaverse based on a digital twin enabling integration of virtual and physical worlds, regulatory and economic aspects in the metaverse: data protection-related and more others.</w:t>
      </w:r>
    </w:p>
    <w:p w14:paraId="689CAD94" w14:textId="77777777" w:rsidR="00DF55B2" w:rsidRDefault="00DF55B2">
      <w:pPr>
        <w:ind w:firstLine="720"/>
        <w:jc w:val="both"/>
        <w:rPr>
          <w:lang w:val="en-US"/>
        </w:rPr>
      </w:pPr>
    </w:p>
    <w:p w14:paraId="5DBBE852" w14:textId="77777777" w:rsidR="00DF55B2" w:rsidRDefault="00704D93">
      <w:pPr>
        <w:spacing w:before="0" w:line="276" w:lineRule="auto"/>
        <w:jc w:val="right"/>
      </w:pPr>
      <w:r>
        <w:t xml:space="preserve">Table &lt;Gap Analysis: Related Works for </w:t>
      </w:r>
      <w:r>
        <w:rPr>
          <w:lang w:val="en-US"/>
        </w:rPr>
        <w:t>Q.PMV</w:t>
      </w:r>
      <w:r>
        <w:t xml:space="preserve"> &gt;</w:t>
      </w:r>
    </w:p>
    <w:tbl>
      <w:tblPr>
        <w:tblStyle w:val="TableGrid"/>
        <w:tblW w:w="0" w:type="auto"/>
        <w:tblLook w:val="04A0" w:firstRow="1" w:lastRow="0" w:firstColumn="1" w:lastColumn="0" w:noHBand="0" w:noVBand="1"/>
      </w:tblPr>
      <w:tblGrid>
        <w:gridCol w:w="570"/>
        <w:gridCol w:w="1271"/>
        <w:gridCol w:w="1840"/>
        <w:gridCol w:w="1276"/>
        <w:gridCol w:w="4388"/>
      </w:tblGrid>
      <w:tr w:rsidR="00DF55B2" w14:paraId="338A374B" w14:textId="77777777">
        <w:tc>
          <w:tcPr>
            <w:tcW w:w="570" w:type="dxa"/>
          </w:tcPr>
          <w:p w14:paraId="0CCC7EAA" w14:textId="77777777" w:rsidR="00DF55B2" w:rsidRDefault="00704D93">
            <w:pPr>
              <w:rPr>
                <w:color w:val="000000" w:themeColor="text1"/>
                <w:sz w:val="20"/>
                <w:szCs w:val="20"/>
                <w:lang w:val="en-US"/>
              </w:rPr>
            </w:pPr>
            <w:r>
              <w:rPr>
                <w:color w:val="000000" w:themeColor="text1"/>
                <w:sz w:val="20"/>
                <w:szCs w:val="20"/>
                <w:lang w:val="en-US"/>
              </w:rPr>
              <w:t>No.</w:t>
            </w:r>
          </w:p>
        </w:tc>
        <w:tc>
          <w:tcPr>
            <w:tcW w:w="1271" w:type="dxa"/>
          </w:tcPr>
          <w:p w14:paraId="1C23F050" w14:textId="77777777" w:rsidR="00DF55B2" w:rsidRDefault="00704D93">
            <w:pPr>
              <w:rPr>
                <w:color w:val="000000" w:themeColor="text1"/>
                <w:sz w:val="20"/>
                <w:szCs w:val="20"/>
                <w:lang w:val="en-US"/>
              </w:rPr>
            </w:pPr>
            <w:r>
              <w:rPr>
                <w:color w:val="000000" w:themeColor="text1"/>
                <w:sz w:val="20"/>
                <w:szCs w:val="20"/>
                <w:lang w:val="en-US"/>
              </w:rPr>
              <w:t>SDOs</w:t>
            </w:r>
          </w:p>
        </w:tc>
        <w:tc>
          <w:tcPr>
            <w:tcW w:w="1840" w:type="dxa"/>
          </w:tcPr>
          <w:p w14:paraId="29C6FB84" w14:textId="77777777" w:rsidR="00DF55B2" w:rsidRDefault="00704D93">
            <w:pPr>
              <w:rPr>
                <w:color w:val="000000" w:themeColor="text1"/>
                <w:sz w:val="20"/>
                <w:szCs w:val="20"/>
                <w:lang w:val="en-US"/>
              </w:rPr>
            </w:pPr>
            <w:r>
              <w:rPr>
                <w:color w:val="000000" w:themeColor="text1"/>
                <w:sz w:val="20"/>
                <w:szCs w:val="20"/>
                <w:lang w:val="en-US"/>
              </w:rPr>
              <w:t>Title</w:t>
            </w:r>
          </w:p>
        </w:tc>
        <w:tc>
          <w:tcPr>
            <w:tcW w:w="1276" w:type="dxa"/>
          </w:tcPr>
          <w:p w14:paraId="51ABB13F" w14:textId="77777777" w:rsidR="00DF55B2" w:rsidRDefault="00704D93">
            <w:pPr>
              <w:rPr>
                <w:color w:val="000000" w:themeColor="text1"/>
                <w:sz w:val="20"/>
                <w:szCs w:val="20"/>
                <w:lang w:val="en-US"/>
              </w:rPr>
            </w:pPr>
            <w:r>
              <w:rPr>
                <w:color w:val="000000" w:themeColor="text1"/>
                <w:sz w:val="20"/>
                <w:szCs w:val="20"/>
                <w:lang w:val="en-US"/>
              </w:rPr>
              <w:t>Status</w:t>
            </w:r>
          </w:p>
        </w:tc>
        <w:tc>
          <w:tcPr>
            <w:tcW w:w="4388" w:type="dxa"/>
          </w:tcPr>
          <w:p w14:paraId="42BBA3DD" w14:textId="77777777" w:rsidR="00DF55B2" w:rsidRDefault="00704D93">
            <w:pPr>
              <w:rPr>
                <w:color w:val="000000" w:themeColor="text1"/>
                <w:sz w:val="20"/>
                <w:szCs w:val="20"/>
                <w:lang w:val="en-US"/>
              </w:rPr>
            </w:pPr>
            <w:r>
              <w:rPr>
                <w:color w:val="000000" w:themeColor="text1"/>
                <w:sz w:val="20"/>
                <w:szCs w:val="20"/>
                <w:lang w:val="en-US"/>
              </w:rPr>
              <w:t>Analysis results</w:t>
            </w:r>
          </w:p>
        </w:tc>
      </w:tr>
      <w:tr w:rsidR="00DF55B2" w14:paraId="11633F84" w14:textId="77777777">
        <w:tc>
          <w:tcPr>
            <w:tcW w:w="570" w:type="dxa"/>
          </w:tcPr>
          <w:p w14:paraId="58780233" w14:textId="77777777" w:rsidR="00DF55B2" w:rsidRDefault="00704D93">
            <w:pPr>
              <w:rPr>
                <w:color w:val="000000" w:themeColor="text1"/>
                <w:sz w:val="20"/>
                <w:szCs w:val="20"/>
                <w:lang w:val="en-US"/>
              </w:rPr>
            </w:pPr>
            <w:r>
              <w:rPr>
                <w:color w:val="000000" w:themeColor="text1"/>
                <w:sz w:val="20"/>
                <w:szCs w:val="20"/>
                <w:lang w:val="en-US"/>
              </w:rPr>
              <w:t>1</w:t>
            </w:r>
          </w:p>
        </w:tc>
        <w:tc>
          <w:tcPr>
            <w:tcW w:w="1271" w:type="dxa"/>
          </w:tcPr>
          <w:p w14:paraId="0EF94316"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0B8F4D55" w14:textId="77777777" w:rsidR="00DF55B2" w:rsidRDefault="00704D93">
            <w:pPr>
              <w:rPr>
                <w:color w:val="000000" w:themeColor="text1"/>
                <w:sz w:val="20"/>
                <w:szCs w:val="20"/>
              </w:rPr>
            </w:pPr>
            <w:r>
              <w:rPr>
                <w:color w:val="000000" w:themeColor="text1"/>
                <w:sz w:val="20"/>
                <w:szCs w:val="20"/>
                <w:shd w:val="clear" w:color="auto" w:fill="FFFFFF"/>
              </w:rPr>
              <w:t>FGMV-01</w:t>
            </w:r>
          </w:p>
        </w:tc>
        <w:tc>
          <w:tcPr>
            <w:tcW w:w="1840" w:type="dxa"/>
          </w:tcPr>
          <w:p w14:paraId="13965B0C" w14:textId="77777777" w:rsidR="00DF55B2" w:rsidRDefault="00704D93">
            <w:pPr>
              <w:rPr>
                <w:color w:val="000000" w:themeColor="text1"/>
                <w:sz w:val="20"/>
                <w:szCs w:val="20"/>
                <w:lang w:val="en-US"/>
              </w:rPr>
            </w:pPr>
            <w:r>
              <w:rPr>
                <w:color w:val="000000" w:themeColor="text1"/>
                <w:sz w:val="20"/>
                <w:szCs w:val="20"/>
                <w:shd w:val="clear" w:color="auto" w:fill="FFFFFF"/>
                <w:lang w:val="en-US"/>
              </w:rPr>
              <w:t>Exploring the metaverse: opportunities and challenges​</w:t>
            </w:r>
          </w:p>
        </w:tc>
        <w:tc>
          <w:tcPr>
            <w:tcW w:w="1276" w:type="dxa"/>
          </w:tcPr>
          <w:p w14:paraId="0A2F926F" w14:textId="77777777" w:rsidR="00DF55B2" w:rsidRDefault="00704D93">
            <w:pPr>
              <w:rPr>
                <w:color w:val="000000" w:themeColor="text1"/>
                <w:sz w:val="20"/>
                <w:szCs w:val="20"/>
                <w:lang w:val="en-US"/>
              </w:rPr>
            </w:pPr>
            <w:r>
              <w:rPr>
                <w:color w:val="000000" w:themeColor="text1"/>
                <w:sz w:val="20"/>
                <w:szCs w:val="20"/>
                <w:lang w:val="en-US"/>
              </w:rPr>
              <w:t>Agreed,</w:t>
            </w:r>
          </w:p>
          <w:p w14:paraId="5E117334"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5E7D8BA6" w14:textId="77777777" w:rsidR="00DF55B2" w:rsidRDefault="00704D93">
            <w:pPr>
              <w:rPr>
                <w:color w:val="000000" w:themeColor="text1"/>
                <w:sz w:val="20"/>
                <w:szCs w:val="20"/>
                <w:lang w:val="en-US"/>
              </w:rPr>
            </w:pPr>
            <w:r>
              <w:rPr>
                <w:color w:val="000000" w:themeColor="text1"/>
                <w:sz w:val="20"/>
                <w:szCs w:val="20"/>
                <w:lang w:val="en-US"/>
              </w:rPr>
              <w:t xml:space="preserve">This Technical Report explores the background, including the history, of the metaverse, the ecosystem and its development stages, challenges and opportunities. It also examines the role of international standards and how the metaverse can accelerate the achievement of the sustainable development goals (SDGs). It aims to explore the </w:t>
            </w:r>
            <w:r>
              <w:rPr>
                <w:color w:val="000000" w:themeColor="text1"/>
                <w:sz w:val="20"/>
                <w:szCs w:val="20"/>
                <w:lang w:val="en-US"/>
              </w:rPr>
              <w:lastRenderedPageBreak/>
              <w:t>role of the metaverse in accelerating digital transformation and achieving the SDGs. This Technical Report includes a set of examples showing how the metaverse has been, or could be, used in transforming different sectors. It also explores the role of international standards in ensuring a safe, inclusive and interoperable metaverse.</w:t>
            </w:r>
          </w:p>
        </w:tc>
      </w:tr>
      <w:tr w:rsidR="00DF55B2" w14:paraId="055E3983" w14:textId="77777777">
        <w:tc>
          <w:tcPr>
            <w:tcW w:w="570" w:type="dxa"/>
          </w:tcPr>
          <w:p w14:paraId="2788671F" w14:textId="77777777" w:rsidR="00DF55B2" w:rsidRDefault="00704D93">
            <w:pPr>
              <w:rPr>
                <w:color w:val="000000" w:themeColor="text1"/>
                <w:sz w:val="20"/>
                <w:szCs w:val="20"/>
                <w:lang w:val="en-US"/>
              </w:rPr>
            </w:pPr>
            <w:r>
              <w:rPr>
                <w:color w:val="000000" w:themeColor="text1"/>
                <w:sz w:val="20"/>
                <w:szCs w:val="20"/>
                <w:lang w:val="en-US"/>
              </w:rPr>
              <w:lastRenderedPageBreak/>
              <w:t>2</w:t>
            </w:r>
          </w:p>
        </w:tc>
        <w:tc>
          <w:tcPr>
            <w:tcW w:w="1271" w:type="dxa"/>
          </w:tcPr>
          <w:p w14:paraId="36E8E4A2"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1F97E28F"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FGMV-02</w:t>
            </w:r>
          </w:p>
        </w:tc>
        <w:tc>
          <w:tcPr>
            <w:tcW w:w="1840" w:type="dxa"/>
          </w:tcPr>
          <w:p w14:paraId="20DB5B46"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Metaverse: an analysis of definitions</w:t>
            </w:r>
          </w:p>
        </w:tc>
        <w:tc>
          <w:tcPr>
            <w:tcW w:w="1276" w:type="dxa"/>
          </w:tcPr>
          <w:p w14:paraId="1A493F4F" w14:textId="77777777" w:rsidR="00DF55B2" w:rsidRDefault="00704D93">
            <w:pPr>
              <w:rPr>
                <w:color w:val="000000" w:themeColor="text1"/>
                <w:sz w:val="20"/>
                <w:szCs w:val="20"/>
                <w:lang w:val="en-US"/>
              </w:rPr>
            </w:pPr>
            <w:r>
              <w:rPr>
                <w:color w:val="000000" w:themeColor="text1"/>
                <w:sz w:val="20"/>
                <w:szCs w:val="20"/>
                <w:lang w:val="en-US"/>
              </w:rPr>
              <w:t>Agreed,</w:t>
            </w:r>
          </w:p>
          <w:p w14:paraId="070E79FE"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516AB2E7" w14:textId="77777777" w:rsidR="00DF55B2" w:rsidRDefault="00704D93">
            <w:pPr>
              <w:rPr>
                <w:color w:val="000000" w:themeColor="text1"/>
                <w:sz w:val="20"/>
                <w:szCs w:val="20"/>
                <w:lang w:val="en-US"/>
              </w:rPr>
            </w:pPr>
            <w:r>
              <w:rPr>
                <w:color w:val="000000" w:themeColor="text1"/>
                <w:sz w:val="20"/>
                <w:szCs w:val="20"/>
                <w:lang w:val="en-US"/>
              </w:rPr>
              <w:t>This Technical Report contains a detailed gap analysis in literature of “metaverse” definitions with an explained terminology. This Technical Report studied and analysed approximately 150 existing definitions of metaverse from various sources.</w:t>
            </w:r>
          </w:p>
        </w:tc>
      </w:tr>
      <w:tr w:rsidR="00DF55B2" w14:paraId="20343D59" w14:textId="77777777">
        <w:tc>
          <w:tcPr>
            <w:tcW w:w="570" w:type="dxa"/>
          </w:tcPr>
          <w:p w14:paraId="0AD11828" w14:textId="77777777" w:rsidR="00DF55B2" w:rsidRDefault="00704D93">
            <w:pPr>
              <w:rPr>
                <w:color w:val="000000" w:themeColor="text1"/>
                <w:sz w:val="20"/>
                <w:szCs w:val="20"/>
                <w:lang w:val="en-US"/>
              </w:rPr>
            </w:pPr>
            <w:r>
              <w:rPr>
                <w:color w:val="000000" w:themeColor="text1"/>
                <w:sz w:val="20"/>
                <w:szCs w:val="20"/>
                <w:lang w:val="en-US"/>
              </w:rPr>
              <w:t>3</w:t>
            </w:r>
          </w:p>
        </w:tc>
        <w:tc>
          <w:tcPr>
            <w:tcW w:w="1271" w:type="dxa"/>
          </w:tcPr>
          <w:p w14:paraId="1298678A"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7BC8C4AA"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FGMV-03</w:t>
            </w:r>
          </w:p>
        </w:tc>
        <w:tc>
          <w:tcPr>
            <w:tcW w:w="1840" w:type="dxa"/>
          </w:tcPr>
          <w:p w14:paraId="602D9C0D"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Guidelines to assess inclusion and accessibility in metaverse standard development</w:t>
            </w:r>
          </w:p>
        </w:tc>
        <w:tc>
          <w:tcPr>
            <w:tcW w:w="1276" w:type="dxa"/>
          </w:tcPr>
          <w:p w14:paraId="50C886F2" w14:textId="77777777" w:rsidR="00DF55B2" w:rsidRDefault="00704D93">
            <w:pPr>
              <w:rPr>
                <w:color w:val="000000" w:themeColor="text1"/>
                <w:sz w:val="20"/>
                <w:szCs w:val="20"/>
                <w:lang w:val="en-US"/>
              </w:rPr>
            </w:pPr>
            <w:r>
              <w:rPr>
                <w:color w:val="000000" w:themeColor="text1"/>
                <w:sz w:val="20"/>
                <w:szCs w:val="20"/>
                <w:lang w:val="en-US"/>
              </w:rPr>
              <w:t>Agreed,</w:t>
            </w:r>
          </w:p>
          <w:p w14:paraId="37EDE528"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3C7CF0F2" w14:textId="77777777" w:rsidR="00DF55B2" w:rsidRDefault="00704D93">
            <w:pPr>
              <w:rPr>
                <w:color w:val="000000" w:themeColor="text1"/>
                <w:sz w:val="20"/>
                <w:szCs w:val="20"/>
                <w:lang w:val="en-US"/>
              </w:rPr>
            </w:pPr>
            <w:r>
              <w:rPr>
                <w:color w:val="000000" w:themeColor="text1"/>
                <w:sz w:val="20"/>
                <w:szCs w:val="20"/>
                <w:lang w:val="en-US"/>
              </w:rPr>
              <w:t>This Technical Report discusses how to realize the principles on metaverse by articulating accessibility. Values are generated through a mixture of virtual reality, augmented reality, mixed reality, and extended reality. This Technical Report investigates and improves upon limitations found in earlier research and practices and validates the United Nations’ Sustainable Development Goal (SDG) principles, along with the six metaverse values for Digital Transformation (Dx) creating new values and cultures. The outcomes of the report are to articulate the values for metaverse SDGs in terms of digital transformation, to develop a set of guidelines for assessing inclusion and accessibility in metaverse, and to provide strategic and meaningful engagement with platforms towards SDGs.</w:t>
            </w:r>
          </w:p>
        </w:tc>
      </w:tr>
      <w:tr w:rsidR="00DF55B2" w14:paraId="4E71626F" w14:textId="77777777">
        <w:tc>
          <w:tcPr>
            <w:tcW w:w="570" w:type="dxa"/>
          </w:tcPr>
          <w:p w14:paraId="0F22331C" w14:textId="77777777" w:rsidR="00DF55B2" w:rsidRDefault="00704D93">
            <w:pPr>
              <w:rPr>
                <w:color w:val="000000" w:themeColor="text1"/>
                <w:sz w:val="20"/>
                <w:szCs w:val="20"/>
                <w:lang w:val="en-US"/>
              </w:rPr>
            </w:pPr>
            <w:r>
              <w:rPr>
                <w:color w:val="000000" w:themeColor="text1"/>
                <w:sz w:val="20"/>
                <w:szCs w:val="20"/>
                <w:lang w:val="en-US"/>
              </w:rPr>
              <w:t>4</w:t>
            </w:r>
          </w:p>
        </w:tc>
        <w:tc>
          <w:tcPr>
            <w:tcW w:w="1271" w:type="dxa"/>
          </w:tcPr>
          <w:p w14:paraId="2E0F805B"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23BBEBF7"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FGMV-04</w:t>
            </w:r>
          </w:p>
        </w:tc>
        <w:tc>
          <w:tcPr>
            <w:tcW w:w="1840" w:type="dxa"/>
          </w:tcPr>
          <w:p w14:paraId="7B583273"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Requirements of accessible products and services in the metaverse: Part I – System design perspective</w:t>
            </w:r>
          </w:p>
        </w:tc>
        <w:tc>
          <w:tcPr>
            <w:tcW w:w="1276" w:type="dxa"/>
          </w:tcPr>
          <w:p w14:paraId="0194702D" w14:textId="77777777" w:rsidR="00DF55B2" w:rsidRDefault="00704D93">
            <w:pPr>
              <w:rPr>
                <w:color w:val="000000" w:themeColor="text1"/>
                <w:sz w:val="20"/>
                <w:szCs w:val="20"/>
                <w:lang w:val="en-US"/>
              </w:rPr>
            </w:pPr>
            <w:r>
              <w:rPr>
                <w:color w:val="000000" w:themeColor="text1"/>
                <w:sz w:val="20"/>
                <w:szCs w:val="20"/>
                <w:lang w:val="en-US"/>
              </w:rPr>
              <w:t>Agreed,</w:t>
            </w:r>
          </w:p>
          <w:p w14:paraId="36A00E58"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35530EF3" w14:textId="77777777" w:rsidR="00DF55B2" w:rsidRDefault="00704D93">
            <w:pPr>
              <w:rPr>
                <w:color w:val="000000" w:themeColor="text1"/>
                <w:sz w:val="20"/>
                <w:szCs w:val="20"/>
                <w:lang w:val="en-US"/>
              </w:rPr>
            </w:pPr>
            <w:r>
              <w:rPr>
                <w:color w:val="000000" w:themeColor="text1"/>
                <w:sz w:val="20"/>
                <w:szCs w:val="20"/>
                <w:lang w:val="en-US"/>
              </w:rPr>
              <w:t>This Technical Specification provides high-level requirements for designers and developers to create an accessible immersive experience in the metaverse. This document considers the common accessibility requirements for the design and development phases of born accessible products and services in the metaverse. The document is related to “Requirements of accessible products and services in the metaverse: Part II – User perspective” and provides common accessibility requirements.</w:t>
            </w:r>
          </w:p>
        </w:tc>
      </w:tr>
      <w:tr w:rsidR="00DF55B2" w14:paraId="6E1364D9" w14:textId="77777777">
        <w:tc>
          <w:tcPr>
            <w:tcW w:w="570" w:type="dxa"/>
          </w:tcPr>
          <w:p w14:paraId="6EDA1436" w14:textId="77777777" w:rsidR="00DF55B2" w:rsidRDefault="00704D93">
            <w:pPr>
              <w:rPr>
                <w:color w:val="000000" w:themeColor="text1"/>
                <w:sz w:val="20"/>
                <w:szCs w:val="20"/>
                <w:lang w:val="en-US"/>
              </w:rPr>
            </w:pPr>
            <w:r>
              <w:rPr>
                <w:color w:val="000000" w:themeColor="text1"/>
                <w:sz w:val="20"/>
                <w:szCs w:val="20"/>
                <w:lang w:val="en-US"/>
              </w:rPr>
              <w:t>5</w:t>
            </w:r>
          </w:p>
        </w:tc>
        <w:tc>
          <w:tcPr>
            <w:tcW w:w="1271" w:type="dxa"/>
          </w:tcPr>
          <w:p w14:paraId="3F465E4B"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099C34B2"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FGMV-05</w:t>
            </w:r>
          </w:p>
        </w:tc>
        <w:tc>
          <w:tcPr>
            <w:tcW w:w="1840" w:type="dxa"/>
          </w:tcPr>
          <w:p w14:paraId="489E5526"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Requirements of accessible products and services in the metaverse: Part II – User perspective​</w:t>
            </w:r>
          </w:p>
        </w:tc>
        <w:tc>
          <w:tcPr>
            <w:tcW w:w="1276" w:type="dxa"/>
          </w:tcPr>
          <w:p w14:paraId="7D356D64" w14:textId="77777777" w:rsidR="00DF55B2" w:rsidRDefault="00704D93">
            <w:pPr>
              <w:rPr>
                <w:color w:val="000000" w:themeColor="text1"/>
                <w:sz w:val="20"/>
                <w:szCs w:val="20"/>
                <w:lang w:val="en-US"/>
              </w:rPr>
            </w:pPr>
            <w:r>
              <w:rPr>
                <w:color w:val="000000" w:themeColor="text1"/>
                <w:sz w:val="20"/>
                <w:szCs w:val="20"/>
                <w:lang w:val="en-US"/>
              </w:rPr>
              <w:t>Agreed,</w:t>
            </w:r>
          </w:p>
          <w:p w14:paraId="05B28653"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2CD7CE55" w14:textId="77777777" w:rsidR="00DF55B2" w:rsidRDefault="00704D93">
            <w:pPr>
              <w:rPr>
                <w:color w:val="000000" w:themeColor="text1"/>
                <w:sz w:val="20"/>
                <w:szCs w:val="20"/>
                <w:lang w:val="en-US"/>
              </w:rPr>
            </w:pPr>
            <w:r>
              <w:rPr>
                <w:color w:val="000000" w:themeColor="text1"/>
                <w:sz w:val="20"/>
                <w:szCs w:val="20"/>
                <w:lang w:val="en-US"/>
              </w:rPr>
              <w:t>This Technical Specification provides requirements on how to develop an accessible metaverse from a user perspective. This document considers the various metaverse components and the actions that users, regardless of their capabilities, may perform to access the metaverse, create an identity within the metaverse, navigate the metaverse and interact in the metaverse. The document is related to ITU FG-MV Technical Specification on “Requirements of accessible products and services in the metaverse: Part I – System design perspective” and provides requirements on the role of users in creating and assessing accessibility services.</w:t>
            </w:r>
          </w:p>
        </w:tc>
      </w:tr>
      <w:tr w:rsidR="00DF55B2" w14:paraId="6556266E" w14:textId="77777777">
        <w:tc>
          <w:tcPr>
            <w:tcW w:w="570" w:type="dxa"/>
          </w:tcPr>
          <w:p w14:paraId="7910CE17" w14:textId="77777777" w:rsidR="00DF55B2" w:rsidRDefault="00704D93">
            <w:pPr>
              <w:rPr>
                <w:color w:val="000000" w:themeColor="text1"/>
                <w:sz w:val="20"/>
                <w:szCs w:val="20"/>
                <w:lang w:val="en-US"/>
              </w:rPr>
            </w:pPr>
            <w:r>
              <w:rPr>
                <w:color w:val="000000" w:themeColor="text1"/>
                <w:sz w:val="20"/>
                <w:szCs w:val="20"/>
                <w:lang w:val="en-US"/>
              </w:rPr>
              <w:t>6</w:t>
            </w:r>
          </w:p>
        </w:tc>
        <w:tc>
          <w:tcPr>
            <w:tcW w:w="1271" w:type="dxa"/>
          </w:tcPr>
          <w:p w14:paraId="14BF52E7"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0ADC15DA"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FGMV-06</w:t>
            </w:r>
          </w:p>
        </w:tc>
        <w:tc>
          <w:tcPr>
            <w:tcW w:w="1840" w:type="dxa"/>
          </w:tcPr>
          <w:p w14:paraId="383F0CEF"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 xml:space="preserve">Guidelines for consideration of ethical issues in standards that build confidence and </w:t>
            </w:r>
            <w:r>
              <w:rPr>
                <w:color w:val="000000" w:themeColor="text1"/>
                <w:sz w:val="20"/>
                <w:szCs w:val="20"/>
                <w:shd w:val="clear" w:color="auto" w:fill="FFFFFF"/>
                <w:lang w:val="en-US"/>
              </w:rPr>
              <w:lastRenderedPageBreak/>
              <w:t>security in the metaverse</w:t>
            </w:r>
          </w:p>
        </w:tc>
        <w:tc>
          <w:tcPr>
            <w:tcW w:w="1276" w:type="dxa"/>
          </w:tcPr>
          <w:p w14:paraId="65E00443" w14:textId="77777777" w:rsidR="00DF55B2" w:rsidRDefault="00704D93">
            <w:pPr>
              <w:rPr>
                <w:color w:val="000000" w:themeColor="text1"/>
                <w:sz w:val="20"/>
                <w:szCs w:val="20"/>
                <w:lang w:val="en-US"/>
              </w:rPr>
            </w:pPr>
            <w:r>
              <w:rPr>
                <w:color w:val="000000" w:themeColor="text1"/>
                <w:sz w:val="20"/>
                <w:szCs w:val="20"/>
                <w:lang w:val="en-US"/>
              </w:rPr>
              <w:lastRenderedPageBreak/>
              <w:t>Agreed,</w:t>
            </w:r>
          </w:p>
          <w:p w14:paraId="5E107D91"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39AE0DDA" w14:textId="77777777" w:rsidR="00DF55B2" w:rsidRDefault="00704D93">
            <w:pPr>
              <w:rPr>
                <w:color w:val="000000" w:themeColor="text1"/>
                <w:sz w:val="20"/>
                <w:szCs w:val="20"/>
                <w:lang w:val="en-US"/>
              </w:rPr>
            </w:pPr>
            <w:r>
              <w:rPr>
                <w:color w:val="000000" w:themeColor="text1"/>
                <w:sz w:val="20"/>
                <w:szCs w:val="20"/>
                <w:lang w:val="en-US"/>
              </w:rPr>
              <w:t>The objective of this Technical Report is to develop a set of guidelines that address ethical aspects in the establishment of standards for engagement within the metaverse. Given the importance of confidence to user engagement, the report puts forward a user-</w:t>
            </w:r>
            <w:r>
              <w:rPr>
                <w:color w:val="000000" w:themeColor="text1"/>
                <w:sz w:val="20"/>
                <w:szCs w:val="20"/>
                <w:lang w:val="en-US"/>
              </w:rPr>
              <w:lastRenderedPageBreak/>
              <w:t>centric approach by emphasizing principles grounded in the Universal Declaration of Human Rights (UDHR) and the United Nations Sustainable Development Goals (SDGs). The report will explore user expectations and propose a new framework to define user confidence and how it is expressed in immersive environments. It will also introduce guiding principles to bolster user confidence in navigating metaverse platforms, with a goal of fostering a sense of safety, control, user autonomy, fairness, transparency, and access to adequate information during interactions within immersive spaces. Report aims to support efforts to ensure the metaverse evolves in a way that serves its users and their needs, while also adhering to the principles of sustainable development.</w:t>
            </w:r>
          </w:p>
        </w:tc>
      </w:tr>
      <w:tr w:rsidR="00DF55B2" w14:paraId="1B719DC5" w14:textId="77777777">
        <w:tc>
          <w:tcPr>
            <w:tcW w:w="570" w:type="dxa"/>
          </w:tcPr>
          <w:p w14:paraId="350D39AE" w14:textId="77777777" w:rsidR="00DF55B2" w:rsidRDefault="00704D93">
            <w:pPr>
              <w:rPr>
                <w:color w:val="000000" w:themeColor="text1"/>
                <w:sz w:val="20"/>
                <w:szCs w:val="20"/>
                <w:lang w:val="en-US"/>
              </w:rPr>
            </w:pPr>
            <w:r>
              <w:rPr>
                <w:color w:val="000000" w:themeColor="text1"/>
                <w:sz w:val="20"/>
                <w:szCs w:val="20"/>
                <w:lang w:val="en-US"/>
              </w:rPr>
              <w:lastRenderedPageBreak/>
              <w:t>7</w:t>
            </w:r>
          </w:p>
        </w:tc>
        <w:tc>
          <w:tcPr>
            <w:tcW w:w="1271" w:type="dxa"/>
          </w:tcPr>
          <w:p w14:paraId="576A9B61"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2FD7C9E8"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FGMV-07</w:t>
            </w:r>
          </w:p>
        </w:tc>
        <w:tc>
          <w:tcPr>
            <w:tcW w:w="1840" w:type="dxa"/>
          </w:tcPr>
          <w:p w14:paraId="046991D1"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Policy and regulation opportunities and challenges in the metaverse</w:t>
            </w:r>
          </w:p>
        </w:tc>
        <w:tc>
          <w:tcPr>
            <w:tcW w:w="1276" w:type="dxa"/>
          </w:tcPr>
          <w:p w14:paraId="610BABCE" w14:textId="77777777" w:rsidR="00DF55B2" w:rsidRDefault="00704D93">
            <w:pPr>
              <w:rPr>
                <w:color w:val="000000" w:themeColor="text1"/>
                <w:sz w:val="20"/>
                <w:szCs w:val="20"/>
                <w:lang w:val="en-US"/>
              </w:rPr>
            </w:pPr>
            <w:r>
              <w:rPr>
                <w:color w:val="000000" w:themeColor="text1"/>
                <w:sz w:val="20"/>
                <w:szCs w:val="20"/>
                <w:lang w:val="en-US"/>
              </w:rPr>
              <w:t>Agreed,</w:t>
            </w:r>
          </w:p>
          <w:p w14:paraId="17CAF679"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605E445D" w14:textId="77777777" w:rsidR="00DF55B2" w:rsidRDefault="00704D93">
            <w:pPr>
              <w:rPr>
                <w:color w:val="000000" w:themeColor="text1"/>
                <w:sz w:val="20"/>
                <w:szCs w:val="20"/>
                <w:lang w:val="en-US"/>
              </w:rPr>
            </w:pPr>
            <w:r>
              <w:rPr>
                <w:color w:val="000000" w:themeColor="text1"/>
                <w:sz w:val="20"/>
                <w:szCs w:val="20"/>
                <w:lang w:val="en-US"/>
              </w:rPr>
              <w:t>The transformative potential of the metaverse will require policymakers and regulators to strike the right balance between social, environmental, economic, and legal aspects of the metaverse. To support policymakers and regulators in this important endeavour, this Technical Report looks at the policy and regulatory challenges of the metaverse, including an overview of its key enabling technologies, as well as regional and national approaches to metaverse development.</w:t>
            </w:r>
          </w:p>
        </w:tc>
      </w:tr>
      <w:tr w:rsidR="00DF55B2" w14:paraId="34A12C2E" w14:textId="77777777">
        <w:tc>
          <w:tcPr>
            <w:tcW w:w="570" w:type="dxa"/>
          </w:tcPr>
          <w:p w14:paraId="70BE5D50" w14:textId="77777777" w:rsidR="00DF55B2" w:rsidRDefault="00704D93">
            <w:pPr>
              <w:rPr>
                <w:color w:val="000000" w:themeColor="text1"/>
                <w:sz w:val="20"/>
                <w:szCs w:val="20"/>
                <w:lang w:val="en-US"/>
              </w:rPr>
            </w:pPr>
            <w:r>
              <w:rPr>
                <w:color w:val="000000" w:themeColor="text1"/>
                <w:sz w:val="20"/>
                <w:szCs w:val="20"/>
                <w:lang w:val="en-US"/>
              </w:rPr>
              <w:t>8</w:t>
            </w:r>
          </w:p>
        </w:tc>
        <w:tc>
          <w:tcPr>
            <w:tcW w:w="1271" w:type="dxa"/>
          </w:tcPr>
          <w:p w14:paraId="520EC298"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1B4C16DD"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rPr>
              <w:t>FGMV-08</w:t>
            </w:r>
          </w:p>
        </w:tc>
        <w:tc>
          <w:tcPr>
            <w:tcW w:w="1840" w:type="dxa"/>
          </w:tcPr>
          <w:p w14:paraId="5115E75D"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Design criteria and technical requirements for sustainable metaverse ecosystems</w:t>
            </w:r>
          </w:p>
        </w:tc>
        <w:tc>
          <w:tcPr>
            <w:tcW w:w="1276" w:type="dxa"/>
          </w:tcPr>
          <w:p w14:paraId="5059B4C6" w14:textId="77777777" w:rsidR="00DF55B2" w:rsidRDefault="00704D93">
            <w:pPr>
              <w:rPr>
                <w:color w:val="000000" w:themeColor="text1"/>
                <w:sz w:val="20"/>
                <w:szCs w:val="20"/>
                <w:lang w:val="en-US"/>
              </w:rPr>
            </w:pPr>
            <w:r>
              <w:rPr>
                <w:color w:val="000000" w:themeColor="text1"/>
                <w:sz w:val="20"/>
                <w:szCs w:val="20"/>
                <w:lang w:val="en-US"/>
              </w:rPr>
              <w:t>Agreed,</w:t>
            </w:r>
          </w:p>
          <w:p w14:paraId="1C78EF8A"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668A5247" w14:textId="77777777" w:rsidR="00DF55B2" w:rsidRDefault="00704D93">
            <w:pPr>
              <w:rPr>
                <w:color w:val="000000" w:themeColor="text1"/>
                <w:sz w:val="20"/>
                <w:szCs w:val="20"/>
                <w:lang w:val="en-US"/>
              </w:rPr>
            </w:pPr>
            <w:r>
              <w:rPr>
                <w:color w:val="000000" w:themeColor="text1"/>
                <w:sz w:val="20"/>
                <w:szCs w:val="20"/>
                <w:lang w:val="en-US"/>
              </w:rPr>
              <w:t>The contributions of this document are threefold:</w:t>
            </w:r>
          </w:p>
          <w:p w14:paraId="63836321" w14:textId="77777777" w:rsidR="00DF55B2" w:rsidRDefault="00704D93">
            <w:pPr>
              <w:rPr>
                <w:color w:val="000000" w:themeColor="text1"/>
                <w:sz w:val="20"/>
                <w:szCs w:val="20"/>
                <w:lang w:val="en-US"/>
              </w:rPr>
            </w:pPr>
            <w:r>
              <w:rPr>
                <w:color w:val="000000" w:themeColor="text1"/>
                <w:sz w:val="20"/>
                <w:szCs w:val="20"/>
                <w:lang w:val="en-US"/>
              </w:rPr>
              <w:t>1. A definition of a sustainable metaverse ecosystem;</w:t>
            </w:r>
          </w:p>
          <w:p w14:paraId="427ED410" w14:textId="77777777" w:rsidR="00DF55B2" w:rsidRDefault="00704D93">
            <w:pPr>
              <w:rPr>
                <w:color w:val="000000" w:themeColor="text1"/>
                <w:sz w:val="20"/>
                <w:szCs w:val="20"/>
                <w:lang w:val="en-US"/>
              </w:rPr>
            </w:pPr>
            <w:r>
              <w:rPr>
                <w:color w:val="000000" w:themeColor="text1"/>
                <w:sz w:val="20"/>
                <w:szCs w:val="20"/>
                <w:lang w:val="en-US"/>
              </w:rPr>
              <w:t>2. Design criteria to integrate at design environmental, social and economic sustainability needs;</w:t>
            </w:r>
          </w:p>
          <w:p w14:paraId="169A32F2" w14:textId="77777777" w:rsidR="00DF55B2" w:rsidRDefault="00704D93">
            <w:pPr>
              <w:rPr>
                <w:color w:val="000000" w:themeColor="text1"/>
                <w:sz w:val="20"/>
                <w:szCs w:val="20"/>
                <w:lang w:val="en-US"/>
              </w:rPr>
            </w:pPr>
            <w:r>
              <w:rPr>
                <w:color w:val="000000" w:themeColor="text1"/>
                <w:sz w:val="20"/>
                <w:szCs w:val="20"/>
                <w:lang w:val="en-US"/>
              </w:rPr>
              <w:t>3. System requirements for sustainable metaverse ecosystems.</w:t>
            </w:r>
          </w:p>
        </w:tc>
      </w:tr>
      <w:tr w:rsidR="00DF55B2" w14:paraId="5C169574" w14:textId="77777777">
        <w:tc>
          <w:tcPr>
            <w:tcW w:w="570" w:type="dxa"/>
          </w:tcPr>
          <w:p w14:paraId="2628B861" w14:textId="77777777" w:rsidR="00DF55B2" w:rsidRDefault="00704D93">
            <w:pPr>
              <w:rPr>
                <w:color w:val="000000" w:themeColor="text1"/>
                <w:sz w:val="20"/>
                <w:szCs w:val="20"/>
                <w:lang w:val="en-US"/>
              </w:rPr>
            </w:pPr>
            <w:r>
              <w:rPr>
                <w:color w:val="000000" w:themeColor="text1"/>
                <w:sz w:val="20"/>
                <w:szCs w:val="20"/>
                <w:lang w:val="en-US"/>
              </w:rPr>
              <w:t>9</w:t>
            </w:r>
          </w:p>
        </w:tc>
        <w:tc>
          <w:tcPr>
            <w:tcW w:w="1271" w:type="dxa"/>
          </w:tcPr>
          <w:p w14:paraId="033628A6"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4FC21FC0"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FGMV-09</w:t>
            </w:r>
          </w:p>
        </w:tc>
        <w:tc>
          <w:tcPr>
            <w:tcW w:w="1840" w:type="dxa"/>
          </w:tcPr>
          <w:p w14:paraId="6548F279"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Power metaverse: Use cases relevant to grid side and user side</w:t>
            </w:r>
          </w:p>
        </w:tc>
        <w:tc>
          <w:tcPr>
            <w:tcW w:w="1276" w:type="dxa"/>
          </w:tcPr>
          <w:p w14:paraId="3A8B081D" w14:textId="77777777" w:rsidR="00DF55B2" w:rsidRDefault="00704D93">
            <w:pPr>
              <w:rPr>
                <w:color w:val="000000" w:themeColor="text1"/>
                <w:sz w:val="20"/>
                <w:szCs w:val="20"/>
                <w:lang w:val="en-US"/>
              </w:rPr>
            </w:pPr>
            <w:r>
              <w:rPr>
                <w:color w:val="000000" w:themeColor="text1"/>
                <w:sz w:val="20"/>
                <w:szCs w:val="20"/>
                <w:lang w:val="en-US"/>
              </w:rPr>
              <w:t>Agreed,</w:t>
            </w:r>
          </w:p>
          <w:p w14:paraId="02C3198E"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11B807F9" w14:textId="77777777" w:rsidR="00DF55B2" w:rsidRDefault="00704D93">
            <w:pPr>
              <w:rPr>
                <w:color w:val="000000" w:themeColor="text1"/>
                <w:sz w:val="20"/>
                <w:szCs w:val="20"/>
                <w:lang w:val="en-US"/>
              </w:rPr>
            </w:pPr>
            <w:r>
              <w:rPr>
                <w:color w:val="000000" w:themeColor="text1"/>
                <w:sz w:val="20"/>
                <w:szCs w:val="20"/>
                <w:lang w:val="en-US"/>
              </w:rPr>
              <w:t>This Technical Report provides steps for the realization and use cases of power metaverse applied in the power system from the perspectives of the user and the grid. Each use case describes the application scenario, the assumptions and the service scenario.</w:t>
            </w:r>
          </w:p>
        </w:tc>
      </w:tr>
      <w:tr w:rsidR="00DF55B2" w14:paraId="4E49C889" w14:textId="77777777">
        <w:tc>
          <w:tcPr>
            <w:tcW w:w="570" w:type="dxa"/>
          </w:tcPr>
          <w:p w14:paraId="6970643F" w14:textId="77777777" w:rsidR="00DF55B2" w:rsidRDefault="00704D93">
            <w:pPr>
              <w:rPr>
                <w:color w:val="000000" w:themeColor="text1"/>
                <w:sz w:val="20"/>
                <w:szCs w:val="20"/>
                <w:lang w:val="en-US"/>
              </w:rPr>
            </w:pPr>
            <w:r>
              <w:rPr>
                <w:color w:val="000000" w:themeColor="text1"/>
                <w:sz w:val="20"/>
                <w:szCs w:val="20"/>
                <w:lang w:val="en-US"/>
              </w:rPr>
              <w:t>10</w:t>
            </w:r>
          </w:p>
        </w:tc>
        <w:tc>
          <w:tcPr>
            <w:tcW w:w="1271" w:type="dxa"/>
          </w:tcPr>
          <w:p w14:paraId="17C2AE50"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22A5FC58"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FGMV-10​</w:t>
            </w:r>
          </w:p>
        </w:tc>
        <w:tc>
          <w:tcPr>
            <w:tcW w:w="1840" w:type="dxa"/>
          </w:tcPr>
          <w:p w14:paraId="54CE882B"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Cyber risks, threats, and harms in the metaverse ​</w:t>
            </w:r>
          </w:p>
        </w:tc>
        <w:tc>
          <w:tcPr>
            <w:tcW w:w="1276" w:type="dxa"/>
          </w:tcPr>
          <w:p w14:paraId="124ACF69" w14:textId="77777777" w:rsidR="00DF55B2" w:rsidRDefault="00704D93">
            <w:pPr>
              <w:rPr>
                <w:color w:val="000000" w:themeColor="text1"/>
                <w:sz w:val="20"/>
                <w:szCs w:val="20"/>
                <w:lang w:val="en-US"/>
              </w:rPr>
            </w:pPr>
            <w:r>
              <w:rPr>
                <w:color w:val="000000" w:themeColor="text1"/>
                <w:sz w:val="20"/>
                <w:szCs w:val="20"/>
                <w:lang w:val="en-US"/>
              </w:rPr>
              <w:t>Agreed,</w:t>
            </w:r>
          </w:p>
          <w:p w14:paraId="5B03B74D"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389BDBBE" w14:textId="77777777" w:rsidR="00DF55B2" w:rsidRDefault="00704D93">
            <w:pPr>
              <w:rPr>
                <w:color w:val="000000" w:themeColor="text1"/>
                <w:sz w:val="20"/>
                <w:szCs w:val="20"/>
                <w:lang w:val="en-US"/>
              </w:rPr>
            </w:pPr>
            <w:r>
              <w:rPr>
                <w:color w:val="000000" w:themeColor="text1"/>
                <w:sz w:val="20"/>
                <w:szCs w:val="20"/>
                <w:lang w:val="en-US"/>
              </w:rPr>
              <w:t>This Technical Report emphasizes the importance of understanding the cybersecurity landscape in the metaverse. It provides an overview of this emerging digital realm and its potential, highlighting its transformative nature. It also analyzes and documents the specific cybersecurity risks, threats, and potential harms associated with the metaverse. This Technical Report covers areas such as identity theft, malware, data breaches, and social engineering. Moreover, it explores the background of cybersecurity risks in the metaverse. Additionally, this Technical Report examines the implications of these cybersecurity risks, including their impact on user trust, virtual economies, and assets.</w:t>
            </w:r>
          </w:p>
        </w:tc>
      </w:tr>
      <w:tr w:rsidR="00DF55B2" w14:paraId="434B17DA" w14:textId="77777777">
        <w:tc>
          <w:tcPr>
            <w:tcW w:w="570" w:type="dxa"/>
          </w:tcPr>
          <w:p w14:paraId="7F9F18AA" w14:textId="77777777" w:rsidR="00DF55B2" w:rsidRDefault="00704D93">
            <w:pPr>
              <w:rPr>
                <w:color w:val="000000" w:themeColor="text1"/>
                <w:sz w:val="20"/>
                <w:szCs w:val="20"/>
                <w:lang w:val="en-US"/>
              </w:rPr>
            </w:pPr>
            <w:r>
              <w:rPr>
                <w:color w:val="000000" w:themeColor="text1"/>
                <w:sz w:val="20"/>
                <w:szCs w:val="20"/>
                <w:lang w:val="en-US"/>
              </w:rPr>
              <w:t>11</w:t>
            </w:r>
          </w:p>
        </w:tc>
        <w:tc>
          <w:tcPr>
            <w:tcW w:w="1271" w:type="dxa"/>
          </w:tcPr>
          <w:p w14:paraId="15823D5A"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40786875"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FGMV-11​</w:t>
            </w:r>
          </w:p>
        </w:tc>
        <w:tc>
          <w:tcPr>
            <w:tcW w:w="1840" w:type="dxa"/>
          </w:tcPr>
          <w:p w14:paraId="664C2446"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 xml:space="preserve">Embedding safety standards and the user control of </w:t>
            </w:r>
            <w:r>
              <w:rPr>
                <w:color w:val="000000" w:themeColor="text1"/>
                <w:sz w:val="20"/>
                <w:szCs w:val="20"/>
                <w:shd w:val="clear" w:color="auto" w:fill="FFFFFF"/>
                <w:lang w:val="en-US"/>
              </w:rPr>
              <w:lastRenderedPageBreak/>
              <w:t>Personally Identifiable Information (PII) in the development of the metaverse​</w:t>
            </w:r>
          </w:p>
        </w:tc>
        <w:tc>
          <w:tcPr>
            <w:tcW w:w="1276" w:type="dxa"/>
          </w:tcPr>
          <w:p w14:paraId="12186E1E" w14:textId="77777777" w:rsidR="00DF55B2" w:rsidRDefault="00704D93">
            <w:pPr>
              <w:rPr>
                <w:color w:val="000000" w:themeColor="text1"/>
                <w:sz w:val="20"/>
                <w:szCs w:val="20"/>
                <w:lang w:val="en-US"/>
              </w:rPr>
            </w:pPr>
            <w:r>
              <w:rPr>
                <w:color w:val="000000" w:themeColor="text1"/>
                <w:sz w:val="20"/>
                <w:szCs w:val="20"/>
                <w:lang w:val="en-US"/>
              </w:rPr>
              <w:lastRenderedPageBreak/>
              <w:t>Agreed,</w:t>
            </w:r>
          </w:p>
          <w:p w14:paraId="4E4542D3"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52216EE5" w14:textId="77777777" w:rsidR="00DF55B2" w:rsidRDefault="00704D93">
            <w:pPr>
              <w:rPr>
                <w:color w:val="000000" w:themeColor="text1"/>
                <w:sz w:val="20"/>
                <w:szCs w:val="20"/>
                <w:lang w:val="en-US"/>
              </w:rPr>
            </w:pPr>
            <w:r>
              <w:rPr>
                <w:color w:val="000000" w:themeColor="text1"/>
                <w:sz w:val="20"/>
                <w:szCs w:val="20"/>
                <w:lang w:val="en-US"/>
              </w:rPr>
              <w:t xml:space="preserve">This Technical Report develops three key areas of a rights-based approach to embedding ethics and safety standards and user control of PII in </w:t>
            </w:r>
            <w:r>
              <w:rPr>
                <w:color w:val="000000" w:themeColor="text1"/>
                <w:sz w:val="20"/>
                <w:szCs w:val="20"/>
                <w:lang w:val="en-US"/>
              </w:rPr>
              <w:lastRenderedPageBreak/>
              <w:t>developing the metaverse that build conceptually on each other:</w:t>
            </w:r>
          </w:p>
          <w:p w14:paraId="67A823A7" w14:textId="77777777" w:rsidR="00DF55B2" w:rsidRDefault="00704D93">
            <w:pPr>
              <w:rPr>
                <w:color w:val="000000" w:themeColor="text1"/>
                <w:sz w:val="20"/>
                <w:szCs w:val="20"/>
                <w:lang w:val="en-US"/>
              </w:rPr>
            </w:pPr>
            <w:r>
              <w:rPr>
                <w:color w:val="000000" w:themeColor="text1"/>
                <w:sz w:val="20"/>
                <w:szCs w:val="20"/>
                <w:lang w:val="en-US"/>
              </w:rPr>
              <w:t>• Data control and agency of users in relation to their service and platform provider,</w:t>
            </w:r>
          </w:p>
          <w:p w14:paraId="386C9D0D" w14:textId="77777777" w:rsidR="00DF55B2" w:rsidRDefault="00704D93">
            <w:pPr>
              <w:rPr>
                <w:color w:val="000000" w:themeColor="text1"/>
                <w:sz w:val="20"/>
                <w:szCs w:val="20"/>
                <w:lang w:val="en-US"/>
              </w:rPr>
            </w:pPr>
            <w:r>
              <w:rPr>
                <w:color w:val="000000" w:themeColor="text1"/>
                <w:sz w:val="20"/>
                <w:szCs w:val="20"/>
                <w:lang w:val="en-US"/>
              </w:rPr>
              <w:t>• Human rights test governing workflow design as well as the conduct of service and platform providers as that conduct relates to their public stakeholders, and</w:t>
            </w:r>
          </w:p>
          <w:p w14:paraId="39D1DE54" w14:textId="77777777" w:rsidR="00DF55B2" w:rsidRDefault="00704D93">
            <w:pPr>
              <w:rPr>
                <w:color w:val="000000" w:themeColor="text1"/>
                <w:sz w:val="20"/>
                <w:szCs w:val="20"/>
                <w:lang w:val="en-US"/>
              </w:rPr>
            </w:pPr>
            <w:r>
              <w:rPr>
                <w:color w:val="000000" w:themeColor="text1"/>
                <w:sz w:val="20"/>
                <w:szCs w:val="20"/>
                <w:lang w:val="en-US"/>
              </w:rPr>
              <w:t>• Principles for the development of safety standards in line with the SDGs that can effectively govern user conduct within the metaverse spaces such providers offer.</w:t>
            </w:r>
          </w:p>
        </w:tc>
      </w:tr>
      <w:tr w:rsidR="00DF55B2" w14:paraId="4D058F9C" w14:textId="77777777">
        <w:tc>
          <w:tcPr>
            <w:tcW w:w="570" w:type="dxa"/>
          </w:tcPr>
          <w:p w14:paraId="32DEF025" w14:textId="77777777" w:rsidR="00DF55B2" w:rsidRDefault="00704D93">
            <w:pPr>
              <w:rPr>
                <w:color w:val="000000" w:themeColor="text1"/>
                <w:sz w:val="20"/>
                <w:szCs w:val="20"/>
                <w:lang w:val="en-US"/>
              </w:rPr>
            </w:pPr>
            <w:r>
              <w:rPr>
                <w:color w:val="000000" w:themeColor="text1"/>
                <w:sz w:val="20"/>
                <w:szCs w:val="20"/>
                <w:lang w:val="en-US"/>
              </w:rPr>
              <w:lastRenderedPageBreak/>
              <w:t>12</w:t>
            </w:r>
          </w:p>
        </w:tc>
        <w:tc>
          <w:tcPr>
            <w:tcW w:w="1271" w:type="dxa"/>
          </w:tcPr>
          <w:p w14:paraId="2DAF8F23"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4313076F"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FGMV-12</w:t>
            </w:r>
          </w:p>
        </w:tc>
        <w:tc>
          <w:tcPr>
            <w:tcW w:w="1840" w:type="dxa"/>
          </w:tcPr>
          <w:p w14:paraId="4C10FF5F"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Children's age verification in the metaverse</w:t>
            </w:r>
          </w:p>
        </w:tc>
        <w:tc>
          <w:tcPr>
            <w:tcW w:w="1276" w:type="dxa"/>
          </w:tcPr>
          <w:p w14:paraId="4321B561" w14:textId="77777777" w:rsidR="00DF55B2" w:rsidRDefault="00704D93">
            <w:pPr>
              <w:rPr>
                <w:color w:val="000000" w:themeColor="text1"/>
                <w:sz w:val="20"/>
                <w:szCs w:val="20"/>
                <w:lang w:val="en-US"/>
              </w:rPr>
            </w:pPr>
            <w:r>
              <w:rPr>
                <w:color w:val="000000" w:themeColor="text1"/>
                <w:sz w:val="20"/>
                <w:szCs w:val="20"/>
                <w:lang w:val="en-US"/>
              </w:rPr>
              <w:t>Agreed,</w:t>
            </w:r>
          </w:p>
          <w:p w14:paraId="7F382A38"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28B89A56" w14:textId="77777777" w:rsidR="00DF55B2" w:rsidRDefault="00704D93">
            <w:pPr>
              <w:rPr>
                <w:color w:val="000000" w:themeColor="text1"/>
                <w:sz w:val="20"/>
                <w:szCs w:val="20"/>
                <w:lang w:val="en-US"/>
              </w:rPr>
            </w:pPr>
            <w:r>
              <w:rPr>
                <w:color w:val="000000" w:themeColor="text1"/>
                <w:sz w:val="20"/>
                <w:szCs w:val="20"/>
                <w:lang w:val="en-US"/>
              </w:rPr>
              <w:t>The metaverse, with its array of sensors and devices, offers a unique avenue to bolster age verification procedures, especially with soft biometrics that do not compromise users' privacy. As online threats in the metaverse surge, platforms should institute risk assessment frameworks considering content and immersion levels. Age verification methods should align with the risk levels, ensuring that the data collected is minimal and solely serves verification purposes. Therefore, this report discusses potential issues and provides general recommendations that should be helpful for implementing third-party age verification.</w:t>
            </w:r>
          </w:p>
        </w:tc>
      </w:tr>
      <w:tr w:rsidR="00DF55B2" w14:paraId="1B3B958C" w14:textId="77777777">
        <w:tc>
          <w:tcPr>
            <w:tcW w:w="570" w:type="dxa"/>
          </w:tcPr>
          <w:p w14:paraId="6963409E" w14:textId="77777777" w:rsidR="00DF55B2" w:rsidRDefault="00704D93">
            <w:pPr>
              <w:rPr>
                <w:color w:val="000000" w:themeColor="text1"/>
                <w:sz w:val="20"/>
                <w:szCs w:val="20"/>
              </w:rPr>
            </w:pPr>
            <w:r>
              <w:rPr>
                <w:color w:val="000000" w:themeColor="text1"/>
                <w:sz w:val="20"/>
                <w:szCs w:val="20"/>
              </w:rPr>
              <w:t>13</w:t>
            </w:r>
          </w:p>
        </w:tc>
        <w:tc>
          <w:tcPr>
            <w:tcW w:w="1271" w:type="dxa"/>
          </w:tcPr>
          <w:p w14:paraId="1FB2CB49"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292D79DA"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FGMV-13</w:t>
            </w:r>
          </w:p>
        </w:tc>
        <w:tc>
          <w:tcPr>
            <w:tcW w:w="1840" w:type="dxa"/>
          </w:tcPr>
          <w:p w14:paraId="50A85ADD"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​​Responsible Use of AI for Child Protection in the metaverse</w:t>
            </w:r>
          </w:p>
        </w:tc>
        <w:tc>
          <w:tcPr>
            <w:tcW w:w="1276" w:type="dxa"/>
          </w:tcPr>
          <w:p w14:paraId="65B2B2BD" w14:textId="77777777" w:rsidR="00DF55B2" w:rsidRDefault="00704D93">
            <w:pPr>
              <w:rPr>
                <w:color w:val="000000" w:themeColor="text1"/>
                <w:sz w:val="20"/>
                <w:szCs w:val="20"/>
                <w:lang w:val="en-US"/>
              </w:rPr>
            </w:pPr>
            <w:r>
              <w:rPr>
                <w:color w:val="000000" w:themeColor="text1"/>
                <w:sz w:val="20"/>
                <w:szCs w:val="20"/>
                <w:lang w:val="en-US"/>
              </w:rPr>
              <w:t>Agreed,</w:t>
            </w:r>
          </w:p>
          <w:p w14:paraId="137FF06D"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2E37516D" w14:textId="77777777" w:rsidR="00DF55B2" w:rsidRDefault="00704D93">
            <w:pPr>
              <w:rPr>
                <w:color w:val="000000" w:themeColor="text1"/>
                <w:sz w:val="20"/>
                <w:szCs w:val="20"/>
                <w:lang w:val="en-US"/>
              </w:rPr>
            </w:pPr>
            <w:r>
              <w:rPr>
                <w:color w:val="000000" w:themeColor="text1"/>
                <w:sz w:val="20"/>
                <w:szCs w:val="20"/>
                <w:lang w:val="en-US"/>
              </w:rPr>
              <w:t>This Technical Report explores the scope for the responsible use of A1 for child protection in the metaverse as a contribution in this area to assist in the achievement of the United Nations Sustainable Development Goals.</w:t>
            </w:r>
          </w:p>
        </w:tc>
      </w:tr>
      <w:tr w:rsidR="00DF55B2" w14:paraId="089C8899" w14:textId="77777777">
        <w:tc>
          <w:tcPr>
            <w:tcW w:w="570" w:type="dxa"/>
          </w:tcPr>
          <w:p w14:paraId="57E4D242" w14:textId="77777777" w:rsidR="00DF55B2" w:rsidRDefault="00704D93">
            <w:pPr>
              <w:rPr>
                <w:color w:val="000000" w:themeColor="text1"/>
                <w:sz w:val="20"/>
                <w:szCs w:val="20"/>
              </w:rPr>
            </w:pPr>
            <w:r>
              <w:rPr>
                <w:color w:val="000000" w:themeColor="text1"/>
                <w:sz w:val="20"/>
                <w:szCs w:val="20"/>
              </w:rPr>
              <w:t>14</w:t>
            </w:r>
          </w:p>
        </w:tc>
        <w:tc>
          <w:tcPr>
            <w:tcW w:w="1271" w:type="dxa"/>
          </w:tcPr>
          <w:p w14:paraId="006302E0"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7171F721"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FGMV-14​</w:t>
            </w:r>
          </w:p>
        </w:tc>
        <w:tc>
          <w:tcPr>
            <w:tcW w:w="1840" w:type="dxa"/>
          </w:tcPr>
          <w:p w14:paraId="3C22B031"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​Regulatory and economic aspects in the metaverse: Data protection-related</w:t>
            </w:r>
          </w:p>
        </w:tc>
        <w:tc>
          <w:tcPr>
            <w:tcW w:w="1276" w:type="dxa"/>
          </w:tcPr>
          <w:p w14:paraId="19CE0BC3" w14:textId="77777777" w:rsidR="00DF55B2" w:rsidRDefault="00704D93">
            <w:pPr>
              <w:rPr>
                <w:color w:val="000000" w:themeColor="text1"/>
                <w:sz w:val="20"/>
                <w:szCs w:val="20"/>
                <w:lang w:val="en-US"/>
              </w:rPr>
            </w:pPr>
            <w:r>
              <w:rPr>
                <w:color w:val="000000" w:themeColor="text1"/>
                <w:sz w:val="20"/>
                <w:szCs w:val="20"/>
                <w:lang w:val="en-US"/>
              </w:rPr>
              <w:t>Agreed,</w:t>
            </w:r>
          </w:p>
          <w:p w14:paraId="10A60804"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4C8E4291" w14:textId="77777777" w:rsidR="00DF55B2" w:rsidRDefault="00704D93">
            <w:pPr>
              <w:rPr>
                <w:color w:val="000000" w:themeColor="text1"/>
                <w:sz w:val="20"/>
                <w:szCs w:val="20"/>
                <w:lang w:val="en-US"/>
              </w:rPr>
            </w:pPr>
            <w:r>
              <w:rPr>
                <w:color w:val="000000" w:themeColor="text1"/>
                <w:sz w:val="20"/>
                <w:szCs w:val="20"/>
                <w:lang w:val="en-US"/>
              </w:rPr>
              <w:t>This technical report tries to explore the possible data protection concerns in the metaverse in terms of regulatory and economic perspectives. The technical report is divided into two parts; general data protection-related concerns and economic data protection related concerns. The data protection topic is considered a foundational base for conducting economic activities in the metaverse and for regulating all activities on the metaverse. The contribution approaches this novel topic through the 'Life Cycle of Data Threat Model' that tries to pinpoint some threats in different stages of the data life cycle.  The contribution finally presents a data protection assessment framework that can be used to assess the level of threat of each of the challenges presented, and therefore policy priorities may be determined accordingly.</w:t>
            </w:r>
          </w:p>
        </w:tc>
      </w:tr>
      <w:tr w:rsidR="00DF55B2" w14:paraId="0B5E01B5" w14:textId="77777777">
        <w:tc>
          <w:tcPr>
            <w:tcW w:w="570" w:type="dxa"/>
          </w:tcPr>
          <w:p w14:paraId="783119D7" w14:textId="77777777" w:rsidR="00DF55B2" w:rsidRDefault="00704D93">
            <w:pPr>
              <w:rPr>
                <w:color w:val="000000" w:themeColor="text1"/>
                <w:sz w:val="20"/>
                <w:szCs w:val="20"/>
              </w:rPr>
            </w:pPr>
            <w:r>
              <w:rPr>
                <w:color w:val="000000" w:themeColor="text1"/>
                <w:sz w:val="20"/>
                <w:szCs w:val="20"/>
              </w:rPr>
              <w:t>15</w:t>
            </w:r>
          </w:p>
        </w:tc>
        <w:tc>
          <w:tcPr>
            <w:tcW w:w="1271" w:type="dxa"/>
          </w:tcPr>
          <w:p w14:paraId="0EB93928"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72D2644F"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FGMV-15</w:t>
            </w:r>
          </w:p>
        </w:tc>
        <w:tc>
          <w:tcPr>
            <w:tcW w:w="1840" w:type="dxa"/>
          </w:tcPr>
          <w:p w14:paraId="0C5F0E0F"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Accessibility requirements for metaverse services supporting IoT​</w:t>
            </w:r>
          </w:p>
        </w:tc>
        <w:tc>
          <w:tcPr>
            <w:tcW w:w="1276" w:type="dxa"/>
          </w:tcPr>
          <w:p w14:paraId="35AB0388" w14:textId="77777777" w:rsidR="00DF55B2" w:rsidRDefault="00704D93">
            <w:pPr>
              <w:rPr>
                <w:color w:val="000000" w:themeColor="text1"/>
                <w:sz w:val="20"/>
                <w:szCs w:val="20"/>
                <w:lang w:val="en-US"/>
              </w:rPr>
            </w:pPr>
            <w:r>
              <w:rPr>
                <w:color w:val="000000" w:themeColor="text1"/>
                <w:sz w:val="20"/>
                <w:szCs w:val="20"/>
                <w:lang w:val="en-US"/>
              </w:rPr>
              <w:t>Agreed,</w:t>
            </w:r>
          </w:p>
          <w:p w14:paraId="7CB34714"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04BABFD5" w14:textId="77777777" w:rsidR="00DF55B2" w:rsidRDefault="00704D93">
            <w:pPr>
              <w:rPr>
                <w:color w:val="000000" w:themeColor="text1"/>
                <w:sz w:val="20"/>
                <w:szCs w:val="20"/>
                <w:lang w:val="en-US"/>
              </w:rPr>
            </w:pPr>
            <w:r>
              <w:rPr>
                <w:color w:val="000000" w:themeColor="text1"/>
                <w:sz w:val="20"/>
                <w:szCs w:val="20"/>
                <w:lang w:val="en-US"/>
              </w:rPr>
              <w:t>This Technical Specification defines the accessibility requirements that metaverse services supporting IoT should have.</w:t>
            </w:r>
          </w:p>
        </w:tc>
      </w:tr>
      <w:tr w:rsidR="00DF55B2" w14:paraId="6C659A4B" w14:textId="77777777">
        <w:tc>
          <w:tcPr>
            <w:tcW w:w="570" w:type="dxa"/>
          </w:tcPr>
          <w:p w14:paraId="3074407E" w14:textId="77777777" w:rsidR="00DF55B2" w:rsidRDefault="00704D93">
            <w:pPr>
              <w:rPr>
                <w:color w:val="000000" w:themeColor="text1"/>
                <w:sz w:val="20"/>
                <w:szCs w:val="20"/>
              </w:rPr>
            </w:pPr>
            <w:r>
              <w:rPr>
                <w:color w:val="000000" w:themeColor="text1"/>
                <w:sz w:val="20"/>
                <w:szCs w:val="20"/>
              </w:rPr>
              <w:t>16</w:t>
            </w:r>
          </w:p>
        </w:tc>
        <w:tc>
          <w:tcPr>
            <w:tcW w:w="1271" w:type="dxa"/>
          </w:tcPr>
          <w:p w14:paraId="76DADD0A"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455EBC79"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FGMV-16​</w:t>
            </w:r>
          </w:p>
        </w:tc>
        <w:tc>
          <w:tcPr>
            <w:tcW w:w="1840" w:type="dxa"/>
          </w:tcPr>
          <w:p w14:paraId="5E7140E7"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Accessibility in a sustainable metaverse​</w:t>
            </w:r>
          </w:p>
        </w:tc>
        <w:tc>
          <w:tcPr>
            <w:tcW w:w="1276" w:type="dxa"/>
          </w:tcPr>
          <w:p w14:paraId="39D3BAAE" w14:textId="77777777" w:rsidR="00DF55B2" w:rsidRDefault="00704D93">
            <w:pPr>
              <w:rPr>
                <w:color w:val="000000" w:themeColor="text1"/>
                <w:sz w:val="20"/>
                <w:szCs w:val="20"/>
                <w:lang w:val="en-US"/>
              </w:rPr>
            </w:pPr>
            <w:r>
              <w:rPr>
                <w:color w:val="000000" w:themeColor="text1"/>
                <w:sz w:val="20"/>
                <w:szCs w:val="20"/>
                <w:lang w:val="en-US"/>
              </w:rPr>
              <w:t>Agreed,</w:t>
            </w:r>
          </w:p>
          <w:p w14:paraId="0AAD7A1C"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3C322FEE" w14:textId="77777777" w:rsidR="00DF55B2" w:rsidRDefault="00704D93">
            <w:pPr>
              <w:rPr>
                <w:color w:val="000000" w:themeColor="text1"/>
                <w:sz w:val="20"/>
                <w:szCs w:val="20"/>
                <w:lang w:val="en-US"/>
              </w:rPr>
            </w:pPr>
            <w:r>
              <w:rPr>
                <w:color w:val="000000" w:themeColor="text1"/>
                <w:sz w:val="20"/>
                <w:szCs w:val="20"/>
                <w:lang w:val="en-US"/>
              </w:rPr>
              <w:t xml:space="preserve">This Technical Report promotes and instructs on the adaptation of an integrated approach to accessibility and sustainability in the metaverse. It explores the integration of accessibility products and services in the metaverse and their associated social benefit and environmental impact. Emphasizing the need for the early integration of </w:t>
            </w:r>
            <w:r>
              <w:rPr>
                <w:color w:val="000000" w:themeColor="text1"/>
                <w:sz w:val="20"/>
                <w:szCs w:val="20"/>
                <w:lang w:val="en-US"/>
              </w:rPr>
              <w:lastRenderedPageBreak/>
              <w:t>accessibility and sustainability, this document presents information and guidance on how to incorporate sustainable accessibility products and services in the metaverse from the outset.</w:t>
            </w:r>
          </w:p>
        </w:tc>
      </w:tr>
      <w:tr w:rsidR="00DF55B2" w14:paraId="030A4C14" w14:textId="77777777">
        <w:tc>
          <w:tcPr>
            <w:tcW w:w="570" w:type="dxa"/>
          </w:tcPr>
          <w:p w14:paraId="10DD317A" w14:textId="77777777" w:rsidR="00DF55B2" w:rsidRDefault="00704D93">
            <w:pPr>
              <w:rPr>
                <w:color w:val="000000" w:themeColor="text1"/>
                <w:sz w:val="20"/>
                <w:szCs w:val="20"/>
              </w:rPr>
            </w:pPr>
            <w:r>
              <w:rPr>
                <w:color w:val="000000" w:themeColor="text1"/>
                <w:sz w:val="20"/>
                <w:szCs w:val="20"/>
              </w:rPr>
              <w:lastRenderedPageBreak/>
              <w:t>17</w:t>
            </w:r>
          </w:p>
        </w:tc>
        <w:tc>
          <w:tcPr>
            <w:tcW w:w="1271" w:type="dxa"/>
          </w:tcPr>
          <w:p w14:paraId="10BFBD1C"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26C69FF5"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FGMV-17​</w:t>
            </w:r>
          </w:p>
        </w:tc>
        <w:tc>
          <w:tcPr>
            <w:tcW w:w="1840" w:type="dxa"/>
          </w:tcPr>
          <w:p w14:paraId="2CF34A1B"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Guidelines and requirements on interpreting in the metaverse</w:t>
            </w:r>
          </w:p>
        </w:tc>
        <w:tc>
          <w:tcPr>
            <w:tcW w:w="1276" w:type="dxa"/>
          </w:tcPr>
          <w:p w14:paraId="0C6EA7F5" w14:textId="77777777" w:rsidR="00DF55B2" w:rsidRDefault="00704D93">
            <w:pPr>
              <w:rPr>
                <w:color w:val="000000" w:themeColor="text1"/>
                <w:sz w:val="20"/>
                <w:szCs w:val="20"/>
                <w:lang w:val="en-US"/>
              </w:rPr>
            </w:pPr>
            <w:r>
              <w:rPr>
                <w:color w:val="000000" w:themeColor="text1"/>
                <w:sz w:val="20"/>
                <w:szCs w:val="20"/>
                <w:lang w:val="en-US"/>
              </w:rPr>
              <w:t>Agreed,</w:t>
            </w:r>
          </w:p>
          <w:p w14:paraId="0C2E13AF"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5EB5E475" w14:textId="77777777" w:rsidR="00DF55B2" w:rsidRDefault="00704D93">
            <w:pPr>
              <w:rPr>
                <w:color w:val="000000" w:themeColor="text1"/>
                <w:sz w:val="20"/>
                <w:szCs w:val="20"/>
                <w:lang w:val="en-US"/>
              </w:rPr>
            </w:pPr>
            <w:r>
              <w:rPr>
                <w:color w:val="000000" w:themeColor="text1"/>
                <w:sz w:val="20"/>
                <w:szCs w:val="20"/>
                <w:lang w:val="en-US"/>
              </w:rPr>
              <w:t>This document provides guidelines and requirements on interpreting in the metaverse. It summaries typical use settings that require interpreting in the metaverse, including conference interpreting, public service interpreting and sign-language interpreting. It describes technical requirements for interpreting in the metaverse. It also provides advice for all parties in interpreted events in the metaverse, including organizers, speakers, interpreters and audience in interpreting facilitated events in the metaverse.</w:t>
            </w:r>
          </w:p>
        </w:tc>
      </w:tr>
      <w:tr w:rsidR="00DF55B2" w14:paraId="746896EE" w14:textId="77777777">
        <w:tc>
          <w:tcPr>
            <w:tcW w:w="570" w:type="dxa"/>
          </w:tcPr>
          <w:p w14:paraId="3D153A23" w14:textId="77777777" w:rsidR="00DF55B2" w:rsidRDefault="00704D93">
            <w:pPr>
              <w:rPr>
                <w:color w:val="000000" w:themeColor="text1"/>
                <w:sz w:val="20"/>
                <w:szCs w:val="20"/>
              </w:rPr>
            </w:pPr>
            <w:r>
              <w:rPr>
                <w:color w:val="000000" w:themeColor="text1"/>
                <w:sz w:val="20"/>
                <w:szCs w:val="20"/>
              </w:rPr>
              <w:t>18</w:t>
            </w:r>
          </w:p>
        </w:tc>
        <w:tc>
          <w:tcPr>
            <w:tcW w:w="1271" w:type="dxa"/>
          </w:tcPr>
          <w:p w14:paraId="72642442"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06CFFD21"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FGMV-18​</w:t>
            </w:r>
          </w:p>
        </w:tc>
        <w:tc>
          <w:tcPr>
            <w:tcW w:w="1840" w:type="dxa"/>
          </w:tcPr>
          <w:p w14:paraId="742E85EB"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Guidance on how to build a metaverse for all – Part I: Legal Framework</w:t>
            </w:r>
          </w:p>
        </w:tc>
        <w:tc>
          <w:tcPr>
            <w:tcW w:w="1276" w:type="dxa"/>
          </w:tcPr>
          <w:p w14:paraId="37D48BA5" w14:textId="77777777" w:rsidR="00DF55B2" w:rsidRDefault="00704D93">
            <w:pPr>
              <w:rPr>
                <w:color w:val="000000" w:themeColor="text1"/>
                <w:sz w:val="20"/>
                <w:szCs w:val="20"/>
                <w:lang w:val="en-US"/>
              </w:rPr>
            </w:pPr>
            <w:r>
              <w:rPr>
                <w:color w:val="000000" w:themeColor="text1"/>
                <w:sz w:val="20"/>
                <w:szCs w:val="20"/>
                <w:lang w:val="en-US"/>
              </w:rPr>
              <w:t>Agreed,</w:t>
            </w:r>
          </w:p>
          <w:p w14:paraId="6FFE1BC5"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027C44D0" w14:textId="77777777" w:rsidR="00DF55B2" w:rsidRDefault="00704D93">
            <w:pPr>
              <w:rPr>
                <w:color w:val="000000" w:themeColor="text1"/>
                <w:sz w:val="20"/>
                <w:szCs w:val="20"/>
                <w:lang w:val="en-US"/>
              </w:rPr>
            </w:pPr>
            <w:r>
              <w:rPr>
                <w:color w:val="000000" w:themeColor="text1"/>
                <w:sz w:val="20"/>
                <w:szCs w:val="20"/>
                <w:lang w:val="en-US"/>
              </w:rPr>
              <w:t>This document proposes some guidelines to ensure by default equity, accessibility, and inclusivity in the development of the metaverse. Its primary objective is to offer the context for the legal framework based on the United Nations (UN) mandates and Sustainable Development Goals (SDGs), along the derived standards. This document offers a comprehensive understanding of the current state of the background which should underlay any metaverse development. The document also identifies the key challenges that hinder the achievement of equity, accessibility, and inclusivity within the metaverse, and propose potential roadmaps towards constructing a metaverse leaving no one behind.</w:t>
            </w:r>
          </w:p>
        </w:tc>
      </w:tr>
      <w:tr w:rsidR="00DF55B2" w14:paraId="0495CDAF" w14:textId="77777777">
        <w:tc>
          <w:tcPr>
            <w:tcW w:w="570" w:type="dxa"/>
          </w:tcPr>
          <w:p w14:paraId="6B733194" w14:textId="77777777" w:rsidR="00DF55B2" w:rsidRDefault="00704D93">
            <w:pPr>
              <w:rPr>
                <w:color w:val="000000" w:themeColor="text1"/>
                <w:sz w:val="20"/>
                <w:szCs w:val="20"/>
              </w:rPr>
            </w:pPr>
            <w:r>
              <w:rPr>
                <w:color w:val="000000" w:themeColor="text1"/>
                <w:sz w:val="20"/>
                <w:szCs w:val="20"/>
              </w:rPr>
              <w:t>19</w:t>
            </w:r>
          </w:p>
        </w:tc>
        <w:tc>
          <w:tcPr>
            <w:tcW w:w="1271" w:type="dxa"/>
          </w:tcPr>
          <w:p w14:paraId="3D41FB1E"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274B8D95"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FGMV-19 </w:t>
            </w:r>
          </w:p>
        </w:tc>
        <w:tc>
          <w:tcPr>
            <w:tcW w:w="1840" w:type="dxa"/>
          </w:tcPr>
          <w:p w14:paraId="1883653F"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Service scenarios and high-level requirements for metaverse cross-platform interoperability</w:t>
            </w:r>
          </w:p>
        </w:tc>
        <w:tc>
          <w:tcPr>
            <w:tcW w:w="1276" w:type="dxa"/>
          </w:tcPr>
          <w:p w14:paraId="03CFECBE" w14:textId="77777777" w:rsidR="00DF55B2" w:rsidRDefault="00704D93">
            <w:pPr>
              <w:rPr>
                <w:color w:val="000000" w:themeColor="text1"/>
                <w:sz w:val="20"/>
                <w:szCs w:val="20"/>
                <w:lang w:val="en-US"/>
              </w:rPr>
            </w:pPr>
            <w:r>
              <w:rPr>
                <w:color w:val="000000" w:themeColor="text1"/>
                <w:sz w:val="20"/>
                <w:szCs w:val="20"/>
                <w:lang w:val="en-US"/>
              </w:rPr>
              <w:t>Agreed,</w:t>
            </w:r>
          </w:p>
          <w:p w14:paraId="5AB9FA1B"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2BBCC9C8" w14:textId="77777777" w:rsidR="00DF55B2" w:rsidRDefault="00704D93">
            <w:pPr>
              <w:rPr>
                <w:color w:val="000000" w:themeColor="text1"/>
                <w:sz w:val="20"/>
                <w:szCs w:val="20"/>
                <w:lang w:val="en-US"/>
              </w:rPr>
            </w:pPr>
            <w:r>
              <w:rPr>
                <w:color w:val="000000" w:themeColor="text1"/>
                <w:sz w:val="20"/>
                <w:szCs w:val="20"/>
                <w:lang w:val="en-US"/>
              </w:rPr>
              <w:t>This deliverable specifies the service scenarios and high-level requirements for metaverse crossplatform interoperability. With the increasing number of metaverse platforms being developed, there is a need to create an open and seamless metaverse interoperable environments between metaverse platforms that fosters innovation and collaboration. This deliverable aims to identify the various intended service scenarios and high-level requirements of four types of metaverse cross-platform interoperability: avatar interoperability, asset interoperability, content interoperability, identity interoperability.</w:t>
            </w:r>
          </w:p>
        </w:tc>
      </w:tr>
      <w:tr w:rsidR="00DF55B2" w14:paraId="059A2211" w14:textId="77777777">
        <w:tc>
          <w:tcPr>
            <w:tcW w:w="570" w:type="dxa"/>
          </w:tcPr>
          <w:p w14:paraId="020065C1" w14:textId="77777777" w:rsidR="00DF55B2" w:rsidRDefault="00704D93">
            <w:pPr>
              <w:rPr>
                <w:color w:val="000000" w:themeColor="text1"/>
                <w:sz w:val="20"/>
                <w:szCs w:val="20"/>
                <w:lang w:val="en-US"/>
              </w:rPr>
            </w:pPr>
            <w:r>
              <w:rPr>
                <w:color w:val="000000" w:themeColor="text1"/>
                <w:sz w:val="20"/>
                <w:szCs w:val="20"/>
                <w:lang w:val="en-US"/>
              </w:rPr>
              <w:t>20</w:t>
            </w:r>
          </w:p>
        </w:tc>
        <w:tc>
          <w:tcPr>
            <w:tcW w:w="1271" w:type="dxa"/>
          </w:tcPr>
          <w:p w14:paraId="644C52E9"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5F159E85"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rPr>
              <w:t>FGMV-20​</w:t>
            </w:r>
          </w:p>
        </w:tc>
        <w:tc>
          <w:tcPr>
            <w:tcW w:w="1840" w:type="dxa"/>
          </w:tcPr>
          <w:p w14:paraId="5B6F380B"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rPr>
              <w:t>Definition of metaverse​</w:t>
            </w:r>
          </w:p>
        </w:tc>
        <w:tc>
          <w:tcPr>
            <w:tcW w:w="1276" w:type="dxa"/>
          </w:tcPr>
          <w:p w14:paraId="54C5F522" w14:textId="77777777" w:rsidR="00DF55B2" w:rsidRDefault="00704D93">
            <w:pPr>
              <w:rPr>
                <w:color w:val="000000" w:themeColor="text1"/>
                <w:sz w:val="20"/>
                <w:szCs w:val="20"/>
                <w:lang w:val="en-US"/>
              </w:rPr>
            </w:pPr>
            <w:r>
              <w:rPr>
                <w:color w:val="000000" w:themeColor="text1"/>
                <w:sz w:val="20"/>
                <w:szCs w:val="20"/>
                <w:lang w:val="en-US"/>
              </w:rPr>
              <w:t>Agreed,</w:t>
            </w:r>
          </w:p>
          <w:p w14:paraId="4959EBD9"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19B9BD26" w14:textId="77777777" w:rsidR="00DF55B2" w:rsidRDefault="00704D93">
            <w:pPr>
              <w:rPr>
                <w:color w:val="000000" w:themeColor="text1"/>
                <w:sz w:val="20"/>
                <w:szCs w:val="20"/>
                <w:lang w:val="en-US"/>
              </w:rPr>
            </w:pPr>
            <w:r>
              <w:rPr>
                <w:color w:val="000000" w:themeColor="text1"/>
                <w:sz w:val="20"/>
                <w:szCs w:val="20"/>
                <w:lang w:val="en-US"/>
              </w:rPr>
              <w:t>This Technical Specification provides the definition of the term “metaverse”. It leverages a detailed analysis of 150 existing definitions of metaverse that was undertaken for the development of the ITU Technical Report on “Metaverse: an analysis of definitions”, which was approved at the third meeting of the ITU Focus Group on metaverse (FG-MV), held on 3-5 October 2023 in Geneva, Switzerland.</w:t>
            </w:r>
          </w:p>
        </w:tc>
      </w:tr>
      <w:tr w:rsidR="00DF55B2" w14:paraId="3ECF7A55" w14:textId="77777777">
        <w:tc>
          <w:tcPr>
            <w:tcW w:w="570" w:type="dxa"/>
          </w:tcPr>
          <w:p w14:paraId="05198FB1" w14:textId="77777777" w:rsidR="00DF55B2" w:rsidRDefault="00704D93">
            <w:pPr>
              <w:rPr>
                <w:color w:val="000000" w:themeColor="text1"/>
                <w:sz w:val="20"/>
                <w:szCs w:val="20"/>
                <w:lang w:val="en-US"/>
              </w:rPr>
            </w:pPr>
            <w:r>
              <w:rPr>
                <w:color w:val="000000" w:themeColor="text1"/>
                <w:sz w:val="20"/>
                <w:szCs w:val="20"/>
                <w:lang w:val="en-US"/>
              </w:rPr>
              <w:t>21</w:t>
            </w:r>
          </w:p>
        </w:tc>
        <w:tc>
          <w:tcPr>
            <w:tcW w:w="1271" w:type="dxa"/>
          </w:tcPr>
          <w:p w14:paraId="40AA1E8A"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59627889"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FGMV-21​</w:t>
            </w:r>
          </w:p>
        </w:tc>
        <w:tc>
          <w:tcPr>
            <w:tcW w:w="1840" w:type="dxa"/>
          </w:tcPr>
          <w:p w14:paraId="31B708E5"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Principles for building concepts and definitions related to metaverse </w:t>
            </w:r>
          </w:p>
        </w:tc>
        <w:tc>
          <w:tcPr>
            <w:tcW w:w="1276" w:type="dxa"/>
          </w:tcPr>
          <w:p w14:paraId="55DD0CF6" w14:textId="77777777" w:rsidR="00DF55B2" w:rsidRDefault="00704D93">
            <w:pPr>
              <w:rPr>
                <w:color w:val="000000" w:themeColor="text1"/>
                <w:sz w:val="20"/>
                <w:szCs w:val="20"/>
                <w:lang w:val="en-US"/>
              </w:rPr>
            </w:pPr>
            <w:r>
              <w:rPr>
                <w:color w:val="000000" w:themeColor="text1"/>
                <w:sz w:val="20"/>
                <w:szCs w:val="20"/>
                <w:lang w:val="en-US"/>
              </w:rPr>
              <w:t>Agreed,</w:t>
            </w:r>
          </w:p>
          <w:p w14:paraId="1C47160E"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6E25E502" w14:textId="77777777" w:rsidR="00DF55B2" w:rsidRDefault="00704D93">
            <w:pPr>
              <w:rPr>
                <w:color w:val="000000" w:themeColor="text1"/>
                <w:sz w:val="20"/>
                <w:szCs w:val="20"/>
                <w:lang w:val="en-US"/>
              </w:rPr>
            </w:pPr>
            <w:r>
              <w:rPr>
                <w:color w:val="000000" w:themeColor="text1"/>
                <w:sz w:val="20"/>
                <w:szCs w:val="20"/>
                <w:lang w:val="en-US"/>
              </w:rPr>
              <w:t>This document establishes the principles for building terms, concepts and definitions related to metaverse, as the foundation for developing technical specification of vocabulary for metaverse.</w:t>
            </w:r>
          </w:p>
        </w:tc>
      </w:tr>
      <w:tr w:rsidR="00DF55B2" w14:paraId="542C5DBB" w14:textId="77777777">
        <w:tc>
          <w:tcPr>
            <w:tcW w:w="570" w:type="dxa"/>
          </w:tcPr>
          <w:p w14:paraId="3894EB6B" w14:textId="77777777" w:rsidR="00DF55B2" w:rsidRDefault="00704D93">
            <w:pPr>
              <w:rPr>
                <w:color w:val="000000" w:themeColor="text1"/>
                <w:sz w:val="20"/>
                <w:szCs w:val="20"/>
                <w:lang w:val="en-US"/>
              </w:rPr>
            </w:pPr>
            <w:r>
              <w:rPr>
                <w:color w:val="000000" w:themeColor="text1"/>
                <w:sz w:val="20"/>
                <w:szCs w:val="20"/>
                <w:lang w:val="en-US"/>
              </w:rPr>
              <w:t>22</w:t>
            </w:r>
          </w:p>
        </w:tc>
        <w:tc>
          <w:tcPr>
            <w:tcW w:w="1271" w:type="dxa"/>
          </w:tcPr>
          <w:p w14:paraId="441827DC"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6DBE0167"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FGMV-22​</w:t>
            </w:r>
          </w:p>
        </w:tc>
        <w:tc>
          <w:tcPr>
            <w:tcW w:w="1840" w:type="dxa"/>
          </w:tcPr>
          <w:p w14:paraId="2D48CE7F"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 xml:space="preserve">Capabilities and requirements of </w:t>
            </w:r>
            <w:r>
              <w:rPr>
                <w:color w:val="000000" w:themeColor="text1"/>
                <w:sz w:val="20"/>
                <w:szCs w:val="20"/>
                <w:shd w:val="clear" w:color="auto" w:fill="FFFFFF"/>
                <w:lang w:val="en-US"/>
              </w:rPr>
              <w:lastRenderedPageBreak/>
              <w:t>generative artificial intelligence in metaverse applications and services ​</w:t>
            </w:r>
          </w:p>
        </w:tc>
        <w:tc>
          <w:tcPr>
            <w:tcW w:w="1276" w:type="dxa"/>
          </w:tcPr>
          <w:p w14:paraId="5D269E33" w14:textId="77777777" w:rsidR="00DF55B2" w:rsidRDefault="00704D93">
            <w:pPr>
              <w:rPr>
                <w:color w:val="000000" w:themeColor="text1"/>
                <w:sz w:val="20"/>
                <w:szCs w:val="20"/>
                <w:lang w:val="en-US"/>
              </w:rPr>
            </w:pPr>
            <w:r>
              <w:rPr>
                <w:color w:val="000000" w:themeColor="text1"/>
                <w:sz w:val="20"/>
                <w:szCs w:val="20"/>
                <w:lang w:val="en-US"/>
              </w:rPr>
              <w:lastRenderedPageBreak/>
              <w:t>Agreed,</w:t>
            </w:r>
          </w:p>
          <w:p w14:paraId="2D8FEFFB"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05F647C7" w14:textId="77777777" w:rsidR="00DF55B2" w:rsidRDefault="00704D93">
            <w:pPr>
              <w:rPr>
                <w:color w:val="000000" w:themeColor="text1"/>
                <w:sz w:val="20"/>
                <w:szCs w:val="20"/>
                <w:lang w:val="en-US"/>
              </w:rPr>
            </w:pPr>
            <w:r>
              <w:rPr>
                <w:color w:val="000000" w:themeColor="text1"/>
                <w:sz w:val="20"/>
                <w:szCs w:val="20"/>
                <w:lang w:val="en-US"/>
              </w:rPr>
              <w:t xml:space="preserve">This Technical Specification provides capabilities and requirements of Generative Artificial </w:t>
            </w:r>
            <w:r>
              <w:rPr>
                <w:color w:val="000000" w:themeColor="text1"/>
                <w:sz w:val="20"/>
                <w:szCs w:val="20"/>
                <w:lang w:val="en-US"/>
              </w:rPr>
              <w:lastRenderedPageBreak/>
              <w:t>Intelligence in metaverse applications and services. This document specifies four common capabilities of Generative Artificial Intelligence in metaverse applications and services and analyzes the description, assumption, service scenario. And it specifies the requirements of Generative Artificial Intelligence in metaverse applications and services.</w:t>
            </w:r>
          </w:p>
        </w:tc>
      </w:tr>
      <w:tr w:rsidR="00DF55B2" w14:paraId="28541358" w14:textId="77777777">
        <w:tc>
          <w:tcPr>
            <w:tcW w:w="570" w:type="dxa"/>
          </w:tcPr>
          <w:p w14:paraId="4514B0DD" w14:textId="77777777" w:rsidR="00DF55B2" w:rsidRDefault="00704D93">
            <w:pPr>
              <w:rPr>
                <w:color w:val="000000" w:themeColor="text1"/>
                <w:sz w:val="20"/>
                <w:szCs w:val="20"/>
                <w:lang w:val="en-US"/>
              </w:rPr>
            </w:pPr>
            <w:r>
              <w:rPr>
                <w:color w:val="000000" w:themeColor="text1"/>
                <w:sz w:val="20"/>
                <w:szCs w:val="20"/>
                <w:lang w:val="en-US"/>
              </w:rPr>
              <w:lastRenderedPageBreak/>
              <w:t>23</w:t>
            </w:r>
          </w:p>
        </w:tc>
        <w:tc>
          <w:tcPr>
            <w:tcW w:w="1271" w:type="dxa"/>
          </w:tcPr>
          <w:p w14:paraId="45D1F7A2"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2315EA87"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FGMV-23</w:t>
            </w:r>
          </w:p>
        </w:tc>
        <w:tc>
          <w:tcPr>
            <w:tcW w:w="1840" w:type="dxa"/>
          </w:tcPr>
          <w:p w14:paraId="1AD30D5E"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​Considering online and offline implications in efforts to build confidence and security in the metaverse</w:t>
            </w:r>
          </w:p>
        </w:tc>
        <w:tc>
          <w:tcPr>
            <w:tcW w:w="1276" w:type="dxa"/>
          </w:tcPr>
          <w:p w14:paraId="2DB49E33" w14:textId="77777777" w:rsidR="00DF55B2" w:rsidRDefault="00704D93">
            <w:pPr>
              <w:rPr>
                <w:color w:val="000000" w:themeColor="text1"/>
                <w:sz w:val="20"/>
                <w:szCs w:val="20"/>
                <w:lang w:val="en-US"/>
              </w:rPr>
            </w:pPr>
            <w:r>
              <w:rPr>
                <w:color w:val="000000" w:themeColor="text1"/>
                <w:sz w:val="20"/>
                <w:szCs w:val="20"/>
                <w:lang w:val="en-US"/>
              </w:rPr>
              <w:t>Agreed,</w:t>
            </w:r>
          </w:p>
          <w:p w14:paraId="0525D635"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17977444" w14:textId="77777777" w:rsidR="00DF55B2" w:rsidRDefault="00704D93">
            <w:pPr>
              <w:rPr>
                <w:color w:val="000000" w:themeColor="text1"/>
                <w:sz w:val="20"/>
                <w:szCs w:val="20"/>
                <w:lang w:val="en-US"/>
              </w:rPr>
            </w:pPr>
            <w:r>
              <w:rPr>
                <w:color w:val="000000" w:themeColor="text1"/>
                <w:sz w:val="20"/>
                <w:szCs w:val="20"/>
                <w:lang w:val="en-US"/>
              </w:rPr>
              <w:t>New frameworks on building confidence and security in the metaverse may be able to pre-empt negative outcomes by drawing on existing knowledge and trends around Trust and Safety, as well as digital inclusion and exclusion. Specifically, accounting for the broad spectrum of populations and related assets, actions, attitudes, relationships, and outcomes that is likely to characterize engagement with the metaverse. This Technical Report explores this further using the “User Confidence Framework” introduced in ITU FGMV-06 Technical Report on “Guidelines for consideration of ethical issues in standards that build confidence and security in the metaverse”.</w:t>
            </w:r>
          </w:p>
        </w:tc>
      </w:tr>
      <w:tr w:rsidR="00DF55B2" w14:paraId="63F67079" w14:textId="77777777">
        <w:tc>
          <w:tcPr>
            <w:tcW w:w="570" w:type="dxa"/>
          </w:tcPr>
          <w:p w14:paraId="3C76EB1D" w14:textId="77777777" w:rsidR="00DF55B2" w:rsidRDefault="00704D93">
            <w:pPr>
              <w:rPr>
                <w:color w:val="000000" w:themeColor="text1"/>
                <w:sz w:val="20"/>
                <w:szCs w:val="20"/>
                <w:lang w:val="en-US"/>
              </w:rPr>
            </w:pPr>
            <w:r>
              <w:rPr>
                <w:color w:val="000000" w:themeColor="text1"/>
                <w:sz w:val="20"/>
                <w:szCs w:val="20"/>
                <w:lang w:val="en-US"/>
              </w:rPr>
              <w:t>24</w:t>
            </w:r>
          </w:p>
        </w:tc>
        <w:tc>
          <w:tcPr>
            <w:tcW w:w="1271" w:type="dxa"/>
          </w:tcPr>
          <w:p w14:paraId="392690B3"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178A02B7"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FGMV-24​</w:t>
            </w:r>
          </w:p>
        </w:tc>
        <w:tc>
          <w:tcPr>
            <w:tcW w:w="1840" w:type="dxa"/>
          </w:tcPr>
          <w:p w14:paraId="2496D83C"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A framework for confidence in the metaverse​</w:t>
            </w:r>
          </w:p>
        </w:tc>
        <w:tc>
          <w:tcPr>
            <w:tcW w:w="1276" w:type="dxa"/>
          </w:tcPr>
          <w:p w14:paraId="49F240A6" w14:textId="77777777" w:rsidR="00DF55B2" w:rsidRDefault="00704D93">
            <w:pPr>
              <w:rPr>
                <w:color w:val="000000" w:themeColor="text1"/>
                <w:sz w:val="20"/>
                <w:szCs w:val="20"/>
                <w:lang w:val="en-US"/>
              </w:rPr>
            </w:pPr>
            <w:r>
              <w:rPr>
                <w:color w:val="000000" w:themeColor="text1"/>
                <w:sz w:val="20"/>
                <w:szCs w:val="20"/>
                <w:lang w:val="en-US"/>
              </w:rPr>
              <w:t>Agreed,</w:t>
            </w:r>
          </w:p>
          <w:p w14:paraId="6DA70BC0"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3C7AB0B9" w14:textId="77777777" w:rsidR="00DF55B2" w:rsidRDefault="00704D93">
            <w:pPr>
              <w:rPr>
                <w:color w:val="000000" w:themeColor="text1"/>
                <w:sz w:val="20"/>
                <w:szCs w:val="20"/>
                <w:lang w:val="en-US"/>
              </w:rPr>
            </w:pPr>
            <w:r>
              <w:rPr>
                <w:color w:val="000000" w:themeColor="text1"/>
                <w:sz w:val="20"/>
                <w:szCs w:val="20"/>
                <w:lang w:val="en-US"/>
              </w:rPr>
              <w:t>This Technical Report (also a product of FG-MV) outlines an approach to pre-standardization of confidence in the metaverse by:</w:t>
            </w:r>
          </w:p>
          <w:p w14:paraId="49DA794E" w14:textId="77777777" w:rsidR="00DF55B2" w:rsidRDefault="00704D93">
            <w:pPr>
              <w:rPr>
                <w:color w:val="000000" w:themeColor="text1"/>
                <w:sz w:val="20"/>
                <w:szCs w:val="20"/>
                <w:lang w:val="en-US"/>
              </w:rPr>
            </w:pPr>
            <w:r>
              <w:rPr>
                <w:color w:val="000000" w:themeColor="text1"/>
                <w:sz w:val="20"/>
                <w:szCs w:val="20"/>
                <w:lang w:val="en-US"/>
              </w:rPr>
              <w:t>1. Expanding the “User Confidence Framework” introduced in ITU’s FGMV-06: Technical Report on “Guidelines for consideration of ethical issues in standards that build confidence and security in the metaverse”, to include Security and Safety Dimensions in user confidence.</w:t>
            </w:r>
          </w:p>
          <w:p w14:paraId="5D6C85D8" w14:textId="77777777" w:rsidR="00DF55B2" w:rsidRDefault="00704D93">
            <w:pPr>
              <w:rPr>
                <w:color w:val="000000" w:themeColor="text1"/>
                <w:sz w:val="20"/>
                <w:szCs w:val="20"/>
                <w:lang w:val="en-US"/>
              </w:rPr>
            </w:pPr>
            <w:r>
              <w:rPr>
                <w:color w:val="000000" w:themeColor="text1"/>
                <w:sz w:val="20"/>
                <w:szCs w:val="20"/>
                <w:lang w:val="en-US"/>
              </w:rPr>
              <w:t>2. Developing a new framework for metaverse participation that defines new user centric terms related to metaverse use and non use as an approach to understanding user metaverse engagement.</w:t>
            </w:r>
          </w:p>
          <w:p w14:paraId="27578783" w14:textId="77777777" w:rsidR="00DF55B2" w:rsidRDefault="00704D93">
            <w:pPr>
              <w:rPr>
                <w:color w:val="000000" w:themeColor="text1"/>
                <w:sz w:val="20"/>
                <w:szCs w:val="20"/>
                <w:lang w:val="en-US"/>
              </w:rPr>
            </w:pPr>
            <w:r>
              <w:rPr>
                <w:color w:val="000000" w:themeColor="text1"/>
                <w:sz w:val="20"/>
                <w:szCs w:val="20"/>
                <w:lang w:val="en-US"/>
              </w:rPr>
              <w:t>3. Discussing the concept of personhood for metaverse contexts to contextualize user presence in the metaverse.</w:t>
            </w:r>
          </w:p>
        </w:tc>
      </w:tr>
      <w:tr w:rsidR="00DF55B2" w14:paraId="4BF80864" w14:textId="77777777">
        <w:tc>
          <w:tcPr>
            <w:tcW w:w="570" w:type="dxa"/>
          </w:tcPr>
          <w:p w14:paraId="0045C188" w14:textId="77777777" w:rsidR="00DF55B2" w:rsidRDefault="00704D93">
            <w:pPr>
              <w:rPr>
                <w:color w:val="000000" w:themeColor="text1"/>
                <w:sz w:val="20"/>
                <w:szCs w:val="20"/>
                <w:lang w:val="en-US"/>
              </w:rPr>
            </w:pPr>
            <w:r>
              <w:rPr>
                <w:color w:val="000000" w:themeColor="text1"/>
                <w:sz w:val="20"/>
                <w:szCs w:val="20"/>
                <w:lang w:val="en-US"/>
              </w:rPr>
              <w:t>25</w:t>
            </w:r>
          </w:p>
        </w:tc>
        <w:tc>
          <w:tcPr>
            <w:tcW w:w="1271" w:type="dxa"/>
          </w:tcPr>
          <w:p w14:paraId="0F1E1D48"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11560058"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FGMV-25​</w:t>
            </w:r>
          </w:p>
        </w:tc>
        <w:tc>
          <w:tcPr>
            <w:tcW w:w="1840" w:type="dxa"/>
          </w:tcPr>
          <w:p w14:paraId="2B57DFC2"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Near-term and long-term Implications for people in the metaverse</w:t>
            </w:r>
          </w:p>
        </w:tc>
        <w:tc>
          <w:tcPr>
            <w:tcW w:w="1276" w:type="dxa"/>
          </w:tcPr>
          <w:p w14:paraId="652FCC74" w14:textId="77777777" w:rsidR="00DF55B2" w:rsidRDefault="00704D93">
            <w:pPr>
              <w:rPr>
                <w:color w:val="000000" w:themeColor="text1"/>
                <w:sz w:val="20"/>
                <w:szCs w:val="20"/>
                <w:lang w:val="en-US"/>
              </w:rPr>
            </w:pPr>
            <w:r>
              <w:rPr>
                <w:color w:val="000000" w:themeColor="text1"/>
                <w:sz w:val="20"/>
                <w:szCs w:val="20"/>
                <w:lang w:val="en-US"/>
              </w:rPr>
              <w:t>Agreed,</w:t>
            </w:r>
          </w:p>
          <w:p w14:paraId="75C36C48"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651E06CE" w14:textId="77777777" w:rsidR="00DF55B2" w:rsidRDefault="00704D93">
            <w:pPr>
              <w:rPr>
                <w:color w:val="000000" w:themeColor="text1"/>
                <w:sz w:val="20"/>
                <w:szCs w:val="20"/>
                <w:lang w:val="en-US"/>
              </w:rPr>
            </w:pPr>
            <w:r>
              <w:rPr>
                <w:color w:val="000000" w:themeColor="text1"/>
                <w:sz w:val="20"/>
                <w:szCs w:val="20"/>
                <w:lang w:val="en-US"/>
              </w:rPr>
              <w:t>This Technical Report explores the near-term and long-term implications for people in the metaverse as a framework for understanding potential impacts and a guide for maximizing the benefits and minimizing associated risks.</w:t>
            </w:r>
          </w:p>
        </w:tc>
      </w:tr>
      <w:tr w:rsidR="00DF55B2" w14:paraId="5805C03F" w14:textId="77777777">
        <w:tc>
          <w:tcPr>
            <w:tcW w:w="570" w:type="dxa"/>
          </w:tcPr>
          <w:p w14:paraId="0566D254" w14:textId="77777777" w:rsidR="00DF55B2" w:rsidRDefault="00704D93">
            <w:pPr>
              <w:rPr>
                <w:color w:val="000000" w:themeColor="text1"/>
                <w:sz w:val="20"/>
                <w:szCs w:val="20"/>
                <w:lang w:val="en-US"/>
              </w:rPr>
            </w:pPr>
            <w:r>
              <w:rPr>
                <w:color w:val="000000" w:themeColor="text1"/>
                <w:sz w:val="20"/>
                <w:szCs w:val="20"/>
                <w:lang w:val="en-US"/>
              </w:rPr>
              <w:t>26</w:t>
            </w:r>
          </w:p>
        </w:tc>
        <w:tc>
          <w:tcPr>
            <w:tcW w:w="1271" w:type="dxa"/>
          </w:tcPr>
          <w:p w14:paraId="549F8681"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06F7E03A"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FGMV-26</w:t>
            </w:r>
          </w:p>
        </w:tc>
        <w:tc>
          <w:tcPr>
            <w:tcW w:w="1840" w:type="dxa"/>
          </w:tcPr>
          <w:p w14:paraId="6E61D0FB"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Requirements for communication between human-avatar languages in the metaverse​</w:t>
            </w:r>
          </w:p>
        </w:tc>
        <w:tc>
          <w:tcPr>
            <w:tcW w:w="1276" w:type="dxa"/>
          </w:tcPr>
          <w:p w14:paraId="399B2B10" w14:textId="77777777" w:rsidR="00DF55B2" w:rsidRDefault="00704D93">
            <w:pPr>
              <w:rPr>
                <w:color w:val="000000" w:themeColor="text1"/>
                <w:sz w:val="20"/>
                <w:szCs w:val="20"/>
                <w:lang w:val="en-US"/>
              </w:rPr>
            </w:pPr>
            <w:r>
              <w:rPr>
                <w:color w:val="000000" w:themeColor="text1"/>
                <w:sz w:val="20"/>
                <w:szCs w:val="20"/>
                <w:lang w:val="en-US"/>
              </w:rPr>
              <w:t>Agreed,</w:t>
            </w:r>
          </w:p>
          <w:p w14:paraId="10CFE4A6"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128373FF" w14:textId="77777777" w:rsidR="00DF55B2" w:rsidRDefault="00704D93">
            <w:pPr>
              <w:rPr>
                <w:color w:val="000000" w:themeColor="text1"/>
                <w:sz w:val="20"/>
                <w:szCs w:val="20"/>
                <w:lang w:val="en-US"/>
              </w:rPr>
            </w:pPr>
            <w:r>
              <w:rPr>
                <w:color w:val="000000" w:themeColor="text1"/>
                <w:sz w:val="20"/>
                <w:szCs w:val="20"/>
                <w:lang w:val="en-US"/>
              </w:rPr>
              <w:t>This Technical Specification provides requirements on how to develop the architecture for communication between humans, digital humans/avatars, and systems in the metaverse. This document considers language modalities, language writing systems, AI language communication technologies, co-linguistic communication, and language prevalence in terms of use. It provides guidance on a wide array of communication workflows for the metaverse. The document also makes recommendations on how communication modalities can be considered in the design of any scenario.</w:t>
            </w:r>
          </w:p>
        </w:tc>
      </w:tr>
      <w:tr w:rsidR="00DF55B2" w14:paraId="23B74007" w14:textId="77777777">
        <w:tc>
          <w:tcPr>
            <w:tcW w:w="570" w:type="dxa"/>
          </w:tcPr>
          <w:p w14:paraId="6FAD1D15" w14:textId="77777777" w:rsidR="00DF55B2" w:rsidRDefault="00704D93">
            <w:pPr>
              <w:rPr>
                <w:color w:val="000000" w:themeColor="text1"/>
                <w:sz w:val="20"/>
                <w:szCs w:val="20"/>
                <w:lang w:val="en-US"/>
              </w:rPr>
            </w:pPr>
            <w:r>
              <w:rPr>
                <w:color w:val="000000" w:themeColor="text1"/>
                <w:sz w:val="20"/>
                <w:szCs w:val="20"/>
                <w:lang w:val="en-US"/>
              </w:rPr>
              <w:t>27</w:t>
            </w:r>
          </w:p>
        </w:tc>
        <w:tc>
          <w:tcPr>
            <w:tcW w:w="1271" w:type="dxa"/>
          </w:tcPr>
          <w:p w14:paraId="5F41938E" w14:textId="77777777" w:rsidR="00DF55B2" w:rsidRDefault="00704D93">
            <w:pPr>
              <w:rPr>
                <w:color w:val="000000" w:themeColor="text1"/>
                <w:sz w:val="20"/>
                <w:szCs w:val="20"/>
                <w:shd w:val="clear" w:color="auto" w:fill="FFFFFF"/>
              </w:rPr>
            </w:pPr>
            <w:r>
              <w:rPr>
                <w:color w:val="000000" w:themeColor="text1"/>
                <w:sz w:val="20"/>
                <w:szCs w:val="20"/>
                <w:shd w:val="clear" w:color="auto" w:fill="FFFFFF"/>
                <w:lang w:val="en-US"/>
              </w:rPr>
              <w:t>ITU-T</w:t>
            </w:r>
          </w:p>
          <w:p w14:paraId="71C6A233"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FGMV-27</w:t>
            </w:r>
          </w:p>
        </w:tc>
        <w:tc>
          <w:tcPr>
            <w:tcW w:w="1840" w:type="dxa"/>
          </w:tcPr>
          <w:p w14:paraId="6C4962C7"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 xml:space="preserve">Guidelines for metaverse </w:t>
            </w:r>
            <w:r>
              <w:rPr>
                <w:color w:val="000000" w:themeColor="text1"/>
                <w:sz w:val="20"/>
                <w:szCs w:val="20"/>
                <w:shd w:val="clear" w:color="auto" w:fill="FFFFFF"/>
                <w:lang w:val="en-US"/>
              </w:rPr>
              <w:lastRenderedPageBreak/>
              <w:t>application in power system​</w:t>
            </w:r>
          </w:p>
        </w:tc>
        <w:tc>
          <w:tcPr>
            <w:tcW w:w="1276" w:type="dxa"/>
          </w:tcPr>
          <w:p w14:paraId="565F6DFE" w14:textId="77777777" w:rsidR="00DF55B2" w:rsidRDefault="00704D93">
            <w:pPr>
              <w:rPr>
                <w:color w:val="000000" w:themeColor="text1"/>
                <w:sz w:val="20"/>
                <w:szCs w:val="20"/>
                <w:lang w:val="en-US"/>
              </w:rPr>
            </w:pPr>
            <w:r>
              <w:rPr>
                <w:color w:val="000000" w:themeColor="text1"/>
                <w:sz w:val="20"/>
                <w:szCs w:val="20"/>
                <w:lang w:val="en-US"/>
              </w:rPr>
              <w:lastRenderedPageBreak/>
              <w:t>Agreed,</w:t>
            </w:r>
          </w:p>
          <w:p w14:paraId="260B934D"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251EA546" w14:textId="77777777" w:rsidR="00DF55B2" w:rsidRDefault="00704D93">
            <w:pPr>
              <w:rPr>
                <w:color w:val="000000" w:themeColor="text1"/>
                <w:sz w:val="20"/>
                <w:szCs w:val="20"/>
                <w:lang w:val="en-US"/>
              </w:rPr>
            </w:pPr>
            <w:r>
              <w:rPr>
                <w:color w:val="000000" w:themeColor="text1"/>
                <w:sz w:val="20"/>
                <w:szCs w:val="20"/>
                <w:lang w:val="en-US"/>
              </w:rPr>
              <w:t xml:space="preserve">This Technical Report provides the connotation, mapping mode, and implementation logic of the power metaverse, provides the application </w:t>
            </w:r>
            <w:r>
              <w:rPr>
                <w:color w:val="000000" w:themeColor="text1"/>
                <w:sz w:val="20"/>
                <w:szCs w:val="20"/>
                <w:lang w:val="en-US"/>
              </w:rPr>
              <w:lastRenderedPageBreak/>
              <w:t>framework and key technical details. For the convenience of understanding and use, it also lists three typical application scenarios aligned with power system business needs. This Technical Report provides reference for decision-making, technical research and application practice in power metaverse.</w:t>
            </w:r>
          </w:p>
        </w:tc>
      </w:tr>
      <w:tr w:rsidR="00DF55B2" w14:paraId="0C5BB210" w14:textId="77777777">
        <w:tc>
          <w:tcPr>
            <w:tcW w:w="570" w:type="dxa"/>
          </w:tcPr>
          <w:p w14:paraId="48201EF7" w14:textId="77777777" w:rsidR="00DF55B2" w:rsidRDefault="00704D93">
            <w:pPr>
              <w:rPr>
                <w:color w:val="000000" w:themeColor="text1"/>
                <w:sz w:val="20"/>
                <w:szCs w:val="20"/>
                <w:lang w:val="en-US"/>
              </w:rPr>
            </w:pPr>
            <w:r>
              <w:rPr>
                <w:color w:val="000000" w:themeColor="text1"/>
                <w:sz w:val="20"/>
                <w:szCs w:val="20"/>
                <w:lang w:val="en-US"/>
              </w:rPr>
              <w:lastRenderedPageBreak/>
              <w:t>28</w:t>
            </w:r>
          </w:p>
        </w:tc>
        <w:tc>
          <w:tcPr>
            <w:tcW w:w="1271" w:type="dxa"/>
          </w:tcPr>
          <w:p w14:paraId="1350BC14"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1B4C16A5"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FGMV-28</w:t>
            </w:r>
          </w:p>
        </w:tc>
        <w:tc>
          <w:tcPr>
            <w:tcW w:w="1840" w:type="dxa"/>
          </w:tcPr>
          <w:p w14:paraId="510D8771"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Requirements for the metaverse based on digital twins enabling integration of virtual and physical worlds</w:t>
            </w:r>
          </w:p>
        </w:tc>
        <w:tc>
          <w:tcPr>
            <w:tcW w:w="1276" w:type="dxa"/>
          </w:tcPr>
          <w:p w14:paraId="0F11C92E" w14:textId="77777777" w:rsidR="00DF55B2" w:rsidRDefault="00704D93">
            <w:pPr>
              <w:rPr>
                <w:color w:val="000000" w:themeColor="text1"/>
                <w:sz w:val="20"/>
                <w:szCs w:val="20"/>
                <w:lang w:val="en-US"/>
              </w:rPr>
            </w:pPr>
            <w:r>
              <w:rPr>
                <w:color w:val="000000" w:themeColor="text1"/>
                <w:sz w:val="20"/>
                <w:szCs w:val="20"/>
                <w:lang w:val="en-US"/>
              </w:rPr>
              <w:t>Agreed,</w:t>
            </w:r>
          </w:p>
          <w:p w14:paraId="385F95FF"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460A1886" w14:textId="77777777" w:rsidR="00DF55B2" w:rsidRDefault="00704D93">
            <w:pPr>
              <w:rPr>
                <w:color w:val="000000" w:themeColor="text1"/>
                <w:sz w:val="20"/>
                <w:szCs w:val="20"/>
                <w:lang w:val="en-US"/>
              </w:rPr>
            </w:pPr>
            <w:r>
              <w:rPr>
                <w:color w:val="000000" w:themeColor="text1"/>
                <w:sz w:val="20"/>
                <w:szCs w:val="20"/>
                <w:lang w:val="en-US"/>
              </w:rPr>
              <w:t>This Technical Specification provides service scenarios and requirements for the digital twin-based integration of virtual and physical worlds. Three categories of use cases and their service scenarios are introduced, and requirements with respect to digital twin, metaverse, and system interaction are defined.</w:t>
            </w:r>
          </w:p>
        </w:tc>
      </w:tr>
      <w:tr w:rsidR="00DF55B2" w14:paraId="2F4DF2F0" w14:textId="77777777">
        <w:tc>
          <w:tcPr>
            <w:tcW w:w="570" w:type="dxa"/>
          </w:tcPr>
          <w:p w14:paraId="34CABA13" w14:textId="77777777" w:rsidR="00DF55B2" w:rsidRDefault="00704D93">
            <w:pPr>
              <w:rPr>
                <w:color w:val="000000" w:themeColor="text1"/>
                <w:sz w:val="20"/>
                <w:szCs w:val="20"/>
                <w:lang w:val="en-US"/>
              </w:rPr>
            </w:pPr>
            <w:r>
              <w:rPr>
                <w:color w:val="000000" w:themeColor="text1"/>
                <w:sz w:val="20"/>
                <w:szCs w:val="20"/>
                <w:lang w:val="en-US"/>
              </w:rPr>
              <w:t>29</w:t>
            </w:r>
          </w:p>
        </w:tc>
        <w:tc>
          <w:tcPr>
            <w:tcW w:w="1271" w:type="dxa"/>
          </w:tcPr>
          <w:p w14:paraId="60512F76"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ITU-T</w:t>
            </w:r>
          </w:p>
          <w:p w14:paraId="2596A36D" w14:textId="77777777" w:rsidR="00DF55B2" w:rsidRDefault="00704D93">
            <w:pPr>
              <w:rPr>
                <w:color w:val="000000" w:themeColor="text1"/>
                <w:sz w:val="20"/>
                <w:szCs w:val="20"/>
                <w:shd w:val="clear" w:color="auto" w:fill="FFFFFF"/>
              </w:rPr>
            </w:pPr>
            <w:r>
              <w:rPr>
                <w:color w:val="000000" w:themeColor="text1"/>
                <w:sz w:val="20"/>
                <w:szCs w:val="20"/>
                <w:shd w:val="clear" w:color="auto" w:fill="FFFFFF"/>
              </w:rPr>
              <w:t>FGMV-29</w:t>
            </w:r>
          </w:p>
        </w:tc>
        <w:tc>
          <w:tcPr>
            <w:tcW w:w="1840" w:type="dxa"/>
          </w:tcPr>
          <w:p w14:paraId="1F08531C" w14:textId="77777777" w:rsidR="00DF55B2" w:rsidRDefault="00704D93">
            <w:pPr>
              <w:rPr>
                <w:color w:val="000000" w:themeColor="text1"/>
                <w:sz w:val="20"/>
                <w:szCs w:val="20"/>
                <w:shd w:val="clear" w:color="auto" w:fill="FFFFFF"/>
                <w:lang w:val="en-US"/>
              </w:rPr>
            </w:pPr>
            <w:r>
              <w:rPr>
                <w:color w:val="000000" w:themeColor="text1"/>
                <w:sz w:val="20"/>
                <w:szCs w:val="20"/>
                <w:shd w:val="clear" w:color="auto" w:fill="FFFFFF"/>
                <w:lang w:val="en-US"/>
              </w:rPr>
              <w:t>Reference model for the metaverse based on a digital twin enabling integration of virtual and physical worlds</w:t>
            </w:r>
          </w:p>
        </w:tc>
        <w:tc>
          <w:tcPr>
            <w:tcW w:w="1276" w:type="dxa"/>
          </w:tcPr>
          <w:p w14:paraId="1D6909BA" w14:textId="77777777" w:rsidR="00DF55B2" w:rsidRDefault="00704D93">
            <w:pPr>
              <w:rPr>
                <w:color w:val="000000" w:themeColor="text1"/>
                <w:sz w:val="20"/>
                <w:szCs w:val="20"/>
                <w:lang w:val="en-US"/>
              </w:rPr>
            </w:pPr>
            <w:r>
              <w:rPr>
                <w:color w:val="000000" w:themeColor="text1"/>
                <w:sz w:val="20"/>
                <w:szCs w:val="20"/>
                <w:lang w:val="en-US"/>
              </w:rPr>
              <w:t>Agreed,</w:t>
            </w:r>
          </w:p>
          <w:p w14:paraId="61A6F305" w14:textId="77777777" w:rsidR="00DF55B2" w:rsidRDefault="00704D93">
            <w:pPr>
              <w:rPr>
                <w:color w:val="000000" w:themeColor="text1"/>
                <w:sz w:val="20"/>
                <w:szCs w:val="20"/>
                <w:lang w:val="en-US"/>
              </w:rPr>
            </w:pPr>
            <w:r>
              <w:rPr>
                <w:color w:val="000000" w:themeColor="text1"/>
                <w:sz w:val="20"/>
                <w:szCs w:val="20"/>
                <w:lang w:val="en-US"/>
              </w:rPr>
              <w:t>In force</w:t>
            </w:r>
          </w:p>
        </w:tc>
        <w:tc>
          <w:tcPr>
            <w:tcW w:w="4388" w:type="dxa"/>
          </w:tcPr>
          <w:p w14:paraId="5CC5E779" w14:textId="77777777" w:rsidR="00DF55B2" w:rsidRDefault="00704D93">
            <w:pPr>
              <w:rPr>
                <w:color w:val="000000" w:themeColor="text1"/>
                <w:sz w:val="20"/>
                <w:szCs w:val="20"/>
                <w:lang w:val="en-US"/>
              </w:rPr>
            </w:pPr>
            <w:r>
              <w:rPr>
                <w:color w:val="000000" w:themeColor="text1"/>
                <w:sz w:val="20"/>
                <w:szCs w:val="20"/>
                <w:lang w:val="en-US"/>
              </w:rPr>
              <w:t>This Technical Specification provides the reference model for the metaverse based on digital twins enabling the integration of virtual and physical worlds. In order to realize this integration of the virtual and physical worlds, a reference model for interaction is necessary, with digital twins serving as a key component of this model. This Technical Specification aims to establish the reference model for the metaverse based on digital twins, enabling the seamless integration of virtual and physical worlds.</w:t>
            </w:r>
          </w:p>
        </w:tc>
      </w:tr>
    </w:tbl>
    <w:p w14:paraId="5C6D9CD4" w14:textId="77777777" w:rsidR="00DF55B2" w:rsidRDefault="00704D93">
      <w:pPr>
        <w:jc w:val="both"/>
        <w:rPr>
          <w:lang w:val="en-US"/>
        </w:rPr>
      </w:pPr>
      <w:r>
        <w:rPr>
          <w:lang w:val="en-US"/>
        </w:rPr>
        <w:t xml:space="preserve">It’s important to note that during TSAG meetings, which held in Geneva, 22 - 26 January 2024 were approved some </w:t>
      </w:r>
      <w:r>
        <w:t>deliverables received by the FG-MV</w:t>
      </w:r>
      <w:r>
        <w:rPr>
          <w:lang w:val="en-US"/>
        </w:rPr>
        <w:t xml:space="preserve">. Also for SG11 provided </w:t>
      </w:r>
      <w:r>
        <w:t>Technical Specification on Service scenarios and high-level requirements for metaverse cross-platform interoperability</w:t>
      </w:r>
      <w:r>
        <w:rPr>
          <w:lang w:val="en-US"/>
        </w:rPr>
        <w:t xml:space="preserve"> and mentioned, that it’s necessary to consider the interoperability issues for metaverses/multiverse. </w:t>
      </w:r>
    </w:p>
    <w:p w14:paraId="74266155" w14:textId="77777777" w:rsidR="00DF55B2" w:rsidRDefault="00704D93">
      <w:pPr>
        <w:jc w:val="both"/>
        <w:rPr>
          <w:lang w:val="en-US"/>
        </w:rPr>
      </w:pPr>
      <w:r>
        <w:rPr>
          <w:lang w:val="en-US"/>
        </w:rPr>
        <w:t>Considering the new Resolution of Metaverse (WTSA-24, New Delhi, India), paragraph “resolves” defined following: to carry out standardization work to ensure that the various telecommunication/ICT components of metaverse can be effectively integrated and interoperated, including architectures, requirements, protocols, systems and services;</w:t>
      </w:r>
    </w:p>
    <w:p w14:paraId="7F70DE6E" w14:textId="77777777" w:rsidR="00DF55B2" w:rsidRDefault="00704D93">
      <w:pPr>
        <w:jc w:val="both"/>
        <w:rPr>
          <w:color w:val="000000" w:themeColor="text1"/>
          <w:szCs w:val="22"/>
          <w:lang w:val="en-US"/>
        </w:rPr>
      </w:pPr>
      <w:r>
        <w:rPr>
          <w:lang w:val="en-US"/>
        </w:rPr>
        <w:t>T</w:t>
      </w:r>
      <w:r>
        <w:rPr>
          <w:color w:val="000000" w:themeColor="text1"/>
          <w:szCs w:val="22"/>
        </w:rPr>
        <w:t>here is a need to create an open and seamless metaverse interoperable environments between metaverse platforms that fosters innovation and collaboration. This deliverable aims to identify the various intended service scenarios and high-level requirements of four types of metaverse cross-platform interoperability: avatar interoperability, asset interoperability, content interoperability, identity interoperability</w:t>
      </w:r>
      <w:r>
        <w:rPr>
          <w:color w:val="000000" w:themeColor="text1"/>
          <w:szCs w:val="22"/>
          <w:lang w:val="en-US"/>
        </w:rPr>
        <w:t xml:space="preserve"> [b-</w:t>
      </w:r>
      <w:r>
        <w:t>TSAG</w:t>
      </w:r>
      <w:r>
        <w:rPr>
          <w:color w:val="000000" w:themeColor="text1"/>
          <w:szCs w:val="22"/>
          <w:lang w:val="en-US"/>
        </w:rPr>
        <w:t>]</w:t>
      </w:r>
      <w:r>
        <w:rPr>
          <w:color w:val="000000" w:themeColor="text1"/>
          <w:szCs w:val="22"/>
        </w:rPr>
        <w:t>.</w:t>
      </w:r>
      <w:r>
        <w:rPr>
          <w:color w:val="000000" w:themeColor="text1"/>
          <w:szCs w:val="22"/>
          <w:lang w:val="en-US"/>
        </w:rPr>
        <w:t xml:space="preserve"> Due that, this contribution aimed to consider above problems and suggest to start a new work item on protocol map for metaverse. </w:t>
      </w:r>
    </w:p>
    <w:p w14:paraId="2812192C" w14:textId="77777777" w:rsidR="00DF55B2" w:rsidRDefault="00704D93">
      <w:pPr>
        <w:jc w:val="both"/>
        <w:rPr>
          <w:color w:val="000000" w:themeColor="text1"/>
          <w:szCs w:val="22"/>
          <w:lang w:val="en-US"/>
        </w:rPr>
      </w:pPr>
      <w:r>
        <w:rPr>
          <w:color w:val="000000" w:themeColor="text1"/>
          <w:szCs w:val="22"/>
          <w:lang w:val="en-US"/>
        </w:rPr>
        <w:t>During the last Q6/11 meeting (Geneva, 1-10 May 2024), this contribution (Q.PMV) was considered as C470 (sNWi), C471(baseline text). It was solved to put on the living list and sent liaison statement (TD1067) to TSAG with requests TSAG view on C470, C471, that noted in Working Party 2/11 Report (R-25).</w:t>
      </w:r>
    </w:p>
    <w:p w14:paraId="595C8686" w14:textId="77777777" w:rsidR="00DF55B2" w:rsidRDefault="00704D93">
      <w:pPr>
        <w:numPr>
          <w:ilvl w:val="0"/>
          <w:numId w:val="1"/>
        </w:numPr>
        <w:tabs>
          <w:tab w:val="left" w:pos="794"/>
          <w:tab w:val="left" w:pos="1191"/>
          <w:tab w:val="left" w:pos="1588"/>
          <w:tab w:val="left" w:pos="1985"/>
        </w:tabs>
        <w:rPr>
          <w:b/>
        </w:rPr>
      </w:pPr>
      <w:bookmarkStart w:id="10" w:name="_heading=h.2et92p0" w:colFirst="0" w:colLast="0"/>
      <w:bookmarkEnd w:id="10"/>
      <w:r>
        <w:rPr>
          <w:b/>
        </w:rPr>
        <w:t>Proposal</w:t>
      </w:r>
    </w:p>
    <w:p w14:paraId="4DA19ED7" w14:textId="77777777" w:rsidR="00DF55B2" w:rsidRDefault="00704D93">
      <w:pPr>
        <w:jc w:val="both"/>
      </w:pPr>
      <w:r>
        <w:t>Taking into consideration the mentioned above, we propose to initiate a new work item on</w:t>
      </w:r>
      <w:r>
        <w:rPr>
          <w:lang w:val="en-US"/>
        </w:rPr>
        <w:t xml:space="preserve"> protocol’s</w:t>
      </w:r>
      <w:r>
        <w:rPr>
          <w:color w:val="000000" w:themeColor="text1"/>
          <w:szCs w:val="22"/>
          <w:lang w:val="en-US"/>
        </w:rPr>
        <w:t xml:space="preserve"> map for metaverse</w:t>
      </w:r>
      <w:r>
        <w:t>.</w:t>
      </w:r>
    </w:p>
    <w:p w14:paraId="4C5787FB" w14:textId="77777777" w:rsidR="00DF55B2" w:rsidRDefault="00704D93">
      <w:pPr>
        <w:numPr>
          <w:ilvl w:val="0"/>
          <w:numId w:val="1"/>
        </w:numPr>
        <w:tabs>
          <w:tab w:val="left" w:pos="794"/>
          <w:tab w:val="left" w:pos="1191"/>
          <w:tab w:val="left" w:pos="1588"/>
          <w:tab w:val="left" w:pos="1985"/>
        </w:tabs>
        <w:rPr>
          <w:b/>
        </w:rPr>
      </w:pPr>
      <w:r>
        <w:rPr>
          <w:b/>
        </w:rPr>
        <w:t>Bibliography</w:t>
      </w:r>
    </w:p>
    <w:p w14:paraId="550874E9" w14:textId="77777777" w:rsidR="00DF55B2" w:rsidRDefault="00704D93">
      <w:pPr>
        <w:spacing w:after="120"/>
        <w:jc w:val="both"/>
        <w:rPr>
          <w:lang w:val="en-US"/>
        </w:rPr>
      </w:pPr>
      <w:r>
        <w:t>[TSAG-LS35]</w:t>
      </w:r>
      <w:r>
        <w:rPr>
          <w:lang w:val="en-US"/>
        </w:rPr>
        <w:tab/>
      </w:r>
      <w:r>
        <w:rPr>
          <w:lang w:val="en-US"/>
        </w:rPr>
        <w:tab/>
      </w:r>
      <w:r>
        <w:t>TSAG-LS35</w:t>
      </w:r>
      <w:r>
        <w:rPr>
          <w:lang w:val="en-US"/>
        </w:rPr>
        <w:t xml:space="preserve">. </w:t>
      </w:r>
      <w:r>
        <w:t xml:space="preserve">LS/o on metaverse </w:t>
      </w:r>
      <w:r>
        <w:rPr>
          <w:lang w:val="en-US"/>
        </w:rPr>
        <w:t>t</w:t>
      </w:r>
      <w:r>
        <w:t>o all ITU-T SGs</w:t>
      </w:r>
      <w:r>
        <w:rPr>
          <w:lang w:val="en-US"/>
        </w:rPr>
        <w:t xml:space="preserve">. TSAG meeting (Geneva, </w:t>
      </w:r>
      <w:r>
        <w:rPr>
          <w:lang w:val="en-US"/>
        </w:rPr>
        <w:tab/>
      </w:r>
      <w:r>
        <w:rPr>
          <w:lang w:val="en-US"/>
        </w:rPr>
        <w:tab/>
      </w:r>
      <w:r>
        <w:rPr>
          <w:lang w:val="en-US"/>
        </w:rPr>
        <w:tab/>
        <w:t>26 January 2024)</w:t>
      </w:r>
    </w:p>
    <w:p w14:paraId="4079E87C" w14:textId="77777777" w:rsidR="00DF55B2" w:rsidRDefault="00704D93">
      <w:pPr>
        <w:keepNext/>
        <w:keepLines/>
        <w:pageBreakBefore/>
        <w:tabs>
          <w:tab w:val="left" w:pos="1134"/>
          <w:tab w:val="left" w:pos="1871"/>
          <w:tab w:val="left" w:pos="2268"/>
        </w:tabs>
        <w:spacing w:before="360" w:after="240"/>
        <w:jc w:val="center"/>
        <w:rPr>
          <w:rFonts w:eastAsia="Times New Roman"/>
          <w:b/>
          <w:color w:val="000000"/>
          <w:lang w:val="en-US"/>
        </w:rPr>
      </w:pPr>
      <w:r>
        <w:rPr>
          <w:rFonts w:eastAsia="Times New Roman"/>
          <w:b/>
          <w:color w:val="000000"/>
        </w:rPr>
        <w:lastRenderedPageBreak/>
        <w:t>Annex 1</w:t>
      </w:r>
      <w:r>
        <w:rPr>
          <w:rFonts w:eastAsia="Times New Roman"/>
          <w:b/>
          <w:color w:val="000000"/>
        </w:rPr>
        <w:br/>
        <w:t xml:space="preserve">A.1 justification for proposed draft new Recommendation </w:t>
      </w:r>
      <w:r>
        <w:rPr>
          <w:b/>
        </w:rPr>
        <w:t>Q.</w:t>
      </w:r>
      <w:r>
        <w:rPr>
          <w:b/>
          <w:lang w:val="en-US"/>
        </w:rPr>
        <w:t>PMV</w:t>
      </w:r>
    </w:p>
    <w:tbl>
      <w:tblPr>
        <w:tblStyle w:val="Style93"/>
        <w:tblW w:w="101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5"/>
        <w:gridCol w:w="1170"/>
        <w:gridCol w:w="4260"/>
        <w:gridCol w:w="1665"/>
        <w:gridCol w:w="1845"/>
      </w:tblGrid>
      <w:tr w:rsidR="00DF55B2" w14:paraId="153B3FCE" w14:textId="77777777">
        <w:tc>
          <w:tcPr>
            <w:tcW w:w="1245" w:type="dxa"/>
            <w:tcBorders>
              <w:top w:val="single" w:sz="4" w:space="0" w:color="000000"/>
              <w:left w:val="single" w:sz="4" w:space="0" w:color="000000"/>
              <w:bottom w:val="single" w:sz="4" w:space="0" w:color="000000"/>
              <w:right w:val="single" w:sz="4" w:space="0" w:color="000000"/>
            </w:tcBorders>
          </w:tcPr>
          <w:p w14:paraId="1FD8AEB9"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Question:</w:t>
            </w:r>
          </w:p>
        </w:tc>
        <w:tc>
          <w:tcPr>
            <w:tcW w:w="1170" w:type="dxa"/>
            <w:tcBorders>
              <w:top w:val="single" w:sz="4" w:space="0" w:color="000000"/>
              <w:left w:val="single" w:sz="4" w:space="0" w:color="000000"/>
              <w:bottom w:val="single" w:sz="4" w:space="0" w:color="000000"/>
              <w:right w:val="single" w:sz="4" w:space="0" w:color="000000"/>
            </w:tcBorders>
          </w:tcPr>
          <w:p w14:paraId="56B3A23B"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rPr>
                <w:lang w:val="en-US"/>
              </w:rPr>
              <w:t>6</w:t>
            </w:r>
            <w:r>
              <w:t>/11</w:t>
            </w:r>
          </w:p>
        </w:tc>
        <w:tc>
          <w:tcPr>
            <w:tcW w:w="4260" w:type="dxa"/>
            <w:tcBorders>
              <w:top w:val="single" w:sz="4" w:space="0" w:color="000000"/>
              <w:left w:val="single" w:sz="4" w:space="0" w:color="000000"/>
              <w:bottom w:val="single" w:sz="4" w:space="0" w:color="000000"/>
              <w:right w:val="single" w:sz="4" w:space="0" w:color="000000"/>
            </w:tcBorders>
          </w:tcPr>
          <w:p w14:paraId="4463A606"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Proposed new ITU-T Recommendation</w:t>
            </w:r>
          </w:p>
        </w:tc>
        <w:tc>
          <w:tcPr>
            <w:tcW w:w="3510" w:type="dxa"/>
            <w:gridSpan w:val="2"/>
            <w:tcBorders>
              <w:top w:val="single" w:sz="4" w:space="0" w:color="000000"/>
              <w:left w:val="single" w:sz="4" w:space="0" w:color="000000"/>
              <w:bottom w:val="single" w:sz="4" w:space="0" w:color="000000"/>
              <w:right w:val="single" w:sz="4" w:space="0" w:color="000000"/>
            </w:tcBorders>
          </w:tcPr>
          <w:p w14:paraId="3DE4FFEF"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rPr>
                <w:rFonts w:hint="eastAsia"/>
              </w:rPr>
              <w:t>Geneva, 1</w:t>
            </w:r>
            <w:r>
              <w:rPr>
                <w:lang w:val="en-US"/>
              </w:rPr>
              <w:t>9</w:t>
            </w:r>
            <w:r>
              <w:rPr>
                <w:rFonts w:hint="eastAsia"/>
              </w:rPr>
              <w:t>-</w:t>
            </w:r>
            <w:r>
              <w:rPr>
                <w:lang w:val="en-US"/>
              </w:rPr>
              <w:t>28</w:t>
            </w:r>
            <w:r>
              <w:rPr>
                <w:rFonts w:hint="eastAsia"/>
              </w:rPr>
              <w:t xml:space="preserve"> </w:t>
            </w:r>
            <w:r>
              <w:rPr>
                <w:lang w:val="en-US"/>
              </w:rPr>
              <w:t>February</w:t>
            </w:r>
            <w:r>
              <w:rPr>
                <w:lang w:val="ru-RU"/>
              </w:rPr>
              <w:t xml:space="preserve"> </w:t>
            </w:r>
            <w:r>
              <w:rPr>
                <w:rFonts w:hint="eastAsia"/>
              </w:rPr>
              <w:t>202</w:t>
            </w:r>
            <w:r>
              <w:rPr>
                <w:lang w:val="en-US"/>
              </w:rPr>
              <w:t>5</w:t>
            </w:r>
          </w:p>
        </w:tc>
      </w:tr>
      <w:tr w:rsidR="00DF55B2" w14:paraId="2DFA9A69" w14:textId="77777777">
        <w:trPr>
          <w:trHeight w:val="334"/>
        </w:trPr>
        <w:tc>
          <w:tcPr>
            <w:tcW w:w="1245" w:type="dxa"/>
            <w:tcBorders>
              <w:top w:val="single" w:sz="4" w:space="0" w:color="000000"/>
              <w:left w:val="single" w:sz="4" w:space="0" w:color="000000"/>
              <w:bottom w:val="single" w:sz="4" w:space="0" w:color="000000"/>
              <w:right w:val="single" w:sz="4" w:space="0" w:color="000000"/>
            </w:tcBorders>
          </w:tcPr>
          <w:p w14:paraId="1D0B7C5B"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t>Reference and title:</w:t>
            </w:r>
          </w:p>
        </w:tc>
        <w:tc>
          <w:tcPr>
            <w:tcW w:w="8940" w:type="dxa"/>
            <w:gridSpan w:val="4"/>
            <w:tcBorders>
              <w:top w:val="single" w:sz="4" w:space="0" w:color="000000"/>
              <w:left w:val="single" w:sz="4" w:space="0" w:color="000000"/>
              <w:bottom w:val="single" w:sz="4" w:space="0" w:color="000000"/>
              <w:right w:val="single" w:sz="4" w:space="0" w:color="000000"/>
            </w:tcBorders>
          </w:tcPr>
          <w:p w14:paraId="5CAE8394"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rPr>
                <w:sz w:val="22"/>
                <w:szCs w:val="22"/>
                <w:lang w:val="en-US"/>
              </w:rPr>
              <w:t xml:space="preserve">ITU-T </w:t>
            </w:r>
            <w:r>
              <w:rPr>
                <w:sz w:val="22"/>
                <w:szCs w:val="22"/>
              </w:rPr>
              <w:t>Q.PMV “Protocol map for metaverse”</w:t>
            </w:r>
          </w:p>
        </w:tc>
      </w:tr>
      <w:tr w:rsidR="00DF55B2" w14:paraId="50487409" w14:textId="77777777">
        <w:trPr>
          <w:trHeight w:val="484"/>
        </w:trPr>
        <w:tc>
          <w:tcPr>
            <w:tcW w:w="1245" w:type="dxa"/>
            <w:tcBorders>
              <w:top w:val="single" w:sz="4" w:space="0" w:color="000000"/>
              <w:left w:val="single" w:sz="4" w:space="0" w:color="000000"/>
              <w:bottom w:val="single" w:sz="4" w:space="0" w:color="000000"/>
              <w:right w:val="single" w:sz="4" w:space="0" w:color="000000"/>
            </w:tcBorders>
          </w:tcPr>
          <w:p w14:paraId="0202793A"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Base text:</w:t>
            </w:r>
          </w:p>
        </w:tc>
        <w:tc>
          <w:tcPr>
            <w:tcW w:w="5430" w:type="dxa"/>
            <w:gridSpan w:val="2"/>
            <w:tcBorders>
              <w:top w:val="single" w:sz="4" w:space="0" w:color="000000"/>
              <w:left w:val="single" w:sz="4" w:space="0" w:color="000000"/>
              <w:bottom w:val="single" w:sz="4" w:space="0" w:color="000000"/>
              <w:right w:val="single" w:sz="4" w:space="0" w:color="000000"/>
            </w:tcBorders>
          </w:tcPr>
          <w:p w14:paraId="33F159B2"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t>TBD</w:t>
            </w:r>
          </w:p>
        </w:tc>
        <w:tc>
          <w:tcPr>
            <w:tcW w:w="1665" w:type="dxa"/>
            <w:tcBorders>
              <w:top w:val="single" w:sz="4" w:space="0" w:color="000000"/>
              <w:left w:val="single" w:sz="4" w:space="0" w:color="000000"/>
              <w:bottom w:val="single" w:sz="4" w:space="0" w:color="000000"/>
              <w:right w:val="single" w:sz="4" w:space="0" w:color="000000"/>
            </w:tcBorders>
          </w:tcPr>
          <w:p w14:paraId="4D0AE146"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Timing:</w:t>
            </w:r>
          </w:p>
        </w:tc>
        <w:tc>
          <w:tcPr>
            <w:tcW w:w="1845" w:type="dxa"/>
            <w:tcBorders>
              <w:top w:val="single" w:sz="4" w:space="0" w:color="000000"/>
              <w:left w:val="single" w:sz="4" w:space="0" w:color="000000"/>
              <w:bottom w:val="single" w:sz="4" w:space="0" w:color="000000"/>
              <w:right w:val="single" w:sz="4" w:space="0" w:color="000000"/>
            </w:tcBorders>
          </w:tcPr>
          <w:p w14:paraId="35712295"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highlight w:val="yellow"/>
                <w:lang w:val="en-US"/>
              </w:rPr>
            </w:pPr>
            <w:r>
              <w:t>202</w:t>
            </w:r>
            <w:r>
              <w:rPr>
                <w:lang w:val="en-US"/>
              </w:rPr>
              <w:t>8</w:t>
            </w:r>
          </w:p>
        </w:tc>
      </w:tr>
      <w:tr w:rsidR="00DF55B2" w14:paraId="39898250" w14:textId="77777777">
        <w:trPr>
          <w:trHeight w:val="779"/>
        </w:trPr>
        <w:tc>
          <w:tcPr>
            <w:tcW w:w="1245" w:type="dxa"/>
            <w:tcBorders>
              <w:top w:val="single" w:sz="4" w:space="0" w:color="000000"/>
              <w:left w:val="single" w:sz="4" w:space="0" w:color="000000"/>
              <w:bottom w:val="single" w:sz="4" w:space="0" w:color="000000"/>
              <w:right w:val="single" w:sz="4" w:space="0" w:color="000000"/>
            </w:tcBorders>
          </w:tcPr>
          <w:p w14:paraId="0698692C"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Editor(s):</w:t>
            </w:r>
          </w:p>
        </w:tc>
        <w:tc>
          <w:tcPr>
            <w:tcW w:w="5430" w:type="dxa"/>
            <w:gridSpan w:val="2"/>
            <w:tcBorders>
              <w:top w:val="single" w:sz="4" w:space="0" w:color="000000"/>
              <w:left w:val="single" w:sz="4" w:space="0" w:color="000000"/>
              <w:bottom w:val="single" w:sz="4" w:space="0" w:color="000000"/>
              <w:right w:val="single" w:sz="4" w:space="0" w:color="000000"/>
            </w:tcBorders>
          </w:tcPr>
          <w:p w14:paraId="20075FAE"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sz w:val="22"/>
                <w:szCs w:val="22"/>
              </w:rPr>
            </w:pPr>
            <w:r>
              <w:rPr>
                <w:sz w:val="22"/>
                <w:szCs w:val="22"/>
              </w:rPr>
              <w:t xml:space="preserve">Alexey Borodin, E-mail: </w:t>
            </w:r>
            <w:hyperlink r:id="rId13">
              <w:r>
                <w:rPr>
                  <w:sz w:val="22"/>
                  <w:szCs w:val="22"/>
                </w:rPr>
                <w:t>borodin.msk@mail.ru</w:t>
              </w:r>
            </w:hyperlink>
          </w:p>
          <w:p w14:paraId="55EE4D82"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sz w:val="22"/>
                <w:szCs w:val="22"/>
              </w:rPr>
            </w:pPr>
            <w:r>
              <w:rPr>
                <w:sz w:val="22"/>
                <w:szCs w:val="22"/>
              </w:rPr>
              <w:t>Andrey Koucheryavy, E-mail: akouch@mail.ru</w:t>
            </w:r>
          </w:p>
          <w:p w14:paraId="32205004"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sz w:val="22"/>
                <w:szCs w:val="22"/>
              </w:rPr>
            </w:pPr>
            <w:r>
              <w:rPr>
                <w:sz w:val="22"/>
                <w:szCs w:val="22"/>
              </w:rPr>
              <w:t>Evgeny Tonkich, E-mail: et@niir.ru</w:t>
            </w:r>
          </w:p>
          <w:p w14:paraId="1CAA707D"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sz w:val="22"/>
                <w:szCs w:val="22"/>
              </w:rPr>
            </w:pPr>
            <w:r>
              <w:rPr>
                <w:sz w:val="22"/>
                <w:szCs w:val="22"/>
              </w:rPr>
              <w:t xml:space="preserve">Artem Volkov, E-mail: </w:t>
            </w:r>
            <w:hyperlink r:id="rId14">
              <w:r>
                <w:rPr>
                  <w:sz w:val="22"/>
                  <w:szCs w:val="22"/>
                </w:rPr>
                <w:t>artemanv.work@gmail.com</w:t>
              </w:r>
            </w:hyperlink>
            <w:r>
              <w:rPr>
                <w:sz w:val="22"/>
                <w:szCs w:val="22"/>
              </w:rPr>
              <w:t xml:space="preserve"> </w:t>
            </w:r>
          </w:p>
          <w:p w14:paraId="51AA2661"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rPr>
                <w:sz w:val="22"/>
                <w:szCs w:val="22"/>
              </w:rPr>
              <w:t xml:space="preserve">Ammar Muthanna, E-mail: </w:t>
            </w:r>
            <w:hyperlink r:id="rId15">
              <w:r>
                <w:rPr>
                  <w:sz w:val="22"/>
                  <w:szCs w:val="22"/>
                </w:rPr>
                <w:t>ammarexpress@gmail.com</w:t>
              </w:r>
            </w:hyperlink>
            <w:r>
              <w:t xml:space="preserve"> </w:t>
            </w:r>
          </w:p>
        </w:tc>
        <w:tc>
          <w:tcPr>
            <w:tcW w:w="1665" w:type="dxa"/>
            <w:tcBorders>
              <w:top w:val="single" w:sz="4" w:space="0" w:color="000000"/>
              <w:left w:val="single" w:sz="4" w:space="0" w:color="000000"/>
              <w:bottom w:val="single" w:sz="4" w:space="0" w:color="000000"/>
              <w:right w:val="single" w:sz="4" w:space="0" w:color="000000"/>
            </w:tcBorders>
          </w:tcPr>
          <w:p w14:paraId="078F2F35"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Approval process:</w:t>
            </w:r>
          </w:p>
        </w:tc>
        <w:tc>
          <w:tcPr>
            <w:tcW w:w="1845" w:type="dxa"/>
            <w:tcBorders>
              <w:top w:val="single" w:sz="4" w:space="0" w:color="000000"/>
              <w:left w:val="single" w:sz="4" w:space="0" w:color="000000"/>
              <w:bottom w:val="single" w:sz="4" w:space="0" w:color="000000"/>
              <w:right w:val="single" w:sz="4" w:space="0" w:color="000000"/>
            </w:tcBorders>
          </w:tcPr>
          <w:p w14:paraId="1B12C12C"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t>AAP</w:t>
            </w:r>
          </w:p>
        </w:tc>
      </w:tr>
      <w:tr w:rsidR="00DF55B2" w14:paraId="62928C02" w14:textId="77777777">
        <w:trPr>
          <w:trHeight w:val="972"/>
        </w:trPr>
        <w:tc>
          <w:tcPr>
            <w:tcW w:w="10185" w:type="dxa"/>
            <w:gridSpan w:val="5"/>
            <w:tcBorders>
              <w:top w:val="single" w:sz="4" w:space="0" w:color="000000"/>
              <w:left w:val="single" w:sz="4" w:space="0" w:color="000000"/>
              <w:bottom w:val="nil"/>
              <w:right w:val="single" w:sz="4" w:space="0" w:color="000000"/>
            </w:tcBorders>
          </w:tcPr>
          <w:p w14:paraId="6B58FBEB"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Scope</w:t>
            </w:r>
          </w:p>
          <w:p w14:paraId="4FC563CD" w14:textId="77777777" w:rsidR="00DF55B2" w:rsidRDefault="00704D93">
            <w:pPr>
              <w:spacing w:after="120"/>
              <w:jc w:val="both"/>
              <w:rPr>
                <w:lang w:val="en-US"/>
              </w:rPr>
            </w:pPr>
            <w:r>
              <w:rPr>
                <w:sz w:val="22"/>
                <w:szCs w:val="22"/>
              </w:rPr>
              <w:t xml:space="preserve">This Recommendation describes the </w:t>
            </w:r>
            <w:r>
              <w:rPr>
                <w:sz w:val="22"/>
                <w:szCs w:val="22"/>
                <w:lang w:val="en-US"/>
              </w:rPr>
              <w:t xml:space="preserve">protocol map for metaverse (includes multiverse). </w:t>
            </w:r>
          </w:p>
        </w:tc>
      </w:tr>
      <w:tr w:rsidR="00DF55B2" w14:paraId="6ED950BF" w14:textId="77777777">
        <w:tc>
          <w:tcPr>
            <w:tcW w:w="10185" w:type="dxa"/>
            <w:gridSpan w:val="5"/>
            <w:tcBorders>
              <w:top w:val="single" w:sz="4" w:space="0" w:color="000000"/>
              <w:left w:val="single" w:sz="4" w:space="0" w:color="000000"/>
              <w:bottom w:val="nil"/>
              <w:right w:val="single" w:sz="4" w:space="0" w:color="000000"/>
            </w:tcBorders>
          </w:tcPr>
          <w:p w14:paraId="2B120F15"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rPr>
                <w:b/>
              </w:rPr>
              <w:t>Summary</w:t>
            </w:r>
          </w:p>
        </w:tc>
      </w:tr>
      <w:tr w:rsidR="00DF55B2" w14:paraId="0E8BA1DB" w14:textId="77777777">
        <w:trPr>
          <w:trHeight w:val="1000"/>
        </w:trPr>
        <w:tc>
          <w:tcPr>
            <w:tcW w:w="10185" w:type="dxa"/>
            <w:gridSpan w:val="5"/>
            <w:tcBorders>
              <w:top w:val="nil"/>
              <w:left w:val="single" w:sz="4" w:space="0" w:color="000000"/>
              <w:bottom w:val="single" w:sz="4" w:space="0" w:color="000000"/>
              <w:right w:val="single" w:sz="4" w:space="0" w:color="000000"/>
            </w:tcBorders>
          </w:tcPr>
          <w:p w14:paraId="21FBB177" w14:textId="77777777" w:rsidR="00DF55B2" w:rsidRDefault="00DF55B2">
            <w:pPr>
              <w:spacing w:before="0"/>
              <w:jc w:val="both"/>
              <w:rPr>
                <w:sz w:val="22"/>
                <w:szCs w:val="22"/>
              </w:rPr>
            </w:pPr>
          </w:p>
          <w:p w14:paraId="4FD3E24B" w14:textId="77777777" w:rsidR="00DF55B2" w:rsidRDefault="00704D93">
            <w:pPr>
              <w:spacing w:before="0"/>
              <w:jc w:val="both"/>
              <w:rPr>
                <w:sz w:val="22"/>
                <w:szCs w:val="22"/>
                <w:lang w:val="en-US"/>
              </w:rPr>
            </w:pPr>
            <w:r>
              <w:rPr>
                <w:sz w:val="22"/>
                <w:szCs w:val="22"/>
                <w:lang w:val="en-US"/>
              </w:rPr>
              <w:t>IMT-2020 and beyond (includes IMT-2030) formed a new technologies area. At this moment the metaverse  (multiverse) considering as a next stage of network and services, which are include a lot of technological directions (from telepresence services with digital avatars to robotics, etc). In order for systematization of inter-connectivity and interoperability in metaverse this contribution provides the protocol map. The following issues were considered:</w:t>
            </w:r>
          </w:p>
          <w:p w14:paraId="0E9D3CB4" w14:textId="77777777" w:rsidR="00DF55B2" w:rsidRDefault="00704D93">
            <w:pPr>
              <w:spacing w:before="0"/>
              <w:jc w:val="both"/>
              <w:rPr>
                <w:sz w:val="22"/>
                <w:szCs w:val="22"/>
                <w:lang w:val="en-US"/>
              </w:rPr>
            </w:pPr>
            <w:r>
              <w:rPr>
                <w:sz w:val="22"/>
                <w:szCs w:val="22"/>
                <w:lang w:val="en-US"/>
              </w:rPr>
              <w:t>- functional entities (FEs) in metaverses;</w:t>
            </w:r>
          </w:p>
          <w:p w14:paraId="412E769E" w14:textId="77777777" w:rsidR="00DF55B2" w:rsidRDefault="00704D93">
            <w:pPr>
              <w:spacing w:before="0"/>
              <w:jc w:val="both"/>
              <w:rPr>
                <w:sz w:val="22"/>
                <w:szCs w:val="22"/>
                <w:lang w:val="en-US"/>
              </w:rPr>
            </w:pPr>
            <w:r>
              <w:rPr>
                <w:sz w:val="22"/>
                <w:szCs w:val="22"/>
                <w:lang w:val="en-US"/>
              </w:rPr>
              <w:t>- interfaces and determined protocols of their interconnection based on the standards developed by different SDOs;</w:t>
            </w:r>
          </w:p>
          <w:p w14:paraId="2E897234" w14:textId="77777777" w:rsidR="00DF55B2" w:rsidRDefault="00704D93">
            <w:pPr>
              <w:spacing w:before="0"/>
              <w:jc w:val="both"/>
              <w:rPr>
                <w:sz w:val="22"/>
                <w:szCs w:val="22"/>
                <w:lang w:val="en-US"/>
              </w:rPr>
            </w:pPr>
            <w:r>
              <w:rPr>
                <w:sz w:val="22"/>
                <w:szCs w:val="22"/>
                <w:lang w:val="en-US"/>
              </w:rPr>
              <w:t>- interoperability in metaverse/multiverse.</w:t>
            </w:r>
          </w:p>
          <w:p w14:paraId="69EEF075" w14:textId="77777777" w:rsidR="00DF55B2" w:rsidRDefault="00DF55B2">
            <w:pPr>
              <w:spacing w:before="0"/>
              <w:jc w:val="both"/>
              <w:rPr>
                <w:sz w:val="22"/>
                <w:szCs w:val="22"/>
              </w:rPr>
            </w:pPr>
          </w:p>
        </w:tc>
      </w:tr>
      <w:tr w:rsidR="00DF55B2" w14:paraId="5F0D0B55" w14:textId="77777777">
        <w:tc>
          <w:tcPr>
            <w:tcW w:w="10185" w:type="dxa"/>
            <w:gridSpan w:val="5"/>
            <w:tcBorders>
              <w:top w:val="single" w:sz="4" w:space="0" w:color="000000"/>
              <w:left w:val="single" w:sz="4" w:space="0" w:color="000000"/>
              <w:bottom w:val="nil"/>
              <w:right w:val="single" w:sz="4" w:space="0" w:color="000000"/>
            </w:tcBorders>
          </w:tcPr>
          <w:p w14:paraId="1DCD10DF"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
              <w:rPr>
                <w:b/>
              </w:rPr>
              <w:t>Relations to ITU-T Recommendations or to other standards</w:t>
            </w:r>
            <w:r>
              <w:t xml:space="preserve"> (approved or under development):</w:t>
            </w:r>
          </w:p>
        </w:tc>
      </w:tr>
      <w:tr w:rsidR="00DF55B2" w14:paraId="3B3655ED" w14:textId="77777777">
        <w:trPr>
          <w:trHeight w:val="417"/>
        </w:trPr>
        <w:tc>
          <w:tcPr>
            <w:tcW w:w="10185" w:type="dxa"/>
            <w:gridSpan w:val="5"/>
            <w:tcBorders>
              <w:top w:val="nil"/>
              <w:left w:val="single" w:sz="4" w:space="0" w:color="000000"/>
              <w:bottom w:val="single" w:sz="4" w:space="0" w:color="000000"/>
              <w:right w:val="single" w:sz="4" w:space="0" w:color="000000"/>
            </w:tcBorders>
          </w:tcPr>
          <w:p w14:paraId="1278B14B" w14:textId="77777777" w:rsidR="00DF55B2" w:rsidRPr="00704D93" w:rsidRDefault="00704D93">
            <w:pPr>
              <w:rPr>
                <w:lang w:val="fr-CH"/>
              </w:rPr>
            </w:pPr>
            <w:r w:rsidRPr="00704D93">
              <w:rPr>
                <w:color w:val="000000" w:themeColor="text1"/>
                <w:sz w:val="20"/>
                <w:szCs w:val="20"/>
                <w:shd w:val="clear" w:color="auto" w:fill="FFFFFF"/>
                <w:lang w:val="fr-CH"/>
              </w:rPr>
              <w:t xml:space="preserve">ITU-T </w:t>
            </w:r>
            <w:r>
              <w:rPr>
                <w:color w:val="000000" w:themeColor="text1"/>
                <w:sz w:val="20"/>
                <w:szCs w:val="20"/>
                <w:shd w:val="clear" w:color="auto" w:fill="FFFFFF"/>
              </w:rPr>
              <w:t>FGMV-01</w:t>
            </w:r>
            <w:r w:rsidRPr="00704D93">
              <w:rPr>
                <w:color w:val="000000" w:themeColor="text1"/>
                <w:sz w:val="20"/>
                <w:szCs w:val="20"/>
                <w:shd w:val="clear" w:color="auto" w:fill="FFFFFF"/>
                <w:lang w:val="fr-CH"/>
              </w:rPr>
              <w:t xml:space="preserve">, ITU-T FGMV-08, ITU-T </w:t>
            </w:r>
            <w:r>
              <w:rPr>
                <w:color w:val="000000" w:themeColor="text1"/>
                <w:sz w:val="20"/>
                <w:szCs w:val="20"/>
                <w:shd w:val="clear" w:color="auto" w:fill="FFFFFF"/>
              </w:rPr>
              <w:t>FGMV-04</w:t>
            </w:r>
            <w:r w:rsidRPr="00704D93">
              <w:rPr>
                <w:color w:val="000000" w:themeColor="text1"/>
                <w:sz w:val="20"/>
                <w:szCs w:val="20"/>
                <w:shd w:val="clear" w:color="auto" w:fill="FFFFFF"/>
                <w:lang w:val="fr-CH"/>
              </w:rPr>
              <w:t xml:space="preserve">, ITU-T </w:t>
            </w:r>
            <w:r>
              <w:rPr>
                <w:color w:val="000000" w:themeColor="text1"/>
                <w:sz w:val="20"/>
                <w:szCs w:val="20"/>
                <w:shd w:val="clear" w:color="auto" w:fill="FFFFFF"/>
              </w:rPr>
              <w:t>FGMV-26</w:t>
            </w:r>
            <w:r w:rsidRPr="00704D93">
              <w:rPr>
                <w:color w:val="000000" w:themeColor="text1"/>
                <w:sz w:val="20"/>
                <w:szCs w:val="20"/>
                <w:shd w:val="clear" w:color="auto" w:fill="FFFFFF"/>
                <w:lang w:val="fr-CH"/>
              </w:rPr>
              <w:t xml:space="preserve">, ITU-T </w:t>
            </w:r>
            <w:r>
              <w:rPr>
                <w:color w:val="000000" w:themeColor="text1"/>
                <w:sz w:val="20"/>
                <w:szCs w:val="20"/>
                <w:shd w:val="clear" w:color="auto" w:fill="FFFFFF"/>
              </w:rPr>
              <w:t>FGMV-29</w:t>
            </w:r>
          </w:p>
        </w:tc>
      </w:tr>
      <w:tr w:rsidR="00DF55B2" w14:paraId="2BDB32D0" w14:textId="77777777">
        <w:tc>
          <w:tcPr>
            <w:tcW w:w="10185" w:type="dxa"/>
            <w:gridSpan w:val="5"/>
            <w:tcBorders>
              <w:top w:val="single" w:sz="4" w:space="0" w:color="000000"/>
              <w:left w:val="single" w:sz="4" w:space="0" w:color="000000"/>
              <w:bottom w:val="nil"/>
              <w:right w:val="single" w:sz="4" w:space="0" w:color="000000"/>
            </w:tcBorders>
          </w:tcPr>
          <w:p w14:paraId="2E8B2A1C"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Liaisons with other study groups or with other standards bodies:</w:t>
            </w:r>
          </w:p>
        </w:tc>
      </w:tr>
      <w:tr w:rsidR="00DF55B2" w14:paraId="1301DDEC" w14:textId="77777777">
        <w:trPr>
          <w:trHeight w:val="426"/>
        </w:trPr>
        <w:tc>
          <w:tcPr>
            <w:tcW w:w="10185" w:type="dxa"/>
            <w:gridSpan w:val="5"/>
            <w:tcBorders>
              <w:top w:val="nil"/>
              <w:left w:val="single" w:sz="4" w:space="0" w:color="000000"/>
              <w:bottom w:val="nil"/>
              <w:right w:val="single" w:sz="4" w:space="0" w:color="000000"/>
            </w:tcBorders>
          </w:tcPr>
          <w:p w14:paraId="133929B6" w14:textId="05740623"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highlight w:val="yellow"/>
                <w:lang w:val="en-US"/>
              </w:rPr>
            </w:pPr>
            <w:r>
              <w:rPr>
                <w:sz w:val="22"/>
                <w:szCs w:val="22"/>
                <w:lang w:val="en-US"/>
              </w:rPr>
              <w:t>ITU-T SG21</w:t>
            </w:r>
          </w:p>
        </w:tc>
      </w:tr>
      <w:tr w:rsidR="00DF55B2" w14:paraId="4E90D133" w14:textId="77777777">
        <w:tc>
          <w:tcPr>
            <w:tcW w:w="10185" w:type="dxa"/>
            <w:gridSpan w:val="5"/>
            <w:tcBorders>
              <w:top w:val="single" w:sz="4" w:space="0" w:color="000000"/>
              <w:left w:val="single" w:sz="4" w:space="0" w:color="000000"/>
              <w:bottom w:val="nil"/>
              <w:right w:val="single" w:sz="4" w:space="0" w:color="000000"/>
            </w:tcBorders>
          </w:tcPr>
          <w:p w14:paraId="49AB600E" w14:textId="77777777"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b/>
              </w:rPr>
            </w:pPr>
            <w:r>
              <w:rPr>
                <w:b/>
              </w:rPr>
              <w:t>Supporting members that are committing to contributing actively to the work item:</w:t>
            </w:r>
          </w:p>
        </w:tc>
      </w:tr>
      <w:tr w:rsidR="00DF55B2" w14:paraId="08C29E79" w14:textId="77777777">
        <w:trPr>
          <w:trHeight w:val="422"/>
        </w:trPr>
        <w:tc>
          <w:tcPr>
            <w:tcW w:w="10185" w:type="dxa"/>
            <w:gridSpan w:val="5"/>
            <w:tcBorders>
              <w:top w:val="nil"/>
              <w:left w:val="single" w:sz="4" w:space="0" w:color="000000"/>
              <w:bottom w:val="single" w:sz="4" w:space="0" w:color="000000"/>
              <w:right w:val="single" w:sz="4" w:space="0" w:color="000000"/>
            </w:tcBorders>
          </w:tcPr>
          <w:p w14:paraId="24B682BF" w14:textId="18BF422F" w:rsidR="00DF55B2" w:rsidRDefault="00704D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lang w:val="en-US"/>
              </w:rPr>
            </w:pPr>
            <w:r>
              <w:rPr>
                <w:sz w:val="22"/>
                <w:szCs w:val="22"/>
              </w:rPr>
              <w:t>SPbSUT, R</w:t>
            </w:r>
            <w:r>
              <w:rPr>
                <w:sz w:val="22"/>
                <w:szCs w:val="22"/>
                <w:lang w:val="en-US"/>
              </w:rPr>
              <w:t>CC</w:t>
            </w:r>
          </w:p>
        </w:tc>
      </w:tr>
    </w:tbl>
    <w:p w14:paraId="2D464D91" w14:textId="77777777" w:rsidR="00DF55B2" w:rsidRDefault="00704D93">
      <w:pPr>
        <w:jc w:val="center"/>
      </w:pPr>
      <w:r>
        <w:t>_______________________</w:t>
      </w:r>
    </w:p>
    <w:p w14:paraId="7D1A83B2" w14:textId="77777777" w:rsidR="00DF55B2" w:rsidRDefault="00DF55B2"/>
    <w:sectPr w:rsidR="00DF55B2">
      <w:headerReference w:type="default" r:id="rId16"/>
      <w:pgSz w:w="11907" w:h="16840"/>
      <w:pgMar w:top="1134" w:right="1134" w:bottom="1134"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2296" w14:textId="77777777" w:rsidR="00704D93" w:rsidRDefault="00704D93">
      <w:pPr>
        <w:spacing w:before="0"/>
      </w:pPr>
      <w:r>
        <w:separator/>
      </w:r>
    </w:p>
  </w:endnote>
  <w:endnote w:type="continuationSeparator" w:id="0">
    <w:p w14:paraId="107298EE" w14:textId="77777777" w:rsidR="00704D93" w:rsidRDefault="00704D9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auto"/>
    <w:pitch w:val="default"/>
  </w:font>
  <w:font w:name="Source Han Sans CN Regular">
    <w:altName w:val="苹方-简"/>
    <w:charset w:val="00"/>
    <w:family w:val="auto"/>
    <w:pitch w:val="default"/>
  </w:font>
  <w:font w:name="Lohit Devanagari">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
    <w:altName w:val="苹方-简"/>
    <w:charset w:val="00"/>
    <w:family w:val="auto"/>
    <w:pitch w:val="default"/>
  </w:font>
  <w:font w:name="Liberation Sans">
    <w:altName w:val="苹方-简"/>
    <w:charset w:val="00"/>
    <w:family w:val="auto"/>
    <w:pitch w:val="default"/>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2F490" w14:textId="77777777" w:rsidR="00DF55B2" w:rsidRDefault="00704D93">
      <w:pPr>
        <w:spacing w:before="0"/>
      </w:pPr>
      <w:r>
        <w:separator/>
      </w:r>
    </w:p>
  </w:footnote>
  <w:footnote w:type="continuationSeparator" w:id="0">
    <w:p w14:paraId="47D4658F" w14:textId="77777777" w:rsidR="00DF55B2" w:rsidRDefault="00704D9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C0903" w14:textId="77777777" w:rsidR="00DF55B2" w:rsidRDefault="00704D93">
    <w:pPr>
      <w:tabs>
        <w:tab w:val="center" w:pos="4680"/>
        <w:tab w:val="right" w:pos="9360"/>
      </w:tabs>
      <w:spacing w:before="0"/>
      <w:jc w:val="center"/>
      <w:rPr>
        <w:rFonts w:eastAsia="Times New Roman"/>
        <w:color w:val="000000"/>
        <w:sz w:val="20"/>
        <w:szCs w:val="20"/>
      </w:rPr>
    </w:pPr>
    <w:r>
      <w:rPr>
        <w:rFonts w:eastAsia="Times New Roman"/>
        <w:color w:val="000000"/>
        <w:sz w:val="20"/>
        <w:szCs w:val="20"/>
      </w:rPr>
      <w:t xml:space="preserve">- </w:t>
    </w:r>
    <w:r>
      <w:rPr>
        <w:rFonts w:eastAsia="Times New Roman"/>
        <w:color w:val="000000"/>
        <w:sz w:val="20"/>
        <w:szCs w:val="20"/>
      </w:rPr>
      <w:fldChar w:fldCharType="begin"/>
    </w:r>
    <w:r>
      <w:rPr>
        <w:rFonts w:eastAsia="Times New Roman"/>
        <w:color w:val="000000"/>
        <w:sz w:val="20"/>
        <w:szCs w:val="20"/>
      </w:rPr>
      <w:instrText>PAGE</w:instrText>
    </w:r>
    <w:r>
      <w:rPr>
        <w:rFonts w:eastAsia="Times New Roman"/>
        <w:color w:val="000000"/>
        <w:sz w:val="20"/>
        <w:szCs w:val="20"/>
      </w:rPr>
      <w:fldChar w:fldCharType="separate"/>
    </w:r>
    <w:r>
      <w:rPr>
        <w:rFonts w:eastAsia="Times New Roman"/>
        <w:color w:val="000000"/>
        <w:sz w:val="20"/>
        <w:szCs w:val="20"/>
      </w:rPr>
      <w:t>2</w:t>
    </w:r>
    <w:r>
      <w:rPr>
        <w:rFonts w:eastAsia="Times New Roman"/>
        <w:color w:val="000000"/>
        <w:sz w:val="20"/>
        <w:szCs w:val="20"/>
      </w:rPr>
      <w:fldChar w:fldCharType="end"/>
    </w:r>
    <w:r>
      <w:rPr>
        <w:rFonts w:eastAsia="Times New Roman"/>
        <w:color w:val="000000"/>
        <w:sz w:val="20"/>
        <w:szCs w:val="20"/>
      </w:rPr>
      <w:t xml:space="preserve"> -</w:t>
    </w:r>
  </w:p>
  <w:p w14:paraId="3512868A" w14:textId="77777777" w:rsidR="00DF55B2" w:rsidRDefault="00704D93">
    <w:pPr>
      <w:tabs>
        <w:tab w:val="center" w:pos="4680"/>
        <w:tab w:val="right" w:pos="9360"/>
      </w:tabs>
      <w:spacing w:before="0"/>
      <w:jc w:val="center"/>
      <w:rPr>
        <w:rFonts w:eastAsia="Times New Roman"/>
        <w:color w:val="000000"/>
        <w:sz w:val="20"/>
        <w:szCs w:val="20"/>
        <w:lang w:val="en-GB"/>
      </w:rPr>
    </w:pPr>
    <w:r>
      <w:rPr>
        <w:rFonts w:eastAsia="Times New Roman"/>
        <w:color w:val="000000"/>
        <w:sz w:val="20"/>
        <w:szCs w:val="20"/>
      </w:rPr>
      <w:t>SG11-C</w:t>
    </w:r>
    <w:r>
      <w:rPr>
        <w:sz w:val="18"/>
        <w:szCs w:val="18"/>
        <w:highlight w:val="yellow"/>
        <w:lang w:val="en-US"/>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BAE8F3"/>
    <w:multiLevelType w:val="multilevel"/>
    <w:tmpl w:val="BFBAE8F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47346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3F6"/>
    <w:rsid w:val="8FDDCB5E"/>
    <w:rsid w:val="9F1F5F54"/>
    <w:rsid w:val="AF73446A"/>
    <w:rsid w:val="AFBF6FEE"/>
    <w:rsid w:val="AFCF956F"/>
    <w:rsid w:val="B5FD8B49"/>
    <w:rsid w:val="BBB5334F"/>
    <w:rsid w:val="BEFECF9E"/>
    <w:rsid w:val="CBBE38BC"/>
    <w:rsid w:val="CDBFF79A"/>
    <w:rsid w:val="CFD7488F"/>
    <w:rsid w:val="D5DB37A2"/>
    <w:rsid w:val="DBB98852"/>
    <w:rsid w:val="DEBFBCA8"/>
    <w:rsid w:val="DEFF676F"/>
    <w:rsid w:val="DFFF278E"/>
    <w:rsid w:val="EFFA7E97"/>
    <w:rsid w:val="F9DB0E70"/>
    <w:rsid w:val="FBC87141"/>
    <w:rsid w:val="FBFF66DA"/>
    <w:rsid w:val="FE567DDB"/>
    <w:rsid w:val="FEFFEB24"/>
    <w:rsid w:val="FF63DF4B"/>
    <w:rsid w:val="FFB3636A"/>
    <w:rsid w:val="FFBBAC29"/>
    <w:rsid w:val="FFEF9534"/>
    <w:rsid w:val="FFFBC62C"/>
    <w:rsid w:val="001647AC"/>
    <w:rsid w:val="00311BA4"/>
    <w:rsid w:val="0032132D"/>
    <w:rsid w:val="00515488"/>
    <w:rsid w:val="00704D93"/>
    <w:rsid w:val="007303F6"/>
    <w:rsid w:val="007853F4"/>
    <w:rsid w:val="00A37A45"/>
    <w:rsid w:val="00A80E36"/>
    <w:rsid w:val="00BB1E37"/>
    <w:rsid w:val="00BC6F4E"/>
    <w:rsid w:val="00C55F5D"/>
    <w:rsid w:val="00CD1969"/>
    <w:rsid w:val="00D67923"/>
    <w:rsid w:val="00DA5983"/>
    <w:rsid w:val="00DF55B2"/>
    <w:rsid w:val="00EB6F3E"/>
    <w:rsid w:val="12BD04D4"/>
    <w:rsid w:val="173FC61B"/>
    <w:rsid w:val="23FF8107"/>
    <w:rsid w:val="2C3B8DB7"/>
    <w:rsid w:val="3B73A0CD"/>
    <w:rsid w:val="3DBFD1D2"/>
    <w:rsid w:val="3F786A07"/>
    <w:rsid w:val="3F7D3B6B"/>
    <w:rsid w:val="3FD3372F"/>
    <w:rsid w:val="3FFF935A"/>
    <w:rsid w:val="3FFFF5A9"/>
    <w:rsid w:val="4A5FDC4D"/>
    <w:rsid w:val="4EFDECCC"/>
    <w:rsid w:val="4F7F31A9"/>
    <w:rsid w:val="5AAF1044"/>
    <w:rsid w:val="5CDD1877"/>
    <w:rsid w:val="5EC96683"/>
    <w:rsid w:val="5EDF8C27"/>
    <w:rsid w:val="663F960D"/>
    <w:rsid w:val="67EB6D0B"/>
    <w:rsid w:val="6B6A0468"/>
    <w:rsid w:val="6C9F250B"/>
    <w:rsid w:val="6CFF0261"/>
    <w:rsid w:val="6E70D49B"/>
    <w:rsid w:val="6F3FE3BC"/>
    <w:rsid w:val="7AFEC3A0"/>
    <w:rsid w:val="7EBB1DC9"/>
    <w:rsid w:val="7EDF546F"/>
    <w:rsid w:val="7FAF399B"/>
    <w:rsid w:val="7FB3544F"/>
    <w:rsid w:val="7FBDD3F8"/>
    <w:rsid w:val="7FFBEB00"/>
    <w:rsid w:val="7FFFD9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7453EB"/>
  <w15:docId w15:val="{9FA2C18D-CF03-41E6-9276-161270DE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header" w:unhideWhenUsed="1" w:qFormat="1"/>
    <w:lsdException w:name="footer" w:uiPriority="99" w:unhideWhenUsed="1" w:qFormat="1"/>
    <w:lsdException w:name="caption" w:unhideWhenUsed="1" w:qFormat="1"/>
    <w:lsdException w:name="table of figures" w:uiPriority="99"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Theme="minorEastAsia"/>
      <w:sz w:val="24"/>
      <w:szCs w:val="24"/>
      <w:lang w:val="zh-CN"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Normal"/>
    <w:next w:val="Normal"/>
    <w:link w:val="Heading2Char"/>
    <w:qFormat/>
    <w:pPr>
      <w:tabs>
        <w:tab w:val="left" w:pos="794"/>
        <w:tab w:val="left" w:pos="1191"/>
        <w:tab w:val="left" w:pos="1588"/>
        <w:tab w:val="left" w:pos="1985"/>
      </w:tabs>
      <w:spacing w:before="240"/>
      <w:outlineLvl w:val="1"/>
    </w:pPr>
  </w:style>
  <w:style w:type="paragraph" w:styleId="Heading3">
    <w:name w:val="heading 3"/>
    <w:basedOn w:val="Normal"/>
    <w:next w:val="Normal"/>
    <w:link w:val="Heading3Char"/>
    <w:qFormat/>
    <w:pPr>
      <w:tabs>
        <w:tab w:val="left" w:pos="794"/>
        <w:tab w:val="left" w:pos="1191"/>
        <w:tab w:val="left" w:pos="1588"/>
        <w:tab w:val="left" w:pos="1985"/>
      </w:tabs>
      <w:spacing w:before="160"/>
      <w:outlineLvl w:val="2"/>
    </w:pPr>
  </w:style>
  <w:style w:type="paragraph" w:styleId="Heading4">
    <w:name w:val="heading 4"/>
    <w:basedOn w:val="Normal"/>
    <w:next w:val="Normal"/>
    <w:link w:val="Heading4Char"/>
    <w:qFormat/>
    <w:pPr>
      <w:tabs>
        <w:tab w:val="left" w:pos="1021"/>
      </w:tabs>
      <w:ind w:left="1021" w:hanging="1021"/>
      <w:outlineLvl w:val="3"/>
    </w:pPr>
  </w:style>
  <w:style w:type="paragraph" w:styleId="Heading5">
    <w:name w:val="heading 5"/>
    <w:basedOn w:val="Normal"/>
    <w:next w:val="Normal"/>
    <w:link w:val="Heading5Char"/>
    <w:qFormat/>
    <w:pPr>
      <w:tabs>
        <w:tab w:val="left" w:pos="1021"/>
      </w:tabs>
      <w:outlineLvl w:val="4"/>
    </w:pPr>
  </w:style>
  <w:style w:type="paragraph" w:styleId="Heading6">
    <w:name w:val="heading 6"/>
    <w:basedOn w:val="Normal"/>
    <w:next w:val="Normal"/>
    <w:link w:val="Heading6Char"/>
    <w:qFormat/>
    <w:pPr>
      <w:tabs>
        <w:tab w:val="left"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pPr>
    <w:rPr>
      <w:rFonts w:ascii="Tahoma" w:hAnsi="Tahoma" w:cs="Tahoma"/>
      <w:sz w:val="16"/>
      <w:szCs w:val="16"/>
    </w:rPr>
  </w:style>
  <w:style w:type="paragraph" w:styleId="BodyText">
    <w:name w:val="Body Text"/>
    <w:basedOn w:val="Normal"/>
    <w:link w:val="BodyTextChar"/>
    <w:qFormat/>
    <w:pPr>
      <w:suppressAutoHyphens/>
      <w:spacing w:before="113" w:line="360" w:lineRule="auto"/>
      <w:ind w:firstLine="567"/>
      <w:jc w:val="both"/>
    </w:pPr>
    <w:rPr>
      <w:rFonts w:ascii="Liberation Serif" w:eastAsia="Source Han Sans CN Regular" w:hAnsi="Liberation Serif" w:cs="Lohit Devanagari"/>
      <w:kern w:val="1"/>
      <w:sz w:val="28"/>
      <w:szCs w:val="28"/>
      <w:lang w:val="ru-RU" w:eastAsia="zh-CN" w:bidi="hi-IN"/>
    </w:rPr>
  </w:style>
  <w:style w:type="paragraph" w:styleId="Caption">
    <w:name w:val="caption"/>
    <w:basedOn w:val="Normal"/>
    <w:next w:val="Normal"/>
    <w:unhideWhenUsed/>
    <w:qFormat/>
    <w:pPr>
      <w:spacing w:before="0" w:after="200"/>
    </w:pPr>
    <w:rPr>
      <w:i/>
      <w:iCs/>
      <w:color w:val="44546A"/>
      <w:sz w:val="18"/>
      <w:szCs w:val="18"/>
    </w:rPr>
  </w:style>
  <w:style w:type="character" w:styleId="Emphasis">
    <w:name w:val="Emphasis"/>
    <w:uiPriority w:val="20"/>
    <w:qFormat/>
    <w:rPr>
      <w:i/>
      <w:iCs/>
    </w:rPr>
  </w:style>
  <w:style w:type="character" w:styleId="FollowedHyperlink">
    <w:name w:val="FollowedHyperlink"/>
    <w:basedOn w:val="DefaultParagraphFont"/>
    <w:uiPriority w:val="99"/>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character" w:styleId="Hyperlink">
    <w:name w:val="Hyperlink"/>
    <w:uiPriority w:val="99"/>
    <w:qFormat/>
    <w:rPr>
      <w:rFonts w:ascii="Times New Roman" w:hAnsi="Times New Roman"/>
      <w:color w:val="0000FF"/>
      <w:u w:val="single"/>
    </w:rPr>
  </w:style>
  <w:style w:type="character" w:styleId="Strong">
    <w:name w:val="Strong"/>
    <w:uiPriority w:val="22"/>
    <w:qFormat/>
    <w:rPr>
      <w:b/>
      <w:bCs/>
    </w:rPr>
  </w:style>
  <w:style w:type="paragraph" w:styleId="Subtitle">
    <w:name w:val="Subtitle"/>
    <w:basedOn w:val="Normal"/>
    <w:next w:val="Normal"/>
    <w:link w:val="SubtitleChar"/>
    <w:qFormat/>
    <w:pPr>
      <w:spacing w:after="160"/>
    </w:pPr>
    <w:rPr>
      <w:rFonts w:ascii="Calibri" w:eastAsia="Calibri" w:hAnsi="Calibri" w:cs="Calibri"/>
      <w:color w:val="5A5A5A"/>
      <w:sz w:val="22"/>
      <w:szCs w:val="22"/>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qFormat/>
    <w:pPr>
      <w:keepNext/>
      <w:keepLines/>
      <w:spacing w:before="480" w:after="120"/>
    </w:pPr>
    <w:rPr>
      <w:b/>
      <w:sz w:val="72"/>
      <w:szCs w:val="72"/>
    </w:r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tabs>
        <w:tab w:val="clear" w:pos="964"/>
      </w:tabs>
      <w:spacing w:before="80"/>
      <w:ind w:left="1531" w:hanging="851"/>
    </w:pPr>
  </w:style>
  <w:style w:type="paragraph" w:styleId="TOC3">
    <w:name w:val="toc 3"/>
    <w:basedOn w:val="TOC2"/>
    <w:next w:val="Normal"/>
    <w:qFormat/>
    <w:pPr>
      <w:ind w:left="2269"/>
    </w:p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character" w:styleId="PlaceholderText">
    <w:name w:val="Placeholder Tex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SimSun"/>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link w:val="Heading9"/>
    <w:qFormat/>
    <w:rPr>
      <w:rFonts w:ascii="Times New Roman" w:eastAsia="Times New Roman" w:hAnsi="Times New Roman" w:cs="Times New Roman"/>
      <w:b/>
      <w:sz w:val="24"/>
      <w:szCs w:val="20"/>
      <w:lang w:val="en-GB" w:eastAsia="en-US"/>
    </w:rPr>
  </w:style>
  <w:style w:type="character" w:customStyle="1" w:styleId="HeaderChar">
    <w:name w:val="Header Char"/>
    <w:link w:val="Header"/>
    <w:qFormat/>
    <w:rPr>
      <w:rFonts w:ascii="Times New Roman" w:hAnsi="Times New Roman" w:cs="Times New Roman"/>
      <w:sz w:val="20"/>
      <w:szCs w:val="20"/>
      <w:lang w:val="en-GB" w:eastAsia="ja-JP"/>
    </w:rPr>
  </w:style>
  <w:style w:type="character" w:customStyle="1" w:styleId="FooterChar">
    <w:name w:val="Footer Char"/>
    <w:link w:val="Footer"/>
    <w:uiPriority w:val="99"/>
    <w:qFormat/>
    <w:rPr>
      <w:rFonts w:ascii="Times New Roman" w:hAnsi="Times New Roman" w:cs="Times New Roman"/>
      <w:sz w:val="20"/>
      <w:szCs w:val="24"/>
      <w:lang w:val="en-GB" w:eastAsia="ja-JP"/>
    </w:rPr>
  </w:style>
  <w:style w:type="character" w:customStyle="1" w:styleId="SubtitleChar">
    <w:name w:val="Subtitle Char"/>
    <w:link w:val="Subtitle"/>
    <w:uiPriority w:val="11"/>
    <w:qFormat/>
    <w:rPr>
      <w:color w:val="5A5A5A"/>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cs="Times New Roman"/>
      <w:i/>
      <w:iCs/>
      <w:color w:val="404040"/>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PlaceholderText1">
    <w:name w:val="Placeholder Text1"/>
    <w:qFormat/>
    <w:rPr>
      <w:rFonts w:ascii="Times New Roman" w:hAnsi="Times New Roman"/>
      <w:color w:val="808080"/>
    </w:rPr>
  </w:style>
  <w:style w:type="character" w:customStyle="1" w:styleId="BodyTextChar">
    <w:name w:val="Body Text Char"/>
    <w:link w:val="BodyText"/>
    <w:qFormat/>
    <w:rPr>
      <w:rFonts w:ascii="Liberation Serif" w:eastAsia="Source Han Sans CN Regular" w:hAnsi="Liberation Serif" w:cs="Lohit Devanagari"/>
      <w:kern w:val="1"/>
      <w:sz w:val="28"/>
      <w:szCs w:val="28"/>
      <w:lang w:val="ru-RU" w:bidi="hi-IN"/>
    </w:rPr>
  </w:style>
  <w:style w:type="paragraph" w:customStyle="1" w:styleId="1">
    <w:name w:val="Заголовок таблицы ссылок1"/>
    <w:basedOn w:val="Normal"/>
    <w:qFormat/>
    <w:pPr>
      <w:keepNext/>
      <w:suppressLineNumbers/>
      <w:suppressAutoHyphens/>
      <w:spacing w:before="240" w:after="120"/>
    </w:pPr>
    <w:rPr>
      <w:rFonts w:ascii="Liberation Sans" w:eastAsia="Source Han Sans CN Regular" w:hAnsi="Liberation Sans" w:cs="Lohit Devanagari"/>
      <w:b/>
      <w:bCs/>
      <w:kern w:val="1"/>
      <w:sz w:val="32"/>
      <w:szCs w:val="32"/>
      <w:lang w:val="ru-RU" w:eastAsia="zh-CN" w:bidi="hi-IN"/>
    </w:rPr>
  </w:style>
  <w:style w:type="paragraph" w:customStyle="1" w:styleId="Heading1Centered">
    <w:name w:val="Heading 1 Centered"/>
    <w:basedOn w:val="Heading1"/>
    <w:qFormat/>
    <w:pPr>
      <w:tabs>
        <w:tab w:val="left" w:pos="1134"/>
        <w:tab w:val="left" w:pos="1871"/>
        <w:tab w:val="left" w:pos="2268"/>
      </w:tabs>
      <w:ind w:left="0" w:firstLine="0"/>
      <w:jc w:val="center"/>
    </w:pPr>
    <w:rPr>
      <w:bCs/>
    </w:rPr>
  </w:style>
  <w:style w:type="character" w:customStyle="1" w:styleId="BalloonTextChar">
    <w:name w:val="Balloon Text Char"/>
    <w:link w:val="BalloonText"/>
    <w:uiPriority w:val="99"/>
    <w:semiHidden/>
    <w:qFormat/>
    <w:rPr>
      <w:rFonts w:ascii="Tahoma" w:hAnsi="Tahoma" w:cs="Tahoma"/>
      <w:sz w:val="16"/>
      <w:szCs w:val="16"/>
      <w:lang w:val="en-GB" w:eastAsia="ja-JP"/>
    </w:rPr>
  </w:style>
  <w:style w:type="character" w:customStyle="1" w:styleId="ListLabel26">
    <w:name w:val="ListLabel 26"/>
    <w:qFormat/>
    <w:rPr>
      <w:color w:val="0000FF"/>
      <w:u w:val="single"/>
      <w:lang w:val="fr-CH"/>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pPr>
      <w:spacing w:before="120"/>
    </w:pPr>
    <w:rPr>
      <w:rFonts w:eastAsiaTheme="minorEastAsia"/>
      <w:sz w:val="24"/>
      <w:szCs w:val="24"/>
      <w:lang w:val="zh-CN" w:eastAsia="ja-JP"/>
    </w:rPr>
  </w:style>
  <w:style w:type="table" w:customStyle="1" w:styleId="Style90">
    <w:name w:val="_Style 90"/>
    <w:basedOn w:val="TableNormal1"/>
    <w:qFormat/>
    <w:tblPr>
      <w:tblCellMar>
        <w:left w:w="57" w:type="dxa"/>
        <w:right w:w="57" w:type="dxa"/>
      </w:tblCellMar>
    </w:tblPr>
  </w:style>
  <w:style w:type="table" w:customStyle="1" w:styleId="Style91">
    <w:name w:val="_Style 91"/>
    <w:basedOn w:val="TableNormal1"/>
    <w:qFormat/>
    <w:tblPr>
      <w:tblCellMar>
        <w:left w:w="57" w:type="dxa"/>
        <w:right w:w="57" w:type="dxa"/>
      </w:tblCellMar>
    </w:tblPr>
  </w:style>
  <w:style w:type="table" w:customStyle="1" w:styleId="Style92">
    <w:name w:val="_Style 92"/>
    <w:basedOn w:val="TableNormal1"/>
    <w:qFormat/>
    <w:tblPr>
      <w:tblCellMar>
        <w:top w:w="100" w:type="dxa"/>
        <w:left w:w="100" w:type="dxa"/>
        <w:bottom w:w="100" w:type="dxa"/>
        <w:right w:w="100" w:type="dxa"/>
      </w:tblCellMar>
    </w:tblPr>
  </w:style>
  <w:style w:type="table" w:customStyle="1" w:styleId="Style93">
    <w:name w:val="_Style 93"/>
    <w:basedOn w:val="TableNormal1"/>
    <w:qFormat/>
    <w:tblPr>
      <w:tblCellMar>
        <w:left w:w="115" w:type="dxa"/>
        <w:right w:w="115" w:type="dxa"/>
      </w:tblCellMar>
    </w:tblPr>
  </w:style>
  <w:style w:type="table" w:customStyle="1" w:styleId="Style95">
    <w:name w:val="_Style 95"/>
    <w:qFormat/>
    <w:tblPr>
      <w:tblCellMar>
        <w:top w:w="0" w:type="dxa"/>
        <w:left w:w="115" w:type="dxa"/>
        <w:bottom w:w="0" w:type="dxa"/>
        <w:right w:w="115" w:type="dxa"/>
      </w:tblCellMar>
    </w:tblPr>
  </w:style>
  <w:style w:type="table" w:customStyle="1" w:styleId="Style96">
    <w:name w:val="_Style 96"/>
    <w:qFormat/>
    <w:tblPr>
      <w:tblCellMar>
        <w:top w:w="0" w:type="dxa"/>
        <w:left w:w="115" w:type="dxa"/>
        <w:bottom w:w="0" w:type="dxa"/>
        <w:right w:w="115" w:type="dxa"/>
      </w:tblCellMar>
    </w:tblPr>
  </w:style>
  <w:style w:type="table" w:customStyle="1" w:styleId="Style97">
    <w:name w:val="_Style 97"/>
    <w:qFormat/>
    <w:tblPr>
      <w:tblCellMar>
        <w:top w:w="0" w:type="dxa"/>
        <w:left w:w="115" w:type="dxa"/>
        <w:bottom w:w="0" w:type="dxa"/>
        <w:right w:w="115" w:type="dxa"/>
      </w:tblCellMar>
    </w:tblPr>
  </w:style>
  <w:style w:type="table" w:customStyle="1" w:styleId="Style98">
    <w:name w:val="_Style 98"/>
    <w:qFormat/>
    <w:tblPr>
      <w:tblCellMar>
        <w:top w:w="0" w:type="dxa"/>
        <w:left w:w="115" w:type="dxa"/>
        <w:bottom w:w="0" w:type="dxa"/>
        <w:right w:w="115" w:type="dxa"/>
      </w:tblCellMar>
    </w:tblPr>
  </w:style>
  <w:style w:type="paragraph" w:customStyle="1" w:styleId="Revision2">
    <w:name w:val="Revision2"/>
    <w:hidden/>
    <w:uiPriority w:val="99"/>
    <w:unhideWhenUsed/>
    <w:rPr>
      <w:rFonts w:eastAsiaTheme="minorEastAsia"/>
      <w:sz w:val="24"/>
      <w:szCs w:val="24"/>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borodin.msk@mail.ru" TargetMode="External"/><Relationship Id="rId13" Type="http://schemas.openxmlformats.org/officeDocument/2006/relationships/hyperlink" Target="mailto:borodin.msk@mail.ru"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yperlink" Target="mailto:ammarexpress@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temanv.work@gmail.com" TargetMode="External"/><Relationship Id="rId5" Type="http://schemas.openxmlformats.org/officeDocument/2006/relationships/footnotes" Target="footnotes.xml"/><Relationship Id="rId15" Type="http://schemas.openxmlformats.org/officeDocument/2006/relationships/hyperlink" Target="mailto:ammarexpress@gmail.com" TargetMode="External"/><Relationship Id="rId10" Type="http://schemas.openxmlformats.org/officeDocument/2006/relationships/hyperlink" Target="mailto:et@niir.ru"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mailto:akouch@mail.ru" TargetMode="External"/><Relationship Id="rId14" Type="http://schemas.openxmlformats.org/officeDocument/2006/relationships/hyperlink" Target="mailto:artemanv.wor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1E29C4-8C57-4715-8AB8-44548EA5FD92}"/>
</file>

<file path=customXml/itemProps2.xml><?xml version="1.0" encoding="utf-8"?>
<ds:datastoreItem xmlns:ds="http://schemas.openxmlformats.org/officeDocument/2006/customXml" ds:itemID="{C113B9CE-7C30-4A39-809E-E799A33B5BFC}"/>
</file>

<file path=customXml/itemProps3.xml><?xml version="1.0" encoding="utf-8"?>
<ds:datastoreItem xmlns:ds="http://schemas.openxmlformats.org/officeDocument/2006/customXml" ds:itemID="{BF02927C-4C00-4450-A92B-CA5CD9599CF6}"/>
</file>

<file path=docProps/app.xml><?xml version="1.0" encoding="utf-8"?>
<Properties xmlns="http://schemas.openxmlformats.org/officeDocument/2006/extended-properties" xmlns:vt="http://schemas.openxmlformats.org/officeDocument/2006/docPropsVTypes">
  <Template>Normal.dotm</Template>
  <TotalTime>3</TotalTime>
  <Pages>8</Pages>
  <Words>3550</Words>
  <Characters>20238</Characters>
  <Application>Microsoft Office Word</Application>
  <DocSecurity>0</DocSecurity>
  <Lines>168</Lines>
  <Paragraphs>47</Paragraphs>
  <ScaleCrop>false</ScaleCrop>
  <Company/>
  <LinksUpToDate>false</LinksUpToDate>
  <CharactersWithSpaces>23741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Russian Federation, SPbSUT, Rostelecom, Kazakhstan (Republic of), Azerbaijan (Republic of), Kyrgyz Republic, Beltelecom</dc:creator>
  <cp:lastModifiedBy>editor</cp:lastModifiedBy>
  <cp:revision>6</cp:revision>
  <dcterms:created xsi:type="dcterms:W3CDTF">2024-04-18T16:20:00Z</dcterms:created>
  <dcterms:modified xsi:type="dcterms:W3CDTF">2025-02-06T13:56:00Z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SG11-C156-R1</vt:lpwstr>
  </property>
  <property fmtid="{D5CDD505-2E9C-101B-9397-08002B2CF9AE}" pid="11" name="Docdate">
    <vt:lpwstr>STUDY GROUP 11</vt:lpwstr>
  </property>
  <property fmtid="{D5CDD505-2E9C-101B-9397-08002B2CF9AE}" pid="12" name="Docorlang">
    <vt:lpwstr>Original: Russian</vt:lpwstr>
  </property>
  <property fmtid="{D5CDD505-2E9C-101B-9397-08002B2CF9AE}" pid="13" name="Docbluepink">
    <vt:lpwstr>10/11</vt:lpwstr>
  </property>
  <property fmtid="{D5CDD505-2E9C-101B-9397-08002B2CF9AE}" pid="14" name="Docdest">
    <vt:lpwstr>Geneva, 18-27 July 2018</vt:lpwstr>
  </property>
  <property fmtid="{D5CDD505-2E9C-101B-9397-08002B2CF9AE}" pid="15" name="Docauthor">
    <vt:lpwstr>Russian Federation, SPbSUT, Rostelecom, Kazakhstan (Republic of), Azerbaijan (Republic of), Kyrgyz Republic, Beltelecom</vt:lpwstr>
  </property>
  <property fmtid="{D5CDD505-2E9C-101B-9397-08002B2CF9AE}" pid="16" name="KSOProductBuildVer">
    <vt:lpwstr>1033-6.11.0.8615</vt:lpwstr>
  </property>
  <property fmtid="{D5CDD505-2E9C-101B-9397-08002B2CF9AE}" pid="17" name="ICV">
    <vt:lpwstr>4B07CB8E884419940F61A367E92BB1D3_42</vt:lpwstr>
  </property>
</Properties>
</file>