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88"/>
        <w:gridCol w:w="3621"/>
        <w:gridCol w:w="372"/>
        <w:gridCol w:w="4017"/>
        <w:gridCol w:w="9"/>
      </w:tblGrid>
      <w:tr w:rsidR="00A845E9" w:rsidRPr="00A845E9" w14:paraId="6DA89AB7" w14:textId="77777777" w:rsidTr="00A845E9">
        <w:trPr>
          <w:cantSplit/>
        </w:trPr>
        <w:tc>
          <w:tcPr>
            <w:tcW w:w="1132" w:type="dxa"/>
            <w:vMerge w:val="restart"/>
            <w:vAlign w:val="center"/>
          </w:tcPr>
          <w:p w14:paraId="072BF98F" w14:textId="77777777" w:rsidR="00A845E9" w:rsidRPr="00A845E9" w:rsidRDefault="00A845E9" w:rsidP="00DF517E">
            <w:pPr>
              <w:spacing w:before="120" w:after="0" w:line="240" w:lineRule="auto"/>
              <w:jc w:val="center"/>
              <w:rPr>
                <w:rFonts w:ascii="Times New Roman" w:hAnsi="Times New Roman" w:cs="Times New Roman"/>
                <w:sz w:val="20"/>
                <w:szCs w:val="20"/>
              </w:rPr>
            </w:pPr>
            <w:bookmarkStart w:id="0" w:name="dnum" w:colFirst="2" w:colLast="2"/>
            <w:bookmarkStart w:id="1" w:name="dsg" w:colFirst="1" w:colLast="1"/>
            <w:bookmarkStart w:id="2" w:name="dtableau"/>
            <w:r w:rsidRPr="00A845E9">
              <w:rPr>
                <w:rFonts w:ascii="Times New Roman" w:hAnsi="Times New Roman" w:cs="Times New Roman"/>
                <w:noProof/>
              </w:rPr>
              <w:drawing>
                <wp:inline distT="0" distB="0" distL="0" distR="0" wp14:anchorId="31066536" wp14:editId="5D659CE9">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3D118CAF" w14:textId="77777777" w:rsidR="00A845E9" w:rsidRPr="00A845E9" w:rsidRDefault="00A845E9" w:rsidP="00DF517E">
            <w:pPr>
              <w:spacing w:before="120" w:after="0" w:line="240" w:lineRule="auto"/>
              <w:rPr>
                <w:rFonts w:ascii="Times New Roman" w:hAnsi="Times New Roman" w:cs="Times New Roman"/>
                <w:sz w:val="16"/>
                <w:szCs w:val="16"/>
              </w:rPr>
            </w:pPr>
            <w:r w:rsidRPr="00A845E9">
              <w:rPr>
                <w:rFonts w:ascii="Times New Roman" w:hAnsi="Times New Roman" w:cs="Times New Roman"/>
                <w:sz w:val="16"/>
                <w:szCs w:val="16"/>
              </w:rPr>
              <w:t>INTERNATIONAL TELECOMMUNICATION UNION</w:t>
            </w:r>
          </w:p>
          <w:p w14:paraId="654EF614" w14:textId="77777777" w:rsidR="00A845E9" w:rsidRPr="00A845E9" w:rsidRDefault="00A845E9" w:rsidP="00DF517E">
            <w:pPr>
              <w:spacing w:before="120" w:after="0" w:line="240" w:lineRule="auto"/>
              <w:rPr>
                <w:rFonts w:ascii="Times New Roman" w:hAnsi="Times New Roman" w:cs="Times New Roman"/>
                <w:b/>
                <w:bCs/>
                <w:sz w:val="26"/>
                <w:szCs w:val="26"/>
              </w:rPr>
            </w:pPr>
            <w:r w:rsidRPr="00A845E9">
              <w:rPr>
                <w:rFonts w:ascii="Times New Roman" w:hAnsi="Times New Roman" w:cs="Times New Roman"/>
                <w:b/>
                <w:bCs/>
                <w:sz w:val="26"/>
                <w:szCs w:val="26"/>
              </w:rPr>
              <w:t>TELECOMMUNICATION</w:t>
            </w:r>
            <w:r w:rsidRPr="00A845E9">
              <w:rPr>
                <w:rFonts w:ascii="Times New Roman" w:hAnsi="Times New Roman" w:cs="Times New Roman"/>
                <w:b/>
                <w:bCs/>
                <w:sz w:val="26"/>
                <w:szCs w:val="26"/>
              </w:rPr>
              <w:br/>
              <w:t>STANDARDIZATION SECTOR</w:t>
            </w:r>
          </w:p>
          <w:p w14:paraId="21435BAC" w14:textId="4E1C638C" w:rsidR="00A845E9" w:rsidRPr="00A845E9" w:rsidRDefault="00A845E9" w:rsidP="00DF517E">
            <w:pPr>
              <w:spacing w:before="120" w:after="0" w:line="240" w:lineRule="auto"/>
              <w:rPr>
                <w:rFonts w:ascii="Times New Roman" w:hAnsi="Times New Roman" w:cs="Times New Roman"/>
                <w:sz w:val="20"/>
                <w:szCs w:val="20"/>
              </w:rPr>
            </w:pPr>
            <w:r w:rsidRPr="00A845E9">
              <w:rPr>
                <w:rFonts w:ascii="Times New Roman" w:hAnsi="Times New Roman" w:cs="Times New Roman"/>
                <w:sz w:val="20"/>
                <w:szCs w:val="20"/>
              </w:rPr>
              <w:t xml:space="preserve">STUDY PERIOD </w:t>
            </w:r>
            <w:r>
              <w:rPr>
                <w:rFonts w:ascii="Times New Roman" w:hAnsi="Times New Roman" w:cs="Times New Roman"/>
                <w:sz w:val="20"/>
              </w:rPr>
              <w:t>2025-2028</w:t>
            </w:r>
          </w:p>
        </w:tc>
        <w:tc>
          <w:tcPr>
            <w:tcW w:w="4026" w:type="dxa"/>
            <w:gridSpan w:val="2"/>
            <w:vAlign w:val="center"/>
          </w:tcPr>
          <w:p w14:paraId="3020995F" w14:textId="59EE68CC" w:rsidR="00A845E9" w:rsidRPr="00A845E9" w:rsidRDefault="00A845E9" w:rsidP="00DF517E">
            <w:pPr>
              <w:pStyle w:val="Docnumber"/>
              <w:rPr>
                <w:sz w:val="32"/>
              </w:rPr>
            </w:pPr>
            <w:r>
              <w:rPr>
                <w:sz w:val="32"/>
              </w:rPr>
              <w:t>TSAG-TD67</w:t>
            </w:r>
          </w:p>
        </w:tc>
      </w:tr>
      <w:bookmarkEnd w:id="0"/>
      <w:tr w:rsidR="00A845E9" w:rsidRPr="00A845E9" w14:paraId="4CC18534" w14:textId="77777777" w:rsidTr="00A845E9">
        <w:trPr>
          <w:cantSplit/>
        </w:trPr>
        <w:tc>
          <w:tcPr>
            <w:tcW w:w="1132" w:type="dxa"/>
            <w:vMerge/>
          </w:tcPr>
          <w:p w14:paraId="78444A13" w14:textId="77777777" w:rsidR="00A845E9" w:rsidRPr="00A845E9" w:rsidRDefault="00A845E9" w:rsidP="00DF517E">
            <w:pPr>
              <w:spacing w:before="120" w:after="0" w:line="240" w:lineRule="auto"/>
              <w:rPr>
                <w:rFonts w:ascii="Times New Roman" w:hAnsi="Times New Roman" w:cs="Times New Roman"/>
                <w:smallCaps/>
                <w:sz w:val="20"/>
              </w:rPr>
            </w:pPr>
          </w:p>
        </w:tc>
        <w:tc>
          <w:tcPr>
            <w:tcW w:w="4481" w:type="dxa"/>
            <w:gridSpan w:val="3"/>
            <w:vMerge/>
          </w:tcPr>
          <w:p w14:paraId="6EDAB4CF" w14:textId="77777777" w:rsidR="00A845E9" w:rsidRPr="00A845E9" w:rsidRDefault="00A845E9" w:rsidP="00DF517E">
            <w:pPr>
              <w:spacing w:before="120" w:after="0" w:line="240" w:lineRule="auto"/>
              <w:rPr>
                <w:rFonts w:ascii="Times New Roman" w:hAnsi="Times New Roman" w:cs="Times New Roman"/>
                <w:smallCaps/>
                <w:sz w:val="20"/>
              </w:rPr>
            </w:pPr>
          </w:p>
        </w:tc>
        <w:tc>
          <w:tcPr>
            <w:tcW w:w="4026" w:type="dxa"/>
            <w:gridSpan w:val="2"/>
          </w:tcPr>
          <w:p w14:paraId="5757576B" w14:textId="652F12BA" w:rsidR="00A845E9" w:rsidRPr="00A845E9" w:rsidRDefault="00A845E9" w:rsidP="00DF517E">
            <w:pPr>
              <w:pStyle w:val="TSBHeaderRight14"/>
              <w:rPr>
                <w:smallCaps/>
              </w:rPr>
            </w:pPr>
            <w:r>
              <w:rPr>
                <w:smallCaps/>
              </w:rPr>
              <w:t>TSAG</w:t>
            </w:r>
          </w:p>
        </w:tc>
      </w:tr>
      <w:tr w:rsidR="00A845E9" w:rsidRPr="00A845E9" w14:paraId="5C744B2F" w14:textId="77777777" w:rsidTr="00A845E9">
        <w:trPr>
          <w:cantSplit/>
        </w:trPr>
        <w:tc>
          <w:tcPr>
            <w:tcW w:w="1132" w:type="dxa"/>
            <w:vMerge/>
            <w:tcBorders>
              <w:bottom w:val="single" w:sz="12" w:space="0" w:color="auto"/>
            </w:tcBorders>
          </w:tcPr>
          <w:p w14:paraId="371FF3DB" w14:textId="77777777" w:rsidR="00A845E9" w:rsidRPr="00A845E9" w:rsidRDefault="00A845E9" w:rsidP="00DF517E">
            <w:pPr>
              <w:spacing w:before="120" w:after="0" w:line="240" w:lineRule="auto"/>
              <w:rPr>
                <w:rFonts w:ascii="Times New Roman" w:hAnsi="Times New Roman" w:cs="Times New Roman"/>
                <w:b/>
                <w:bCs/>
                <w:sz w:val="26"/>
              </w:rPr>
            </w:pPr>
          </w:p>
        </w:tc>
        <w:tc>
          <w:tcPr>
            <w:tcW w:w="4481" w:type="dxa"/>
            <w:gridSpan w:val="3"/>
            <w:vMerge/>
            <w:tcBorders>
              <w:bottom w:val="single" w:sz="12" w:space="0" w:color="auto"/>
            </w:tcBorders>
          </w:tcPr>
          <w:p w14:paraId="5FDAFBD6" w14:textId="77777777" w:rsidR="00A845E9" w:rsidRPr="00A845E9" w:rsidRDefault="00A845E9" w:rsidP="00DF517E">
            <w:pPr>
              <w:spacing w:before="120" w:after="0" w:line="240" w:lineRule="auto"/>
              <w:rPr>
                <w:rFonts w:ascii="Times New Roman" w:hAnsi="Times New Roman" w:cs="Times New Roman"/>
                <w:b/>
                <w:bCs/>
                <w:sz w:val="26"/>
              </w:rPr>
            </w:pPr>
          </w:p>
        </w:tc>
        <w:tc>
          <w:tcPr>
            <w:tcW w:w="4026" w:type="dxa"/>
            <w:gridSpan w:val="2"/>
            <w:tcBorders>
              <w:bottom w:val="single" w:sz="12" w:space="0" w:color="auto"/>
            </w:tcBorders>
            <w:vAlign w:val="center"/>
          </w:tcPr>
          <w:p w14:paraId="6EFC346E" w14:textId="77777777" w:rsidR="00A845E9" w:rsidRPr="00A845E9" w:rsidRDefault="00A845E9" w:rsidP="00DF517E">
            <w:pPr>
              <w:pStyle w:val="TSBHeaderRight14"/>
            </w:pPr>
            <w:r w:rsidRPr="00A845E9">
              <w:t>Original: English</w:t>
            </w:r>
          </w:p>
        </w:tc>
      </w:tr>
      <w:tr w:rsidR="00A845E9" w:rsidRPr="00A845E9" w14:paraId="3BAE379D" w14:textId="77777777" w:rsidTr="00A845E9">
        <w:trPr>
          <w:cantSplit/>
        </w:trPr>
        <w:tc>
          <w:tcPr>
            <w:tcW w:w="1620" w:type="dxa"/>
            <w:gridSpan w:val="2"/>
          </w:tcPr>
          <w:p w14:paraId="74752137" w14:textId="029C213E" w:rsidR="00A845E9" w:rsidRPr="00A845E9" w:rsidRDefault="00A845E9" w:rsidP="00DF517E">
            <w:pPr>
              <w:spacing w:before="120" w:after="0" w:line="240" w:lineRule="auto"/>
              <w:rPr>
                <w:rFonts w:ascii="Times New Roman" w:hAnsi="Times New Roman" w:cs="Times New Roman"/>
                <w:b/>
                <w:bCs/>
                <w:sz w:val="24"/>
                <w:szCs w:val="24"/>
              </w:rPr>
            </w:pPr>
            <w:bookmarkStart w:id="3" w:name="dbluepink" w:colFirst="1" w:colLast="1"/>
            <w:bookmarkStart w:id="4" w:name="dmeeting" w:colFirst="2" w:colLast="2"/>
            <w:bookmarkEnd w:id="1"/>
          </w:p>
        </w:tc>
        <w:tc>
          <w:tcPr>
            <w:tcW w:w="3993" w:type="dxa"/>
            <w:gridSpan w:val="2"/>
          </w:tcPr>
          <w:p w14:paraId="4C881E56" w14:textId="77777777" w:rsidR="00A845E9" w:rsidRPr="00A845E9" w:rsidRDefault="00A845E9" w:rsidP="00DF517E">
            <w:pPr>
              <w:pStyle w:val="TSBHeaderQuestion"/>
            </w:pPr>
          </w:p>
        </w:tc>
        <w:tc>
          <w:tcPr>
            <w:tcW w:w="4026" w:type="dxa"/>
            <w:gridSpan w:val="2"/>
          </w:tcPr>
          <w:p w14:paraId="1D009DB0" w14:textId="2A374449" w:rsidR="00A845E9" w:rsidRPr="00A845E9" w:rsidRDefault="00A845E9" w:rsidP="00DF517E">
            <w:pPr>
              <w:pStyle w:val="VenueDate"/>
            </w:pPr>
            <w:r w:rsidRPr="00A845E9">
              <w:t>Geneva, 26-30 May 2025</w:t>
            </w:r>
          </w:p>
        </w:tc>
      </w:tr>
      <w:tr w:rsidR="00A845E9" w:rsidRPr="00A845E9" w14:paraId="5F714469" w14:textId="77777777" w:rsidTr="00A845E9">
        <w:trPr>
          <w:cantSplit/>
        </w:trPr>
        <w:tc>
          <w:tcPr>
            <w:tcW w:w="9639" w:type="dxa"/>
            <w:gridSpan w:val="6"/>
          </w:tcPr>
          <w:p w14:paraId="2598513C" w14:textId="254366C2" w:rsidR="00A845E9" w:rsidRPr="00A845E9" w:rsidRDefault="00A845E9" w:rsidP="00DF517E">
            <w:pPr>
              <w:spacing w:before="120" w:after="0" w:line="240" w:lineRule="auto"/>
              <w:jc w:val="center"/>
              <w:rPr>
                <w:rFonts w:ascii="Times New Roman" w:hAnsi="Times New Roman" w:cs="Times New Roman"/>
                <w:b/>
                <w:bCs/>
                <w:sz w:val="24"/>
                <w:szCs w:val="24"/>
              </w:rPr>
            </w:pPr>
            <w:bookmarkStart w:id="5" w:name="ddoctype"/>
            <w:bookmarkStart w:id="6" w:name="dtitle" w:colFirst="0" w:colLast="0"/>
            <w:bookmarkEnd w:id="3"/>
            <w:bookmarkEnd w:id="4"/>
            <w:r w:rsidRPr="00A845E9">
              <w:rPr>
                <w:rFonts w:ascii="Times New Roman" w:hAnsi="Times New Roman" w:cs="Times New Roman"/>
                <w:b/>
                <w:bCs/>
                <w:sz w:val="24"/>
                <w:szCs w:val="24"/>
              </w:rPr>
              <w:t>TD</w:t>
            </w:r>
          </w:p>
        </w:tc>
      </w:tr>
      <w:tr w:rsidR="00A845E9" w:rsidRPr="00A845E9" w14:paraId="5D76FA2D" w14:textId="77777777" w:rsidTr="00A845E9">
        <w:trPr>
          <w:cantSplit/>
        </w:trPr>
        <w:tc>
          <w:tcPr>
            <w:tcW w:w="1620" w:type="dxa"/>
            <w:gridSpan w:val="2"/>
          </w:tcPr>
          <w:p w14:paraId="175A5347" w14:textId="77777777" w:rsidR="00A845E9" w:rsidRPr="00A845E9" w:rsidRDefault="00A845E9" w:rsidP="00DF517E">
            <w:pPr>
              <w:spacing w:before="120" w:after="0" w:line="240" w:lineRule="auto"/>
              <w:rPr>
                <w:rFonts w:ascii="Times New Roman" w:hAnsi="Times New Roman" w:cs="Times New Roman"/>
                <w:b/>
                <w:bCs/>
                <w:sz w:val="24"/>
                <w:szCs w:val="24"/>
              </w:rPr>
            </w:pPr>
            <w:bookmarkStart w:id="7" w:name="dsource" w:colFirst="1" w:colLast="1"/>
            <w:bookmarkEnd w:id="5"/>
            <w:bookmarkEnd w:id="6"/>
            <w:r w:rsidRPr="00A845E9">
              <w:rPr>
                <w:rFonts w:ascii="Times New Roman" w:hAnsi="Times New Roman" w:cs="Times New Roman"/>
                <w:b/>
                <w:bCs/>
                <w:sz w:val="24"/>
                <w:szCs w:val="24"/>
              </w:rPr>
              <w:t>Source:</w:t>
            </w:r>
          </w:p>
        </w:tc>
        <w:sdt>
          <w:sdtPr>
            <w:alias w:val="DocumentSource"/>
            <w:tag w:val="DocumentSource"/>
            <w:id w:val="1141309962"/>
            <w:placeholder>
              <w:docPart w:val="5DADC820913A4E69B1B8D2518C2C9E9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019" w:type="dxa"/>
                <w:gridSpan w:val="4"/>
              </w:tcPr>
              <w:p w14:paraId="7F398A2E" w14:textId="58C91A43" w:rsidR="00A845E9" w:rsidRPr="00A845E9" w:rsidRDefault="009E0869" w:rsidP="00DF517E">
                <w:pPr>
                  <w:pStyle w:val="TSBHeaderSource"/>
                </w:pPr>
                <w:r w:rsidRPr="009E0869">
                  <w:t>Directors, ITU Regional Office</w:t>
                </w:r>
              </w:p>
            </w:tc>
          </w:sdtContent>
        </w:sdt>
      </w:tr>
      <w:tr w:rsidR="00A845E9" w:rsidRPr="00A845E9" w14:paraId="0F5E5598" w14:textId="77777777" w:rsidTr="00A845E9">
        <w:trPr>
          <w:cantSplit/>
        </w:trPr>
        <w:tc>
          <w:tcPr>
            <w:tcW w:w="1620" w:type="dxa"/>
            <w:gridSpan w:val="2"/>
            <w:tcBorders>
              <w:bottom w:val="single" w:sz="8" w:space="0" w:color="auto"/>
            </w:tcBorders>
          </w:tcPr>
          <w:p w14:paraId="386866BE" w14:textId="77777777" w:rsidR="00A845E9" w:rsidRPr="00A845E9" w:rsidRDefault="00A845E9" w:rsidP="00DF517E">
            <w:pPr>
              <w:spacing w:before="120" w:after="0" w:line="240" w:lineRule="auto"/>
              <w:rPr>
                <w:rFonts w:ascii="Times New Roman" w:hAnsi="Times New Roman" w:cs="Times New Roman"/>
                <w:b/>
                <w:bCs/>
                <w:sz w:val="24"/>
                <w:szCs w:val="24"/>
              </w:rPr>
            </w:pPr>
            <w:bookmarkStart w:id="8" w:name="dtitle1" w:colFirst="1" w:colLast="1"/>
            <w:bookmarkEnd w:id="7"/>
            <w:r w:rsidRPr="00A845E9">
              <w:rPr>
                <w:rFonts w:ascii="Times New Roman" w:hAnsi="Times New Roman" w:cs="Times New Roman"/>
                <w:b/>
                <w:bCs/>
                <w:szCs w:val="24"/>
              </w:rPr>
              <w:t>Title</w:t>
            </w:r>
            <w:r w:rsidRPr="00A845E9">
              <w:rPr>
                <w:rFonts w:ascii="Times New Roman" w:hAnsi="Times New Roman" w:cs="Times New Roman"/>
                <w:b/>
                <w:bCs/>
                <w:sz w:val="24"/>
                <w:szCs w:val="24"/>
              </w:rPr>
              <w:t>:</w:t>
            </w:r>
          </w:p>
        </w:tc>
        <w:tc>
          <w:tcPr>
            <w:tcW w:w="8019" w:type="dxa"/>
            <w:gridSpan w:val="4"/>
            <w:tcBorders>
              <w:bottom w:val="single" w:sz="8" w:space="0" w:color="auto"/>
            </w:tcBorders>
          </w:tcPr>
          <w:p w14:paraId="183A4B10" w14:textId="4DBD5150" w:rsidR="00A845E9" w:rsidRPr="00A845E9" w:rsidRDefault="00A845E9" w:rsidP="00DF517E">
            <w:pPr>
              <w:pStyle w:val="TSBHeaderTitle"/>
            </w:pPr>
            <w:r w:rsidRPr="00A845E9">
              <w:t>Contribution of the ITU Regional Offices to the ITU-T Operational Plan and Coordination activities with TSB (July 2024 – April 2025)</w:t>
            </w:r>
          </w:p>
        </w:tc>
      </w:tr>
      <w:bookmarkEnd w:id="2"/>
      <w:bookmarkEnd w:id="8"/>
      <w:tr w:rsidR="003114D9" w:rsidRPr="00B043FF" w14:paraId="2CF3968C" w14:textId="77777777" w:rsidTr="00A845E9">
        <w:tblPrEx>
          <w:jc w:val="center"/>
        </w:tblPrEx>
        <w:trPr>
          <w:gridAfter w:val="1"/>
          <w:wAfter w:w="9" w:type="dxa"/>
          <w:cantSplit/>
          <w:jc w:val="center"/>
        </w:trPr>
        <w:tc>
          <w:tcPr>
            <w:tcW w:w="1620" w:type="dxa"/>
            <w:gridSpan w:val="2"/>
            <w:tcBorders>
              <w:top w:val="single" w:sz="8" w:space="0" w:color="auto"/>
              <w:bottom w:val="single" w:sz="8" w:space="0" w:color="auto"/>
            </w:tcBorders>
          </w:tcPr>
          <w:p w14:paraId="084E1C30" w14:textId="62D48E92" w:rsidR="003114D9" w:rsidRPr="00253919" w:rsidRDefault="003114D9" w:rsidP="00DF517E">
            <w:pPr>
              <w:spacing w:before="120" w:after="0" w:line="240" w:lineRule="auto"/>
              <w:rPr>
                <w:rFonts w:ascii="Times New Roman" w:hAnsi="Times New Roman" w:cs="Times New Roman"/>
                <w:b/>
                <w:bCs/>
                <w:sz w:val="24"/>
                <w:szCs w:val="24"/>
                <w:lang w:eastAsia="ja-JP"/>
              </w:rPr>
            </w:pPr>
            <w:r w:rsidRPr="00253919">
              <w:rPr>
                <w:rFonts w:ascii="Times New Roman" w:hAnsi="Times New Roman" w:cs="Times New Roman"/>
                <w:b/>
                <w:bCs/>
                <w:sz w:val="24"/>
                <w:szCs w:val="24"/>
                <w:lang w:eastAsia="ja-JP"/>
              </w:rPr>
              <w:t>Contact:</w:t>
            </w:r>
          </w:p>
        </w:tc>
        <w:tc>
          <w:tcPr>
            <w:tcW w:w="3621" w:type="dxa"/>
            <w:tcBorders>
              <w:top w:val="single" w:sz="8" w:space="0" w:color="auto"/>
              <w:bottom w:val="single" w:sz="8" w:space="0" w:color="auto"/>
            </w:tcBorders>
          </w:tcPr>
          <w:p w14:paraId="379C2166" w14:textId="6DF9B3F2" w:rsidR="003114D9" w:rsidRPr="00253919" w:rsidRDefault="007255D1" w:rsidP="00DF517E">
            <w:pPr>
              <w:spacing w:before="120" w:after="0" w:line="240" w:lineRule="auto"/>
              <w:rPr>
                <w:rFonts w:ascii="Times New Roman" w:hAnsi="Times New Roman" w:cs="Times New Roman"/>
                <w:sz w:val="24"/>
                <w:szCs w:val="24"/>
              </w:rPr>
            </w:pPr>
            <w:r w:rsidRPr="007255D1">
              <w:rPr>
                <w:rFonts w:ascii="Times New Roman" w:hAnsi="Times New Roman" w:cs="Times New Roman"/>
                <w:sz w:val="24"/>
                <w:szCs w:val="24"/>
              </w:rPr>
              <w:t>Archana GULATI</w:t>
            </w:r>
            <w:r w:rsidR="001F6D17">
              <w:rPr>
                <w:rFonts w:ascii="Times New Roman" w:hAnsi="Times New Roman" w:cs="Times New Roman"/>
                <w:sz w:val="24"/>
                <w:szCs w:val="24"/>
              </w:rPr>
              <w:br/>
            </w:r>
            <w:r w:rsidR="001F6D17" w:rsidRPr="001F6D17">
              <w:rPr>
                <w:rFonts w:ascii="Times New Roman" w:hAnsi="Times New Roman" w:cs="Times New Roman"/>
                <w:sz w:val="24"/>
                <w:szCs w:val="24"/>
              </w:rPr>
              <w:t>BDT Deputy to the Director</w:t>
            </w:r>
          </w:p>
        </w:tc>
        <w:tc>
          <w:tcPr>
            <w:tcW w:w="4389" w:type="dxa"/>
            <w:gridSpan w:val="2"/>
            <w:tcBorders>
              <w:top w:val="single" w:sz="8" w:space="0" w:color="auto"/>
              <w:bottom w:val="single" w:sz="8" w:space="0" w:color="auto"/>
            </w:tcBorders>
          </w:tcPr>
          <w:p w14:paraId="7BBA163A" w14:textId="08806F77" w:rsidR="001F6D17" w:rsidRPr="001F6D17" w:rsidRDefault="001F6D17" w:rsidP="00DF517E">
            <w:pPr>
              <w:spacing w:before="120" w:after="0" w:line="240" w:lineRule="auto"/>
              <w:rPr>
                <w:rFonts w:ascii="Times New Roman" w:hAnsi="Times New Roman" w:cs="Times New Roman"/>
                <w:sz w:val="24"/>
                <w:szCs w:val="24"/>
                <w:lang w:val="fr-CH"/>
              </w:rPr>
            </w:pPr>
            <w:r w:rsidRPr="001F6D17">
              <w:rPr>
                <w:rFonts w:ascii="Times New Roman" w:hAnsi="Times New Roman" w:cs="Times New Roman"/>
                <w:sz w:val="24"/>
                <w:szCs w:val="24"/>
                <w:lang w:val="fr-CH"/>
              </w:rPr>
              <w:t xml:space="preserve">E-mail: </w:t>
            </w:r>
            <w:hyperlink r:id="rId12" w:history="1">
              <w:r w:rsidRPr="0093746F">
                <w:rPr>
                  <w:rStyle w:val="Hyperlink"/>
                  <w:rFonts w:ascii="Times New Roman" w:hAnsi="Times New Roman" w:cs="Times New Roman"/>
                  <w:sz w:val="24"/>
                  <w:szCs w:val="24"/>
                  <w:lang w:val="fr-CH"/>
                </w:rPr>
                <w:t>bdtdeputydir@itu.int</w:t>
              </w:r>
            </w:hyperlink>
          </w:p>
        </w:tc>
      </w:tr>
    </w:tbl>
    <w:p w14:paraId="10CEB3E7" w14:textId="77777777" w:rsidR="005C54C3" w:rsidRPr="00253919" w:rsidRDefault="005C54C3" w:rsidP="008D3834">
      <w:pPr>
        <w:rPr>
          <w:rFonts w:ascii="Times New Roman" w:hAnsi="Times New Roman" w:cs="Times New Roman"/>
          <w:lang w:val="de-DE"/>
        </w:rPr>
      </w:pPr>
    </w:p>
    <w:tbl>
      <w:tblPr>
        <w:tblW w:w="9743" w:type="dxa"/>
        <w:jc w:val="center"/>
        <w:tblLayout w:type="fixed"/>
        <w:tblCellMar>
          <w:left w:w="57" w:type="dxa"/>
          <w:right w:w="57" w:type="dxa"/>
        </w:tblCellMar>
        <w:tblLook w:val="0000" w:firstRow="0" w:lastRow="0" w:firstColumn="0" w:lastColumn="0" w:noHBand="0" w:noVBand="0"/>
      </w:tblPr>
      <w:tblGrid>
        <w:gridCol w:w="1620"/>
        <w:gridCol w:w="8123"/>
      </w:tblGrid>
      <w:tr w:rsidR="00146C7B" w:rsidRPr="00253919" w14:paraId="050C9619" w14:textId="77777777" w:rsidTr="00DF517E">
        <w:trPr>
          <w:cantSplit/>
          <w:jc w:val="center"/>
        </w:trPr>
        <w:tc>
          <w:tcPr>
            <w:tcW w:w="1620" w:type="dxa"/>
          </w:tcPr>
          <w:p w14:paraId="72824147" w14:textId="77777777" w:rsidR="00146C7B" w:rsidRPr="00253919" w:rsidRDefault="00146C7B" w:rsidP="008D3834">
            <w:pPr>
              <w:spacing w:before="120" w:after="100" w:afterAutospacing="1" w:line="240" w:lineRule="auto"/>
              <w:rPr>
                <w:rFonts w:ascii="Times New Roman" w:hAnsi="Times New Roman" w:cs="Times New Roman"/>
                <w:b/>
                <w:bCs/>
                <w:sz w:val="24"/>
                <w:szCs w:val="24"/>
              </w:rPr>
            </w:pPr>
            <w:r w:rsidRPr="00253919">
              <w:rPr>
                <w:rFonts w:ascii="Times New Roman" w:hAnsi="Times New Roman" w:cs="Times New Roman"/>
                <w:b/>
                <w:bCs/>
                <w:sz w:val="24"/>
                <w:szCs w:val="24"/>
              </w:rPr>
              <w:t>Abstract:</w:t>
            </w:r>
          </w:p>
        </w:tc>
        <w:sdt>
          <w:sdtPr>
            <w:rPr>
              <w:rFonts w:ascii="Times New Roman" w:hAnsi="Times New Roman" w:cs="Times New Roman"/>
              <w:sz w:val="24"/>
              <w:szCs w:val="24"/>
            </w:rPr>
            <w:alias w:val="Abstract"/>
            <w:tag w:val="Abstract"/>
            <w:id w:val="-939903723"/>
            <w:placeholder>
              <w:docPart w:val="0CF94C439E95403582B113277333BC1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123" w:type="dxa"/>
              </w:tcPr>
              <w:p w14:paraId="0A0F390E" w14:textId="7540C06E" w:rsidR="00D53FA3" w:rsidRPr="00253919" w:rsidRDefault="00F431D9" w:rsidP="008D3834">
                <w:pPr>
                  <w:spacing w:before="60" w:after="0" w:line="240" w:lineRule="auto"/>
                  <w:rPr>
                    <w:rFonts w:ascii="Times New Roman" w:hAnsi="Times New Roman" w:cs="Times New Roman"/>
                    <w:sz w:val="24"/>
                    <w:szCs w:val="24"/>
                  </w:rPr>
                </w:pPr>
                <w:r w:rsidRPr="00253919">
                  <w:rPr>
                    <w:rFonts w:ascii="Times New Roman" w:hAnsi="Times New Roman" w:cs="Times New Roman"/>
                    <w:sz w:val="24"/>
                    <w:szCs w:val="24"/>
                  </w:rPr>
                  <w:t>This document summarizes contribution of the ITU Regional Offices to the implementation of the ITU-T four-year rolling operational plan as requested by the Resolution 25 (Rev. Bucharest, 2022) of the ITU Plenipotentiary Conference.</w:t>
                </w:r>
              </w:p>
            </w:tc>
          </w:sdtContent>
        </w:sdt>
      </w:tr>
    </w:tbl>
    <w:p w14:paraId="0A985A2D" w14:textId="4BB30AEE" w:rsidR="002F7191" w:rsidRPr="00253919" w:rsidRDefault="002F7191" w:rsidP="008D3834">
      <w:pPr>
        <w:spacing w:line="240" w:lineRule="auto"/>
        <w:jc w:val="center"/>
        <w:rPr>
          <w:rFonts w:ascii="Times New Roman" w:eastAsia="Times New Roman" w:hAnsi="Times New Roman" w:cs="Times New Roman"/>
          <w:kern w:val="36"/>
          <w:sz w:val="24"/>
          <w:szCs w:val="24"/>
        </w:rPr>
      </w:pPr>
    </w:p>
    <w:p w14:paraId="2EB73476" w14:textId="77777777" w:rsidR="002F7191" w:rsidRPr="00253919" w:rsidRDefault="002F7191">
      <w:pPr>
        <w:rPr>
          <w:rFonts w:ascii="Times New Roman" w:eastAsia="Times New Roman" w:hAnsi="Times New Roman" w:cs="Times New Roman"/>
          <w:kern w:val="36"/>
          <w:sz w:val="24"/>
          <w:szCs w:val="24"/>
        </w:rPr>
      </w:pPr>
      <w:r w:rsidRPr="00253919">
        <w:rPr>
          <w:rFonts w:ascii="Times New Roman" w:eastAsia="Times New Roman" w:hAnsi="Times New Roman" w:cs="Times New Roman"/>
          <w:kern w:val="36"/>
          <w:sz w:val="24"/>
          <w:szCs w:val="24"/>
        </w:rPr>
        <w:br w:type="page"/>
      </w:r>
    </w:p>
    <w:p w14:paraId="45647134" w14:textId="77777777" w:rsidR="002F7191" w:rsidRPr="00253919" w:rsidRDefault="002F7191" w:rsidP="002F7191">
      <w:pPr>
        <w:keepNext/>
        <w:rPr>
          <w:rFonts w:ascii="Times New Roman" w:hAnsi="Times New Roman" w:cs="Times New Roman"/>
          <w:b/>
          <w:sz w:val="24"/>
          <w:szCs w:val="24"/>
          <w:lang w:eastAsia="en-US"/>
        </w:rPr>
      </w:pPr>
      <w:r w:rsidRPr="00253919">
        <w:rPr>
          <w:rFonts w:ascii="Times New Roman" w:hAnsi="Times New Roman" w:cs="Times New Roman"/>
          <w:b/>
          <w:sz w:val="24"/>
          <w:szCs w:val="24"/>
          <w:lang w:eastAsia="en-US"/>
        </w:rPr>
        <w:lastRenderedPageBreak/>
        <w:t>1</w:t>
      </w:r>
      <w:r w:rsidRPr="00253919">
        <w:rPr>
          <w:rFonts w:ascii="Times New Roman" w:hAnsi="Times New Roman" w:cs="Times New Roman"/>
          <w:b/>
          <w:sz w:val="24"/>
          <w:szCs w:val="24"/>
          <w:lang w:eastAsia="en-US"/>
        </w:rPr>
        <w:tab/>
        <w:t>Introduction: ITU Regional Presence</w:t>
      </w:r>
    </w:p>
    <w:p w14:paraId="3957A5AB" w14:textId="77777777" w:rsidR="002F7191" w:rsidRPr="00253919" w:rsidRDefault="002F7191" w:rsidP="002F7191">
      <w:pPr>
        <w:keepNext/>
        <w:rPr>
          <w:rFonts w:ascii="Times New Roman" w:hAnsi="Times New Roman" w:cs="Times New Roman"/>
          <w:sz w:val="24"/>
          <w:szCs w:val="24"/>
          <w:lang w:eastAsia="pt-BR"/>
        </w:rPr>
      </w:pPr>
    </w:p>
    <w:p w14:paraId="727B596D" w14:textId="77777777" w:rsidR="002F7191" w:rsidRPr="00253919" w:rsidRDefault="002F7191" w:rsidP="002F7191">
      <w:pPr>
        <w:keepNext/>
        <w:rPr>
          <w:rFonts w:ascii="Times New Roman" w:hAnsi="Times New Roman" w:cs="Times New Roman"/>
          <w:sz w:val="24"/>
          <w:szCs w:val="24"/>
          <w:lang w:eastAsia="pt-BR"/>
        </w:rPr>
      </w:pPr>
      <w:r w:rsidRPr="00253919">
        <w:rPr>
          <w:rFonts w:ascii="Times New Roman" w:hAnsi="Times New Roman" w:cs="Times New Roman"/>
          <w:sz w:val="24"/>
          <w:szCs w:val="24"/>
          <w:lang w:eastAsia="pt-BR"/>
        </w:rPr>
        <w:t xml:space="preserve">ITU has offices in the six BDT regions: </w:t>
      </w:r>
    </w:p>
    <w:p w14:paraId="01228F4E" w14:textId="77777777" w:rsidR="002F7191" w:rsidRPr="00253919" w:rsidRDefault="002F7191" w:rsidP="00CE4D57">
      <w:pPr>
        <w:pStyle w:val="ListParagraph"/>
        <w:numPr>
          <w:ilvl w:val="0"/>
          <w:numId w:val="1"/>
        </w:numPr>
        <w:spacing w:before="120" w:after="0" w:line="234" w:lineRule="atLeast"/>
        <w:ind w:hanging="720"/>
        <w:textAlignment w:val="baseline"/>
        <w:rPr>
          <w:rFonts w:ascii="Times New Roman" w:hAnsi="Times New Roman" w:cs="Times New Roman"/>
          <w:sz w:val="24"/>
          <w:szCs w:val="24"/>
        </w:rPr>
      </w:pPr>
      <w:hyperlink r:id="rId13" w:history="1">
        <w:r w:rsidRPr="00253919">
          <w:rPr>
            <w:rStyle w:val="Hyperlink"/>
            <w:rFonts w:ascii="Times New Roman" w:hAnsi="Times New Roman" w:cs="Times New Roman"/>
            <w:sz w:val="24"/>
            <w:szCs w:val="24"/>
            <w:bdr w:val="none" w:sz="0" w:space="0" w:color="auto" w:frame="1"/>
          </w:rPr>
          <w:t>Africa</w:t>
        </w:r>
      </w:hyperlink>
    </w:p>
    <w:p w14:paraId="25E05B9C" w14:textId="77777777" w:rsidR="002F7191" w:rsidRPr="00253919" w:rsidRDefault="002F7191" w:rsidP="00CE4D57">
      <w:pPr>
        <w:pStyle w:val="ListParagraph"/>
        <w:numPr>
          <w:ilvl w:val="0"/>
          <w:numId w:val="1"/>
        </w:numPr>
        <w:spacing w:after="0" w:line="234" w:lineRule="atLeast"/>
        <w:ind w:hanging="720"/>
        <w:textAlignment w:val="baseline"/>
        <w:rPr>
          <w:rFonts w:ascii="Times New Roman" w:hAnsi="Times New Roman" w:cs="Times New Roman"/>
          <w:sz w:val="24"/>
          <w:szCs w:val="24"/>
        </w:rPr>
      </w:pPr>
      <w:hyperlink r:id="rId14" w:history="1">
        <w:r w:rsidRPr="00253919">
          <w:rPr>
            <w:rStyle w:val="Hyperlink"/>
            <w:rFonts w:ascii="Times New Roman" w:hAnsi="Times New Roman" w:cs="Times New Roman"/>
            <w:sz w:val="24"/>
            <w:szCs w:val="24"/>
            <w:bdr w:val="none" w:sz="0" w:space="0" w:color="auto" w:frame="1"/>
          </w:rPr>
          <w:t>Americas</w:t>
        </w:r>
      </w:hyperlink>
    </w:p>
    <w:p w14:paraId="2B2732F6" w14:textId="77777777" w:rsidR="002F7191" w:rsidRPr="00253919" w:rsidRDefault="002F7191" w:rsidP="00CE4D57">
      <w:pPr>
        <w:pStyle w:val="ListParagraph"/>
        <w:numPr>
          <w:ilvl w:val="0"/>
          <w:numId w:val="1"/>
        </w:numPr>
        <w:spacing w:after="0" w:line="234" w:lineRule="atLeast"/>
        <w:ind w:hanging="720"/>
        <w:textAlignment w:val="baseline"/>
        <w:rPr>
          <w:rFonts w:ascii="Times New Roman" w:hAnsi="Times New Roman" w:cs="Times New Roman"/>
          <w:sz w:val="24"/>
          <w:szCs w:val="24"/>
        </w:rPr>
      </w:pPr>
      <w:hyperlink r:id="rId15" w:history="1">
        <w:r w:rsidRPr="00253919">
          <w:rPr>
            <w:rStyle w:val="Hyperlink"/>
            <w:rFonts w:ascii="Times New Roman" w:hAnsi="Times New Roman" w:cs="Times New Roman"/>
            <w:sz w:val="24"/>
            <w:szCs w:val="24"/>
            <w:bdr w:val="none" w:sz="0" w:space="0" w:color="auto" w:frame="1"/>
          </w:rPr>
          <w:t>Arab states</w:t>
        </w:r>
      </w:hyperlink>
    </w:p>
    <w:p w14:paraId="19DACAB1" w14:textId="77777777" w:rsidR="002F7191" w:rsidRPr="00253919" w:rsidRDefault="002F7191" w:rsidP="00CE4D57">
      <w:pPr>
        <w:pStyle w:val="ListParagraph"/>
        <w:numPr>
          <w:ilvl w:val="0"/>
          <w:numId w:val="1"/>
        </w:numPr>
        <w:spacing w:after="0" w:line="234" w:lineRule="atLeast"/>
        <w:ind w:hanging="720"/>
        <w:textAlignment w:val="baseline"/>
        <w:rPr>
          <w:rFonts w:ascii="Times New Roman" w:hAnsi="Times New Roman" w:cs="Times New Roman"/>
          <w:sz w:val="24"/>
          <w:szCs w:val="24"/>
        </w:rPr>
      </w:pPr>
      <w:hyperlink r:id="rId16" w:history="1">
        <w:r w:rsidRPr="00253919">
          <w:rPr>
            <w:rStyle w:val="Hyperlink"/>
            <w:rFonts w:ascii="Times New Roman" w:hAnsi="Times New Roman" w:cs="Times New Roman"/>
            <w:sz w:val="24"/>
            <w:szCs w:val="24"/>
            <w:bdr w:val="none" w:sz="0" w:space="0" w:color="auto" w:frame="1"/>
          </w:rPr>
          <w:t xml:space="preserve">Asia and the Pacific </w:t>
        </w:r>
      </w:hyperlink>
    </w:p>
    <w:p w14:paraId="799EB6C9" w14:textId="77777777" w:rsidR="002F7191" w:rsidRPr="00253919" w:rsidRDefault="002F7191" w:rsidP="00CE4D57">
      <w:pPr>
        <w:pStyle w:val="ListParagraph"/>
        <w:numPr>
          <w:ilvl w:val="0"/>
          <w:numId w:val="1"/>
        </w:numPr>
        <w:spacing w:after="0" w:line="234" w:lineRule="atLeast"/>
        <w:ind w:hanging="720"/>
        <w:textAlignment w:val="baseline"/>
        <w:rPr>
          <w:rFonts w:ascii="Times New Roman" w:hAnsi="Times New Roman" w:cs="Times New Roman"/>
          <w:sz w:val="24"/>
          <w:szCs w:val="24"/>
        </w:rPr>
      </w:pPr>
      <w:hyperlink r:id="rId17" w:history="1">
        <w:r w:rsidRPr="00253919">
          <w:rPr>
            <w:rStyle w:val="Hyperlink"/>
            <w:rFonts w:ascii="Times New Roman" w:hAnsi="Times New Roman" w:cs="Times New Roman"/>
            <w:sz w:val="24"/>
            <w:szCs w:val="24"/>
            <w:bdr w:val="none" w:sz="0" w:space="0" w:color="auto" w:frame="1"/>
          </w:rPr>
          <w:t xml:space="preserve">Commonwealth of Independent States </w:t>
        </w:r>
      </w:hyperlink>
    </w:p>
    <w:p w14:paraId="58D73457" w14:textId="77777777" w:rsidR="002F7191" w:rsidRPr="00253919" w:rsidRDefault="002F7191" w:rsidP="00CE4D57">
      <w:pPr>
        <w:pStyle w:val="ListParagraph"/>
        <w:numPr>
          <w:ilvl w:val="0"/>
          <w:numId w:val="1"/>
        </w:numPr>
        <w:spacing w:after="0" w:line="234" w:lineRule="atLeast"/>
        <w:ind w:hanging="720"/>
        <w:textAlignment w:val="baseline"/>
        <w:rPr>
          <w:rFonts w:ascii="Times New Roman" w:hAnsi="Times New Roman" w:cs="Times New Roman"/>
          <w:sz w:val="24"/>
          <w:szCs w:val="24"/>
        </w:rPr>
      </w:pPr>
      <w:hyperlink r:id="rId18" w:history="1">
        <w:r w:rsidRPr="00253919">
          <w:rPr>
            <w:rStyle w:val="Hyperlink"/>
            <w:rFonts w:ascii="Times New Roman" w:hAnsi="Times New Roman" w:cs="Times New Roman"/>
            <w:sz w:val="24"/>
            <w:szCs w:val="24"/>
            <w:bdr w:val="none" w:sz="0" w:space="0" w:color="auto" w:frame="1"/>
          </w:rPr>
          <w:t>Europe</w:t>
        </w:r>
      </w:hyperlink>
    </w:p>
    <w:p w14:paraId="52FFE4D1" w14:textId="77777777" w:rsidR="002F7191" w:rsidRPr="00253919" w:rsidRDefault="002F7191" w:rsidP="002F7191">
      <w:pPr>
        <w:pStyle w:val="Headingb"/>
        <w:rPr>
          <w:rFonts w:eastAsiaTheme="minorEastAsia"/>
          <w:b w:val="0"/>
          <w:szCs w:val="24"/>
          <w:lang w:eastAsia="pt-BR"/>
        </w:rPr>
      </w:pPr>
      <w:hyperlink r:id="rId19" w:history="1">
        <w:r w:rsidRPr="00253919">
          <w:rPr>
            <w:rStyle w:val="Hyperlink"/>
            <w:rFonts w:eastAsiaTheme="minorEastAsia"/>
            <w:szCs w:val="24"/>
            <w:lang w:eastAsia="pt-BR"/>
          </w:rPr>
          <w:t>ITU Regional presence</w:t>
        </w:r>
      </w:hyperlink>
      <w:r w:rsidRPr="00253919">
        <w:rPr>
          <w:rFonts w:eastAsiaTheme="minorEastAsia"/>
          <w:b w:val="0"/>
          <w:szCs w:val="24"/>
          <w:lang w:eastAsia="pt-BR"/>
        </w:rPr>
        <w:t xml:space="preserve"> counts as of today an overall of thirteen field offices, which include five regional offices in Addis Ababa (Africa), Bangkok (Asia and the Pacific), Brasilia (Americas), Cairo (Arab States), Moscow (CIS countries), and the ITU office for Europe at ITU headquarters, as well as nine area offices, located in Africa, Americas and Asia and the Pacific. </w:t>
      </w:r>
    </w:p>
    <w:p w14:paraId="3DF9FF64" w14:textId="77777777" w:rsidR="002F7191" w:rsidRPr="00253919" w:rsidRDefault="002F7191" w:rsidP="002F7191">
      <w:pPr>
        <w:pStyle w:val="Headingb"/>
        <w:rPr>
          <w:rFonts w:eastAsiaTheme="minorEastAsia"/>
          <w:b w:val="0"/>
          <w:szCs w:val="24"/>
          <w:lang w:eastAsia="pt-BR"/>
        </w:rPr>
      </w:pPr>
      <w:r w:rsidRPr="00253919">
        <w:rPr>
          <w:rFonts w:eastAsiaTheme="minorEastAsia"/>
          <w:b w:val="0"/>
          <w:szCs w:val="24"/>
          <w:lang w:eastAsia="pt-BR"/>
        </w:rPr>
        <w:t xml:space="preserve">The revised Resolution 25 (Rev. Bucharest, 2022) on strengthening the ITU regional presence, mentioned in section 1 below, has enhanced the need for a stronger regional presence. </w:t>
      </w:r>
    </w:p>
    <w:p w14:paraId="3AC77486" w14:textId="77777777" w:rsidR="002F7191" w:rsidRPr="00253919" w:rsidRDefault="002F7191" w:rsidP="002F7191">
      <w:pPr>
        <w:pStyle w:val="Headingb"/>
        <w:rPr>
          <w:rFonts w:eastAsiaTheme="minorEastAsia"/>
          <w:b w:val="0"/>
          <w:szCs w:val="24"/>
          <w:lang w:eastAsia="pt-BR"/>
        </w:rPr>
      </w:pPr>
      <w:r w:rsidRPr="00253919">
        <w:rPr>
          <w:rFonts w:eastAsiaTheme="minorEastAsia"/>
          <w:b w:val="0"/>
          <w:szCs w:val="24"/>
          <w:lang w:eastAsia="pt-BR"/>
        </w:rPr>
        <w:t>Regional and area offices play a key role in facilitating discussions on regional matters and in the dissemination of information and results of activities of all three Sectors of the Union and the General Secretariat, while avoiding the duplication of such functions with headquarters, and collaborating with the regional telecommunication organizations to make synergies and avoid duplication of activities and efforts.</w:t>
      </w:r>
    </w:p>
    <w:p w14:paraId="10CE0050" w14:textId="77777777" w:rsidR="002F7191" w:rsidRPr="00253919" w:rsidRDefault="002F7191" w:rsidP="002F7191">
      <w:pPr>
        <w:rPr>
          <w:rFonts w:ascii="Times New Roman" w:hAnsi="Times New Roman" w:cs="Times New Roman"/>
          <w:sz w:val="24"/>
          <w:szCs w:val="24"/>
          <w:lang w:eastAsia="pt-BR"/>
        </w:rPr>
      </w:pPr>
    </w:p>
    <w:p w14:paraId="49EEC96A" w14:textId="77777777" w:rsidR="002F7191" w:rsidRPr="00253919" w:rsidRDefault="002F7191" w:rsidP="002F7191">
      <w:pPr>
        <w:pStyle w:val="Headingb"/>
        <w:rPr>
          <w:szCs w:val="24"/>
        </w:rPr>
      </w:pPr>
      <w:r w:rsidRPr="00253919">
        <w:rPr>
          <w:szCs w:val="24"/>
        </w:rPr>
        <w:t>2</w:t>
      </w:r>
      <w:r w:rsidRPr="00253919">
        <w:rPr>
          <w:szCs w:val="24"/>
        </w:rPr>
        <w:tab/>
        <w:t>ITU Plenipotentiary Resolution 25 (Rev. Bucharest, 2022)</w:t>
      </w:r>
    </w:p>
    <w:p w14:paraId="68B1C4DE" w14:textId="77777777" w:rsidR="002F7191" w:rsidRPr="00253919" w:rsidRDefault="002F7191" w:rsidP="002F7191">
      <w:pPr>
        <w:rPr>
          <w:rFonts w:ascii="Times New Roman" w:hAnsi="Times New Roman" w:cs="Times New Roman"/>
          <w:sz w:val="24"/>
          <w:szCs w:val="24"/>
          <w:lang w:eastAsia="pt-BR"/>
        </w:rPr>
      </w:pPr>
      <w:bookmarkStart w:id="9" w:name="_Toc406757651"/>
    </w:p>
    <w:p w14:paraId="06DA5EEE" w14:textId="77777777" w:rsidR="002F7191" w:rsidRPr="00253919" w:rsidRDefault="002F7191" w:rsidP="002F7191">
      <w:pPr>
        <w:rPr>
          <w:rFonts w:ascii="Times New Roman" w:hAnsi="Times New Roman" w:cs="Times New Roman"/>
          <w:sz w:val="24"/>
          <w:szCs w:val="24"/>
        </w:rPr>
      </w:pPr>
      <w:r w:rsidRPr="00253919">
        <w:rPr>
          <w:rFonts w:ascii="Times New Roman" w:hAnsi="Times New Roman" w:cs="Times New Roman"/>
          <w:sz w:val="24"/>
          <w:szCs w:val="24"/>
          <w:lang w:eastAsia="pt-BR"/>
        </w:rPr>
        <w:t>ITU Plenipotentiary Resolution 25 (Rev. Bucharest, 2022)</w:t>
      </w:r>
      <w:bookmarkEnd w:id="9"/>
      <w:r w:rsidRPr="00253919">
        <w:rPr>
          <w:rFonts w:ascii="Times New Roman" w:hAnsi="Times New Roman" w:cs="Times New Roman"/>
          <w:sz w:val="24"/>
          <w:szCs w:val="24"/>
          <w:lang w:eastAsia="pt-BR"/>
        </w:rPr>
        <w:t xml:space="preserve"> “</w:t>
      </w:r>
      <w:bookmarkStart w:id="10" w:name="_Toc406757652"/>
      <w:r w:rsidRPr="00253919">
        <w:rPr>
          <w:rFonts w:ascii="Times New Roman" w:hAnsi="Times New Roman" w:cs="Times New Roman"/>
          <w:sz w:val="24"/>
          <w:szCs w:val="24"/>
          <w:lang w:eastAsia="pt-BR"/>
        </w:rPr>
        <w:t>Strengthening the ITU regional presence</w:t>
      </w:r>
      <w:bookmarkEnd w:id="10"/>
      <w:r w:rsidRPr="00253919">
        <w:rPr>
          <w:rFonts w:ascii="Times New Roman" w:hAnsi="Times New Roman" w:cs="Times New Roman"/>
          <w:sz w:val="24"/>
          <w:szCs w:val="24"/>
          <w:lang w:eastAsia="pt-BR"/>
        </w:rPr>
        <w:t xml:space="preserve">” confirms the </w:t>
      </w:r>
      <w:r w:rsidRPr="00253919">
        <w:rPr>
          <w:rFonts w:ascii="Times New Roman" w:hAnsi="Times New Roman" w:cs="Times New Roman"/>
          <w:sz w:val="24"/>
          <w:szCs w:val="24"/>
        </w:rPr>
        <w:t>reporting mandates for the Regional and Area offices to the advisory groups of each Sectors:</w:t>
      </w:r>
    </w:p>
    <w:p w14:paraId="0278819E" w14:textId="77777777" w:rsidR="002F7191" w:rsidRPr="00253919" w:rsidRDefault="002F7191" w:rsidP="002F7191">
      <w:pPr>
        <w:pStyle w:val="Call"/>
        <w:tabs>
          <w:tab w:val="left" w:pos="3693"/>
        </w:tabs>
        <w:rPr>
          <w:rFonts w:ascii="Times New Roman" w:hAnsi="Times New Roman"/>
          <w:lang w:val="en-GB" w:eastAsia="pt-BR"/>
        </w:rPr>
      </w:pPr>
      <w:r w:rsidRPr="00253919">
        <w:rPr>
          <w:rFonts w:ascii="Times New Roman" w:hAnsi="Times New Roman"/>
          <w:lang w:val="en-GB" w:eastAsia="pt-BR"/>
        </w:rPr>
        <w:t>“further resolves</w:t>
      </w:r>
      <w:r w:rsidRPr="00253919">
        <w:rPr>
          <w:rFonts w:ascii="Times New Roman" w:hAnsi="Times New Roman"/>
          <w:lang w:val="en-GB" w:eastAsia="pt-BR"/>
        </w:rPr>
        <w:br/>
      </w:r>
    </w:p>
    <w:p w14:paraId="641143DE" w14:textId="77777777" w:rsidR="002F7191" w:rsidRPr="00253919" w:rsidRDefault="002F7191" w:rsidP="002F7191">
      <w:pPr>
        <w:rPr>
          <w:rFonts w:ascii="Times New Roman" w:hAnsi="Times New Roman" w:cs="Times New Roman"/>
          <w:i/>
          <w:iCs/>
          <w:sz w:val="24"/>
          <w:szCs w:val="24"/>
        </w:rPr>
      </w:pPr>
      <w:r w:rsidRPr="00253919">
        <w:rPr>
          <w:rFonts w:ascii="Times New Roman" w:hAnsi="Times New Roman" w:cs="Times New Roman"/>
          <w:i/>
          <w:iCs/>
          <w:sz w:val="24"/>
          <w:szCs w:val="24"/>
        </w:rPr>
        <w:t>3</w:t>
      </w:r>
      <w:r w:rsidRPr="00253919">
        <w:rPr>
          <w:rFonts w:ascii="Times New Roman" w:hAnsi="Times New Roman" w:cs="Times New Roman"/>
          <w:i/>
          <w:iCs/>
          <w:sz w:val="24"/>
          <w:szCs w:val="24"/>
        </w:rPr>
        <w:tab/>
        <w:t>that regional and area offices shall regularly provide reports to the Sector advisory groups, as appropriate, and to inform the Directors of BR, TSB and BDT on regional activities related to their respective Sectors,</w:t>
      </w:r>
    </w:p>
    <w:p w14:paraId="056581B5" w14:textId="77777777" w:rsidR="002F7191" w:rsidRPr="00253919" w:rsidRDefault="002F7191" w:rsidP="002F7191">
      <w:pPr>
        <w:tabs>
          <w:tab w:val="left" w:pos="567"/>
        </w:tabs>
        <w:rPr>
          <w:rFonts w:ascii="Times New Roman" w:hAnsi="Times New Roman" w:cs="Times New Roman"/>
          <w:sz w:val="24"/>
          <w:szCs w:val="24"/>
        </w:rPr>
      </w:pPr>
    </w:p>
    <w:p w14:paraId="222DB002" w14:textId="77777777" w:rsidR="002F7191" w:rsidRPr="00253919" w:rsidRDefault="002F7191" w:rsidP="002F7191">
      <w:pPr>
        <w:pStyle w:val="Headingb"/>
        <w:rPr>
          <w:szCs w:val="24"/>
        </w:rPr>
      </w:pPr>
      <w:r w:rsidRPr="00253919">
        <w:rPr>
          <w:szCs w:val="24"/>
        </w:rPr>
        <w:t>3</w:t>
      </w:r>
      <w:r w:rsidRPr="00253919">
        <w:rPr>
          <w:szCs w:val="24"/>
        </w:rPr>
        <w:tab/>
        <w:t xml:space="preserve">TSB mechanisms of coordination with the Regions </w:t>
      </w:r>
    </w:p>
    <w:p w14:paraId="4DC5F97E" w14:textId="77777777" w:rsidR="002F7191" w:rsidRPr="00253919" w:rsidRDefault="002F7191" w:rsidP="002F7191">
      <w:pPr>
        <w:jc w:val="both"/>
        <w:rPr>
          <w:rFonts w:ascii="Times New Roman" w:hAnsi="Times New Roman" w:cs="Times New Roman"/>
          <w:sz w:val="24"/>
          <w:szCs w:val="24"/>
        </w:rPr>
      </w:pPr>
    </w:p>
    <w:p w14:paraId="3F013C87" w14:textId="1CB989AB" w:rsidR="002F7191" w:rsidRPr="00253919" w:rsidRDefault="002F7191" w:rsidP="002F7191">
      <w:pPr>
        <w:jc w:val="both"/>
        <w:rPr>
          <w:rFonts w:ascii="Times New Roman" w:hAnsi="Times New Roman" w:cs="Times New Roman"/>
          <w:sz w:val="24"/>
          <w:szCs w:val="24"/>
        </w:rPr>
      </w:pPr>
      <w:r w:rsidRPr="00253919">
        <w:rPr>
          <w:rFonts w:ascii="Times New Roman" w:hAnsi="Times New Roman" w:cs="Times New Roman"/>
          <w:sz w:val="24"/>
          <w:szCs w:val="24"/>
        </w:rPr>
        <w:t xml:space="preserve">At the initiative of the TSB Director, meetings were organized whenever possible, on a regular basis between the regional and areas offices and the TSB senior management, covering each time overviews, updates, and briefings of activities organized by each TSB department in the various regions. </w:t>
      </w:r>
    </w:p>
    <w:p w14:paraId="2D7BD425" w14:textId="77777777" w:rsidR="002F7191" w:rsidRPr="00253919" w:rsidRDefault="002F7191" w:rsidP="002F7191">
      <w:pPr>
        <w:pStyle w:val="Call"/>
        <w:ind w:left="0"/>
        <w:jc w:val="both"/>
        <w:rPr>
          <w:rFonts w:ascii="Times New Roman" w:hAnsi="Times New Roman"/>
          <w:lang w:val="en-GB"/>
        </w:rPr>
      </w:pPr>
      <w:r w:rsidRPr="00253919">
        <w:rPr>
          <w:rFonts w:ascii="Times New Roman" w:eastAsia="Times New Roman" w:hAnsi="Times New Roman"/>
          <w:i w:val="0"/>
          <w:iCs w:val="0"/>
          <w:lang w:val="en-GB"/>
        </w:rPr>
        <w:t xml:space="preserve">These coordination activities, as well as the establishment of a TSB Focal Point for the Regions (reference to the </w:t>
      </w:r>
      <w:r w:rsidRPr="00253919">
        <w:rPr>
          <w:rFonts w:ascii="Times New Roman" w:eastAsia="Times New Roman" w:hAnsi="Times New Roman"/>
          <w:lang w:val="en-GB"/>
        </w:rPr>
        <w:t>instructs the Directors of the Radiocommunication Bureau and the Telecommunication Standardization Bureau</w:t>
      </w:r>
      <w:r w:rsidRPr="00253919">
        <w:rPr>
          <w:rFonts w:ascii="Times New Roman" w:eastAsia="Times New Roman" w:hAnsi="Times New Roman"/>
          <w:i w:val="0"/>
          <w:iCs w:val="0"/>
          <w:lang w:val="en-GB"/>
        </w:rPr>
        <w:t xml:space="preserve">), were conducted keeping in mind the One ITU concept </w:t>
      </w:r>
      <w:r w:rsidRPr="00253919">
        <w:rPr>
          <w:rFonts w:ascii="Times New Roman" w:eastAsia="Times New Roman" w:hAnsi="Times New Roman"/>
          <w:i w:val="0"/>
          <w:iCs w:val="0"/>
          <w:lang w:val="en-GB"/>
        </w:rPr>
        <w:lastRenderedPageBreak/>
        <w:t>and implementation, with the goal of improving coordination and increasing the efficiency of the overall operations, events and activities in the Standardization Sector in each of the Regions.</w:t>
      </w:r>
      <w:r w:rsidRPr="00253919">
        <w:rPr>
          <w:rFonts w:ascii="Times New Roman" w:hAnsi="Times New Roman"/>
          <w:lang w:val="en-GB"/>
        </w:rPr>
        <w:t xml:space="preserve"> </w:t>
      </w:r>
    </w:p>
    <w:p w14:paraId="028665C3" w14:textId="77777777" w:rsidR="002F7191" w:rsidRPr="00253919" w:rsidRDefault="002F7191" w:rsidP="002F7191">
      <w:pPr>
        <w:rPr>
          <w:rFonts w:ascii="Times New Roman" w:hAnsi="Times New Roman" w:cs="Times New Roman"/>
          <w:sz w:val="24"/>
          <w:szCs w:val="24"/>
        </w:rPr>
      </w:pPr>
    </w:p>
    <w:p w14:paraId="78FAA6E7" w14:textId="77777777" w:rsidR="002F7191" w:rsidRPr="00253919" w:rsidRDefault="002F7191" w:rsidP="002F7191">
      <w:pPr>
        <w:rPr>
          <w:rFonts w:ascii="Times New Roman" w:hAnsi="Times New Roman" w:cs="Times New Roman"/>
          <w:sz w:val="24"/>
          <w:szCs w:val="24"/>
        </w:rPr>
      </w:pPr>
      <w:r w:rsidRPr="00253919">
        <w:rPr>
          <w:rFonts w:ascii="Times New Roman" w:hAnsi="Times New Roman" w:cs="Times New Roman"/>
          <w:sz w:val="24"/>
          <w:szCs w:val="24"/>
        </w:rPr>
        <w:t>The use of this coordination mechanism is a tool that has led to a significant improvement in the overall coordination with regional and areas offices in terms of events and activities.</w:t>
      </w:r>
    </w:p>
    <w:p w14:paraId="42E1ED8C" w14:textId="77777777" w:rsidR="002F7191" w:rsidRPr="00253919" w:rsidRDefault="002F7191" w:rsidP="002F7191">
      <w:pPr>
        <w:rPr>
          <w:rFonts w:ascii="Times New Roman" w:hAnsi="Times New Roman" w:cs="Times New Roman"/>
          <w:sz w:val="24"/>
          <w:szCs w:val="24"/>
        </w:rPr>
      </w:pPr>
      <w:r w:rsidRPr="00253919">
        <w:rPr>
          <w:rFonts w:ascii="Times New Roman" w:hAnsi="Times New Roman" w:cs="Times New Roman"/>
          <w:sz w:val="24"/>
          <w:szCs w:val="24"/>
        </w:rPr>
        <w:br w:type="page"/>
      </w:r>
    </w:p>
    <w:p w14:paraId="7062E78D" w14:textId="77777777" w:rsidR="002F7191" w:rsidRDefault="002F7191" w:rsidP="002F7191">
      <w:pPr>
        <w:pStyle w:val="Headingb"/>
        <w:rPr>
          <w:szCs w:val="24"/>
        </w:rPr>
      </w:pPr>
      <w:r w:rsidRPr="00253919">
        <w:rPr>
          <w:szCs w:val="24"/>
        </w:rPr>
        <w:lastRenderedPageBreak/>
        <w:t>4</w:t>
      </w:r>
      <w:r w:rsidRPr="00253919">
        <w:rPr>
          <w:szCs w:val="24"/>
        </w:rPr>
        <w:tab/>
        <w:t xml:space="preserve">Africa – Regional Office for Africa </w:t>
      </w:r>
    </w:p>
    <w:p w14:paraId="38D14132" w14:textId="77777777" w:rsidR="004D7AE5" w:rsidRDefault="004D7AE5" w:rsidP="004D7AE5">
      <w:pPr>
        <w:rPr>
          <w:lang w:eastAsia="en-US"/>
        </w:rPr>
      </w:pPr>
    </w:p>
    <w:p w14:paraId="7324E79C" w14:textId="3FFDC182" w:rsidR="004D7AE5" w:rsidRPr="004D7AE5" w:rsidRDefault="004D7AE5" w:rsidP="004D7AE5">
      <w:pPr>
        <w:rPr>
          <w:rFonts w:asciiTheme="majorBidi" w:hAnsiTheme="majorBidi" w:cstheme="majorBidi"/>
          <w:sz w:val="24"/>
          <w:szCs w:val="24"/>
          <w:lang w:eastAsia="en-US"/>
        </w:rPr>
      </w:pPr>
      <w:r w:rsidRPr="004D7AE5">
        <w:rPr>
          <w:rFonts w:asciiTheme="majorBidi" w:hAnsiTheme="majorBidi" w:cstheme="majorBidi"/>
          <w:sz w:val="24"/>
          <w:szCs w:val="24"/>
          <w:lang w:eastAsia="en-US"/>
        </w:rPr>
        <w:t>In collaboration with BDT, a series of Digital Financial Services (DFS) Security Clinics were held by TSB team for Ethiopia, Eswatini, The Gambia, South Sudan, Ghana, Zimbabwe, Malawi, Lesotho, Ethiopia, Eswatini, Sierra Leone, Burkina Faso and Gabon. The DFS clinics are attended by ICT and Financial regulators, telecom operators and financial service provides; the main objective of the DFS clinic is to provide technical assistance to countries on security issues related to digital financial services and to assist member states to  adopt the ITU DFS security recommendations and develop their own DFS Security Labs to validate that the DFS applications in compliance with the ITU DFS recommendations.</w:t>
      </w:r>
    </w:p>
    <w:p w14:paraId="58D4140A" w14:textId="0E8A6E90" w:rsidR="004D7AE5" w:rsidRPr="004D7AE5" w:rsidRDefault="004D7AE5" w:rsidP="004D7AE5">
      <w:pPr>
        <w:rPr>
          <w:rFonts w:asciiTheme="majorBidi" w:hAnsiTheme="majorBidi" w:cstheme="majorBidi"/>
          <w:sz w:val="24"/>
          <w:szCs w:val="24"/>
          <w:lang w:eastAsia="en-US"/>
        </w:rPr>
      </w:pPr>
      <w:r w:rsidRPr="004D7AE5">
        <w:rPr>
          <w:rFonts w:asciiTheme="majorBidi" w:hAnsiTheme="majorBidi" w:cstheme="majorBidi"/>
          <w:sz w:val="24"/>
          <w:szCs w:val="24"/>
          <w:lang w:eastAsia="en-US"/>
        </w:rPr>
        <w:t>On 30 January 2025, TSB in collaboration with the BDT through the Regional office for Africa actively participated in a virtual meeting of ITU-T Study Group 13 Regional Group for Africa was held, where WTSA-24 results of importance for African region were deliberated. The meeting also discussed the importance of mapping African challenges to the standardization works carried in SG-13 in this study period and ensure active participation of members in the standardization process.</w:t>
      </w:r>
    </w:p>
    <w:p w14:paraId="51793299" w14:textId="4CCB2B7F" w:rsidR="004D7AE5" w:rsidRPr="004D7AE5" w:rsidRDefault="004D7AE5" w:rsidP="004D7AE5">
      <w:pPr>
        <w:rPr>
          <w:rFonts w:asciiTheme="majorBidi" w:hAnsiTheme="majorBidi" w:cstheme="majorBidi"/>
          <w:sz w:val="24"/>
          <w:szCs w:val="24"/>
          <w:lang w:eastAsia="en-US"/>
        </w:rPr>
      </w:pPr>
      <w:r w:rsidRPr="004D7AE5">
        <w:rPr>
          <w:rFonts w:asciiTheme="majorBidi" w:hAnsiTheme="majorBidi" w:cstheme="majorBidi"/>
          <w:sz w:val="24"/>
          <w:szCs w:val="24"/>
          <w:lang w:eastAsia="en-US"/>
        </w:rPr>
        <w:t>On 25th February, TSB in collaboration with the BDT through the Regional office for Africa held a webinar on Metaverse Regulation and Policy for African Countries – Jointly Organized by ATU &amp; ITU. The webinar explored among others, the transformative potential of virtual worlds and the metaverse in Africa’s digital landscape. The opportunities for innovation, economic growth, and social impact, while addressing the challenges of governance, infrastructure, and inclusion in shaping a sustainable digital future were discussed. The webinar also made a deep dive on the regulatory challenges and opportunities presented by virtual worlds and the metaverse in Africa. It explored key policy implications, including governance frameworks, digital rights, and cross-border collaboration. The two hours session was attended by more than 78 participants.</w:t>
      </w:r>
    </w:p>
    <w:p w14:paraId="3196F458" w14:textId="77777777" w:rsidR="004D7AE5" w:rsidRPr="004D7AE5" w:rsidRDefault="004D7AE5" w:rsidP="004D7AE5">
      <w:pPr>
        <w:rPr>
          <w:rFonts w:asciiTheme="majorBidi" w:hAnsiTheme="majorBidi" w:cstheme="majorBidi"/>
          <w:sz w:val="24"/>
          <w:szCs w:val="24"/>
          <w:lang w:eastAsia="en-US"/>
        </w:rPr>
      </w:pPr>
      <w:r w:rsidRPr="004D7AE5">
        <w:rPr>
          <w:rFonts w:asciiTheme="majorBidi" w:hAnsiTheme="majorBidi" w:cstheme="majorBidi"/>
          <w:sz w:val="24"/>
          <w:szCs w:val="24"/>
          <w:lang w:eastAsia="en-US"/>
        </w:rPr>
        <w:t>On 12th March 2025, TSB in collaboration with the BDT through the Regional office for Africa actively participated in a virtual meeting on the review of WTSA-24 Outcomes and Implications for Africa organized by the African Telecommunications Union (ATU). The meeting brought together ITU, policymakers, regulators, experts in Telecommunications/ICTs standardization work, technologists, industry leaders, academia, and civil society groups to discuss and explore the Africa strategies and priorities for standardization development this study circle. The online meeting was attended by 178 participants.</w:t>
      </w:r>
    </w:p>
    <w:p w14:paraId="0C37B6A7" w14:textId="77777777" w:rsidR="004D7AE5" w:rsidRPr="004D7AE5" w:rsidRDefault="004D7AE5" w:rsidP="004D7AE5">
      <w:pPr>
        <w:rPr>
          <w:lang w:eastAsia="en-US"/>
        </w:rPr>
      </w:pPr>
    </w:p>
    <w:p w14:paraId="1D5A084E" w14:textId="77777777" w:rsidR="002F7191" w:rsidRPr="00253919" w:rsidRDefault="002F7191" w:rsidP="002F7191">
      <w:pPr>
        <w:spacing w:before="120"/>
        <w:rPr>
          <w:rFonts w:ascii="Times New Roman" w:hAnsi="Times New Roman" w:cs="Times New Roman"/>
          <w:bCs/>
          <w:sz w:val="24"/>
          <w:szCs w:val="24"/>
        </w:rPr>
      </w:pPr>
      <w:r w:rsidRPr="00253919">
        <w:rPr>
          <w:rFonts w:ascii="Times New Roman" w:hAnsi="Times New Roman" w:cs="Times New Roman"/>
          <w:b/>
          <w:sz w:val="24"/>
          <w:szCs w:val="24"/>
          <w:highlight w:val="cyan"/>
        </w:rPr>
        <w:br w:type="page"/>
      </w:r>
    </w:p>
    <w:p w14:paraId="21FD6A62" w14:textId="77777777" w:rsidR="002F7191" w:rsidRPr="00253919" w:rsidRDefault="002F7191" w:rsidP="002F7191">
      <w:pPr>
        <w:pStyle w:val="Headingb"/>
        <w:rPr>
          <w:szCs w:val="24"/>
        </w:rPr>
      </w:pPr>
      <w:r w:rsidRPr="00253919">
        <w:rPr>
          <w:szCs w:val="24"/>
        </w:rPr>
        <w:lastRenderedPageBreak/>
        <w:t>5</w:t>
      </w:r>
      <w:r w:rsidRPr="00253919">
        <w:rPr>
          <w:szCs w:val="24"/>
        </w:rPr>
        <w:tab/>
        <w:t xml:space="preserve">Americas – Regional Office for the Americas  </w:t>
      </w:r>
    </w:p>
    <w:p w14:paraId="1490451C" w14:textId="77777777" w:rsidR="009A1911" w:rsidRDefault="009A1911" w:rsidP="002F7191">
      <w:pPr>
        <w:rPr>
          <w:rFonts w:ascii="Times New Roman" w:hAnsi="Times New Roman" w:cs="Times New Roman"/>
          <w:sz w:val="24"/>
          <w:szCs w:val="24"/>
          <w:highlight w:val="yellow"/>
        </w:rPr>
      </w:pPr>
    </w:p>
    <w:p w14:paraId="5424B522" w14:textId="77777777" w:rsidR="00810C10" w:rsidRPr="00810C10" w:rsidRDefault="00810C10" w:rsidP="00810C10">
      <w:pPr>
        <w:rPr>
          <w:rFonts w:ascii="Times New Roman" w:hAnsi="Times New Roman" w:cs="Times New Roman"/>
          <w:sz w:val="24"/>
          <w:szCs w:val="24"/>
        </w:rPr>
      </w:pPr>
      <w:r w:rsidRPr="00810C10">
        <w:rPr>
          <w:rFonts w:ascii="Times New Roman" w:hAnsi="Times New Roman" w:cs="Times New Roman"/>
          <w:sz w:val="24"/>
          <w:szCs w:val="24"/>
        </w:rPr>
        <w:t>The ITU Regional Office for the Americas and its Area Offices, in Chile (South America), Honduras (Central America) &amp; Barbados (Caribbean), have continued close coordination with TSB on all activities carried out in the Americas region.</w:t>
      </w:r>
    </w:p>
    <w:p w14:paraId="1F45BBF6" w14:textId="753798C7" w:rsidR="00810C10" w:rsidRPr="00810C10" w:rsidRDefault="00FC6458" w:rsidP="00810C10">
      <w:pPr>
        <w:rPr>
          <w:rFonts w:ascii="Times New Roman" w:hAnsi="Times New Roman" w:cs="Times New Roman"/>
          <w:sz w:val="24"/>
          <w:szCs w:val="24"/>
        </w:rPr>
      </w:pPr>
      <w:r>
        <w:rPr>
          <w:rFonts w:ascii="Times New Roman" w:hAnsi="Times New Roman" w:cs="Times New Roman"/>
          <w:sz w:val="24"/>
          <w:szCs w:val="24"/>
        </w:rPr>
        <w:t>Periodically</w:t>
      </w:r>
      <w:r w:rsidR="00810C10" w:rsidRPr="00810C10">
        <w:rPr>
          <w:rFonts w:ascii="Times New Roman" w:hAnsi="Times New Roman" w:cs="Times New Roman"/>
          <w:sz w:val="24"/>
          <w:szCs w:val="24"/>
        </w:rPr>
        <w:t xml:space="preserve"> coordination calls with the TSB Director and TSB Management team have been held. They were supplemented by consultations at the operational level, wherever relevant or needed.</w:t>
      </w:r>
    </w:p>
    <w:p w14:paraId="6A7ED744" w14:textId="6951932C" w:rsidR="009A1911" w:rsidRPr="0042581D" w:rsidRDefault="009A1911" w:rsidP="009A1911">
      <w:pPr>
        <w:rPr>
          <w:rFonts w:ascii="Times New Roman" w:hAnsi="Times New Roman" w:cs="Times New Roman"/>
          <w:sz w:val="24"/>
          <w:szCs w:val="24"/>
        </w:rPr>
      </w:pPr>
      <w:r w:rsidRPr="0042581D">
        <w:rPr>
          <w:rFonts w:ascii="Times New Roman" w:hAnsi="Times New Roman" w:cs="Times New Roman"/>
          <w:sz w:val="24"/>
          <w:szCs w:val="24"/>
        </w:rPr>
        <w:t>The ITU Regional Office for the Americas has continued close coordination with TSB on activities carried out in the region by supporting Member States by implementing various initiatives and projects across the region</w:t>
      </w:r>
      <w:r w:rsidR="0042581D">
        <w:rPr>
          <w:rFonts w:ascii="Times New Roman" w:hAnsi="Times New Roman" w:cs="Times New Roman"/>
          <w:sz w:val="24"/>
          <w:szCs w:val="24"/>
        </w:rPr>
        <w:t>,</w:t>
      </w:r>
      <w:r w:rsidR="0042581D" w:rsidRPr="0042581D">
        <w:t xml:space="preserve"> </w:t>
      </w:r>
      <w:r w:rsidR="0042581D" w:rsidRPr="0042581D">
        <w:rPr>
          <w:rFonts w:ascii="Times New Roman" w:hAnsi="Times New Roman" w:cs="Times New Roman"/>
          <w:sz w:val="24"/>
          <w:szCs w:val="24"/>
        </w:rPr>
        <w:t>including support in the implementation of regional initiatives</w:t>
      </w:r>
      <w:r w:rsidR="0042581D">
        <w:rPr>
          <w:rFonts w:ascii="Times New Roman" w:hAnsi="Times New Roman" w:cs="Times New Roman"/>
          <w:sz w:val="24"/>
          <w:szCs w:val="24"/>
        </w:rPr>
        <w:t>,</w:t>
      </w:r>
      <w:r w:rsidRPr="0042581D">
        <w:rPr>
          <w:rFonts w:ascii="Times New Roman" w:hAnsi="Times New Roman" w:cs="Times New Roman"/>
          <w:sz w:val="24"/>
          <w:szCs w:val="24"/>
        </w:rPr>
        <w:t xml:space="preserve"> aimed at deploying ICT infrastructure, enhancing digital inclusion, innovation and digital transformation.</w:t>
      </w:r>
    </w:p>
    <w:p w14:paraId="4A3766A7" w14:textId="5706167C" w:rsidR="009A1911" w:rsidRPr="0042581D" w:rsidRDefault="009A1911" w:rsidP="009A1911">
      <w:pPr>
        <w:rPr>
          <w:rFonts w:ascii="Times New Roman" w:hAnsi="Times New Roman" w:cs="Times New Roman"/>
          <w:sz w:val="24"/>
          <w:szCs w:val="24"/>
        </w:rPr>
      </w:pPr>
      <w:r w:rsidRPr="0042581D">
        <w:rPr>
          <w:rFonts w:ascii="Times New Roman" w:hAnsi="Times New Roman" w:cs="Times New Roman"/>
          <w:sz w:val="24"/>
          <w:szCs w:val="24"/>
        </w:rPr>
        <w:t>ITU Regional Office for Americas also facilitate</w:t>
      </w:r>
      <w:r w:rsidR="0042581D" w:rsidRPr="0042581D">
        <w:rPr>
          <w:rFonts w:ascii="Times New Roman" w:hAnsi="Times New Roman" w:cs="Times New Roman"/>
          <w:sz w:val="24"/>
          <w:szCs w:val="24"/>
        </w:rPr>
        <w:t>d</w:t>
      </w:r>
      <w:r w:rsidRPr="0042581D">
        <w:rPr>
          <w:rFonts w:ascii="Times New Roman" w:hAnsi="Times New Roman" w:cs="Times New Roman"/>
          <w:sz w:val="24"/>
          <w:szCs w:val="24"/>
        </w:rPr>
        <w:t xml:space="preserve"> coordination between TSB and regional organizations (CITEL</w:t>
      </w:r>
      <w:r w:rsidR="0042581D">
        <w:rPr>
          <w:rFonts w:ascii="Times New Roman" w:hAnsi="Times New Roman" w:cs="Times New Roman"/>
          <w:sz w:val="24"/>
          <w:szCs w:val="24"/>
        </w:rPr>
        <w:t>, mainly in PCC.I</w:t>
      </w:r>
      <w:r w:rsidRPr="0042581D">
        <w:rPr>
          <w:rFonts w:ascii="Times New Roman" w:hAnsi="Times New Roman" w:cs="Times New Roman"/>
          <w:sz w:val="24"/>
          <w:szCs w:val="24"/>
        </w:rPr>
        <w:t>) for the preparatory process for WTSA and provide</w:t>
      </w:r>
      <w:r w:rsidR="0042581D" w:rsidRPr="0042581D">
        <w:rPr>
          <w:rFonts w:ascii="Times New Roman" w:hAnsi="Times New Roman" w:cs="Times New Roman"/>
          <w:sz w:val="24"/>
          <w:szCs w:val="24"/>
        </w:rPr>
        <w:t>d</w:t>
      </w:r>
      <w:r w:rsidRPr="0042581D">
        <w:rPr>
          <w:rFonts w:ascii="Times New Roman" w:hAnsi="Times New Roman" w:cs="Times New Roman"/>
          <w:sz w:val="24"/>
          <w:szCs w:val="24"/>
        </w:rPr>
        <w:t xml:space="preserve"> any assistance necessary to ensure regional engagement. As well as on the Bridging the Standardization Gap (BSG), the AMS RO is supporting TSB at the highest level of relevant events or platforms in the Regions through the revamped products and services of Bridging the Standardization Gap (cf., Resolution 123 of PP-22 &amp; 44 of WTSA-2</w:t>
      </w:r>
      <w:r w:rsidR="0042581D" w:rsidRPr="0042581D">
        <w:rPr>
          <w:rFonts w:ascii="Times New Roman" w:hAnsi="Times New Roman" w:cs="Times New Roman"/>
          <w:sz w:val="24"/>
          <w:szCs w:val="24"/>
        </w:rPr>
        <w:t>4</w:t>
      </w:r>
      <w:r w:rsidRPr="0042581D">
        <w:rPr>
          <w:rFonts w:ascii="Times New Roman" w:hAnsi="Times New Roman" w:cs="Times New Roman"/>
          <w:sz w:val="24"/>
          <w:szCs w:val="24"/>
        </w:rPr>
        <w:t>). Overall, the Regional Office is facilitating the organization of bilateral meetings in the region as per TSB request.</w:t>
      </w:r>
    </w:p>
    <w:p w14:paraId="16BA41C1" w14:textId="3E824CAB" w:rsidR="009A1911" w:rsidRPr="0042581D" w:rsidRDefault="009A1911" w:rsidP="00E81EDD">
      <w:pPr>
        <w:rPr>
          <w:rFonts w:ascii="Times New Roman" w:hAnsi="Times New Roman" w:cs="Times New Roman"/>
          <w:sz w:val="24"/>
          <w:szCs w:val="24"/>
        </w:rPr>
      </w:pPr>
      <w:r w:rsidRPr="0042581D">
        <w:rPr>
          <w:rFonts w:ascii="Times New Roman" w:hAnsi="Times New Roman" w:cs="Times New Roman"/>
          <w:sz w:val="24"/>
          <w:szCs w:val="24"/>
        </w:rPr>
        <w:t>Active participation of TSB in the 1</w:t>
      </w:r>
      <w:r w:rsidR="00E81EDD" w:rsidRPr="0042581D">
        <w:rPr>
          <w:rFonts w:ascii="Times New Roman" w:hAnsi="Times New Roman" w:cs="Times New Roman"/>
          <w:sz w:val="24"/>
          <w:szCs w:val="24"/>
        </w:rPr>
        <w:t>1</w:t>
      </w:r>
      <w:r w:rsidRPr="0042581D">
        <w:rPr>
          <w:rFonts w:ascii="Times New Roman" w:hAnsi="Times New Roman" w:cs="Times New Roman"/>
          <w:sz w:val="24"/>
          <w:szCs w:val="24"/>
        </w:rPr>
        <w:t>th edition of Accessible Americas: ICT for ALL, held in November 202</w:t>
      </w:r>
      <w:r w:rsidR="00E81EDD" w:rsidRPr="0042581D">
        <w:rPr>
          <w:rFonts w:ascii="Times New Roman" w:hAnsi="Times New Roman" w:cs="Times New Roman"/>
          <w:sz w:val="24"/>
          <w:szCs w:val="24"/>
        </w:rPr>
        <w:t>4</w:t>
      </w:r>
      <w:r w:rsidRPr="0042581D">
        <w:rPr>
          <w:rFonts w:ascii="Times New Roman" w:hAnsi="Times New Roman" w:cs="Times New Roman"/>
          <w:sz w:val="24"/>
          <w:szCs w:val="24"/>
        </w:rPr>
        <w:t xml:space="preserve"> in </w:t>
      </w:r>
      <w:r w:rsidR="00E81EDD" w:rsidRPr="0042581D">
        <w:rPr>
          <w:rFonts w:ascii="Times New Roman" w:hAnsi="Times New Roman" w:cs="Times New Roman"/>
          <w:sz w:val="24"/>
          <w:szCs w:val="24"/>
        </w:rPr>
        <w:t>Mexico City</w:t>
      </w:r>
      <w:r w:rsidRPr="0042581D">
        <w:rPr>
          <w:rFonts w:ascii="Times New Roman" w:hAnsi="Times New Roman" w:cs="Times New Roman"/>
          <w:sz w:val="24"/>
          <w:szCs w:val="24"/>
        </w:rPr>
        <w:t xml:space="preserve">, </w:t>
      </w:r>
      <w:r w:rsidR="00E81EDD" w:rsidRPr="0042581D">
        <w:rPr>
          <w:rFonts w:ascii="Times New Roman" w:hAnsi="Times New Roman" w:cs="Times New Roman"/>
          <w:sz w:val="24"/>
          <w:szCs w:val="24"/>
        </w:rPr>
        <w:t>Mexico</w:t>
      </w:r>
      <w:r w:rsidRPr="0042581D">
        <w:rPr>
          <w:rFonts w:ascii="Times New Roman" w:hAnsi="Times New Roman" w:cs="Times New Roman"/>
          <w:sz w:val="24"/>
          <w:szCs w:val="24"/>
        </w:rPr>
        <w:t xml:space="preserve">, by sharing knowledge and expertise in the field of </w:t>
      </w:r>
      <w:r w:rsidR="00E81EDD" w:rsidRPr="0042581D">
        <w:rPr>
          <w:rFonts w:ascii="Times New Roman" w:hAnsi="Times New Roman" w:cs="Times New Roman"/>
          <w:sz w:val="24"/>
          <w:szCs w:val="24"/>
        </w:rPr>
        <w:t>Emerging Technologies: Artificial Intelligence as a catalyst for digital inclusion. Also, in the Internet usage gap in the Americas Region. Data, challenges, and opportunities.</w:t>
      </w:r>
    </w:p>
    <w:p w14:paraId="5FB9DD41" w14:textId="27A55A63" w:rsidR="00E81EDD" w:rsidRPr="0042581D" w:rsidRDefault="00E81EDD" w:rsidP="00E81EDD">
      <w:pPr>
        <w:rPr>
          <w:rFonts w:ascii="Times New Roman" w:hAnsi="Times New Roman" w:cs="Times New Roman"/>
          <w:sz w:val="24"/>
          <w:szCs w:val="24"/>
        </w:rPr>
      </w:pPr>
      <w:r w:rsidRPr="0042581D">
        <w:rPr>
          <w:rFonts w:ascii="Times New Roman" w:hAnsi="Times New Roman" w:cs="Times New Roman"/>
          <w:sz w:val="24"/>
          <w:szCs w:val="24"/>
        </w:rPr>
        <w:t>Active participation of TSB in the Regional Economic Dialogue (RED-AMS) in September 2024 in Lima, Peru, by sharing knowledge and expertise in the field of Ongoing work of ITU-T Study Group 3 and Focus Group on Cost of Data (FG-CD), also on Circular Economy.</w:t>
      </w:r>
    </w:p>
    <w:p w14:paraId="70CC11D5" w14:textId="6812C92E" w:rsidR="00E81EDD" w:rsidRPr="00CC5CC0" w:rsidRDefault="00CC5CC0" w:rsidP="00E81EDD">
      <w:pPr>
        <w:rPr>
          <w:rFonts w:ascii="Times New Roman" w:hAnsi="Times New Roman" w:cs="Times New Roman"/>
          <w:sz w:val="24"/>
          <w:szCs w:val="24"/>
          <w:highlight w:val="yellow"/>
        </w:rPr>
      </w:pPr>
      <w:r w:rsidRPr="0042581D">
        <w:rPr>
          <w:rFonts w:ascii="Times New Roman" w:hAnsi="Times New Roman" w:cs="Times New Roman"/>
          <w:sz w:val="24"/>
          <w:szCs w:val="24"/>
        </w:rPr>
        <w:t>The Regional supported the implementation of the ITU-T Meeting of Study Group 3 Regional Group for Latin America and the Caribbean (SG3RG-LAC) and the Meeting of ITU-T Study Group 5 Regional Group for Latin America (SG5RG-LATAM) and events related to Environment, Climate Change, and the Circular Economy, held in Lima, Peru, in November 2024.</w:t>
      </w:r>
    </w:p>
    <w:p w14:paraId="3BDC9898" w14:textId="77777777" w:rsidR="00E81EDD" w:rsidRPr="00E81EDD" w:rsidRDefault="00E81EDD" w:rsidP="009A1911">
      <w:pPr>
        <w:rPr>
          <w:rFonts w:ascii="Times New Roman" w:hAnsi="Times New Roman" w:cs="Times New Roman"/>
          <w:sz w:val="24"/>
          <w:szCs w:val="24"/>
          <w:highlight w:val="yellow"/>
        </w:rPr>
      </w:pPr>
    </w:p>
    <w:p w14:paraId="11E70779" w14:textId="7DB7FEE3" w:rsidR="002F7191" w:rsidRPr="00253919" w:rsidRDefault="002F7191" w:rsidP="002F7191">
      <w:pPr>
        <w:rPr>
          <w:rFonts w:ascii="Times New Roman" w:hAnsi="Times New Roman" w:cs="Times New Roman"/>
          <w:sz w:val="24"/>
          <w:szCs w:val="24"/>
          <w:highlight w:val="yellow"/>
          <w:lang w:eastAsia="en-US"/>
        </w:rPr>
      </w:pPr>
      <w:r w:rsidRPr="00253919">
        <w:rPr>
          <w:rFonts w:ascii="Times New Roman" w:hAnsi="Times New Roman" w:cs="Times New Roman"/>
          <w:sz w:val="24"/>
          <w:szCs w:val="24"/>
          <w:highlight w:val="yellow"/>
        </w:rPr>
        <w:br w:type="page"/>
      </w:r>
    </w:p>
    <w:p w14:paraId="6960B903" w14:textId="77777777" w:rsidR="00BB1C1F" w:rsidRDefault="002F7191" w:rsidP="00031BB9">
      <w:pPr>
        <w:pStyle w:val="Headingb"/>
        <w:rPr>
          <w:szCs w:val="24"/>
        </w:rPr>
      </w:pPr>
      <w:r w:rsidRPr="00253919">
        <w:rPr>
          <w:szCs w:val="24"/>
        </w:rPr>
        <w:lastRenderedPageBreak/>
        <w:t>6</w:t>
      </w:r>
      <w:r w:rsidRPr="00253919">
        <w:rPr>
          <w:szCs w:val="24"/>
        </w:rPr>
        <w:tab/>
        <w:t>Arab States - Regional Office for the Arab States</w:t>
      </w:r>
    </w:p>
    <w:p w14:paraId="6F630AA6" w14:textId="77777777" w:rsidR="00BB1C1F" w:rsidRDefault="00BB1C1F" w:rsidP="00BB1C1F">
      <w:pPr>
        <w:rPr>
          <w:rFonts w:ascii="Times New Roman" w:hAnsi="Times New Roman" w:cs="Times New Roman"/>
          <w:sz w:val="24"/>
          <w:szCs w:val="24"/>
        </w:rPr>
      </w:pPr>
    </w:p>
    <w:p w14:paraId="16E45CE6" w14:textId="1851C276" w:rsidR="00BB1C1F" w:rsidRDefault="00BB1C1F" w:rsidP="00BB1C1F">
      <w:pPr>
        <w:rPr>
          <w:rFonts w:ascii="Times New Roman" w:hAnsi="Times New Roman" w:cs="Times New Roman"/>
          <w:sz w:val="24"/>
          <w:szCs w:val="24"/>
        </w:rPr>
      </w:pPr>
      <w:r>
        <w:rPr>
          <w:rFonts w:ascii="Times New Roman" w:hAnsi="Times New Roman" w:cs="Times New Roman"/>
          <w:sz w:val="24"/>
          <w:szCs w:val="24"/>
        </w:rPr>
        <w:t xml:space="preserve">The ITU </w:t>
      </w:r>
      <w:r w:rsidRPr="00810C10">
        <w:rPr>
          <w:rFonts w:ascii="Times New Roman" w:hAnsi="Times New Roman" w:cs="Times New Roman"/>
          <w:sz w:val="24"/>
          <w:szCs w:val="24"/>
        </w:rPr>
        <w:t xml:space="preserve">Regional Office for the </w:t>
      </w:r>
      <w:r>
        <w:rPr>
          <w:rFonts w:ascii="Times New Roman" w:hAnsi="Times New Roman" w:cs="Times New Roman"/>
          <w:sz w:val="24"/>
          <w:szCs w:val="24"/>
        </w:rPr>
        <w:t xml:space="preserve">Arab States in Cairo has been engaging with membership in TSB related activities across the region.  </w:t>
      </w:r>
    </w:p>
    <w:p w14:paraId="4C72DD5E" w14:textId="40B49F1D" w:rsidR="00BB1C1F" w:rsidRPr="00CC5CC0" w:rsidRDefault="00BB1C1F" w:rsidP="00BB1C1F">
      <w:pPr>
        <w:rPr>
          <w:rFonts w:ascii="Times New Roman" w:hAnsi="Times New Roman" w:cs="Times New Roman"/>
          <w:sz w:val="24"/>
          <w:szCs w:val="24"/>
          <w:highlight w:val="yellow"/>
        </w:rPr>
      </w:pPr>
      <w:r w:rsidRPr="0042581D">
        <w:rPr>
          <w:rFonts w:ascii="Times New Roman" w:hAnsi="Times New Roman" w:cs="Times New Roman"/>
          <w:sz w:val="24"/>
          <w:szCs w:val="24"/>
        </w:rPr>
        <w:t xml:space="preserve">The Regional supported the </w:t>
      </w:r>
      <w:r>
        <w:rPr>
          <w:rFonts w:ascii="Times New Roman" w:hAnsi="Times New Roman" w:cs="Times New Roman"/>
          <w:sz w:val="24"/>
          <w:szCs w:val="24"/>
        </w:rPr>
        <w:t>preparations and the hosting</w:t>
      </w:r>
      <w:r w:rsidRPr="0042581D">
        <w:rPr>
          <w:rFonts w:ascii="Times New Roman" w:hAnsi="Times New Roman" w:cs="Times New Roman"/>
          <w:sz w:val="24"/>
          <w:szCs w:val="24"/>
        </w:rPr>
        <w:t xml:space="preserve"> of the ITU-T Meeting of Study Group 3 Regional Group for </w:t>
      </w:r>
      <w:r>
        <w:rPr>
          <w:rFonts w:ascii="Times New Roman" w:hAnsi="Times New Roman" w:cs="Times New Roman"/>
          <w:sz w:val="24"/>
          <w:szCs w:val="24"/>
        </w:rPr>
        <w:t xml:space="preserve">Arab States </w:t>
      </w:r>
      <w:r w:rsidRPr="0042581D">
        <w:rPr>
          <w:rFonts w:ascii="Times New Roman" w:hAnsi="Times New Roman" w:cs="Times New Roman"/>
          <w:sz w:val="24"/>
          <w:szCs w:val="24"/>
        </w:rPr>
        <w:t>(SG3RG-</w:t>
      </w:r>
      <w:r>
        <w:rPr>
          <w:rFonts w:ascii="Times New Roman" w:hAnsi="Times New Roman" w:cs="Times New Roman"/>
          <w:sz w:val="24"/>
          <w:szCs w:val="24"/>
        </w:rPr>
        <w:t>ARB</w:t>
      </w:r>
      <w:r w:rsidRPr="0042581D">
        <w:rPr>
          <w:rFonts w:ascii="Times New Roman" w:hAnsi="Times New Roman" w:cs="Times New Roman"/>
          <w:sz w:val="24"/>
          <w:szCs w:val="24"/>
        </w:rPr>
        <w:t xml:space="preserve">), held in </w:t>
      </w:r>
      <w:r>
        <w:rPr>
          <w:rFonts w:ascii="Times New Roman" w:hAnsi="Times New Roman" w:cs="Times New Roman"/>
          <w:sz w:val="24"/>
          <w:szCs w:val="24"/>
        </w:rPr>
        <w:t>Amman</w:t>
      </w:r>
      <w:r w:rsidRPr="0042581D">
        <w:rPr>
          <w:rFonts w:ascii="Times New Roman" w:hAnsi="Times New Roman" w:cs="Times New Roman"/>
          <w:sz w:val="24"/>
          <w:szCs w:val="24"/>
        </w:rPr>
        <w:t xml:space="preserve">, </w:t>
      </w:r>
      <w:r>
        <w:rPr>
          <w:rFonts w:ascii="Times New Roman" w:hAnsi="Times New Roman" w:cs="Times New Roman"/>
          <w:sz w:val="24"/>
          <w:szCs w:val="24"/>
        </w:rPr>
        <w:t>Jordan</w:t>
      </w:r>
      <w:r w:rsidRPr="0042581D">
        <w:rPr>
          <w:rFonts w:ascii="Times New Roman" w:hAnsi="Times New Roman" w:cs="Times New Roman"/>
          <w:sz w:val="24"/>
          <w:szCs w:val="24"/>
        </w:rPr>
        <w:t xml:space="preserve">, in </w:t>
      </w:r>
      <w:r>
        <w:rPr>
          <w:rFonts w:ascii="Times New Roman" w:hAnsi="Times New Roman" w:cs="Times New Roman"/>
          <w:sz w:val="24"/>
          <w:szCs w:val="24"/>
        </w:rPr>
        <w:t xml:space="preserve">February </w:t>
      </w:r>
      <w:r w:rsidRPr="0042581D">
        <w:rPr>
          <w:rFonts w:ascii="Times New Roman" w:hAnsi="Times New Roman" w:cs="Times New Roman"/>
          <w:sz w:val="24"/>
          <w:szCs w:val="24"/>
        </w:rPr>
        <w:t>202</w:t>
      </w:r>
      <w:r>
        <w:rPr>
          <w:rFonts w:ascii="Times New Roman" w:hAnsi="Times New Roman" w:cs="Times New Roman"/>
          <w:sz w:val="24"/>
          <w:szCs w:val="24"/>
        </w:rPr>
        <w:t>5</w:t>
      </w:r>
      <w:r w:rsidRPr="0042581D">
        <w:rPr>
          <w:rFonts w:ascii="Times New Roman" w:hAnsi="Times New Roman" w:cs="Times New Roman"/>
          <w:sz w:val="24"/>
          <w:szCs w:val="24"/>
        </w:rPr>
        <w:t>.</w:t>
      </w:r>
    </w:p>
    <w:p w14:paraId="454C87CA" w14:textId="77777777" w:rsidR="00BB1C1F" w:rsidRDefault="00BB1C1F" w:rsidP="00BB1C1F">
      <w:pPr>
        <w:rPr>
          <w:rFonts w:ascii="Times New Roman" w:hAnsi="Times New Roman" w:cs="Times New Roman"/>
          <w:sz w:val="24"/>
          <w:szCs w:val="24"/>
        </w:rPr>
      </w:pPr>
      <w:r w:rsidRPr="00BB1C1F">
        <w:rPr>
          <w:rFonts w:ascii="Times New Roman" w:hAnsi="Times New Roman" w:cs="Times New Roman"/>
          <w:sz w:val="24"/>
          <w:szCs w:val="24"/>
        </w:rPr>
        <w:t>Periodically coordination calls with the TSB Director and TSB Management team have been held. They were supplemented by consultations at the operational level, wherever relevant or needed.</w:t>
      </w:r>
    </w:p>
    <w:p w14:paraId="46CEEBFA" w14:textId="6976EF8B" w:rsidR="00BB1C1F" w:rsidRDefault="00BB1C1F" w:rsidP="00BB1C1F">
      <w:pPr>
        <w:rPr>
          <w:rFonts w:ascii="Times New Roman" w:hAnsi="Times New Roman" w:cs="Times New Roman"/>
          <w:sz w:val="24"/>
          <w:szCs w:val="24"/>
        </w:rPr>
      </w:pPr>
      <w:r>
        <w:rPr>
          <w:rFonts w:ascii="Times New Roman" w:hAnsi="Times New Roman" w:cs="Times New Roman"/>
          <w:sz w:val="24"/>
          <w:szCs w:val="24"/>
        </w:rPr>
        <w:t xml:space="preserve">Close collaboration is done with the team in TSB for the preparation and membership attendance to the AI4Good summit 2025. </w:t>
      </w:r>
    </w:p>
    <w:p w14:paraId="652F4434" w14:textId="104D2702" w:rsidR="00BB1C1F" w:rsidRDefault="00BB1C1F" w:rsidP="00BB1C1F">
      <w:pPr>
        <w:rPr>
          <w:rFonts w:ascii="Times New Roman" w:hAnsi="Times New Roman" w:cs="Times New Roman"/>
          <w:sz w:val="24"/>
          <w:szCs w:val="24"/>
        </w:rPr>
      </w:pPr>
      <w:r>
        <w:rPr>
          <w:rFonts w:ascii="Times New Roman" w:hAnsi="Times New Roman" w:cs="Times New Roman"/>
          <w:sz w:val="24"/>
          <w:szCs w:val="24"/>
        </w:rPr>
        <w:t>The Regional office has been hosting a G-staff member of the TSB in the office in Cairo and this has also been beneficial for the coordination work with TSB in relation to the T-sector meetings and work.</w:t>
      </w:r>
    </w:p>
    <w:p w14:paraId="67166693" w14:textId="1A8D99A8" w:rsidR="002F7191" w:rsidRPr="00BB1C1F" w:rsidRDefault="002F7191" w:rsidP="00BB1C1F">
      <w:pPr>
        <w:rPr>
          <w:rFonts w:ascii="Times New Roman" w:hAnsi="Times New Roman" w:cs="Times New Roman"/>
          <w:sz w:val="24"/>
          <w:szCs w:val="24"/>
        </w:rPr>
      </w:pPr>
      <w:r w:rsidRPr="00BB1C1F">
        <w:rPr>
          <w:rFonts w:ascii="Times New Roman" w:hAnsi="Times New Roman" w:cs="Times New Roman"/>
          <w:sz w:val="24"/>
          <w:szCs w:val="24"/>
        </w:rPr>
        <w:br w:type="page"/>
      </w:r>
    </w:p>
    <w:p w14:paraId="3F646D4A" w14:textId="77777777" w:rsidR="00CE4D57" w:rsidRDefault="002F7191" w:rsidP="00CE4D57">
      <w:pPr>
        <w:pStyle w:val="Heading4"/>
        <w:ind w:left="709" w:hanging="709"/>
        <w:rPr>
          <w:rFonts w:ascii="Times New Roman" w:eastAsia="Times New Roman" w:hAnsi="Times New Roman" w:cs="Times New Roman"/>
          <w:b/>
          <w:i w:val="0"/>
          <w:iCs w:val="0"/>
          <w:color w:val="auto"/>
          <w:sz w:val="24"/>
          <w:szCs w:val="24"/>
          <w:lang w:eastAsia="en-US"/>
        </w:rPr>
      </w:pPr>
      <w:r w:rsidRPr="00031BB9">
        <w:rPr>
          <w:rFonts w:ascii="Times New Roman" w:eastAsia="Times New Roman" w:hAnsi="Times New Roman" w:cs="Times New Roman"/>
          <w:b/>
          <w:i w:val="0"/>
          <w:iCs w:val="0"/>
          <w:color w:val="auto"/>
          <w:sz w:val="24"/>
          <w:szCs w:val="24"/>
          <w:lang w:eastAsia="en-US"/>
        </w:rPr>
        <w:lastRenderedPageBreak/>
        <w:t>7</w:t>
      </w:r>
      <w:r w:rsidRPr="00031BB9">
        <w:rPr>
          <w:rFonts w:ascii="Times New Roman" w:eastAsia="Times New Roman" w:hAnsi="Times New Roman" w:cs="Times New Roman"/>
          <w:b/>
          <w:i w:val="0"/>
          <w:iCs w:val="0"/>
          <w:color w:val="auto"/>
          <w:sz w:val="24"/>
          <w:szCs w:val="24"/>
          <w:lang w:eastAsia="en-US"/>
        </w:rPr>
        <w:tab/>
        <w:t>Asia and the Pacific - Regional Office for Asia and the Pacific</w:t>
      </w:r>
    </w:p>
    <w:p w14:paraId="0AC1860E" w14:textId="77777777" w:rsidR="00CE4D57" w:rsidRPr="00A26C7E" w:rsidRDefault="00CE4D57" w:rsidP="00CE4D57">
      <w:pPr>
        <w:keepNext/>
        <w:spacing w:before="240" w:after="60" w:line="240" w:lineRule="auto"/>
        <w:outlineLvl w:val="3"/>
        <w:rPr>
          <w:rFonts w:ascii="Times New Roman" w:eastAsia="Times New Roman" w:hAnsi="Times New Roman" w:cs="Times New Roman"/>
          <w:sz w:val="24"/>
          <w:szCs w:val="24"/>
        </w:rPr>
      </w:pPr>
      <w:r w:rsidRPr="00A26C7E">
        <w:rPr>
          <w:rFonts w:ascii="Times New Roman" w:eastAsia="Times New Roman" w:hAnsi="Times New Roman" w:cs="Times New Roman"/>
          <w:sz w:val="24"/>
          <w:szCs w:val="24"/>
        </w:rPr>
        <w:t xml:space="preserve">The ITU Regional Office for Asia and the Pacific coordinates closely with TSB on activities carried out in the Asia-Pacific region. Consultations are held at the operational level, wherever relevant or needed. The ITU Regional Office for Asia and the Pacific has also been providing support to the TSB with APT and with regional standardization bodies. </w:t>
      </w:r>
    </w:p>
    <w:p w14:paraId="3D4081AE" w14:textId="77777777" w:rsidR="00CE4D57" w:rsidRPr="00A26C7E" w:rsidRDefault="00CE4D57" w:rsidP="00CE4D57">
      <w:pPr>
        <w:keepNext/>
        <w:spacing w:before="240" w:after="60" w:line="240" w:lineRule="auto"/>
        <w:outlineLvl w:val="3"/>
        <w:rPr>
          <w:rFonts w:ascii="Times New Roman" w:eastAsia="Times New Roman" w:hAnsi="Times New Roman" w:cs="Times New Roman"/>
          <w:sz w:val="24"/>
          <w:szCs w:val="24"/>
        </w:rPr>
      </w:pPr>
      <w:r w:rsidRPr="00A26C7E">
        <w:rPr>
          <w:rFonts w:ascii="Times New Roman" w:eastAsia="Times New Roman" w:hAnsi="Times New Roman" w:cs="Times New Roman"/>
          <w:sz w:val="24"/>
          <w:szCs w:val="24"/>
        </w:rPr>
        <w:t>What follows are some of the specific activities that the Regional Office coordinated/assisted TSB with:</w:t>
      </w:r>
    </w:p>
    <w:p w14:paraId="6EBBCBB2" w14:textId="77777777" w:rsidR="00CE4D57" w:rsidRPr="00A26C7E" w:rsidRDefault="00CE4D57" w:rsidP="00CE4D57">
      <w:pPr>
        <w:spacing w:after="0" w:line="240" w:lineRule="auto"/>
        <w:rPr>
          <w:rFonts w:ascii="Times New Roman" w:eastAsia="Times New Roman" w:hAnsi="Times New Roman" w:cs="Times New Roman"/>
          <w:b/>
          <w:bCs/>
          <w:sz w:val="24"/>
          <w:szCs w:val="24"/>
        </w:rPr>
      </w:pPr>
    </w:p>
    <w:p w14:paraId="3582638D" w14:textId="77777777" w:rsidR="00CE4D57" w:rsidRPr="00A26C7E" w:rsidRDefault="00CE4D57" w:rsidP="00CE4D57">
      <w:pPr>
        <w:spacing w:after="0" w:line="240" w:lineRule="auto"/>
        <w:rPr>
          <w:rFonts w:ascii="Times New Roman" w:eastAsia="Times New Roman" w:hAnsi="Times New Roman" w:cs="Times New Roman"/>
          <w:b/>
          <w:bCs/>
          <w:sz w:val="24"/>
          <w:szCs w:val="24"/>
          <w:lang w:val="en-US"/>
        </w:rPr>
      </w:pPr>
      <w:r w:rsidRPr="00A26C7E">
        <w:rPr>
          <w:rFonts w:ascii="Times New Roman" w:eastAsia="Times New Roman" w:hAnsi="Times New Roman" w:cs="Times New Roman"/>
          <w:b/>
          <w:bCs/>
          <w:sz w:val="24"/>
          <w:szCs w:val="24"/>
        </w:rPr>
        <w:t xml:space="preserve">Project on Enhancing the Development of Standards and Frameworks for Critical Technologies in </w:t>
      </w:r>
      <w:r w:rsidRPr="00A26C7E">
        <w:rPr>
          <w:rFonts w:ascii="Times New Roman" w:eastAsia="Times New Roman" w:hAnsi="Times New Roman" w:cs="Times New Roman"/>
          <w:b/>
          <w:bCs/>
          <w:sz w:val="24"/>
          <w:szCs w:val="24"/>
          <w:lang w:val="en-US"/>
        </w:rPr>
        <w:t>Southeast Asia</w:t>
      </w:r>
    </w:p>
    <w:p w14:paraId="6631E3AC" w14:textId="77777777" w:rsidR="00CE4D57" w:rsidRPr="00A26C7E" w:rsidRDefault="00CE4D57" w:rsidP="00CE4D57">
      <w:pPr>
        <w:numPr>
          <w:ilvl w:val="0"/>
          <w:numId w:val="3"/>
        </w:numPr>
        <w:spacing w:after="0" w:line="240" w:lineRule="auto"/>
        <w:contextualSpacing/>
        <w:rPr>
          <w:rFonts w:ascii="Times New Roman" w:eastAsia="Times New Roman" w:hAnsi="Times New Roman" w:cs="Times New Roman"/>
          <w:sz w:val="24"/>
          <w:szCs w:val="24"/>
          <w:lang w:val="en-US"/>
        </w:rPr>
      </w:pPr>
      <w:r w:rsidRPr="00A26C7E">
        <w:rPr>
          <w:rFonts w:ascii="Times New Roman" w:eastAsia="Times New Roman" w:hAnsi="Times New Roman" w:cs="Times New Roman"/>
          <w:sz w:val="24"/>
          <w:szCs w:val="24"/>
          <w:lang w:val="en-US"/>
        </w:rPr>
        <w:t xml:space="preserve">Following consultations with TSB and discussions with the Government of Australia’s Department for Foreign Affairs and Trade (DFAT), the ITU team successfully signed a grant agreement on 4 June 2021 with DFAT on this project, under its Cyber and Critical Tech Cooperation Program. This project was successfully extended in 2022 for the full four-year duration and </w:t>
      </w:r>
      <w:r>
        <w:rPr>
          <w:rFonts w:ascii="Times New Roman" w:eastAsia="Times New Roman" w:hAnsi="Times New Roman" w:cs="Times New Roman"/>
          <w:sz w:val="24"/>
          <w:szCs w:val="24"/>
          <w:lang w:val="en-US"/>
        </w:rPr>
        <w:t>was successfully concluded on 31 December 2024</w:t>
      </w:r>
      <w:r w:rsidRPr="00A26C7E">
        <w:rPr>
          <w:rFonts w:ascii="Times New Roman" w:eastAsia="Times New Roman" w:hAnsi="Times New Roman" w:cs="Times New Roman"/>
          <w:sz w:val="24"/>
          <w:szCs w:val="24"/>
          <w:lang w:val="en-US"/>
        </w:rPr>
        <w:t>.</w:t>
      </w:r>
    </w:p>
    <w:p w14:paraId="22F83A51" w14:textId="77777777" w:rsidR="00CE4D57" w:rsidRPr="00A26C7E" w:rsidRDefault="00CE4D57" w:rsidP="00CE4D57">
      <w:pPr>
        <w:numPr>
          <w:ilvl w:val="0"/>
          <w:numId w:val="3"/>
        </w:numPr>
        <w:spacing w:after="0" w:line="240" w:lineRule="auto"/>
        <w:contextualSpacing/>
        <w:rPr>
          <w:rFonts w:ascii="Times New Roman" w:eastAsia="Times New Roman" w:hAnsi="Times New Roman" w:cs="Times New Roman"/>
          <w:sz w:val="24"/>
          <w:szCs w:val="24"/>
          <w:lang w:val="en-US"/>
        </w:rPr>
      </w:pPr>
      <w:r w:rsidRPr="00A26C7E">
        <w:rPr>
          <w:rFonts w:ascii="Times New Roman" w:eastAsia="Times New Roman" w:hAnsi="Times New Roman" w:cs="Times New Roman"/>
          <w:sz w:val="24"/>
          <w:szCs w:val="24"/>
          <w:lang w:val="en-US"/>
        </w:rPr>
        <w:t>The project focuse</w:t>
      </w:r>
      <w:r>
        <w:rPr>
          <w:rFonts w:ascii="Times New Roman" w:eastAsia="Times New Roman" w:hAnsi="Times New Roman" w:cs="Times New Roman"/>
          <w:sz w:val="24"/>
          <w:szCs w:val="24"/>
          <w:lang w:val="en-US"/>
        </w:rPr>
        <w:t>d</w:t>
      </w:r>
      <w:r w:rsidRPr="00A26C7E">
        <w:rPr>
          <w:rFonts w:ascii="Times New Roman" w:eastAsia="Times New Roman" w:hAnsi="Times New Roman" w:cs="Times New Roman"/>
          <w:sz w:val="24"/>
          <w:szCs w:val="24"/>
          <w:lang w:val="en-US"/>
        </w:rPr>
        <w:t xml:space="preserve"> on Artificial Intelligence (AI) and the potential gender and social biases linked with them. The project </w:t>
      </w:r>
      <w:r>
        <w:rPr>
          <w:rFonts w:ascii="Times New Roman" w:eastAsia="Times New Roman" w:hAnsi="Times New Roman" w:cs="Times New Roman"/>
          <w:sz w:val="24"/>
          <w:szCs w:val="24"/>
          <w:lang w:val="en-US"/>
        </w:rPr>
        <w:t>enhanced</w:t>
      </w:r>
      <w:r w:rsidRPr="00A26C7E">
        <w:rPr>
          <w:rFonts w:ascii="Times New Roman" w:eastAsia="Times New Roman" w:hAnsi="Times New Roman" w:cs="Times New Roman"/>
          <w:sz w:val="24"/>
          <w:szCs w:val="24"/>
          <w:lang w:val="en-US"/>
        </w:rPr>
        <w:t xml:space="preserve"> the development and implementation of AI standards, frameworks, policies, and initiatives at regional and national levels across Southeast Asia, which consider</w:t>
      </w:r>
      <w:r>
        <w:rPr>
          <w:rFonts w:ascii="Times New Roman" w:eastAsia="Times New Roman" w:hAnsi="Times New Roman" w:cs="Times New Roman"/>
          <w:sz w:val="24"/>
          <w:szCs w:val="24"/>
          <w:lang w:val="en-US"/>
        </w:rPr>
        <w:t>ed</w:t>
      </w:r>
      <w:r w:rsidRPr="00A26C7E">
        <w:rPr>
          <w:rFonts w:ascii="Times New Roman" w:eastAsia="Times New Roman" w:hAnsi="Times New Roman" w:cs="Times New Roman"/>
          <w:sz w:val="24"/>
          <w:szCs w:val="24"/>
          <w:lang w:val="en-US"/>
        </w:rPr>
        <w:t xml:space="preserve"> diverse stakeholders needs. The project’s initial focus </w:t>
      </w:r>
      <w:r>
        <w:rPr>
          <w:rFonts w:ascii="Times New Roman" w:eastAsia="Times New Roman" w:hAnsi="Times New Roman" w:cs="Times New Roman"/>
          <w:sz w:val="24"/>
          <w:szCs w:val="24"/>
          <w:lang w:val="en-US"/>
        </w:rPr>
        <w:t>was</w:t>
      </w:r>
      <w:r w:rsidRPr="00A26C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on</w:t>
      </w:r>
      <w:r w:rsidRPr="00A26C7E">
        <w:rPr>
          <w:rFonts w:ascii="Times New Roman" w:eastAsia="Times New Roman" w:hAnsi="Times New Roman" w:cs="Times New Roman"/>
          <w:sz w:val="24"/>
          <w:szCs w:val="24"/>
          <w:lang w:val="en-US"/>
        </w:rPr>
        <w:t xml:space="preserve"> Indonesia, Malaysia. The Philippines, and Thailand, </w:t>
      </w:r>
      <w:r>
        <w:rPr>
          <w:rFonts w:ascii="Times New Roman" w:eastAsia="Times New Roman" w:hAnsi="Times New Roman" w:cs="Times New Roman"/>
          <w:sz w:val="24"/>
          <w:szCs w:val="24"/>
          <w:lang w:val="en-US"/>
        </w:rPr>
        <w:t>as well as</w:t>
      </w:r>
      <w:r w:rsidRPr="00A26C7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w:t>
      </w:r>
      <w:r w:rsidRPr="00A26C7E">
        <w:rPr>
          <w:rFonts w:ascii="Times New Roman" w:eastAsia="Times New Roman" w:hAnsi="Times New Roman" w:cs="Times New Roman"/>
          <w:sz w:val="24"/>
          <w:szCs w:val="24"/>
          <w:lang w:val="en-US"/>
        </w:rPr>
        <w:t>regional context in Southeast Asia.</w:t>
      </w:r>
    </w:p>
    <w:p w14:paraId="27E2006E" w14:textId="77777777" w:rsidR="00CE4D57" w:rsidRPr="00A26C7E" w:rsidRDefault="00CE4D57" w:rsidP="00CE4D57">
      <w:pPr>
        <w:numPr>
          <w:ilvl w:val="0"/>
          <w:numId w:val="3"/>
        </w:numPr>
        <w:spacing w:after="0" w:line="240" w:lineRule="auto"/>
        <w:contextualSpacing/>
        <w:rPr>
          <w:rFonts w:ascii="Times New Roman" w:eastAsia="Times New Roman" w:hAnsi="Times New Roman" w:cs="Times New Roman"/>
          <w:sz w:val="24"/>
          <w:szCs w:val="24"/>
        </w:rPr>
      </w:pPr>
      <w:r w:rsidRPr="00A26C7E">
        <w:rPr>
          <w:rFonts w:ascii="Times New Roman" w:eastAsia="Times New Roman" w:hAnsi="Times New Roman" w:cs="Times New Roman"/>
          <w:sz w:val="24"/>
          <w:szCs w:val="24"/>
        </w:rPr>
        <w:t xml:space="preserve">The Project </w:t>
      </w:r>
      <w:r>
        <w:rPr>
          <w:rFonts w:ascii="Times New Roman" w:eastAsia="Times New Roman" w:hAnsi="Times New Roman" w:cs="Times New Roman"/>
          <w:sz w:val="24"/>
          <w:szCs w:val="24"/>
        </w:rPr>
        <w:t>was</w:t>
      </w:r>
      <w:r w:rsidRPr="00A26C7E">
        <w:rPr>
          <w:rFonts w:ascii="Times New Roman" w:eastAsia="Times New Roman" w:hAnsi="Times New Roman" w:cs="Times New Roman"/>
          <w:sz w:val="24"/>
          <w:szCs w:val="24"/>
        </w:rPr>
        <w:t xml:space="preserve"> built on four outputs:</w:t>
      </w:r>
    </w:p>
    <w:p w14:paraId="24374EFC" w14:textId="77777777" w:rsidR="00CE4D57" w:rsidRPr="00A26C7E" w:rsidRDefault="00CE4D57" w:rsidP="00CE4D57">
      <w:pPr>
        <w:numPr>
          <w:ilvl w:val="1"/>
          <w:numId w:val="3"/>
        </w:numPr>
        <w:spacing w:after="0" w:line="240" w:lineRule="auto"/>
        <w:contextualSpacing/>
        <w:rPr>
          <w:rFonts w:ascii="Times New Roman" w:eastAsia="Times New Roman" w:hAnsi="Times New Roman" w:cs="Times New Roman"/>
          <w:sz w:val="24"/>
          <w:szCs w:val="24"/>
        </w:rPr>
      </w:pPr>
      <w:r w:rsidRPr="00A26C7E">
        <w:rPr>
          <w:rFonts w:ascii="Times New Roman" w:eastAsia="Times New Roman" w:hAnsi="Times New Roman" w:cs="Times New Roman"/>
          <w:b/>
          <w:bCs/>
          <w:sz w:val="24"/>
          <w:szCs w:val="24"/>
          <w:u w:val="single"/>
        </w:rPr>
        <w:t>Indicative Output 1</w:t>
      </w:r>
      <w:r w:rsidRPr="00A26C7E">
        <w:rPr>
          <w:rFonts w:ascii="Times New Roman" w:eastAsia="Times New Roman" w:hAnsi="Times New Roman" w:cs="Times New Roman"/>
          <w:sz w:val="24"/>
          <w:szCs w:val="24"/>
        </w:rPr>
        <w:t>: Research outputs on the state of critical technology standards, frameworks, policies, and initiatives, including the capacity gaps among stakeholders, in Southeast Asia.</w:t>
      </w:r>
    </w:p>
    <w:p w14:paraId="78DDD6E9" w14:textId="77777777" w:rsidR="00CE4D57" w:rsidRPr="00A26C7E" w:rsidRDefault="00CE4D57" w:rsidP="00CE4D57">
      <w:pPr>
        <w:numPr>
          <w:ilvl w:val="1"/>
          <w:numId w:val="3"/>
        </w:numPr>
        <w:spacing w:after="0" w:line="240" w:lineRule="auto"/>
        <w:contextualSpacing/>
        <w:rPr>
          <w:rFonts w:ascii="Times New Roman" w:eastAsia="Times New Roman" w:hAnsi="Times New Roman" w:cs="Times New Roman"/>
          <w:sz w:val="24"/>
          <w:szCs w:val="24"/>
        </w:rPr>
      </w:pPr>
      <w:r w:rsidRPr="00A26C7E">
        <w:rPr>
          <w:rFonts w:ascii="Times New Roman" w:eastAsia="Times New Roman" w:hAnsi="Times New Roman" w:cs="Times New Roman"/>
          <w:b/>
          <w:bCs/>
          <w:sz w:val="24"/>
          <w:szCs w:val="24"/>
          <w:u w:val="single"/>
        </w:rPr>
        <w:t>Indicative Output 2:</w:t>
      </w:r>
      <w:r w:rsidRPr="00A26C7E">
        <w:rPr>
          <w:rFonts w:ascii="Times New Roman" w:eastAsia="Times New Roman" w:hAnsi="Times New Roman" w:cs="Times New Roman"/>
          <w:sz w:val="24"/>
          <w:szCs w:val="24"/>
        </w:rPr>
        <w:t xml:space="preserve"> Training/Workshops and knowledge sharing activities on Critical Technologies for policymakers in primary beneficiary countries in Southeast Asia.</w:t>
      </w:r>
    </w:p>
    <w:p w14:paraId="718A9FC7" w14:textId="77777777" w:rsidR="00CE4D57" w:rsidRPr="00A26C7E" w:rsidRDefault="00CE4D57" w:rsidP="00CE4D57">
      <w:pPr>
        <w:numPr>
          <w:ilvl w:val="1"/>
          <w:numId w:val="3"/>
        </w:numPr>
        <w:spacing w:after="0" w:line="240" w:lineRule="auto"/>
        <w:contextualSpacing/>
        <w:rPr>
          <w:rFonts w:ascii="Times New Roman" w:eastAsia="Times New Roman" w:hAnsi="Times New Roman" w:cs="Times New Roman"/>
          <w:sz w:val="24"/>
          <w:szCs w:val="24"/>
        </w:rPr>
      </w:pPr>
      <w:r w:rsidRPr="00A26C7E">
        <w:rPr>
          <w:rFonts w:ascii="Times New Roman" w:eastAsia="Times New Roman" w:hAnsi="Times New Roman" w:cs="Times New Roman"/>
          <w:b/>
          <w:bCs/>
          <w:sz w:val="24"/>
          <w:szCs w:val="24"/>
          <w:u w:val="single"/>
        </w:rPr>
        <w:t>Indicative Output 3:</w:t>
      </w:r>
      <w:r w:rsidRPr="00A26C7E">
        <w:rPr>
          <w:rFonts w:ascii="Times New Roman" w:eastAsia="Times New Roman" w:hAnsi="Times New Roman" w:cs="Times New Roman"/>
          <w:sz w:val="24"/>
          <w:szCs w:val="24"/>
        </w:rPr>
        <w:t xml:space="preserve"> Multi-stakeholder Network of Female Policy Makers created at the subregional, regional and global levels.</w:t>
      </w:r>
    </w:p>
    <w:p w14:paraId="6E208E4D" w14:textId="77777777" w:rsidR="00CE4D57" w:rsidRPr="001F6804" w:rsidRDefault="00CE4D57" w:rsidP="00CE4D57">
      <w:pPr>
        <w:numPr>
          <w:ilvl w:val="1"/>
          <w:numId w:val="3"/>
        </w:numPr>
        <w:spacing w:after="0" w:line="240" w:lineRule="auto"/>
        <w:contextualSpacing/>
        <w:rPr>
          <w:rFonts w:ascii="Times New Roman" w:eastAsia="Times New Roman" w:hAnsi="Times New Roman" w:cs="Times New Roman"/>
          <w:sz w:val="24"/>
          <w:szCs w:val="24"/>
        </w:rPr>
      </w:pPr>
      <w:r w:rsidRPr="00A26C7E">
        <w:rPr>
          <w:rFonts w:ascii="Times New Roman" w:eastAsia="Times New Roman" w:hAnsi="Times New Roman" w:cs="Times New Roman"/>
          <w:b/>
          <w:bCs/>
          <w:sz w:val="24"/>
          <w:szCs w:val="24"/>
          <w:u w:val="single"/>
        </w:rPr>
        <w:t>Indicative Output 4:</w:t>
      </w:r>
      <w:r w:rsidRPr="00A26C7E">
        <w:rPr>
          <w:rFonts w:ascii="Times New Roman" w:eastAsia="Times New Roman" w:hAnsi="Times New Roman" w:cs="Times New Roman"/>
          <w:sz w:val="24"/>
          <w:szCs w:val="24"/>
        </w:rPr>
        <w:t xml:space="preserve"> Country-specific support provided to assist the policymakers and regulators in the development and implementation of standards, frameworks, policies, and initiatives.</w:t>
      </w:r>
    </w:p>
    <w:p w14:paraId="7200074C" w14:textId="77777777" w:rsidR="00CE4D57" w:rsidRPr="00A26C7E" w:rsidRDefault="00CE4D57" w:rsidP="00CE4D57">
      <w:pPr>
        <w:spacing w:after="0" w:line="240" w:lineRule="auto"/>
        <w:rPr>
          <w:rFonts w:ascii="Times New Roman" w:eastAsia="Times New Roman" w:hAnsi="Times New Roman" w:cs="Times New Roman"/>
          <w:b/>
          <w:bCs/>
          <w:sz w:val="24"/>
          <w:szCs w:val="24"/>
          <w:lang w:val="en-US"/>
        </w:rPr>
      </w:pPr>
    </w:p>
    <w:p w14:paraId="0624DB09" w14:textId="77777777" w:rsidR="00CE4D57" w:rsidRPr="00A26C7E" w:rsidRDefault="00CE4D57" w:rsidP="00CE4D57">
      <w:pPr>
        <w:spacing w:after="0" w:line="240" w:lineRule="auto"/>
        <w:rPr>
          <w:rFonts w:ascii="Times New Roman" w:eastAsia="Times New Roman" w:hAnsi="Times New Roman" w:cs="Times New Roman"/>
          <w:b/>
          <w:bCs/>
          <w:sz w:val="24"/>
          <w:szCs w:val="24"/>
          <w:lang w:val="en-US"/>
        </w:rPr>
      </w:pPr>
      <w:r w:rsidRPr="00A26C7E">
        <w:rPr>
          <w:rFonts w:ascii="Times New Roman" w:eastAsia="Times New Roman" w:hAnsi="Times New Roman" w:cs="Times New Roman"/>
          <w:b/>
          <w:bCs/>
          <w:sz w:val="24"/>
          <w:szCs w:val="24"/>
          <w:lang w:val="en-US"/>
        </w:rPr>
        <w:t>Preparations</w:t>
      </w:r>
      <w:r>
        <w:rPr>
          <w:rFonts w:ascii="Times New Roman" w:eastAsia="Times New Roman" w:hAnsi="Times New Roman" w:cs="Times New Roman"/>
          <w:b/>
          <w:bCs/>
          <w:sz w:val="24"/>
          <w:szCs w:val="24"/>
          <w:lang w:val="en-US"/>
        </w:rPr>
        <w:t xml:space="preserve"> and implementation</w:t>
      </w:r>
      <w:r w:rsidRPr="00A26C7E">
        <w:rPr>
          <w:rFonts w:ascii="Times New Roman" w:eastAsia="Times New Roman" w:hAnsi="Times New Roman" w:cs="Times New Roman"/>
          <w:b/>
          <w:bCs/>
          <w:sz w:val="24"/>
          <w:szCs w:val="24"/>
          <w:lang w:val="en-US"/>
        </w:rPr>
        <w:t xml:space="preserve"> for WTSA 2024</w:t>
      </w:r>
    </w:p>
    <w:p w14:paraId="4EF39573" w14:textId="77777777" w:rsidR="00CE4D57" w:rsidRDefault="00CE4D57" w:rsidP="00CE4D57">
      <w:pPr>
        <w:numPr>
          <w:ilvl w:val="0"/>
          <w:numId w:val="4"/>
        </w:numPr>
        <w:spacing w:after="0" w:line="240" w:lineRule="auto"/>
        <w:contextualSpacing/>
        <w:rPr>
          <w:rFonts w:ascii="Times New Roman" w:eastAsia="Times New Roman" w:hAnsi="Times New Roman" w:cs="Times New Roman"/>
          <w:sz w:val="24"/>
          <w:szCs w:val="24"/>
        </w:rPr>
      </w:pPr>
      <w:r w:rsidRPr="0070033B">
        <w:rPr>
          <w:rFonts w:ascii="Times New Roman" w:eastAsia="Times New Roman" w:hAnsi="Times New Roman" w:cs="Times New Roman"/>
          <w:sz w:val="24"/>
          <w:szCs w:val="24"/>
        </w:rPr>
        <w:t xml:space="preserve">ITU </w:t>
      </w:r>
      <w:r>
        <w:rPr>
          <w:rFonts w:ascii="Times New Roman" w:eastAsia="Times New Roman" w:hAnsi="Times New Roman" w:cs="Times New Roman"/>
          <w:sz w:val="24"/>
          <w:szCs w:val="24"/>
        </w:rPr>
        <w:t>Regional Office and Area Office in Delhi supported the organisation of WTSA24 in multiple ways including monthly/weekly coordination meetings with the Indian government, organisation of side events with various partners, suggestion for speakers and arranging the participation of the UN Country team for UN Day on Oct 24, side events as well as the SDG exhibition zone.</w:t>
      </w:r>
    </w:p>
    <w:p w14:paraId="71B94AEB" w14:textId="77777777" w:rsidR="00CE4D57" w:rsidRDefault="00CE4D57" w:rsidP="00CE4D57">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Area Office in Delhi supported organisation of various side events such as Network of Women, Robotics for Youth Challenge, AI4GOOD Impact India, AI Standards Day, Hackathon and the Workshop on Safe Listening, assisting the TSB team with arranging speakers and helping with the overall coordination with India Mobile Congress (IMC) and DoT.</w:t>
      </w:r>
    </w:p>
    <w:p w14:paraId="6C7C1A05" w14:textId="77777777" w:rsidR="00CE4D57" w:rsidRDefault="00CE4D57" w:rsidP="00CE4D57">
      <w:pPr>
        <w:numPr>
          <w:ilvl w:val="0"/>
          <w:numId w:val="4"/>
        </w:numPr>
        <w:spacing w:after="0" w:line="240" w:lineRule="auto"/>
        <w:contextualSpacing/>
        <w:rPr>
          <w:rFonts w:ascii="Times New Roman" w:eastAsia="Times New Roman" w:hAnsi="Times New Roman" w:cs="Times New Roman"/>
          <w:sz w:val="24"/>
          <w:szCs w:val="24"/>
        </w:rPr>
      </w:pPr>
      <w:r w:rsidRPr="001A28A5">
        <w:rPr>
          <w:rFonts w:ascii="Times New Roman" w:eastAsia="Times New Roman" w:hAnsi="Times New Roman" w:cs="Times New Roman"/>
          <w:sz w:val="24"/>
          <w:szCs w:val="24"/>
        </w:rPr>
        <w:t>A total of 8 UN agencies exhibited in the UN SDG Zone in the Exhibition Area at the Bharat Mandapam during WTSA24. This includes UN</w:t>
      </w:r>
      <w:r>
        <w:rPr>
          <w:rFonts w:ascii="Times New Roman" w:eastAsia="Times New Roman" w:hAnsi="Times New Roman" w:cs="Times New Roman"/>
          <w:sz w:val="24"/>
          <w:szCs w:val="24"/>
        </w:rPr>
        <w:t>RCO</w:t>
      </w:r>
      <w:r w:rsidRPr="001A28A5">
        <w:rPr>
          <w:rFonts w:ascii="Times New Roman" w:eastAsia="Times New Roman" w:hAnsi="Times New Roman" w:cs="Times New Roman"/>
          <w:sz w:val="24"/>
          <w:szCs w:val="24"/>
        </w:rPr>
        <w:t>, IFAD, UNOPS, UNDP, APCTT, WHO, UNESCO and IOM.</w:t>
      </w:r>
    </w:p>
    <w:p w14:paraId="6FFF2D5F" w14:textId="77777777" w:rsidR="00CE4D57" w:rsidRPr="0070033B" w:rsidRDefault="00CE4D57" w:rsidP="00CE4D57">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run up to WTSA24, the Area Office assisted TSB with various pre-visits to Delhi assisting with the organisation of meetings with the host country.</w:t>
      </w:r>
    </w:p>
    <w:p w14:paraId="2B7C8395" w14:textId="77777777" w:rsidR="00CE4D57" w:rsidRDefault="00CE4D57" w:rsidP="00CE4D57">
      <w:pPr>
        <w:spacing w:after="0" w:line="240" w:lineRule="auto"/>
        <w:rPr>
          <w:rFonts w:ascii="Times New Roman" w:eastAsia="Times New Roman" w:hAnsi="Times New Roman" w:cs="Times New Roman"/>
          <w:b/>
          <w:bCs/>
          <w:sz w:val="24"/>
          <w:szCs w:val="24"/>
        </w:rPr>
      </w:pPr>
    </w:p>
    <w:p w14:paraId="62D0BE86" w14:textId="77777777" w:rsidR="00CE4D57" w:rsidRDefault="00CE4D57" w:rsidP="00CE4D5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Project on </w:t>
      </w:r>
      <w:r w:rsidRPr="007D1F4E">
        <w:rPr>
          <w:rFonts w:ascii="Times New Roman" w:eastAsia="Times New Roman" w:hAnsi="Times New Roman" w:cs="Times New Roman"/>
          <w:b/>
          <w:bCs/>
          <w:sz w:val="24"/>
          <w:szCs w:val="24"/>
        </w:rPr>
        <w:t>Strengthening Asia and the Pacific Engagement in ITU Conferences (SAPEIC)</w:t>
      </w:r>
    </w:p>
    <w:p w14:paraId="7D29FAE2" w14:textId="77777777" w:rsidR="00CE4D57" w:rsidRPr="00D52BAA" w:rsidRDefault="00CE4D57" w:rsidP="00CE4D57">
      <w:pPr>
        <w:pStyle w:val="ListParagraph"/>
        <w:numPr>
          <w:ilvl w:val="0"/>
          <w:numId w:val="4"/>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Following consultations with the Government of Australia’s </w:t>
      </w:r>
      <w:r w:rsidRPr="007D1F4E">
        <w:rPr>
          <w:rFonts w:ascii="Times New Roman" w:eastAsia="Times New Roman" w:hAnsi="Times New Roman" w:cs="Times New Roman"/>
          <w:sz w:val="24"/>
          <w:szCs w:val="24"/>
        </w:rPr>
        <w:t>Department of Infrastructure, Transport, Regional Development, Communications and the Arts</w:t>
      </w:r>
      <w:r>
        <w:rPr>
          <w:rFonts w:ascii="Times New Roman" w:eastAsia="Times New Roman" w:hAnsi="Times New Roman" w:cs="Times New Roman"/>
          <w:sz w:val="24"/>
          <w:szCs w:val="24"/>
        </w:rPr>
        <w:t xml:space="preserve"> (DITRDCA), ITU signed a project agreement on 18 June 2024 for the SAPEIC project. </w:t>
      </w:r>
      <w:r w:rsidRPr="00D52BAA">
        <w:rPr>
          <w:rFonts w:ascii="Times New Roman" w:eastAsia="Times New Roman" w:hAnsi="Times New Roman" w:cs="Times New Roman"/>
          <w:sz w:val="24"/>
          <w:szCs w:val="24"/>
        </w:rPr>
        <w:t xml:space="preserve">This project aims to enhance the engagement of ITU’s Asia and the Pacific developing country member states in global ITU conferences by capacitating them to meaningfully contribute to upcoming ITU conferences, namely the </w:t>
      </w:r>
      <w:r>
        <w:rPr>
          <w:rFonts w:ascii="Times New Roman" w:eastAsia="Times New Roman" w:hAnsi="Times New Roman" w:cs="Times New Roman"/>
          <w:sz w:val="24"/>
          <w:szCs w:val="24"/>
        </w:rPr>
        <w:t xml:space="preserve">2024 </w:t>
      </w:r>
      <w:r w:rsidRPr="00D52BAA">
        <w:rPr>
          <w:rFonts w:ascii="Times New Roman" w:eastAsia="Times New Roman" w:hAnsi="Times New Roman" w:cs="Times New Roman"/>
          <w:sz w:val="24"/>
          <w:szCs w:val="24"/>
        </w:rPr>
        <w:t>World Telecommunication Standardization Assembly (WTSA), and the</w:t>
      </w:r>
      <w:r>
        <w:rPr>
          <w:rFonts w:ascii="Times New Roman" w:eastAsia="Times New Roman" w:hAnsi="Times New Roman" w:cs="Times New Roman"/>
          <w:sz w:val="24"/>
          <w:szCs w:val="24"/>
        </w:rPr>
        <w:t xml:space="preserve"> 2025 </w:t>
      </w:r>
      <w:r w:rsidRPr="00D52BAA">
        <w:rPr>
          <w:rFonts w:ascii="Times New Roman" w:eastAsia="Times New Roman" w:hAnsi="Times New Roman" w:cs="Times New Roman"/>
          <w:sz w:val="24"/>
          <w:szCs w:val="24"/>
        </w:rPr>
        <w:t>World Telecommunication Development Conference (WTDC</w:t>
      </w:r>
      <w:r>
        <w:rPr>
          <w:rFonts w:ascii="Times New Roman" w:eastAsia="Times New Roman" w:hAnsi="Times New Roman" w:cs="Times New Roman"/>
          <w:sz w:val="24"/>
          <w:szCs w:val="24"/>
        </w:rPr>
        <w:t>).</w:t>
      </w:r>
    </w:p>
    <w:p w14:paraId="4E8AB8FF" w14:textId="77777777" w:rsidR="00CE4D57" w:rsidRPr="00D52BAA" w:rsidRDefault="00CE4D57" w:rsidP="00CE4D57">
      <w:pPr>
        <w:pStyle w:val="ListParagraph"/>
        <w:numPr>
          <w:ilvl w:val="0"/>
          <w:numId w:val="4"/>
        </w:numPr>
        <w:spacing w:after="0" w:line="240" w:lineRule="auto"/>
        <w:rPr>
          <w:rFonts w:ascii="Times New Roman" w:eastAsia="Times New Roman" w:hAnsi="Times New Roman" w:cs="Times New Roman"/>
          <w:b/>
          <w:bCs/>
          <w:sz w:val="24"/>
          <w:szCs w:val="24"/>
        </w:rPr>
      </w:pPr>
      <w:r w:rsidRPr="00D52BAA">
        <w:rPr>
          <w:rFonts w:ascii="Times New Roman" w:eastAsia="Times New Roman" w:hAnsi="Times New Roman" w:cs="Times New Roman"/>
          <w:sz w:val="24"/>
          <w:szCs w:val="24"/>
        </w:rPr>
        <w:t xml:space="preserve">To achieve this, structured and dedicated training will be provided to build understanding of ITU’s Standardization and Development Sectors, and the working methods of WTSA and WTDC, to ensure delegates can meaningfully contribute to these conferences. </w:t>
      </w:r>
    </w:p>
    <w:p w14:paraId="3AE7E315" w14:textId="77777777" w:rsidR="00CE4D57" w:rsidRPr="00D52BAA" w:rsidRDefault="00CE4D57" w:rsidP="00CE4D57">
      <w:pPr>
        <w:pStyle w:val="ListParagraph"/>
        <w:numPr>
          <w:ilvl w:val="0"/>
          <w:numId w:val="4"/>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During the course of this reporting period, 23 participants from 13 ITU member states underwent the WTSA portion of the program. </w:t>
      </w:r>
      <w:r w:rsidRPr="00D52BAA">
        <w:rPr>
          <w:rFonts w:ascii="Times New Roman" w:eastAsia="Times New Roman" w:hAnsi="Times New Roman" w:cs="Times New Roman"/>
          <w:sz w:val="24"/>
          <w:szCs w:val="24"/>
        </w:rPr>
        <w:t>They joined the virtual training on WTSA from 10-13 September 2024 and an optional office hour on 18 September 2024. The training was led by ITU staff from the Telecommunication Standardization Bureau (TSB) and the ITU Regional Office for Asia and the Pacific</w:t>
      </w:r>
      <w:r>
        <w:rPr>
          <w:rFonts w:ascii="Times New Roman" w:eastAsia="Times New Roman" w:hAnsi="Times New Roman" w:cs="Times New Roman"/>
          <w:sz w:val="24"/>
          <w:szCs w:val="24"/>
        </w:rPr>
        <w:t>, featuring</w:t>
      </w:r>
      <w:r w:rsidRPr="00D52BAA">
        <w:rPr>
          <w:rFonts w:ascii="Times New Roman" w:eastAsia="Times New Roman" w:hAnsi="Times New Roman" w:cs="Times New Roman"/>
          <w:sz w:val="24"/>
          <w:szCs w:val="24"/>
        </w:rPr>
        <w:t xml:space="preserve"> interactive exercises and mock contribution creation.</w:t>
      </w:r>
    </w:p>
    <w:p w14:paraId="6CFF6B4D" w14:textId="77777777" w:rsidR="00CE4D57" w:rsidRPr="00D52BAA" w:rsidRDefault="00CE4D57" w:rsidP="00CE4D57">
      <w:pPr>
        <w:pStyle w:val="ListParagraph"/>
        <w:numPr>
          <w:ilvl w:val="0"/>
          <w:numId w:val="4"/>
        </w:numPr>
        <w:spacing w:after="0" w:line="240" w:lineRule="auto"/>
        <w:rPr>
          <w:rFonts w:ascii="Times New Roman" w:eastAsia="Times New Roman" w:hAnsi="Times New Roman" w:cs="Times New Roman"/>
          <w:b/>
          <w:bCs/>
          <w:sz w:val="24"/>
          <w:szCs w:val="24"/>
        </w:rPr>
      </w:pPr>
      <w:r w:rsidRPr="00D52BAA">
        <w:rPr>
          <w:rFonts w:ascii="Times New Roman" w:eastAsia="Times New Roman" w:hAnsi="Times New Roman" w:cs="Times New Roman"/>
          <w:sz w:val="24"/>
          <w:szCs w:val="24"/>
        </w:rPr>
        <w:t>Subsequently, the 23 participants were granted fellowships through the SAPEIC project to join the Global Standards Symposium (GSS) and the WTSA in Delhi, India, on 14 October 2024 and 15-24 October 2024 respectively. The fellows successfully participated in both events and are completing their reporting requirements.</w:t>
      </w:r>
    </w:p>
    <w:p w14:paraId="1DC45E8A" w14:textId="77777777" w:rsidR="00CE4D57" w:rsidRPr="00D52BAA" w:rsidRDefault="00CE4D57" w:rsidP="00CE4D57">
      <w:pPr>
        <w:spacing w:after="0" w:line="240" w:lineRule="auto"/>
        <w:rPr>
          <w:rFonts w:ascii="Times New Roman" w:eastAsia="Times New Roman" w:hAnsi="Times New Roman" w:cs="Times New Roman"/>
          <w:b/>
          <w:bCs/>
          <w:sz w:val="24"/>
          <w:szCs w:val="24"/>
        </w:rPr>
      </w:pPr>
    </w:p>
    <w:p w14:paraId="116B8776" w14:textId="77777777" w:rsidR="00CE4D57" w:rsidRDefault="00CE4D57" w:rsidP="00CE4D5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New Project on </w:t>
      </w:r>
      <w:r w:rsidRPr="00091027">
        <w:rPr>
          <w:rFonts w:ascii="Times New Roman" w:eastAsia="Times New Roman" w:hAnsi="Times New Roman" w:cs="Times New Roman"/>
          <w:b/>
          <w:bCs/>
          <w:sz w:val="24"/>
          <w:szCs w:val="24"/>
        </w:rPr>
        <w:t>Artificial Intelligence Technology and Standards Capacity Building in Asia Pacific</w:t>
      </w:r>
      <w:r>
        <w:rPr>
          <w:rFonts w:ascii="Times New Roman" w:eastAsia="Times New Roman" w:hAnsi="Times New Roman" w:cs="Times New Roman"/>
          <w:b/>
          <w:bCs/>
          <w:sz w:val="24"/>
          <w:szCs w:val="24"/>
        </w:rPr>
        <w:t xml:space="preserve"> funded by MIC Japan</w:t>
      </w:r>
    </w:p>
    <w:p w14:paraId="65387D9A" w14:textId="77777777" w:rsidR="00CE4D57" w:rsidRPr="00A50C8C" w:rsidRDefault="00CE4D57" w:rsidP="00CE4D57">
      <w:pPr>
        <w:numPr>
          <w:ilvl w:val="0"/>
          <w:numId w:val="5"/>
        </w:numPr>
        <w:spacing w:after="0" w:line="240" w:lineRule="auto"/>
        <w:contextualSpacing/>
        <w:rPr>
          <w:rFonts w:ascii="Times New Roman" w:eastAsia="Times New Roman" w:hAnsi="Times New Roman" w:cs="Times New Roman"/>
          <w:sz w:val="24"/>
          <w:szCs w:val="24"/>
          <w:lang w:val="en-US"/>
        </w:rPr>
      </w:pPr>
      <w:r w:rsidRPr="00A26C7E">
        <w:rPr>
          <w:rFonts w:ascii="Times New Roman" w:eastAsia="Times New Roman" w:hAnsi="Times New Roman" w:cs="Times New Roman"/>
          <w:sz w:val="24"/>
          <w:szCs w:val="24"/>
          <w:lang w:val="en-US"/>
        </w:rPr>
        <w:t>Following consultations with TSB and discussions with the</w:t>
      </w:r>
      <w:r>
        <w:rPr>
          <w:rFonts w:ascii="Times New Roman" w:eastAsia="Times New Roman" w:hAnsi="Times New Roman" w:cs="Times New Roman"/>
          <w:sz w:val="24"/>
          <w:szCs w:val="24"/>
          <w:lang w:val="en-US"/>
        </w:rPr>
        <w:t xml:space="preserve"> Ministry of Internal Affairs and Communications (MIC) of Japan, </w:t>
      </w:r>
      <w:r w:rsidRPr="00A26C7E">
        <w:rPr>
          <w:rFonts w:ascii="Times New Roman" w:eastAsia="Times New Roman" w:hAnsi="Times New Roman" w:cs="Times New Roman"/>
          <w:sz w:val="24"/>
          <w:szCs w:val="24"/>
          <w:lang w:val="en-US"/>
        </w:rPr>
        <w:t>the ITU team</w:t>
      </w:r>
      <w:r>
        <w:rPr>
          <w:rFonts w:ascii="Times New Roman" w:eastAsia="Times New Roman" w:hAnsi="Times New Roman" w:cs="Times New Roman"/>
          <w:sz w:val="24"/>
          <w:szCs w:val="24"/>
          <w:lang w:val="en-US"/>
        </w:rPr>
        <w:t xml:space="preserve"> and MIC exchanged letters on 6 February 2025, post which the funds were allocated to ITU to conduct activities under this project. It is currently funded for a period of one year, until February 2026.</w:t>
      </w:r>
      <w:r w:rsidRPr="00A26C7E">
        <w:rPr>
          <w:rFonts w:ascii="Times New Roman" w:eastAsia="Times New Roman" w:hAnsi="Times New Roman" w:cs="Times New Roman"/>
          <w:sz w:val="24"/>
          <w:szCs w:val="24"/>
          <w:lang w:val="en-US"/>
        </w:rPr>
        <w:t xml:space="preserve"> </w:t>
      </w:r>
    </w:p>
    <w:p w14:paraId="43375E94" w14:textId="77777777" w:rsidR="00CE4D57" w:rsidRDefault="00CE4D57" w:rsidP="00CE4D57">
      <w:pPr>
        <w:pStyle w:val="ListParagraph"/>
        <w:numPr>
          <w:ilvl w:val="0"/>
          <w:numId w:val="5"/>
        </w:numPr>
        <w:spacing w:after="0" w:line="240" w:lineRule="auto"/>
        <w:rPr>
          <w:rFonts w:ascii="Times New Roman" w:eastAsia="Times New Roman" w:hAnsi="Times New Roman" w:cs="Times New Roman"/>
          <w:sz w:val="24"/>
          <w:szCs w:val="24"/>
        </w:rPr>
      </w:pPr>
      <w:r w:rsidRPr="001D1210">
        <w:rPr>
          <w:rFonts w:ascii="Times New Roman" w:eastAsia="Times New Roman" w:hAnsi="Times New Roman" w:cs="Times New Roman"/>
          <w:sz w:val="24"/>
          <w:szCs w:val="24"/>
        </w:rPr>
        <w:t>Th</w:t>
      </w:r>
      <w:r>
        <w:rPr>
          <w:rFonts w:ascii="Times New Roman" w:eastAsia="Times New Roman" w:hAnsi="Times New Roman" w:cs="Times New Roman"/>
          <w:sz w:val="24"/>
          <w:szCs w:val="24"/>
        </w:rPr>
        <w:t>e</w:t>
      </w:r>
      <w:r w:rsidRPr="001D1210">
        <w:rPr>
          <w:rFonts w:ascii="Times New Roman" w:eastAsia="Times New Roman" w:hAnsi="Times New Roman" w:cs="Times New Roman"/>
          <w:sz w:val="24"/>
          <w:szCs w:val="24"/>
        </w:rPr>
        <w:t xml:space="preserve"> project aims to build the capacity and awareness among government officials and key stakeholders on artificial intelligence (AI) technologies and standards development for increasing the efficiency of telecommunications/ICTs and the enabling ecosystem, to support project countries’ digital transformation strategies, and to bridge the standardization gap between developed and developing countries, particularly focusing on AI, and drawing upon expertise from both the International Telecommunication Union (ITU) Telecommunication Development Bureau (BDT) and Telecommunication Standardization Bureau (TSB).</w:t>
      </w:r>
    </w:p>
    <w:p w14:paraId="3E34213E" w14:textId="77777777" w:rsidR="00CE4D57" w:rsidRDefault="00CE4D57" w:rsidP="00CE4D57">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workshop under this project will be organised in Delhi from 5-8 May 2025, where trainings on AI standards and technologies will be provided for the South Asian member states including India, Nepal, Bhutan, Bangladesh, Sri Lanka and Maldives, in collaboration with the TSB team and partner organisations.</w:t>
      </w:r>
    </w:p>
    <w:p w14:paraId="70EC1A51" w14:textId="77777777" w:rsidR="00CE4D57" w:rsidRPr="001D1210" w:rsidRDefault="00CE4D57" w:rsidP="00CE4D57">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one in Delhi, two other workshops will take place in Southeast Asia and the Pacific targeting participation from those sub-regions.</w:t>
      </w:r>
    </w:p>
    <w:p w14:paraId="2CBA8A9D" w14:textId="77777777" w:rsidR="00CE4D57" w:rsidRDefault="00CE4D57" w:rsidP="00CE4D57">
      <w:pPr>
        <w:spacing w:after="0" w:line="240" w:lineRule="auto"/>
        <w:rPr>
          <w:rFonts w:ascii="Times New Roman" w:eastAsia="Times New Roman" w:hAnsi="Times New Roman" w:cs="Times New Roman"/>
          <w:b/>
          <w:bCs/>
          <w:sz w:val="24"/>
          <w:szCs w:val="24"/>
        </w:rPr>
      </w:pPr>
    </w:p>
    <w:p w14:paraId="0B64862D" w14:textId="77777777" w:rsidR="00CE4D57" w:rsidRDefault="00CE4D57" w:rsidP="00CE4D57">
      <w:pPr>
        <w:spacing w:after="0" w:line="240" w:lineRule="auto"/>
        <w:rPr>
          <w:rFonts w:ascii="Times New Roman" w:eastAsia="Times New Roman" w:hAnsi="Times New Roman" w:cs="Times New Roman"/>
          <w:b/>
          <w:bCs/>
          <w:sz w:val="24"/>
          <w:szCs w:val="24"/>
        </w:rPr>
      </w:pPr>
    </w:p>
    <w:p w14:paraId="2A7C175C" w14:textId="77777777" w:rsidR="00CE4D57" w:rsidRPr="00A26C7E" w:rsidRDefault="00CE4D57" w:rsidP="00CE4D57">
      <w:pPr>
        <w:spacing w:after="0" w:line="240" w:lineRule="auto"/>
        <w:rPr>
          <w:rFonts w:ascii="Times New Roman" w:eastAsia="Times New Roman" w:hAnsi="Times New Roman" w:cs="Times New Roman"/>
          <w:b/>
          <w:bCs/>
          <w:sz w:val="24"/>
          <w:szCs w:val="24"/>
        </w:rPr>
      </w:pPr>
      <w:r w:rsidRPr="00A26C7E">
        <w:rPr>
          <w:rFonts w:ascii="Times New Roman" w:eastAsia="Times New Roman" w:hAnsi="Times New Roman" w:cs="Times New Roman"/>
          <w:b/>
          <w:bCs/>
          <w:sz w:val="24"/>
          <w:szCs w:val="24"/>
        </w:rPr>
        <w:t>Bridging the Standardization Gap (BSG)</w:t>
      </w:r>
    </w:p>
    <w:p w14:paraId="7598E1EF" w14:textId="77777777" w:rsidR="00CE4D57" w:rsidRDefault="00CE4D57" w:rsidP="00CE4D5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F6F25">
        <w:rPr>
          <w:rFonts w:ascii="Times New Roman" w:eastAsia="Times New Roman" w:hAnsi="Times New Roman" w:cs="Times New Roman"/>
          <w:sz w:val="24"/>
          <w:szCs w:val="24"/>
          <w:lang w:eastAsia="en-GB"/>
        </w:rPr>
        <w:t>On 2-3 September</w:t>
      </w:r>
      <w:r>
        <w:rPr>
          <w:rFonts w:ascii="Times New Roman" w:eastAsia="Times New Roman" w:hAnsi="Times New Roman" w:cs="Times New Roman"/>
          <w:sz w:val="24"/>
          <w:szCs w:val="24"/>
          <w:lang w:eastAsia="en-GB"/>
        </w:rPr>
        <w:t xml:space="preserve"> 2024</w:t>
      </w:r>
      <w:r w:rsidRPr="00FF6F2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 Area Office</w:t>
      </w:r>
      <w:r w:rsidRPr="00FF6F25">
        <w:rPr>
          <w:rFonts w:ascii="Times New Roman" w:eastAsia="Times New Roman" w:hAnsi="Times New Roman" w:cs="Times New Roman"/>
          <w:sz w:val="24"/>
          <w:szCs w:val="24"/>
          <w:lang w:eastAsia="en-GB"/>
        </w:rPr>
        <w:t xml:space="preserve"> in collaboration with the National Communications Academy - Finance (NCA-F, erstwhile NICF) and the Department of Telecommunications </w:t>
      </w:r>
      <w:r w:rsidRPr="00FF6F25">
        <w:rPr>
          <w:rFonts w:ascii="Times New Roman" w:eastAsia="Times New Roman" w:hAnsi="Times New Roman" w:cs="Times New Roman"/>
          <w:sz w:val="24"/>
          <w:szCs w:val="24"/>
          <w:lang w:eastAsia="en-GB"/>
        </w:rPr>
        <w:lastRenderedPageBreak/>
        <w:t>organised a workshop on Bridging the Standardisation Gap (BSG) at Indian Institute of Science (IISc), Bangalore. With over 270 participants from the government, industry, academia and startups, the workshop guided the participants on how to contribute to and negotiate for the development and implementation of ITU-T standards; and helped build capacity to eventually play leadership roles in this field through interactive role plays and quizzes.</w:t>
      </w:r>
    </w:p>
    <w:p w14:paraId="052092E7" w14:textId="77777777" w:rsidR="00CE4D57" w:rsidRDefault="00CE4D57" w:rsidP="00CE4D57">
      <w:pPr>
        <w:spacing w:before="100" w:beforeAutospacing="1" w:after="100" w:afterAutospacing="1" w:line="240" w:lineRule="auto"/>
        <w:rPr>
          <w:rFonts w:ascii="Times New Roman" w:eastAsia="Times New Roman" w:hAnsi="Times New Roman" w:cs="Times New Roman"/>
          <w:sz w:val="24"/>
          <w:szCs w:val="24"/>
          <w:lang w:eastAsia="en-GB"/>
        </w:rPr>
      </w:pPr>
      <w:r w:rsidRPr="00D52BAA">
        <w:rPr>
          <w:rFonts w:ascii="Times New Roman" w:eastAsia="Times New Roman" w:hAnsi="Times New Roman" w:cs="Times New Roman"/>
          <w:b/>
          <w:bCs/>
          <w:sz w:val="24"/>
          <w:szCs w:val="24"/>
        </w:rPr>
        <w:t xml:space="preserve">Network of Women </w:t>
      </w:r>
      <w:r>
        <w:rPr>
          <w:rFonts w:ascii="Times New Roman" w:eastAsia="Times New Roman" w:hAnsi="Times New Roman" w:cs="Times New Roman"/>
          <w:b/>
          <w:bCs/>
          <w:sz w:val="24"/>
          <w:szCs w:val="24"/>
        </w:rPr>
        <w:t xml:space="preserve">(NoW) </w:t>
      </w:r>
      <w:r w:rsidRPr="00D52BAA">
        <w:rPr>
          <w:rFonts w:ascii="Times New Roman" w:eastAsia="Times New Roman" w:hAnsi="Times New Roman" w:cs="Times New Roman"/>
          <w:b/>
          <w:bCs/>
          <w:sz w:val="24"/>
          <w:szCs w:val="24"/>
        </w:rPr>
        <w:t>in ITU-T</w:t>
      </w:r>
    </w:p>
    <w:p w14:paraId="4DB04BCF" w14:textId="51F89A44" w:rsidR="00CE4D57" w:rsidRPr="00A26C7E" w:rsidRDefault="00CE4D57" w:rsidP="00CE4D5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C6334">
        <w:rPr>
          <w:rFonts w:ascii="Times New Roman" w:eastAsia="Times New Roman" w:hAnsi="Times New Roman" w:cs="Times New Roman"/>
          <w:sz w:val="24"/>
          <w:szCs w:val="24"/>
          <w:lang w:eastAsia="en-GB"/>
        </w:rPr>
        <w:t>ITU Regional Office supported the organization of the</w:t>
      </w:r>
      <w:r w:rsidRPr="00BC6334">
        <w:t xml:space="preserve"> </w:t>
      </w:r>
      <w:r w:rsidRPr="00BC6334">
        <w:rPr>
          <w:rFonts w:ascii="Times New Roman" w:eastAsia="Times New Roman" w:hAnsi="Times New Roman" w:cs="Times New Roman"/>
          <w:sz w:val="24"/>
          <w:szCs w:val="24"/>
          <w:lang w:eastAsia="en-GB"/>
        </w:rPr>
        <w:t>NoW in ITU-T Regional Activity for Asia and the Pacific. This activity was held on 20 August 2024 in Bangkok, Thailand, as part of the 5th Meeting of the Asia Pacific Telecommunity Preparatory Group for WTSA-24</w:t>
      </w:r>
      <w:r>
        <w:rPr>
          <w:rFonts w:ascii="Times New Roman" w:eastAsia="Times New Roman" w:hAnsi="Times New Roman" w:cs="Times New Roman"/>
          <w:sz w:val="24"/>
          <w:szCs w:val="24"/>
          <w:lang w:eastAsia="en-GB"/>
        </w:rPr>
        <w:t xml:space="preserve">. The activity featured a networking breakfast, followed by a NOW4WTSA24 Training Session, focusing on building confidence in negotiation skills in a multilateral context. </w:t>
      </w:r>
    </w:p>
    <w:p w14:paraId="7F591E42" w14:textId="77777777" w:rsidR="00CE4D57" w:rsidRPr="00A26C7E" w:rsidRDefault="00CE4D57" w:rsidP="00CE4D57">
      <w:pPr>
        <w:spacing w:before="100" w:beforeAutospacing="1" w:after="100" w:afterAutospacing="1" w:line="240" w:lineRule="auto"/>
        <w:rPr>
          <w:rFonts w:ascii="Times New Roman" w:eastAsia="Times New Roman" w:hAnsi="Times New Roman" w:cs="Times New Roman"/>
          <w:b/>
          <w:bCs/>
          <w:sz w:val="24"/>
          <w:szCs w:val="24"/>
          <w:lang w:eastAsia="en-GB"/>
        </w:rPr>
      </w:pPr>
      <w:r w:rsidRPr="00A26C7E">
        <w:rPr>
          <w:rFonts w:ascii="Times New Roman" w:eastAsia="Times New Roman" w:hAnsi="Times New Roman" w:cs="Times New Roman"/>
          <w:b/>
          <w:bCs/>
          <w:sz w:val="24"/>
          <w:szCs w:val="24"/>
          <w:lang w:eastAsia="en-GB"/>
        </w:rPr>
        <w:t>Digital Financial Services (DFS) Security Clinic</w:t>
      </w:r>
    </w:p>
    <w:p w14:paraId="18EAD6EB" w14:textId="77777777" w:rsidR="00CE4D57" w:rsidRPr="005171A5" w:rsidRDefault="00CE4D57" w:rsidP="00CE4D57">
      <w:pPr>
        <w:numPr>
          <w:ilvl w:val="0"/>
          <w:numId w:val="6"/>
        </w:numPr>
        <w:spacing w:after="0" w:line="240" w:lineRule="auto"/>
        <w:rPr>
          <w:rFonts w:ascii="Times New Roman" w:eastAsia="Times New Roman" w:hAnsi="Times New Roman" w:cs="Times New Roman"/>
          <w:sz w:val="24"/>
          <w:szCs w:val="24"/>
          <w:lang w:eastAsia="en-GB"/>
        </w:rPr>
      </w:pPr>
      <w:r w:rsidRPr="005171A5">
        <w:rPr>
          <w:rFonts w:ascii="Times New Roman" w:eastAsia="Times New Roman" w:hAnsi="Times New Roman" w:cs="Times New Roman"/>
          <w:sz w:val="24"/>
          <w:szCs w:val="24"/>
          <w:lang w:eastAsia="en-GB"/>
        </w:rPr>
        <w:t>ITU Regional Office and the Area Office in Delhi facilitated discussions with the Bhutan InfoComm and Media Authority (BICMA) and TSB on the DFS Security Lab on 10 October 2024. Following this discussion, ITU and BICMA are now discussing a potential ITU knowledge transfer programme for DFS Security.</w:t>
      </w:r>
    </w:p>
    <w:p w14:paraId="0443C27A" w14:textId="77777777" w:rsidR="00CE4D57" w:rsidRDefault="00CE4D57" w:rsidP="00CE4D57">
      <w:pPr>
        <w:numPr>
          <w:ilvl w:val="0"/>
          <w:numId w:val="6"/>
        </w:numPr>
        <w:spacing w:after="0" w:line="240" w:lineRule="auto"/>
        <w:rPr>
          <w:rFonts w:ascii="Times New Roman" w:eastAsia="Times New Roman" w:hAnsi="Times New Roman" w:cs="Times New Roman"/>
          <w:sz w:val="24"/>
          <w:szCs w:val="24"/>
          <w:lang w:eastAsia="en-GB"/>
        </w:rPr>
      </w:pPr>
      <w:r w:rsidRPr="005171A5">
        <w:rPr>
          <w:rFonts w:ascii="Times New Roman" w:eastAsia="Times New Roman" w:hAnsi="Times New Roman" w:cs="Times New Roman"/>
          <w:sz w:val="24"/>
          <w:szCs w:val="24"/>
          <w:lang w:eastAsia="en-GB"/>
        </w:rPr>
        <w:t>Post these discussions, there was an exchange of letters between TSB Director and BICMA, on 14 Oct and 22 Oct 2024. BICMA is currently evaluating the financials at their end, and a formal response from them is awaited.</w:t>
      </w:r>
    </w:p>
    <w:p w14:paraId="36887246" w14:textId="77777777" w:rsidR="00CE4D57" w:rsidRPr="005171A5" w:rsidRDefault="00CE4D57" w:rsidP="00CE4D57">
      <w:pPr>
        <w:spacing w:after="0" w:line="240" w:lineRule="auto"/>
        <w:ind w:left="720"/>
        <w:rPr>
          <w:rFonts w:ascii="Times New Roman" w:eastAsia="Times New Roman" w:hAnsi="Times New Roman" w:cs="Times New Roman"/>
          <w:sz w:val="24"/>
          <w:szCs w:val="24"/>
          <w:lang w:eastAsia="en-GB"/>
        </w:rPr>
      </w:pPr>
    </w:p>
    <w:p w14:paraId="2B94CADC" w14:textId="77777777" w:rsidR="00CE4D57" w:rsidRPr="00A26C7E" w:rsidRDefault="00CE4D57" w:rsidP="00CE4D57">
      <w:pPr>
        <w:spacing w:after="0" w:line="240" w:lineRule="auto"/>
        <w:rPr>
          <w:rFonts w:ascii="Times New Roman" w:eastAsia="Times New Roman" w:hAnsi="Times New Roman" w:cs="Times New Roman"/>
          <w:b/>
          <w:bCs/>
          <w:sz w:val="24"/>
          <w:szCs w:val="24"/>
        </w:rPr>
      </w:pPr>
      <w:r w:rsidRPr="00A26C7E">
        <w:rPr>
          <w:rFonts w:ascii="Times New Roman" w:eastAsia="Times New Roman" w:hAnsi="Times New Roman" w:cs="Times New Roman"/>
          <w:b/>
          <w:bCs/>
          <w:sz w:val="24"/>
          <w:szCs w:val="24"/>
        </w:rPr>
        <w:t>Co-ordination and Participation in External Events to Highlight ITU-T</w:t>
      </w:r>
    </w:p>
    <w:p w14:paraId="06373530" w14:textId="77777777" w:rsidR="00CE4D57" w:rsidRDefault="00CE4D57" w:rsidP="00CE4D57">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the run up to WTSA24, the Regional Office and Area Office in Delhi made several presentations to key stakeholders in the entire region highlighting the activities of ITU-T, upcoming assembly in Delhi and the various side events encouraging their participation in WTSA24.</w:t>
      </w:r>
    </w:p>
    <w:p w14:paraId="0F002F0F" w14:textId="77777777" w:rsidR="00CE4D57" w:rsidRDefault="00CE4D57" w:rsidP="00CE4D57">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Regular presentations were made to the UNCT in India during the monthly country team meetings and at any key events where the Area Office and the Regional Office had participation.</w:t>
      </w:r>
    </w:p>
    <w:p w14:paraId="151A03E8" w14:textId="77777777" w:rsidR="00CE4D57" w:rsidRDefault="00CE4D57" w:rsidP="00CE4D57">
      <w:pPr>
        <w:spacing w:after="0" w:line="240" w:lineRule="auto"/>
        <w:rPr>
          <w:rFonts w:ascii="Times New Roman" w:eastAsia="Times New Roman" w:hAnsi="Times New Roman" w:cs="Times New Roman"/>
          <w:b/>
          <w:bCs/>
          <w:sz w:val="24"/>
          <w:szCs w:val="24"/>
        </w:rPr>
      </w:pPr>
    </w:p>
    <w:p w14:paraId="22148A43" w14:textId="77777777" w:rsidR="00CE4D57" w:rsidRPr="007948FC" w:rsidRDefault="00CE4D57" w:rsidP="00CE4D5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Communications Activities</w:t>
      </w:r>
    </w:p>
    <w:p w14:paraId="090901E9" w14:textId="77777777" w:rsidR="00CE4D57" w:rsidRPr="007948FC" w:rsidRDefault="00CE4D57" w:rsidP="00CE4D57">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ITU Regional Office continues to promote TSB activities through its social media channel.</w:t>
      </w:r>
    </w:p>
    <w:p w14:paraId="399B0BC1" w14:textId="77777777" w:rsidR="00CE4D57" w:rsidRPr="00A26C7E" w:rsidRDefault="00CE4D57" w:rsidP="00CE4D57">
      <w:pPr>
        <w:spacing w:after="0" w:line="240" w:lineRule="auto"/>
        <w:jc w:val="center"/>
        <w:rPr>
          <w:rFonts w:ascii="Times New Roman" w:eastAsia="Times New Roman" w:hAnsi="Times New Roman" w:cs="Times New Roman"/>
          <w:sz w:val="24"/>
          <w:szCs w:val="24"/>
        </w:rPr>
      </w:pPr>
    </w:p>
    <w:p w14:paraId="0C1EC93A" w14:textId="77777777" w:rsidR="00CE4D57" w:rsidRPr="00031BB9" w:rsidRDefault="00CE4D57" w:rsidP="00CE4D57">
      <w:pPr>
        <w:pStyle w:val="Heading4"/>
        <w:ind w:left="709" w:hanging="709"/>
        <w:rPr>
          <w:rFonts w:ascii="Times New Roman" w:eastAsia="Times New Roman" w:hAnsi="Times New Roman" w:cs="Times New Roman"/>
          <w:b/>
          <w:i w:val="0"/>
          <w:iCs w:val="0"/>
          <w:color w:val="auto"/>
          <w:sz w:val="24"/>
          <w:szCs w:val="24"/>
          <w:lang w:eastAsia="en-US"/>
        </w:rPr>
      </w:pPr>
      <w:r w:rsidRPr="00031BB9">
        <w:rPr>
          <w:rFonts w:ascii="Times New Roman" w:eastAsia="Times New Roman" w:hAnsi="Times New Roman" w:cs="Times New Roman"/>
          <w:b/>
          <w:i w:val="0"/>
          <w:iCs w:val="0"/>
          <w:color w:val="auto"/>
          <w:sz w:val="24"/>
          <w:szCs w:val="24"/>
          <w:lang w:eastAsia="en-US"/>
        </w:rPr>
        <w:br w:type="page"/>
      </w:r>
    </w:p>
    <w:p w14:paraId="4B5AEF50" w14:textId="77777777" w:rsidR="00EA5E76" w:rsidRDefault="002F7191" w:rsidP="00EA5E76">
      <w:pPr>
        <w:rPr>
          <w:rFonts w:ascii="Times New Roman" w:eastAsia="Times New Roman" w:hAnsi="Times New Roman" w:cs="Times New Roman"/>
          <w:b/>
          <w:sz w:val="24"/>
          <w:szCs w:val="24"/>
          <w:lang w:eastAsia="en-US"/>
        </w:rPr>
      </w:pPr>
      <w:r w:rsidRPr="00031BB9">
        <w:rPr>
          <w:rFonts w:ascii="Times New Roman" w:eastAsia="Times New Roman" w:hAnsi="Times New Roman" w:cs="Times New Roman"/>
          <w:b/>
          <w:sz w:val="24"/>
          <w:szCs w:val="24"/>
          <w:lang w:eastAsia="en-US"/>
        </w:rPr>
        <w:lastRenderedPageBreak/>
        <w:t>8</w:t>
      </w:r>
      <w:r w:rsidRPr="00031BB9">
        <w:rPr>
          <w:rFonts w:ascii="Times New Roman" w:eastAsia="Times New Roman" w:hAnsi="Times New Roman" w:cs="Times New Roman"/>
          <w:b/>
          <w:sz w:val="24"/>
          <w:szCs w:val="24"/>
          <w:lang w:eastAsia="en-US"/>
        </w:rPr>
        <w:tab/>
        <w:t xml:space="preserve">Commonwealth of Independent States (CIS) - Regional Office for the CIS Region </w:t>
      </w:r>
    </w:p>
    <w:p w14:paraId="544D7C38" w14:textId="77777777" w:rsidR="002F164B" w:rsidRDefault="002F164B" w:rsidP="00EA5E76">
      <w:pPr>
        <w:rPr>
          <w:rFonts w:ascii="Times New Roman" w:hAnsi="Times New Roman" w:cs="Times New Roman"/>
          <w:sz w:val="24"/>
          <w:szCs w:val="24"/>
          <w:lang w:eastAsia="pt-BR"/>
        </w:rPr>
      </w:pPr>
    </w:p>
    <w:p w14:paraId="7A9BADF2" w14:textId="77777777" w:rsidR="00EA5E76" w:rsidRPr="009033BE" w:rsidRDefault="00EA5E76" w:rsidP="00EA5E76">
      <w:pPr>
        <w:jc w:val="both"/>
        <w:rPr>
          <w:rFonts w:ascii="Times New Roman" w:hAnsi="Times New Roman" w:cs="Times New Roman"/>
          <w:sz w:val="24"/>
          <w:szCs w:val="24"/>
          <w:lang w:eastAsia="pt-BR"/>
        </w:rPr>
      </w:pPr>
      <w:r w:rsidRPr="009033BE">
        <w:rPr>
          <w:rFonts w:ascii="Times New Roman" w:hAnsi="Times New Roman" w:cs="Times New Roman"/>
          <w:sz w:val="24"/>
          <w:szCs w:val="24"/>
          <w:lang w:eastAsia="pt-BR"/>
        </w:rPr>
        <w:t xml:space="preserve">The ITU Regional Office for CIS Region </w:t>
      </w:r>
      <w:r>
        <w:rPr>
          <w:rFonts w:ascii="Times New Roman" w:hAnsi="Times New Roman" w:cs="Times New Roman"/>
          <w:sz w:val="24"/>
          <w:szCs w:val="24"/>
          <w:lang w:eastAsia="pt-BR"/>
        </w:rPr>
        <w:t>supported</w:t>
      </w:r>
      <w:r w:rsidRPr="009033BE">
        <w:rPr>
          <w:rFonts w:ascii="Times New Roman" w:hAnsi="Times New Roman" w:cs="Times New Roman"/>
          <w:sz w:val="24"/>
          <w:szCs w:val="24"/>
          <w:lang w:eastAsia="pt-BR"/>
        </w:rPr>
        <w:t xml:space="preserve"> TSB on preparations </w:t>
      </w:r>
      <w:r>
        <w:rPr>
          <w:rFonts w:ascii="Times New Roman" w:hAnsi="Times New Roman" w:cs="Times New Roman"/>
          <w:sz w:val="24"/>
          <w:szCs w:val="24"/>
          <w:lang w:eastAsia="pt-BR"/>
        </w:rPr>
        <w:t>to</w:t>
      </w:r>
      <w:r w:rsidRPr="009033BE">
        <w:rPr>
          <w:rFonts w:ascii="Times New Roman" w:hAnsi="Times New Roman" w:cs="Times New Roman"/>
          <w:sz w:val="24"/>
          <w:szCs w:val="24"/>
          <w:lang w:eastAsia="pt-BR"/>
        </w:rPr>
        <w:t xml:space="preserve"> WTSA-24</w:t>
      </w:r>
      <w:r>
        <w:rPr>
          <w:rFonts w:ascii="Times New Roman" w:hAnsi="Times New Roman" w:cs="Times New Roman"/>
          <w:sz w:val="24"/>
          <w:szCs w:val="24"/>
          <w:lang w:eastAsia="pt-BR"/>
        </w:rPr>
        <w:t>, including</w:t>
      </w:r>
      <w:r w:rsidRPr="009033BE">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through coordination </w:t>
      </w:r>
      <w:r w:rsidRPr="009033BE">
        <w:rPr>
          <w:rFonts w:ascii="Times New Roman" w:hAnsi="Times New Roman" w:cs="Times New Roman"/>
          <w:sz w:val="24"/>
          <w:szCs w:val="24"/>
          <w:lang w:eastAsia="pt-BR"/>
        </w:rPr>
        <w:t xml:space="preserve">with the </w:t>
      </w:r>
      <w:r>
        <w:rPr>
          <w:rFonts w:ascii="Times New Roman" w:hAnsi="Times New Roman" w:cs="Times New Roman"/>
          <w:sz w:val="24"/>
          <w:szCs w:val="24"/>
          <w:lang w:eastAsia="pt-BR"/>
        </w:rPr>
        <w:t>Regional Commonwealth in the field of Communications (RCC)</w:t>
      </w:r>
      <w:r w:rsidRPr="009033BE">
        <w:rPr>
          <w:rFonts w:ascii="Times New Roman" w:hAnsi="Times New Roman" w:cs="Times New Roman"/>
          <w:sz w:val="24"/>
          <w:szCs w:val="24"/>
          <w:lang w:eastAsia="pt-BR"/>
        </w:rPr>
        <w:t>, with the aim to support Member-States in their preparatory process.</w:t>
      </w:r>
    </w:p>
    <w:p w14:paraId="416D0D9B" w14:textId="77777777" w:rsidR="00EA5E76" w:rsidRPr="009033BE" w:rsidRDefault="00EA5E76" w:rsidP="00EA5E76">
      <w:pPr>
        <w:jc w:val="both"/>
        <w:rPr>
          <w:rFonts w:ascii="Times New Roman" w:hAnsi="Times New Roman" w:cs="Times New Roman"/>
          <w:sz w:val="24"/>
          <w:szCs w:val="24"/>
          <w:lang w:eastAsia="pt-BR"/>
        </w:rPr>
      </w:pPr>
      <w:r w:rsidRPr="009033BE">
        <w:rPr>
          <w:rFonts w:ascii="Times New Roman" w:hAnsi="Times New Roman" w:cs="Times New Roman"/>
          <w:sz w:val="24"/>
          <w:szCs w:val="24"/>
          <w:lang w:eastAsia="pt-BR"/>
        </w:rPr>
        <w:t xml:space="preserve">On the specific thematic areas of work, the Regional Office </w:t>
      </w:r>
      <w:r>
        <w:rPr>
          <w:rFonts w:ascii="Times New Roman" w:hAnsi="Times New Roman" w:cs="Times New Roman"/>
          <w:sz w:val="24"/>
          <w:szCs w:val="24"/>
          <w:lang w:eastAsia="pt-BR"/>
        </w:rPr>
        <w:t>worked closely</w:t>
      </w:r>
      <w:r w:rsidRPr="009033BE">
        <w:rPr>
          <w:rFonts w:ascii="Times New Roman" w:hAnsi="Times New Roman" w:cs="Times New Roman"/>
          <w:sz w:val="24"/>
          <w:szCs w:val="24"/>
          <w:lang w:eastAsia="pt-BR"/>
        </w:rPr>
        <w:t xml:space="preserve"> with the TSB team on the following activities: </w:t>
      </w:r>
    </w:p>
    <w:p w14:paraId="0FAFD458" w14:textId="77777777" w:rsidR="00EA5E76" w:rsidRDefault="00EA5E76" w:rsidP="00EA5E76">
      <w:pPr>
        <w:pStyle w:val="ListParagraph"/>
        <w:numPr>
          <w:ilvl w:val="0"/>
          <w:numId w:val="7"/>
        </w:numPr>
        <w:jc w:val="both"/>
        <w:rPr>
          <w:rFonts w:ascii="Times New Roman" w:hAnsi="Times New Roman" w:cs="Times New Roman"/>
          <w:sz w:val="24"/>
          <w:szCs w:val="24"/>
          <w:lang w:eastAsia="pt-BR"/>
        </w:rPr>
      </w:pPr>
      <w:r>
        <w:rPr>
          <w:rFonts w:ascii="Times New Roman" w:hAnsi="Times New Roman" w:cs="Times New Roman"/>
          <w:sz w:val="24"/>
          <w:szCs w:val="24"/>
          <w:lang w:eastAsia="pt-BR"/>
        </w:rPr>
        <w:t>Implementation of a regional project on C&amp;I “</w:t>
      </w:r>
      <w:r w:rsidRPr="009033BE">
        <w:rPr>
          <w:rFonts w:ascii="Times New Roman" w:hAnsi="Times New Roman" w:cs="Times New Roman"/>
          <w:sz w:val="24"/>
          <w:szCs w:val="24"/>
          <w:lang w:eastAsia="pt-BR"/>
        </w:rPr>
        <w:t xml:space="preserve">International Research, Development and Testing Centre for ITU Member States and ITU Sector Members in the CIS region </w:t>
      </w:r>
      <w:r>
        <w:rPr>
          <w:rFonts w:ascii="Times New Roman" w:hAnsi="Times New Roman" w:cs="Times New Roman"/>
          <w:sz w:val="24"/>
          <w:szCs w:val="24"/>
          <w:lang w:eastAsia="pt-BR"/>
        </w:rPr>
        <w:t>– Phase 2” co-funded by ITU and Rostelecom, ITU-T Sector Member. Project team is facilitating C&amp;I activities based on the ITU-T Recommendations and also contributes to the research in relevant ITU-T Study Groups.</w:t>
      </w:r>
    </w:p>
    <w:p w14:paraId="6771F00F" w14:textId="77777777" w:rsidR="00EA5E76" w:rsidRPr="006B2F51" w:rsidRDefault="00EA5E76" w:rsidP="00EA5E76">
      <w:pPr>
        <w:pStyle w:val="ListParagraph"/>
        <w:numPr>
          <w:ilvl w:val="0"/>
          <w:numId w:val="7"/>
        </w:numPr>
        <w:jc w:val="both"/>
        <w:rPr>
          <w:rFonts w:ascii="Times New Roman" w:hAnsi="Times New Roman" w:cs="Times New Roman"/>
          <w:sz w:val="24"/>
          <w:szCs w:val="24"/>
          <w:lang w:eastAsia="pt-BR"/>
        </w:rPr>
      </w:pPr>
      <w:r w:rsidRPr="006B2F51">
        <w:rPr>
          <w:rFonts w:ascii="Times New Roman" w:hAnsi="Times New Roman" w:cs="Times New Roman"/>
          <w:sz w:val="24"/>
          <w:szCs w:val="24"/>
          <w:lang w:eastAsia="pt-BR"/>
        </w:rPr>
        <w:t>Through awareness raising activities RO CIS has supported adoption in CIS countries of Recommendations and KPIs related to Smart Cities and Communities developed within U4SCC initiative</w:t>
      </w:r>
    </w:p>
    <w:p w14:paraId="19136337" w14:textId="77777777" w:rsidR="00EA5E76" w:rsidRPr="00365E57" w:rsidRDefault="00EA5E76" w:rsidP="00EA5E76">
      <w:pPr>
        <w:pStyle w:val="ListParagraph"/>
        <w:numPr>
          <w:ilvl w:val="0"/>
          <w:numId w:val="7"/>
        </w:numPr>
        <w:jc w:val="both"/>
        <w:rPr>
          <w:rFonts w:ascii="Times New Roman" w:hAnsi="Times New Roman" w:cs="Times New Roman"/>
          <w:sz w:val="24"/>
          <w:szCs w:val="24"/>
          <w:lang w:eastAsia="pt-BR"/>
        </w:rPr>
      </w:pPr>
      <w:r w:rsidRPr="00ED71EB">
        <w:rPr>
          <w:rFonts w:ascii="Times New Roman" w:hAnsi="Times New Roman" w:cs="Times New Roman"/>
          <w:sz w:val="24"/>
          <w:szCs w:val="24"/>
          <w:lang w:eastAsia="pt-BR"/>
        </w:rPr>
        <w:t xml:space="preserve">Preparations are ongoing jointly with TSB for the ITU Regional Forum “Future Technologies: Artificial Intelligence, Metaverse, Holography and other ICT Applications and Services. Vision 2030”, to be held from 9 to 11 June 2025 in St. Petersburg, Russian Federation.  It will be held back-to-back with meetings of the regional groups of ITU-T Study Groups 11, 13 and 20. </w:t>
      </w:r>
    </w:p>
    <w:p w14:paraId="3BF72210" w14:textId="17D200D0" w:rsidR="002F7191" w:rsidRPr="00031BB9" w:rsidRDefault="002F7191" w:rsidP="002F7191">
      <w:pPr>
        <w:pStyle w:val="Heading4"/>
        <w:rPr>
          <w:rFonts w:ascii="Times New Roman" w:eastAsia="Times New Roman" w:hAnsi="Times New Roman" w:cs="Times New Roman"/>
          <w:b/>
          <w:i w:val="0"/>
          <w:iCs w:val="0"/>
          <w:color w:val="auto"/>
          <w:sz w:val="24"/>
          <w:szCs w:val="24"/>
          <w:lang w:eastAsia="en-US"/>
        </w:rPr>
      </w:pPr>
      <w:r w:rsidRPr="00031BB9">
        <w:rPr>
          <w:rFonts w:ascii="Times New Roman" w:eastAsia="Times New Roman" w:hAnsi="Times New Roman" w:cs="Times New Roman"/>
          <w:b/>
          <w:i w:val="0"/>
          <w:iCs w:val="0"/>
          <w:color w:val="auto"/>
          <w:sz w:val="24"/>
          <w:szCs w:val="24"/>
          <w:lang w:eastAsia="en-US"/>
        </w:rPr>
        <w:br w:type="page"/>
      </w:r>
    </w:p>
    <w:p w14:paraId="12E28666" w14:textId="77777777" w:rsidR="002F7191" w:rsidRDefault="002F7191" w:rsidP="002F7191">
      <w:pPr>
        <w:pStyle w:val="Heading4"/>
        <w:rPr>
          <w:rFonts w:ascii="Times New Roman" w:eastAsia="Times New Roman" w:hAnsi="Times New Roman" w:cs="Times New Roman"/>
          <w:b/>
          <w:i w:val="0"/>
          <w:iCs w:val="0"/>
          <w:color w:val="auto"/>
          <w:sz w:val="24"/>
          <w:szCs w:val="24"/>
          <w:lang w:eastAsia="en-US"/>
        </w:rPr>
      </w:pPr>
      <w:r w:rsidRPr="00031BB9">
        <w:rPr>
          <w:rFonts w:ascii="Times New Roman" w:eastAsia="Times New Roman" w:hAnsi="Times New Roman" w:cs="Times New Roman"/>
          <w:b/>
          <w:i w:val="0"/>
          <w:iCs w:val="0"/>
          <w:color w:val="auto"/>
          <w:sz w:val="24"/>
          <w:szCs w:val="24"/>
          <w:lang w:eastAsia="en-US"/>
        </w:rPr>
        <w:lastRenderedPageBreak/>
        <w:t>9</w:t>
      </w:r>
      <w:r w:rsidRPr="00031BB9">
        <w:rPr>
          <w:rFonts w:ascii="Times New Roman" w:eastAsia="Times New Roman" w:hAnsi="Times New Roman" w:cs="Times New Roman"/>
          <w:b/>
          <w:i w:val="0"/>
          <w:iCs w:val="0"/>
          <w:color w:val="auto"/>
          <w:sz w:val="24"/>
          <w:szCs w:val="24"/>
          <w:lang w:eastAsia="en-US"/>
        </w:rPr>
        <w:tab/>
        <w:t>Europe - ITU Office for Europe</w:t>
      </w:r>
    </w:p>
    <w:p w14:paraId="1EC3E048" w14:textId="77777777" w:rsidR="00B74058" w:rsidRPr="00B74058" w:rsidRDefault="00B74058" w:rsidP="00B74058">
      <w:pPr>
        <w:rPr>
          <w:lang w:eastAsia="en-US"/>
        </w:rPr>
      </w:pPr>
    </w:p>
    <w:p w14:paraId="7319658B" w14:textId="77777777" w:rsidR="00B74058" w:rsidRPr="009033BE" w:rsidRDefault="00B74058" w:rsidP="00B74058">
      <w:pPr>
        <w:jc w:val="both"/>
        <w:rPr>
          <w:rFonts w:ascii="Times New Roman" w:hAnsi="Times New Roman" w:cs="Times New Roman"/>
          <w:sz w:val="24"/>
          <w:szCs w:val="24"/>
          <w:lang w:eastAsia="pt-BR"/>
        </w:rPr>
      </w:pPr>
      <w:r w:rsidRPr="009033BE">
        <w:rPr>
          <w:rFonts w:ascii="Times New Roman" w:hAnsi="Times New Roman" w:cs="Times New Roman"/>
          <w:sz w:val="24"/>
          <w:szCs w:val="24"/>
          <w:lang w:eastAsia="pt-BR"/>
        </w:rPr>
        <w:t xml:space="preserve">The ITU Office for </w:t>
      </w:r>
      <w:r>
        <w:rPr>
          <w:rFonts w:ascii="Times New Roman" w:hAnsi="Times New Roman" w:cs="Times New Roman"/>
          <w:sz w:val="24"/>
          <w:szCs w:val="24"/>
          <w:lang w:eastAsia="pt-BR"/>
        </w:rPr>
        <w:t>Europe supported</w:t>
      </w:r>
      <w:r w:rsidRPr="009033BE">
        <w:rPr>
          <w:rFonts w:ascii="Times New Roman" w:hAnsi="Times New Roman" w:cs="Times New Roman"/>
          <w:sz w:val="24"/>
          <w:szCs w:val="24"/>
          <w:lang w:eastAsia="pt-BR"/>
        </w:rPr>
        <w:t xml:space="preserve"> TSB on preparations </w:t>
      </w:r>
      <w:r>
        <w:rPr>
          <w:rFonts w:ascii="Times New Roman" w:hAnsi="Times New Roman" w:cs="Times New Roman"/>
          <w:sz w:val="24"/>
          <w:szCs w:val="24"/>
          <w:lang w:eastAsia="pt-BR"/>
        </w:rPr>
        <w:t>to</w:t>
      </w:r>
      <w:r w:rsidRPr="009033BE">
        <w:rPr>
          <w:rFonts w:ascii="Times New Roman" w:hAnsi="Times New Roman" w:cs="Times New Roman"/>
          <w:sz w:val="24"/>
          <w:szCs w:val="24"/>
          <w:lang w:eastAsia="pt-BR"/>
        </w:rPr>
        <w:t xml:space="preserve"> WTSA-24</w:t>
      </w:r>
      <w:r>
        <w:rPr>
          <w:rFonts w:ascii="Times New Roman" w:hAnsi="Times New Roman" w:cs="Times New Roman"/>
          <w:sz w:val="24"/>
          <w:szCs w:val="24"/>
          <w:lang w:eastAsia="pt-BR"/>
        </w:rPr>
        <w:t>, including</w:t>
      </w:r>
      <w:r w:rsidRPr="009033BE">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through coordination </w:t>
      </w:r>
      <w:r w:rsidRPr="009033BE">
        <w:rPr>
          <w:rFonts w:ascii="Times New Roman" w:hAnsi="Times New Roman" w:cs="Times New Roman"/>
          <w:sz w:val="24"/>
          <w:szCs w:val="24"/>
          <w:lang w:eastAsia="pt-BR"/>
        </w:rPr>
        <w:t xml:space="preserve">with the </w:t>
      </w:r>
      <w:r>
        <w:rPr>
          <w:rFonts w:ascii="Times New Roman" w:hAnsi="Times New Roman" w:cs="Times New Roman"/>
          <w:sz w:val="24"/>
          <w:szCs w:val="24"/>
          <w:lang w:eastAsia="pt-BR"/>
        </w:rPr>
        <w:t>European Conference of Postal and Telecommunication Administrations (CEPT)</w:t>
      </w:r>
      <w:r w:rsidRPr="009033BE">
        <w:rPr>
          <w:rFonts w:ascii="Times New Roman" w:hAnsi="Times New Roman" w:cs="Times New Roman"/>
          <w:sz w:val="24"/>
          <w:szCs w:val="24"/>
          <w:lang w:eastAsia="pt-BR"/>
        </w:rPr>
        <w:t>, with the aim of supporting Member-States in their preparatory process.</w:t>
      </w:r>
      <w:r>
        <w:rPr>
          <w:rFonts w:ascii="Times New Roman" w:hAnsi="Times New Roman" w:cs="Times New Roman"/>
          <w:sz w:val="24"/>
          <w:szCs w:val="24"/>
          <w:lang w:eastAsia="pt-BR"/>
        </w:rPr>
        <w:t xml:space="preserve"> The ITU Office for Europe continues supporting TSB in coordination with CEPT towards the effective implementation of the WTSA-24 outcomes. </w:t>
      </w:r>
    </w:p>
    <w:p w14:paraId="30596ED9" w14:textId="77777777" w:rsidR="00B74058" w:rsidRDefault="00B74058" w:rsidP="00B74058">
      <w:pPr>
        <w:jc w:val="both"/>
        <w:rPr>
          <w:rFonts w:ascii="Times New Roman" w:hAnsi="Times New Roman" w:cs="Times New Roman"/>
          <w:sz w:val="24"/>
          <w:szCs w:val="24"/>
          <w:lang w:eastAsia="pt-BR"/>
        </w:rPr>
      </w:pPr>
      <w:r w:rsidRPr="009033BE">
        <w:rPr>
          <w:rFonts w:ascii="Times New Roman" w:hAnsi="Times New Roman" w:cs="Times New Roman"/>
          <w:sz w:val="24"/>
          <w:szCs w:val="24"/>
          <w:lang w:eastAsia="pt-BR"/>
        </w:rPr>
        <w:t xml:space="preserve">On the specific thematic areas of work, the </w:t>
      </w:r>
      <w:r>
        <w:rPr>
          <w:rFonts w:ascii="Times New Roman" w:hAnsi="Times New Roman" w:cs="Times New Roman"/>
          <w:sz w:val="24"/>
          <w:szCs w:val="24"/>
          <w:lang w:eastAsia="pt-BR"/>
        </w:rPr>
        <w:t xml:space="preserve">ITU </w:t>
      </w:r>
      <w:r w:rsidRPr="009033BE">
        <w:rPr>
          <w:rFonts w:ascii="Times New Roman" w:hAnsi="Times New Roman" w:cs="Times New Roman"/>
          <w:sz w:val="24"/>
          <w:szCs w:val="24"/>
          <w:lang w:eastAsia="pt-BR"/>
        </w:rPr>
        <w:t xml:space="preserve">Office </w:t>
      </w:r>
      <w:r>
        <w:rPr>
          <w:rFonts w:ascii="Times New Roman" w:hAnsi="Times New Roman" w:cs="Times New Roman"/>
          <w:sz w:val="24"/>
          <w:szCs w:val="24"/>
          <w:lang w:eastAsia="pt-BR"/>
        </w:rPr>
        <w:t>for Europe worked closely</w:t>
      </w:r>
      <w:r w:rsidRPr="009033BE">
        <w:rPr>
          <w:rFonts w:ascii="Times New Roman" w:hAnsi="Times New Roman" w:cs="Times New Roman"/>
          <w:sz w:val="24"/>
          <w:szCs w:val="24"/>
          <w:lang w:eastAsia="pt-BR"/>
        </w:rPr>
        <w:t xml:space="preserve"> with the TSB team on the following activities: </w:t>
      </w:r>
    </w:p>
    <w:p w14:paraId="71FE3D4A" w14:textId="77777777" w:rsidR="00B74058" w:rsidRDefault="00B74058" w:rsidP="00B74058">
      <w:pPr>
        <w:pStyle w:val="ListParagraph"/>
        <w:numPr>
          <w:ilvl w:val="0"/>
          <w:numId w:val="8"/>
        </w:numPr>
        <w:jc w:val="both"/>
        <w:rPr>
          <w:rFonts w:ascii="Times New Roman" w:hAnsi="Times New Roman" w:cs="Times New Roman"/>
          <w:sz w:val="24"/>
          <w:szCs w:val="24"/>
          <w:lang w:eastAsia="pt-BR"/>
        </w:rPr>
      </w:pPr>
      <w:r>
        <w:rPr>
          <w:rFonts w:ascii="Times New Roman" w:hAnsi="Times New Roman" w:cs="Times New Roman"/>
          <w:sz w:val="24"/>
          <w:szCs w:val="24"/>
          <w:lang w:eastAsia="pt-BR"/>
        </w:rPr>
        <w:t>Trainings on 5G Implementation, aiming at building the capacities of the administration of Ukraine (October 2024, Online)</w:t>
      </w:r>
    </w:p>
    <w:p w14:paraId="41824482" w14:textId="77777777" w:rsidR="00B74058" w:rsidRDefault="00B74058" w:rsidP="00B74058">
      <w:pPr>
        <w:pStyle w:val="ListParagraph"/>
        <w:numPr>
          <w:ilvl w:val="0"/>
          <w:numId w:val="8"/>
        </w:numPr>
        <w:jc w:val="both"/>
        <w:rPr>
          <w:rFonts w:ascii="Times New Roman" w:hAnsi="Times New Roman" w:cs="Times New Roman"/>
          <w:sz w:val="24"/>
          <w:szCs w:val="24"/>
          <w:lang w:eastAsia="pt-BR"/>
        </w:rPr>
      </w:pPr>
      <w:r w:rsidRPr="00926011">
        <w:rPr>
          <w:rFonts w:ascii="Times New Roman" w:hAnsi="Times New Roman" w:cs="Times New Roman"/>
          <w:sz w:val="24"/>
          <w:szCs w:val="24"/>
          <w:lang w:eastAsia="pt-BR"/>
        </w:rPr>
        <w:t xml:space="preserve">ITU </w:t>
      </w:r>
      <w:r>
        <w:rPr>
          <w:rFonts w:ascii="Times New Roman" w:hAnsi="Times New Roman" w:cs="Times New Roman"/>
          <w:sz w:val="24"/>
          <w:szCs w:val="24"/>
          <w:lang w:eastAsia="pt-BR"/>
        </w:rPr>
        <w:t>W</w:t>
      </w:r>
      <w:r w:rsidRPr="00926011">
        <w:rPr>
          <w:rFonts w:ascii="Times New Roman" w:hAnsi="Times New Roman" w:cs="Times New Roman"/>
          <w:sz w:val="24"/>
          <w:szCs w:val="24"/>
          <w:lang w:eastAsia="pt-BR"/>
        </w:rPr>
        <w:t xml:space="preserve">orkshop on the </w:t>
      </w:r>
      <w:r>
        <w:rPr>
          <w:rFonts w:ascii="Times New Roman" w:hAnsi="Times New Roman" w:cs="Times New Roman"/>
          <w:sz w:val="24"/>
          <w:szCs w:val="24"/>
          <w:lang w:eastAsia="pt-BR"/>
        </w:rPr>
        <w:t>F</w:t>
      </w:r>
      <w:r w:rsidRPr="00926011">
        <w:rPr>
          <w:rFonts w:ascii="Times New Roman" w:hAnsi="Times New Roman" w:cs="Times New Roman"/>
          <w:sz w:val="24"/>
          <w:szCs w:val="24"/>
          <w:lang w:eastAsia="pt-BR"/>
        </w:rPr>
        <w:t xml:space="preserve">uture of </w:t>
      </w:r>
      <w:r>
        <w:rPr>
          <w:rFonts w:ascii="Times New Roman" w:hAnsi="Times New Roman" w:cs="Times New Roman"/>
          <w:sz w:val="24"/>
          <w:szCs w:val="24"/>
          <w:lang w:eastAsia="pt-BR"/>
        </w:rPr>
        <w:t>T</w:t>
      </w:r>
      <w:r w:rsidRPr="00926011">
        <w:rPr>
          <w:rFonts w:ascii="Times New Roman" w:hAnsi="Times New Roman" w:cs="Times New Roman"/>
          <w:sz w:val="24"/>
          <w:szCs w:val="24"/>
          <w:lang w:eastAsia="pt-BR"/>
        </w:rPr>
        <w:t>elevision for Europe</w:t>
      </w:r>
      <w:r>
        <w:rPr>
          <w:rFonts w:ascii="Times New Roman" w:hAnsi="Times New Roman" w:cs="Times New Roman"/>
          <w:sz w:val="24"/>
          <w:szCs w:val="24"/>
          <w:lang w:eastAsia="pt-BR"/>
        </w:rPr>
        <w:t xml:space="preserve"> (</w:t>
      </w:r>
      <w:r w:rsidRPr="00926011">
        <w:rPr>
          <w:rFonts w:ascii="Times New Roman" w:hAnsi="Times New Roman" w:cs="Times New Roman"/>
          <w:sz w:val="24"/>
          <w:szCs w:val="24"/>
          <w:lang w:eastAsia="pt-BR"/>
        </w:rPr>
        <w:t>November 2024,</w:t>
      </w:r>
      <w:r>
        <w:rPr>
          <w:rFonts w:ascii="Times New Roman" w:hAnsi="Times New Roman" w:cs="Times New Roman"/>
          <w:sz w:val="24"/>
          <w:szCs w:val="24"/>
          <w:lang w:eastAsia="pt-BR"/>
        </w:rPr>
        <w:t xml:space="preserve"> Geneva)</w:t>
      </w:r>
    </w:p>
    <w:p w14:paraId="3D8AF62F" w14:textId="77777777" w:rsidR="00B74058" w:rsidRDefault="00B74058" w:rsidP="00B74058">
      <w:pPr>
        <w:pStyle w:val="ListParagraph"/>
        <w:numPr>
          <w:ilvl w:val="0"/>
          <w:numId w:val="8"/>
        </w:numPr>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ITU-T Briefing to the EU Council </w:t>
      </w:r>
      <w:r w:rsidRPr="00A845E9">
        <w:rPr>
          <w:rFonts w:ascii="Times New Roman" w:hAnsi="Times New Roman" w:cs="Times New Roman"/>
          <w:sz w:val="24"/>
          <w:szCs w:val="24"/>
          <w:lang w:eastAsia="pt-BR"/>
        </w:rPr>
        <w:t>Working Party</w:t>
      </w:r>
      <w:r>
        <w:rPr>
          <w:rFonts w:ascii="Times New Roman" w:hAnsi="Times New Roman" w:cs="Times New Roman"/>
          <w:sz w:val="24"/>
          <w:szCs w:val="24"/>
          <w:lang w:eastAsia="pt-BR"/>
        </w:rPr>
        <w:t xml:space="preserve"> on Telecommunication and Information Society (20 February 2025, Brussels)</w:t>
      </w:r>
    </w:p>
    <w:p w14:paraId="17134371" w14:textId="77777777" w:rsidR="00B74058" w:rsidRDefault="00B74058" w:rsidP="00B74058">
      <w:pPr>
        <w:pStyle w:val="ListParagraph"/>
        <w:numPr>
          <w:ilvl w:val="0"/>
          <w:numId w:val="8"/>
        </w:numPr>
        <w:jc w:val="both"/>
        <w:rPr>
          <w:rFonts w:ascii="Times New Roman" w:hAnsi="Times New Roman" w:cs="Times New Roman"/>
          <w:sz w:val="24"/>
          <w:szCs w:val="24"/>
          <w:lang w:eastAsia="pt-BR"/>
        </w:rPr>
      </w:pPr>
      <w:r>
        <w:rPr>
          <w:rFonts w:ascii="Times New Roman" w:hAnsi="Times New Roman" w:cs="Times New Roman"/>
          <w:sz w:val="24"/>
          <w:szCs w:val="24"/>
          <w:lang w:eastAsia="pt-BR"/>
        </w:rPr>
        <w:t>ITU-EC Synchronization Workshop focusing on identification of topics of common interest and areas of potential cooperation in the field of standardisation (19 February 2025, Brussels)</w:t>
      </w:r>
    </w:p>
    <w:p w14:paraId="590EFBC6" w14:textId="77777777" w:rsidR="00B74058" w:rsidRDefault="00B74058" w:rsidP="00B74058">
      <w:pPr>
        <w:pStyle w:val="ListParagraph"/>
        <w:numPr>
          <w:ilvl w:val="0"/>
          <w:numId w:val="8"/>
        </w:numPr>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EU-UN Dialogue on </w:t>
      </w:r>
      <w:r w:rsidRPr="0071382A">
        <w:rPr>
          <w:rFonts w:ascii="Times New Roman" w:hAnsi="Times New Roman" w:cs="Times New Roman"/>
          <w:sz w:val="24"/>
          <w:szCs w:val="24"/>
          <w:lang w:eastAsia="pt-BR"/>
        </w:rPr>
        <w:t>Business and Human Rights</w:t>
      </w:r>
      <w:r>
        <w:rPr>
          <w:rFonts w:ascii="Times New Roman" w:hAnsi="Times New Roman" w:cs="Times New Roman"/>
          <w:sz w:val="24"/>
          <w:szCs w:val="24"/>
          <w:lang w:eastAsia="pt-BR"/>
        </w:rPr>
        <w:t xml:space="preserve"> (26 March 2025, Brussels), providing the opportunity to provide an update on ITU’s activities related to human rights. </w:t>
      </w:r>
    </w:p>
    <w:p w14:paraId="10774C33" w14:textId="77777777" w:rsidR="0054026A" w:rsidRDefault="0054026A" w:rsidP="008D3834">
      <w:pPr>
        <w:spacing w:line="240" w:lineRule="auto"/>
        <w:jc w:val="center"/>
        <w:rPr>
          <w:rFonts w:ascii="Times New Roman" w:eastAsia="Times New Roman" w:hAnsi="Times New Roman" w:cs="Times New Roman"/>
          <w:kern w:val="36"/>
          <w:sz w:val="24"/>
          <w:szCs w:val="24"/>
        </w:rPr>
      </w:pPr>
    </w:p>
    <w:p w14:paraId="55C7C61B" w14:textId="08F1D019" w:rsidR="00B74058" w:rsidRPr="00253919" w:rsidRDefault="00B74058" w:rsidP="008D3834">
      <w:pPr>
        <w:spacing w:line="240" w:lineRule="auto"/>
        <w:jc w:val="center"/>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__________________</w:t>
      </w:r>
    </w:p>
    <w:sectPr w:rsidR="00B74058" w:rsidRPr="00253919" w:rsidSect="00A845E9">
      <w:headerReference w:type="default" r:id="rId20"/>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40B36" w14:textId="77777777" w:rsidR="00864B59" w:rsidRDefault="00864B59" w:rsidP="004A72B6">
      <w:pPr>
        <w:spacing w:after="0" w:line="240" w:lineRule="auto"/>
      </w:pPr>
      <w:r>
        <w:separator/>
      </w:r>
    </w:p>
  </w:endnote>
  <w:endnote w:type="continuationSeparator" w:id="0">
    <w:p w14:paraId="0A31968A" w14:textId="77777777" w:rsidR="00864B59" w:rsidRDefault="00864B59"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18204" w14:textId="77777777" w:rsidR="00864B59" w:rsidRDefault="00864B59" w:rsidP="004A72B6">
      <w:pPr>
        <w:spacing w:after="0" w:line="240" w:lineRule="auto"/>
      </w:pPr>
      <w:r>
        <w:separator/>
      </w:r>
    </w:p>
  </w:footnote>
  <w:footnote w:type="continuationSeparator" w:id="0">
    <w:p w14:paraId="56CA1BD1" w14:textId="77777777" w:rsidR="00864B59" w:rsidRDefault="00864B59"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B407" w14:textId="24F23906" w:rsidR="009572AA" w:rsidRPr="00A845E9" w:rsidRDefault="00A845E9" w:rsidP="00A845E9">
    <w:pPr>
      <w:pStyle w:val="Header"/>
      <w:jc w:val="center"/>
      <w:rPr>
        <w:rFonts w:ascii="Times New Roman" w:hAnsi="Times New Roman" w:cs="Times New Roman"/>
        <w:sz w:val="18"/>
      </w:rPr>
    </w:pPr>
    <w:r w:rsidRPr="00A845E9">
      <w:rPr>
        <w:rFonts w:ascii="Times New Roman" w:hAnsi="Times New Roman" w:cs="Times New Roman"/>
        <w:sz w:val="18"/>
      </w:rPr>
      <w:t xml:space="preserve">- </w:t>
    </w:r>
    <w:r w:rsidRPr="00A845E9">
      <w:rPr>
        <w:rFonts w:ascii="Times New Roman" w:hAnsi="Times New Roman" w:cs="Times New Roman"/>
        <w:sz w:val="18"/>
      </w:rPr>
      <w:fldChar w:fldCharType="begin"/>
    </w:r>
    <w:r w:rsidRPr="00A845E9">
      <w:rPr>
        <w:rFonts w:ascii="Times New Roman" w:hAnsi="Times New Roman" w:cs="Times New Roman"/>
        <w:sz w:val="18"/>
      </w:rPr>
      <w:instrText xml:space="preserve"> PAGE  \* MERGEFORMAT </w:instrText>
    </w:r>
    <w:r w:rsidRPr="00A845E9">
      <w:rPr>
        <w:rFonts w:ascii="Times New Roman" w:hAnsi="Times New Roman" w:cs="Times New Roman"/>
        <w:sz w:val="18"/>
      </w:rPr>
      <w:fldChar w:fldCharType="separate"/>
    </w:r>
    <w:r w:rsidRPr="00A845E9">
      <w:rPr>
        <w:rFonts w:ascii="Times New Roman" w:hAnsi="Times New Roman" w:cs="Times New Roman"/>
        <w:noProof/>
        <w:sz w:val="18"/>
      </w:rPr>
      <w:t>1</w:t>
    </w:r>
    <w:r w:rsidRPr="00A845E9">
      <w:rPr>
        <w:rFonts w:ascii="Times New Roman" w:hAnsi="Times New Roman" w:cs="Times New Roman"/>
        <w:sz w:val="18"/>
      </w:rPr>
      <w:fldChar w:fldCharType="end"/>
    </w:r>
    <w:r w:rsidRPr="00A845E9">
      <w:rPr>
        <w:rFonts w:ascii="Times New Roman" w:hAnsi="Times New Roman" w:cs="Times New Roman"/>
        <w:sz w:val="18"/>
      </w:rPr>
      <w:t xml:space="preserve"> -</w:t>
    </w:r>
  </w:p>
  <w:p w14:paraId="523B4741" w14:textId="6AE8F05E" w:rsidR="00A845E9" w:rsidRPr="00A845E9" w:rsidRDefault="00A845E9" w:rsidP="00A845E9">
    <w:pPr>
      <w:pStyle w:val="Header"/>
      <w:spacing w:after="240"/>
      <w:jc w:val="center"/>
      <w:rPr>
        <w:rFonts w:ascii="Times New Roman" w:hAnsi="Times New Roman" w:cs="Times New Roman"/>
        <w:sz w:val="18"/>
      </w:rPr>
    </w:pPr>
    <w:r w:rsidRPr="00A845E9">
      <w:rPr>
        <w:rFonts w:ascii="Times New Roman" w:hAnsi="Times New Roman" w:cs="Times New Roman"/>
        <w:sz w:val="18"/>
      </w:rPr>
      <w:fldChar w:fldCharType="begin"/>
    </w:r>
    <w:r w:rsidRPr="00A845E9">
      <w:rPr>
        <w:rFonts w:ascii="Times New Roman" w:hAnsi="Times New Roman" w:cs="Times New Roman"/>
        <w:sz w:val="18"/>
      </w:rPr>
      <w:instrText xml:space="preserve"> STYLEREF  Docnumber  </w:instrText>
    </w:r>
    <w:r w:rsidRPr="00A845E9">
      <w:rPr>
        <w:rFonts w:ascii="Times New Roman" w:hAnsi="Times New Roman" w:cs="Times New Roman"/>
        <w:sz w:val="18"/>
      </w:rPr>
      <w:fldChar w:fldCharType="separate"/>
    </w:r>
    <w:r w:rsidR="00B043FF">
      <w:rPr>
        <w:rFonts w:ascii="Times New Roman" w:hAnsi="Times New Roman" w:cs="Times New Roman"/>
        <w:noProof/>
        <w:sz w:val="18"/>
      </w:rPr>
      <w:t>TSAG-TD67</w:t>
    </w:r>
    <w:r w:rsidRPr="00A845E9">
      <w:rPr>
        <w:rFonts w:ascii="Times New Roman" w:hAnsi="Times New Roman" w:cs="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5CA"/>
    <w:multiLevelType w:val="hybridMultilevel"/>
    <w:tmpl w:val="683055FA"/>
    <w:lvl w:ilvl="0" w:tplc="E3BEA25E">
      <w:start w:val="9"/>
      <w:numFmt w:val="bullet"/>
      <w:lvlText w:val="-"/>
      <w:lvlJc w:val="left"/>
      <w:pPr>
        <w:ind w:left="720" w:hanging="36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2271FD"/>
    <w:multiLevelType w:val="hybridMultilevel"/>
    <w:tmpl w:val="6F3A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F427F"/>
    <w:multiLevelType w:val="hybridMultilevel"/>
    <w:tmpl w:val="1600610E"/>
    <w:lvl w:ilvl="0" w:tplc="AABA2820">
      <w:start w:val="1"/>
      <w:numFmt w:val="bullet"/>
      <w:lvlText w:val="·"/>
      <w:lvlJc w:val="left"/>
      <w:pPr>
        <w:ind w:left="720" w:hanging="360"/>
      </w:pPr>
      <w:rPr>
        <w:rFonts w:ascii="Symbol" w:hAnsi="Symbol" w:hint="default"/>
      </w:rPr>
    </w:lvl>
    <w:lvl w:ilvl="1" w:tplc="D7603F50">
      <w:start w:val="1"/>
      <w:numFmt w:val="bullet"/>
      <w:lvlText w:val="o"/>
      <w:lvlJc w:val="left"/>
      <w:pPr>
        <w:ind w:left="1440" w:hanging="360"/>
      </w:pPr>
      <w:rPr>
        <w:rFonts w:ascii="Courier New" w:hAnsi="Courier New" w:hint="default"/>
      </w:rPr>
    </w:lvl>
    <w:lvl w:ilvl="2" w:tplc="4ACA74B6">
      <w:start w:val="1"/>
      <w:numFmt w:val="bullet"/>
      <w:lvlText w:val=""/>
      <w:lvlJc w:val="left"/>
      <w:pPr>
        <w:ind w:left="2160" w:hanging="360"/>
      </w:pPr>
      <w:rPr>
        <w:rFonts w:ascii="Wingdings" w:hAnsi="Wingdings" w:hint="default"/>
      </w:rPr>
    </w:lvl>
    <w:lvl w:ilvl="3" w:tplc="02DE3F14">
      <w:start w:val="1"/>
      <w:numFmt w:val="bullet"/>
      <w:lvlText w:val=""/>
      <w:lvlJc w:val="left"/>
      <w:pPr>
        <w:ind w:left="2880" w:hanging="360"/>
      </w:pPr>
      <w:rPr>
        <w:rFonts w:ascii="Symbol" w:hAnsi="Symbol" w:hint="default"/>
      </w:rPr>
    </w:lvl>
    <w:lvl w:ilvl="4" w:tplc="3DC64E94">
      <w:start w:val="1"/>
      <w:numFmt w:val="bullet"/>
      <w:lvlText w:val="o"/>
      <w:lvlJc w:val="left"/>
      <w:pPr>
        <w:ind w:left="3600" w:hanging="360"/>
      </w:pPr>
      <w:rPr>
        <w:rFonts w:ascii="Courier New" w:hAnsi="Courier New" w:hint="default"/>
      </w:rPr>
    </w:lvl>
    <w:lvl w:ilvl="5" w:tplc="0C28C9AE">
      <w:start w:val="1"/>
      <w:numFmt w:val="bullet"/>
      <w:lvlText w:val=""/>
      <w:lvlJc w:val="left"/>
      <w:pPr>
        <w:ind w:left="4320" w:hanging="360"/>
      </w:pPr>
      <w:rPr>
        <w:rFonts w:ascii="Wingdings" w:hAnsi="Wingdings" w:hint="default"/>
      </w:rPr>
    </w:lvl>
    <w:lvl w:ilvl="6" w:tplc="ACEC7F64">
      <w:start w:val="1"/>
      <w:numFmt w:val="bullet"/>
      <w:lvlText w:val=""/>
      <w:lvlJc w:val="left"/>
      <w:pPr>
        <w:ind w:left="5040" w:hanging="360"/>
      </w:pPr>
      <w:rPr>
        <w:rFonts w:ascii="Symbol" w:hAnsi="Symbol" w:hint="default"/>
      </w:rPr>
    </w:lvl>
    <w:lvl w:ilvl="7" w:tplc="BDF63AFC">
      <w:start w:val="1"/>
      <w:numFmt w:val="bullet"/>
      <w:lvlText w:val="o"/>
      <w:lvlJc w:val="left"/>
      <w:pPr>
        <w:ind w:left="5760" w:hanging="360"/>
      </w:pPr>
      <w:rPr>
        <w:rFonts w:ascii="Courier New" w:hAnsi="Courier New" w:hint="default"/>
      </w:rPr>
    </w:lvl>
    <w:lvl w:ilvl="8" w:tplc="547C8EE8">
      <w:start w:val="1"/>
      <w:numFmt w:val="bullet"/>
      <w:lvlText w:val=""/>
      <w:lvlJc w:val="left"/>
      <w:pPr>
        <w:ind w:left="6480" w:hanging="360"/>
      </w:pPr>
      <w:rPr>
        <w:rFonts w:ascii="Wingdings" w:hAnsi="Wingdings" w:hint="default"/>
      </w:rPr>
    </w:lvl>
  </w:abstractNum>
  <w:abstractNum w:abstractNumId="3" w15:restartNumberingAfterBreak="0">
    <w:nsid w:val="257107A4"/>
    <w:multiLevelType w:val="hybridMultilevel"/>
    <w:tmpl w:val="C62A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A00E6"/>
    <w:multiLevelType w:val="hybridMultilevel"/>
    <w:tmpl w:val="376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24B83"/>
    <w:multiLevelType w:val="hybridMultilevel"/>
    <w:tmpl w:val="934E930C"/>
    <w:lvl w:ilvl="0" w:tplc="A5100232">
      <w:start w:val="1"/>
      <w:numFmt w:val="bullet"/>
      <w:lvlText w:val="·"/>
      <w:lvlJc w:val="left"/>
      <w:pPr>
        <w:ind w:left="720" w:hanging="360"/>
      </w:pPr>
      <w:rPr>
        <w:rFonts w:ascii="Symbol" w:hAnsi="Symbol" w:hint="default"/>
      </w:rPr>
    </w:lvl>
    <w:lvl w:ilvl="1" w:tplc="89980D9C">
      <w:start w:val="1"/>
      <w:numFmt w:val="bullet"/>
      <w:lvlText w:val="o"/>
      <w:lvlJc w:val="left"/>
      <w:pPr>
        <w:ind w:left="1440" w:hanging="360"/>
      </w:pPr>
      <w:rPr>
        <w:rFonts w:ascii="Courier New" w:hAnsi="Courier New" w:hint="default"/>
      </w:rPr>
    </w:lvl>
    <w:lvl w:ilvl="2" w:tplc="5A549BA2">
      <w:start w:val="1"/>
      <w:numFmt w:val="bullet"/>
      <w:lvlText w:val=""/>
      <w:lvlJc w:val="left"/>
      <w:pPr>
        <w:ind w:left="2160" w:hanging="360"/>
      </w:pPr>
      <w:rPr>
        <w:rFonts w:ascii="Wingdings" w:hAnsi="Wingdings" w:hint="default"/>
      </w:rPr>
    </w:lvl>
    <w:lvl w:ilvl="3" w:tplc="4034994C">
      <w:start w:val="1"/>
      <w:numFmt w:val="bullet"/>
      <w:lvlText w:val=""/>
      <w:lvlJc w:val="left"/>
      <w:pPr>
        <w:ind w:left="2880" w:hanging="360"/>
      </w:pPr>
      <w:rPr>
        <w:rFonts w:ascii="Symbol" w:hAnsi="Symbol" w:hint="default"/>
      </w:rPr>
    </w:lvl>
    <w:lvl w:ilvl="4" w:tplc="76E6F072">
      <w:start w:val="1"/>
      <w:numFmt w:val="bullet"/>
      <w:lvlText w:val="o"/>
      <w:lvlJc w:val="left"/>
      <w:pPr>
        <w:ind w:left="3600" w:hanging="360"/>
      </w:pPr>
      <w:rPr>
        <w:rFonts w:ascii="Courier New" w:hAnsi="Courier New" w:hint="default"/>
      </w:rPr>
    </w:lvl>
    <w:lvl w:ilvl="5" w:tplc="CA0CED0E">
      <w:start w:val="1"/>
      <w:numFmt w:val="bullet"/>
      <w:lvlText w:val=""/>
      <w:lvlJc w:val="left"/>
      <w:pPr>
        <w:ind w:left="4320" w:hanging="360"/>
      </w:pPr>
      <w:rPr>
        <w:rFonts w:ascii="Wingdings" w:hAnsi="Wingdings" w:hint="default"/>
      </w:rPr>
    </w:lvl>
    <w:lvl w:ilvl="6" w:tplc="D83E5B96">
      <w:start w:val="1"/>
      <w:numFmt w:val="bullet"/>
      <w:lvlText w:val=""/>
      <w:lvlJc w:val="left"/>
      <w:pPr>
        <w:ind w:left="5040" w:hanging="360"/>
      </w:pPr>
      <w:rPr>
        <w:rFonts w:ascii="Symbol" w:hAnsi="Symbol" w:hint="default"/>
      </w:rPr>
    </w:lvl>
    <w:lvl w:ilvl="7" w:tplc="EAA8D544">
      <w:start w:val="1"/>
      <w:numFmt w:val="bullet"/>
      <w:lvlText w:val="o"/>
      <w:lvlJc w:val="left"/>
      <w:pPr>
        <w:ind w:left="5760" w:hanging="360"/>
      </w:pPr>
      <w:rPr>
        <w:rFonts w:ascii="Courier New" w:hAnsi="Courier New" w:hint="default"/>
      </w:rPr>
    </w:lvl>
    <w:lvl w:ilvl="8" w:tplc="0D2A8492">
      <w:start w:val="1"/>
      <w:numFmt w:val="bullet"/>
      <w:lvlText w:val=""/>
      <w:lvlJc w:val="left"/>
      <w:pPr>
        <w:ind w:left="6480" w:hanging="360"/>
      </w:pPr>
      <w:rPr>
        <w:rFonts w:ascii="Wingdings" w:hAnsi="Wingdings" w:hint="default"/>
      </w:rPr>
    </w:lvl>
  </w:abstractNum>
  <w:abstractNum w:abstractNumId="6" w15:restartNumberingAfterBreak="0">
    <w:nsid w:val="50FD3250"/>
    <w:multiLevelType w:val="hybridMultilevel"/>
    <w:tmpl w:val="E624A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183A15"/>
    <w:multiLevelType w:val="multilevel"/>
    <w:tmpl w:val="C9A6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735845">
    <w:abstractNumId w:val="4"/>
  </w:num>
  <w:num w:numId="2" w16cid:durableId="1231236235">
    <w:abstractNumId w:val="5"/>
  </w:num>
  <w:num w:numId="3" w16cid:durableId="954139961">
    <w:abstractNumId w:val="2"/>
  </w:num>
  <w:num w:numId="4" w16cid:durableId="642345848">
    <w:abstractNumId w:val="3"/>
  </w:num>
  <w:num w:numId="5" w16cid:durableId="1600092238">
    <w:abstractNumId w:val="1"/>
  </w:num>
  <w:num w:numId="6" w16cid:durableId="439229994">
    <w:abstractNumId w:val="7"/>
  </w:num>
  <w:num w:numId="7" w16cid:durableId="1335183363">
    <w:abstractNumId w:val="6"/>
  </w:num>
  <w:num w:numId="8" w16cid:durableId="112388919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12C5"/>
    <w:rsid w:val="00001E87"/>
    <w:rsid w:val="00012EF9"/>
    <w:rsid w:val="00014252"/>
    <w:rsid w:val="000171C0"/>
    <w:rsid w:val="00023EFE"/>
    <w:rsid w:val="00025D3E"/>
    <w:rsid w:val="00031BB9"/>
    <w:rsid w:val="000339EF"/>
    <w:rsid w:val="00033F67"/>
    <w:rsid w:val="00036808"/>
    <w:rsid w:val="0004107C"/>
    <w:rsid w:val="0004405D"/>
    <w:rsid w:val="0004589F"/>
    <w:rsid w:val="00046100"/>
    <w:rsid w:val="000462CE"/>
    <w:rsid w:val="00046DFD"/>
    <w:rsid w:val="00053E9C"/>
    <w:rsid w:val="000547E4"/>
    <w:rsid w:val="0005661E"/>
    <w:rsid w:val="00056BCF"/>
    <w:rsid w:val="00060B00"/>
    <w:rsid w:val="000610BB"/>
    <w:rsid w:val="00061D4F"/>
    <w:rsid w:val="00064B4B"/>
    <w:rsid w:val="00065A3A"/>
    <w:rsid w:val="00066247"/>
    <w:rsid w:val="0006633B"/>
    <w:rsid w:val="00067B64"/>
    <w:rsid w:val="00071079"/>
    <w:rsid w:val="0007387B"/>
    <w:rsid w:val="00077121"/>
    <w:rsid w:val="0007790A"/>
    <w:rsid w:val="00077E0D"/>
    <w:rsid w:val="000836A1"/>
    <w:rsid w:val="0008383E"/>
    <w:rsid w:val="00084C1B"/>
    <w:rsid w:val="00086034"/>
    <w:rsid w:val="00087730"/>
    <w:rsid w:val="00090D17"/>
    <w:rsid w:val="00090D84"/>
    <w:rsid w:val="000914F0"/>
    <w:rsid w:val="00094429"/>
    <w:rsid w:val="00095684"/>
    <w:rsid w:val="00096A62"/>
    <w:rsid w:val="000A0DED"/>
    <w:rsid w:val="000A1756"/>
    <w:rsid w:val="000A7EA8"/>
    <w:rsid w:val="000B2984"/>
    <w:rsid w:val="000B3127"/>
    <w:rsid w:val="000B381D"/>
    <w:rsid w:val="000B5C82"/>
    <w:rsid w:val="000B6098"/>
    <w:rsid w:val="000B6EE5"/>
    <w:rsid w:val="000B756F"/>
    <w:rsid w:val="000C1365"/>
    <w:rsid w:val="000C2E47"/>
    <w:rsid w:val="000C591E"/>
    <w:rsid w:val="000C5992"/>
    <w:rsid w:val="000C6794"/>
    <w:rsid w:val="000C7B10"/>
    <w:rsid w:val="000D0025"/>
    <w:rsid w:val="000D4B39"/>
    <w:rsid w:val="000D779E"/>
    <w:rsid w:val="000E04A5"/>
    <w:rsid w:val="000E2AE9"/>
    <w:rsid w:val="000E2C49"/>
    <w:rsid w:val="000E51C1"/>
    <w:rsid w:val="000F1B38"/>
    <w:rsid w:val="000F4D8A"/>
    <w:rsid w:val="000F61A7"/>
    <w:rsid w:val="000F78F4"/>
    <w:rsid w:val="00101272"/>
    <w:rsid w:val="00101958"/>
    <w:rsid w:val="00102B2C"/>
    <w:rsid w:val="0010716A"/>
    <w:rsid w:val="00110BD6"/>
    <w:rsid w:val="00110EB0"/>
    <w:rsid w:val="00114589"/>
    <w:rsid w:val="00114755"/>
    <w:rsid w:val="00117BB0"/>
    <w:rsid w:val="00120ACE"/>
    <w:rsid w:val="0012157C"/>
    <w:rsid w:val="0012773A"/>
    <w:rsid w:val="001311C2"/>
    <w:rsid w:val="00135619"/>
    <w:rsid w:val="00136600"/>
    <w:rsid w:val="00140AE3"/>
    <w:rsid w:val="00141038"/>
    <w:rsid w:val="001428C7"/>
    <w:rsid w:val="00142B53"/>
    <w:rsid w:val="001441A1"/>
    <w:rsid w:val="00146C7B"/>
    <w:rsid w:val="0014731A"/>
    <w:rsid w:val="00147CB8"/>
    <w:rsid w:val="001507D8"/>
    <w:rsid w:val="0015255D"/>
    <w:rsid w:val="00154DDB"/>
    <w:rsid w:val="00155D9B"/>
    <w:rsid w:val="00155E3A"/>
    <w:rsid w:val="00157267"/>
    <w:rsid w:val="001617F9"/>
    <w:rsid w:val="00162AAB"/>
    <w:rsid w:val="00166309"/>
    <w:rsid w:val="00166F40"/>
    <w:rsid w:val="001724F6"/>
    <w:rsid w:val="00174E9A"/>
    <w:rsid w:val="00177A5D"/>
    <w:rsid w:val="001840BD"/>
    <w:rsid w:val="00184C28"/>
    <w:rsid w:val="001927F4"/>
    <w:rsid w:val="001951E9"/>
    <w:rsid w:val="0019745B"/>
    <w:rsid w:val="001A21CC"/>
    <w:rsid w:val="001A2AE0"/>
    <w:rsid w:val="001A55B2"/>
    <w:rsid w:val="001A5A3B"/>
    <w:rsid w:val="001A713F"/>
    <w:rsid w:val="001B1E57"/>
    <w:rsid w:val="001B3141"/>
    <w:rsid w:val="001B6E3E"/>
    <w:rsid w:val="001C1603"/>
    <w:rsid w:val="001C226D"/>
    <w:rsid w:val="001C4622"/>
    <w:rsid w:val="001C5422"/>
    <w:rsid w:val="001C55DC"/>
    <w:rsid w:val="001C5ED3"/>
    <w:rsid w:val="001C6DDA"/>
    <w:rsid w:val="001C6DFF"/>
    <w:rsid w:val="001C70EC"/>
    <w:rsid w:val="001D1F23"/>
    <w:rsid w:val="001D6E1A"/>
    <w:rsid w:val="001D7120"/>
    <w:rsid w:val="001E10EA"/>
    <w:rsid w:val="001E1BCD"/>
    <w:rsid w:val="001E3404"/>
    <w:rsid w:val="001E64C4"/>
    <w:rsid w:val="001F1453"/>
    <w:rsid w:val="001F1F3F"/>
    <w:rsid w:val="001F3646"/>
    <w:rsid w:val="001F42C5"/>
    <w:rsid w:val="001F6D17"/>
    <w:rsid w:val="00200C7A"/>
    <w:rsid w:val="00202670"/>
    <w:rsid w:val="00203279"/>
    <w:rsid w:val="002038BE"/>
    <w:rsid w:val="002039E7"/>
    <w:rsid w:val="002048EC"/>
    <w:rsid w:val="00207F5F"/>
    <w:rsid w:val="00212EB8"/>
    <w:rsid w:val="00213821"/>
    <w:rsid w:val="00215B37"/>
    <w:rsid w:val="00217FE5"/>
    <w:rsid w:val="002203EF"/>
    <w:rsid w:val="002229D7"/>
    <w:rsid w:val="00222C0D"/>
    <w:rsid w:val="0022429C"/>
    <w:rsid w:val="0022717C"/>
    <w:rsid w:val="002309E1"/>
    <w:rsid w:val="002309F7"/>
    <w:rsid w:val="00230DE2"/>
    <w:rsid w:val="00231CA6"/>
    <w:rsid w:val="002403A4"/>
    <w:rsid w:val="002409CA"/>
    <w:rsid w:val="00240C9B"/>
    <w:rsid w:val="00253919"/>
    <w:rsid w:val="00255251"/>
    <w:rsid w:val="002565F7"/>
    <w:rsid w:val="00266247"/>
    <w:rsid w:val="00271953"/>
    <w:rsid w:val="002757C4"/>
    <w:rsid w:val="00280BD0"/>
    <w:rsid w:val="00283F02"/>
    <w:rsid w:val="00284924"/>
    <w:rsid w:val="00285319"/>
    <w:rsid w:val="002864D1"/>
    <w:rsid w:val="0028742E"/>
    <w:rsid w:val="002878EB"/>
    <w:rsid w:val="00287BDA"/>
    <w:rsid w:val="00290E04"/>
    <w:rsid w:val="00291743"/>
    <w:rsid w:val="00291D86"/>
    <w:rsid w:val="002A2391"/>
    <w:rsid w:val="002A2889"/>
    <w:rsid w:val="002A4372"/>
    <w:rsid w:val="002A497E"/>
    <w:rsid w:val="002A5DD3"/>
    <w:rsid w:val="002B08A9"/>
    <w:rsid w:val="002B1756"/>
    <w:rsid w:val="002B2CF7"/>
    <w:rsid w:val="002B3EEC"/>
    <w:rsid w:val="002B4353"/>
    <w:rsid w:val="002B4F69"/>
    <w:rsid w:val="002B6DCD"/>
    <w:rsid w:val="002B7AC4"/>
    <w:rsid w:val="002C227E"/>
    <w:rsid w:val="002C23E3"/>
    <w:rsid w:val="002C4C95"/>
    <w:rsid w:val="002C4CA3"/>
    <w:rsid w:val="002C55F0"/>
    <w:rsid w:val="002C6108"/>
    <w:rsid w:val="002D121D"/>
    <w:rsid w:val="002D12A5"/>
    <w:rsid w:val="002D6F2C"/>
    <w:rsid w:val="002E170C"/>
    <w:rsid w:val="002E3133"/>
    <w:rsid w:val="002E63CF"/>
    <w:rsid w:val="002E6CE5"/>
    <w:rsid w:val="002F0AAE"/>
    <w:rsid w:val="002F0C64"/>
    <w:rsid w:val="002F1334"/>
    <w:rsid w:val="002F164B"/>
    <w:rsid w:val="002F1FEF"/>
    <w:rsid w:val="002F3723"/>
    <w:rsid w:val="002F59DA"/>
    <w:rsid w:val="002F5F0E"/>
    <w:rsid w:val="002F65A8"/>
    <w:rsid w:val="002F6EFC"/>
    <w:rsid w:val="002F7191"/>
    <w:rsid w:val="00303715"/>
    <w:rsid w:val="003076F2"/>
    <w:rsid w:val="003114D9"/>
    <w:rsid w:val="00311714"/>
    <w:rsid w:val="00312EAE"/>
    <w:rsid w:val="00312EE1"/>
    <w:rsid w:val="00315C02"/>
    <w:rsid w:val="00315DF3"/>
    <w:rsid w:val="00316870"/>
    <w:rsid w:val="00317522"/>
    <w:rsid w:val="00317E3B"/>
    <w:rsid w:val="003234C3"/>
    <w:rsid w:val="00324C53"/>
    <w:rsid w:val="00325EE4"/>
    <w:rsid w:val="00326348"/>
    <w:rsid w:val="0033136B"/>
    <w:rsid w:val="003328A4"/>
    <w:rsid w:val="0033468A"/>
    <w:rsid w:val="0033499F"/>
    <w:rsid w:val="003364D3"/>
    <w:rsid w:val="0033681B"/>
    <w:rsid w:val="0033685F"/>
    <w:rsid w:val="003368E8"/>
    <w:rsid w:val="00337B4E"/>
    <w:rsid w:val="00337EEC"/>
    <w:rsid w:val="003406F1"/>
    <w:rsid w:val="00341580"/>
    <w:rsid w:val="00342777"/>
    <w:rsid w:val="00342BB7"/>
    <w:rsid w:val="00342F61"/>
    <w:rsid w:val="00343786"/>
    <w:rsid w:val="00343D7B"/>
    <w:rsid w:val="00346DE5"/>
    <w:rsid w:val="00347ABE"/>
    <w:rsid w:val="003541E1"/>
    <w:rsid w:val="00354FCE"/>
    <w:rsid w:val="00357242"/>
    <w:rsid w:val="00357E0D"/>
    <w:rsid w:val="00366C44"/>
    <w:rsid w:val="00367E93"/>
    <w:rsid w:val="003706A6"/>
    <w:rsid w:val="00370B80"/>
    <w:rsid w:val="00371573"/>
    <w:rsid w:val="003751FB"/>
    <w:rsid w:val="0037629C"/>
    <w:rsid w:val="00377D93"/>
    <w:rsid w:val="00380087"/>
    <w:rsid w:val="00381599"/>
    <w:rsid w:val="00382125"/>
    <w:rsid w:val="00384E99"/>
    <w:rsid w:val="00384F3D"/>
    <w:rsid w:val="003856F4"/>
    <w:rsid w:val="00386EB5"/>
    <w:rsid w:val="003904FB"/>
    <w:rsid w:val="003907BD"/>
    <w:rsid w:val="0039080F"/>
    <w:rsid w:val="00394DA7"/>
    <w:rsid w:val="00396F25"/>
    <w:rsid w:val="003A021E"/>
    <w:rsid w:val="003A040D"/>
    <w:rsid w:val="003A5873"/>
    <w:rsid w:val="003A5D4A"/>
    <w:rsid w:val="003A64F7"/>
    <w:rsid w:val="003A7828"/>
    <w:rsid w:val="003B2E7E"/>
    <w:rsid w:val="003B3A14"/>
    <w:rsid w:val="003B4D00"/>
    <w:rsid w:val="003B50F9"/>
    <w:rsid w:val="003B63DC"/>
    <w:rsid w:val="003B6F14"/>
    <w:rsid w:val="003B7945"/>
    <w:rsid w:val="003C0319"/>
    <w:rsid w:val="003C1B79"/>
    <w:rsid w:val="003C25A3"/>
    <w:rsid w:val="003C4DAD"/>
    <w:rsid w:val="003C5154"/>
    <w:rsid w:val="003C607D"/>
    <w:rsid w:val="003D2936"/>
    <w:rsid w:val="003D4551"/>
    <w:rsid w:val="003D6872"/>
    <w:rsid w:val="003E0432"/>
    <w:rsid w:val="003E0C10"/>
    <w:rsid w:val="003E0C41"/>
    <w:rsid w:val="003E0EE4"/>
    <w:rsid w:val="003E41B2"/>
    <w:rsid w:val="003F049B"/>
    <w:rsid w:val="003F143A"/>
    <w:rsid w:val="004011A0"/>
    <w:rsid w:val="0041166F"/>
    <w:rsid w:val="00411FA5"/>
    <w:rsid w:val="00415382"/>
    <w:rsid w:val="00420432"/>
    <w:rsid w:val="00420FDE"/>
    <w:rsid w:val="0042212F"/>
    <w:rsid w:val="0042581D"/>
    <w:rsid w:val="00430AAA"/>
    <w:rsid w:val="00431E86"/>
    <w:rsid w:val="00433657"/>
    <w:rsid w:val="00433A0B"/>
    <w:rsid w:val="004359D7"/>
    <w:rsid w:val="00440EA6"/>
    <w:rsid w:val="00441A9D"/>
    <w:rsid w:val="00442058"/>
    <w:rsid w:val="00442F89"/>
    <w:rsid w:val="00450E24"/>
    <w:rsid w:val="00451117"/>
    <w:rsid w:val="00456069"/>
    <w:rsid w:val="00456089"/>
    <w:rsid w:val="00462CBB"/>
    <w:rsid w:val="00463ABF"/>
    <w:rsid w:val="00463FB2"/>
    <w:rsid w:val="0046491F"/>
    <w:rsid w:val="00465832"/>
    <w:rsid w:val="00466248"/>
    <w:rsid w:val="00466A26"/>
    <w:rsid w:val="00470606"/>
    <w:rsid w:val="00470915"/>
    <w:rsid w:val="00471F05"/>
    <w:rsid w:val="0047257E"/>
    <w:rsid w:val="00474404"/>
    <w:rsid w:val="0048046B"/>
    <w:rsid w:val="00480DB8"/>
    <w:rsid w:val="00482972"/>
    <w:rsid w:val="004856AC"/>
    <w:rsid w:val="00485BDB"/>
    <w:rsid w:val="00486A24"/>
    <w:rsid w:val="00487C72"/>
    <w:rsid w:val="00487D1E"/>
    <w:rsid w:val="00491748"/>
    <w:rsid w:val="00492D02"/>
    <w:rsid w:val="004961F6"/>
    <w:rsid w:val="0049774E"/>
    <w:rsid w:val="004A0FE1"/>
    <w:rsid w:val="004A42F5"/>
    <w:rsid w:val="004A6DF1"/>
    <w:rsid w:val="004A72B6"/>
    <w:rsid w:val="004B263F"/>
    <w:rsid w:val="004B38BD"/>
    <w:rsid w:val="004B5850"/>
    <w:rsid w:val="004B7169"/>
    <w:rsid w:val="004B7D42"/>
    <w:rsid w:val="004C0C10"/>
    <w:rsid w:val="004C2301"/>
    <w:rsid w:val="004C4E75"/>
    <w:rsid w:val="004C5234"/>
    <w:rsid w:val="004C646E"/>
    <w:rsid w:val="004C74A0"/>
    <w:rsid w:val="004D24AF"/>
    <w:rsid w:val="004D2CFF"/>
    <w:rsid w:val="004D46F7"/>
    <w:rsid w:val="004D6090"/>
    <w:rsid w:val="004D7AE5"/>
    <w:rsid w:val="004D7AEB"/>
    <w:rsid w:val="004E1598"/>
    <w:rsid w:val="004E6289"/>
    <w:rsid w:val="004E6B5C"/>
    <w:rsid w:val="004F2BBB"/>
    <w:rsid w:val="004F4140"/>
    <w:rsid w:val="004F473F"/>
    <w:rsid w:val="00500CCC"/>
    <w:rsid w:val="00503DC8"/>
    <w:rsid w:val="00505F42"/>
    <w:rsid w:val="00506C0E"/>
    <w:rsid w:val="005075AB"/>
    <w:rsid w:val="00513F2F"/>
    <w:rsid w:val="005158DA"/>
    <w:rsid w:val="00515902"/>
    <w:rsid w:val="00517E93"/>
    <w:rsid w:val="00520D05"/>
    <w:rsid w:val="005214A2"/>
    <w:rsid w:val="00523B0E"/>
    <w:rsid w:val="00524911"/>
    <w:rsid w:val="00525F34"/>
    <w:rsid w:val="005266B3"/>
    <w:rsid w:val="00526EFC"/>
    <w:rsid w:val="0053159D"/>
    <w:rsid w:val="00532344"/>
    <w:rsid w:val="00535A7D"/>
    <w:rsid w:val="005362B6"/>
    <w:rsid w:val="0054026A"/>
    <w:rsid w:val="00541E79"/>
    <w:rsid w:val="0054356B"/>
    <w:rsid w:val="00543D26"/>
    <w:rsid w:val="00544CE4"/>
    <w:rsid w:val="00545E1A"/>
    <w:rsid w:val="00551862"/>
    <w:rsid w:val="00552170"/>
    <w:rsid w:val="00552E21"/>
    <w:rsid w:val="00553813"/>
    <w:rsid w:val="00553C05"/>
    <w:rsid w:val="00554466"/>
    <w:rsid w:val="00554A29"/>
    <w:rsid w:val="00561A59"/>
    <w:rsid w:val="00563229"/>
    <w:rsid w:val="00567851"/>
    <w:rsid w:val="0057213E"/>
    <w:rsid w:val="005735C1"/>
    <w:rsid w:val="005770CD"/>
    <w:rsid w:val="00583930"/>
    <w:rsid w:val="00584348"/>
    <w:rsid w:val="0058471F"/>
    <w:rsid w:val="00586A56"/>
    <w:rsid w:val="00586C56"/>
    <w:rsid w:val="00586E5A"/>
    <w:rsid w:val="00587F7F"/>
    <w:rsid w:val="005901C9"/>
    <w:rsid w:val="00591B10"/>
    <w:rsid w:val="00596F71"/>
    <w:rsid w:val="005976B1"/>
    <w:rsid w:val="005A0554"/>
    <w:rsid w:val="005A3ABE"/>
    <w:rsid w:val="005A59F7"/>
    <w:rsid w:val="005A5C80"/>
    <w:rsid w:val="005B0357"/>
    <w:rsid w:val="005B31EE"/>
    <w:rsid w:val="005B51F6"/>
    <w:rsid w:val="005B636A"/>
    <w:rsid w:val="005B75FC"/>
    <w:rsid w:val="005C4596"/>
    <w:rsid w:val="005C49CB"/>
    <w:rsid w:val="005C4C61"/>
    <w:rsid w:val="005C54C3"/>
    <w:rsid w:val="005C594F"/>
    <w:rsid w:val="005C76AC"/>
    <w:rsid w:val="005D04C0"/>
    <w:rsid w:val="005D3BB8"/>
    <w:rsid w:val="005D4324"/>
    <w:rsid w:val="005D5FF3"/>
    <w:rsid w:val="005E3823"/>
    <w:rsid w:val="005E4D5E"/>
    <w:rsid w:val="005F7817"/>
    <w:rsid w:val="00601D08"/>
    <w:rsid w:val="00605463"/>
    <w:rsid w:val="00605936"/>
    <w:rsid w:val="00607F9B"/>
    <w:rsid w:val="00610418"/>
    <w:rsid w:val="00610690"/>
    <w:rsid w:val="00610FA1"/>
    <w:rsid w:val="00615F03"/>
    <w:rsid w:val="0061683B"/>
    <w:rsid w:val="006205B4"/>
    <w:rsid w:val="0062076E"/>
    <w:rsid w:val="006226DB"/>
    <w:rsid w:val="00622FCD"/>
    <w:rsid w:val="00627029"/>
    <w:rsid w:val="006312E3"/>
    <w:rsid w:val="00631A92"/>
    <w:rsid w:val="00636085"/>
    <w:rsid w:val="006374DB"/>
    <w:rsid w:val="00637F66"/>
    <w:rsid w:val="006401CF"/>
    <w:rsid w:val="006408D8"/>
    <w:rsid w:val="00640AC0"/>
    <w:rsid w:val="00647C8A"/>
    <w:rsid w:val="00651F90"/>
    <w:rsid w:val="006558C2"/>
    <w:rsid w:val="006569D1"/>
    <w:rsid w:val="006576E3"/>
    <w:rsid w:val="00657E1B"/>
    <w:rsid w:val="0066031D"/>
    <w:rsid w:val="006654B4"/>
    <w:rsid w:val="00667AE1"/>
    <w:rsid w:val="00670595"/>
    <w:rsid w:val="00671E2E"/>
    <w:rsid w:val="00672484"/>
    <w:rsid w:val="00677AC1"/>
    <w:rsid w:val="006855AD"/>
    <w:rsid w:val="00685B8C"/>
    <w:rsid w:val="00686841"/>
    <w:rsid w:val="00687C4C"/>
    <w:rsid w:val="0069242D"/>
    <w:rsid w:val="006A2576"/>
    <w:rsid w:val="006A61DC"/>
    <w:rsid w:val="006A7A43"/>
    <w:rsid w:val="006B1FBD"/>
    <w:rsid w:val="006B20FD"/>
    <w:rsid w:val="006B3403"/>
    <w:rsid w:val="006B4A2A"/>
    <w:rsid w:val="006B5B62"/>
    <w:rsid w:val="006B76D9"/>
    <w:rsid w:val="006C0EE6"/>
    <w:rsid w:val="006C3D7A"/>
    <w:rsid w:val="006C61C9"/>
    <w:rsid w:val="006D53C3"/>
    <w:rsid w:val="006D69F4"/>
    <w:rsid w:val="006D7B04"/>
    <w:rsid w:val="006E22FB"/>
    <w:rsid w:val="006E3291"/>
    <w:rsid w:val="006F0C0D"/>
    <w:rsid w:val="006F11A4"/>
    <w:rsid w:val="006F440E"/>
    <w:rsid w:val="006F4CFF"/>
    <w:rsid w:val="006F600D"/>
    <w:rsid w:val="00702083"/>
    <w:rsid w:val="007020FA"/>
    <w:rsid w:val="00702B91"/>
    <w:rsid w:val="00705007"/>
    <w:rsid w:val="0071051B"/>
    <w:rsid w:val="0071473F"/>
    <w:rsid w:val="0071491D"/>
    <w:rsid w:val="00716A8E"/>
    <w:rsid w:val="00717DDA"/>
    <w:rsid w:val="00722A25"/>
    <w:rsid w:val="00722D6E"/>
    <w:rsid w:val="0072326D"/>
    <w:rsid w:val="007235B1"/>
    <w:rsid w:val="007255D1"/>
    <w:rsid w:val="0072688F"/>
    <w:rsid w:val="00732061"/>
    <w:rsid w:val="00733741"/>
    <w:rsid w:val="00736D51"/>
    <w:rsid w:val="007404C4"/>
    <w:rsid w:val="00740D91"/>
    <w:rsid w:val="00745DC4"/>
    <w:rsid w:val="007467AB"/>
    <w:rsid w:val="00746C42"/>
    <w:rsid w:val="00746F11"/>
    <w:rsid w:val="00747189"/>
    <w:rsid w:val="00752C37"/>
    <w:rsid w:val="00755500"/>
    <w:rsid w:val="00755950"/>
    <w:rsid w:val="00756AF1"/>
    <w:rsid w:val="00762C91"/>
    <w:rsid w:val="007644C6"/>
    <w:rsid w:val="00764E60"/>
    <w:rsid w:val="00765552"/>
    <w:rsid w:val="00765615"/>
    <w:rsid w:val="00766CF8"/>
    <w:rsid w:val="007701E2"/>
    <w:rsid w:val="007705CB"/>
    <w:rsid w:val="00770DBD"/>
    <w:rsid w:val="00774F40"/>
    <w:rsid w:val="0078068F"/>
    <w:rsid w:val="007809E4"/>
    <w:rsid w:val="00786BF8"/>
    <w:rsid w:val="0079104D"/>
    <w:rsid w:val="00791228"/>
    <w:rsid w:val="00794963"/>
    <w:rsid w:val="007960DD"/>
    <w:rsid w:val="007A1862"/>
    <w:rsid w:val="007A2EA5"/>
    <w:rsid w:val="007A3DC2"/>
    <w:rsid w:val="007A4A5B"/>
    <w:rsid w:val="007A4C1E"/>
    <w:rsid w:val="007A764D"/>
    <w:rsid w:val="007B0900"/>
    <w:rsid w:val="007B131D"/>
    <w:rsid w:val="007B16F2"/>
    <w:rsid w:val="007B4827"/>
    <w:rsid w:val="007C03B9"/>
    <w:rsid w:val="007C36AF"/>
    <w:rsid w:val="007D3C24"/>
    <w:rsid w:val="007D505C"/>
    <w:rsid w:val="007D6C4D"/>
    <w:rsid w:val="007E0697"/>
    <w:rsid w:val="007E0A75"/>
    <w:rsid w:val="007E12F7"/>
    <w:rsid w:val="007E2BF8"/>
    <w:rsid w:val="007E2E13"/>
    <w:rsid w:val="007E61CF"/>
    <w:rsid w:val="007E6570"/>
    <w:rsid w:val="007F493D"/>
    <w:rsid w:val="007F6C18"/>
    <w:rsid w:val="007F7A5D"/>
    <w:rsid w:val="00803A91"/>
    <w:rsid w:val="00810C10"/>
    <w:rsid w:val="008125A5"/>
    <w:rsid w:val="0081542E"/>
    <w:rsid w:val="00816162"/>
    <w:rsid w:val="008171F2"/>
    <w:rsid w:val="0082097B"/>
    <w:rsid w:val="00822F3E"/>
    <w:rsid w:val="00823268"/>
    <w:rsid w:val="00823A0E"/>
    <w:rsid w:val="00826E33"/>
    <w:rsid w:val="0083010B"/>
    <w:rsid w:val="008302FF"/>
    <w:rsid w:val="0083046B"/>
    <w:rsid w:val="00832528"/>
    <w:rsid w:val="008333C9"/>
    <w:rsid w:val="008337F3"/>
    <w:rsid w:val="00835DCD"/>
    <w:rsid w:val="008376A7"/>
    <w:rsid w:val="00842407"/>
    <w:rsid w:val="008467ED"/>
    <w:rsid w:val="00846AC1"/>
    <w:rsid w:val="008474AF"/>
    <w:rsid w:val="00847790"/>
    <w:rsid w:val="008513AA"/>
    <w:rsid w:val="008527C4"/>
    <w:rsid w:val="00852B9C"/>
    <w:rsid w:val="00854600"/>
    <w:rsid w:val="008547D4"/>
    <w:rsid w:val="00855D6E"/>
    <w:rsid w:val="00855E25"/>
    <w:rsid w:val="008617DA"/>
    <w:rsid w:val="00863344"/>
    <w:rsid w:val="00864B59"/>
    <w:rsid w:val="008654CD"/>
    <w:rsid w:val="008714C7"/>
    <w:rsid w:val="00874D95"/>
    <w:rsid w:val="008760AC"/>
    <w:rsid w:val="00876215"/>
    <w:rsid w:val="008769F6"/>
    <w:rsid w:val="00883806"/>
    <w:rsid w:val="008849CB"/>
    <w:rsid w:val="00885BC5"/>
    <w:rsid w:val="0089141D"/>
    <w:rsid w:val="00894595"/>
    <w:rsid w:val="008947EB"/>
    <w:rsid w:val="008A008A"/>
    <w:rsid w:val="008A1A46"/>
    <w:rsid w:val="008A500C"/>
    <w:rsid w:val="008A6BE0"/>
    <w:rsid w:val="008A7CF2"/>
    <w:rsid w:val="008B2955"/>
    <w:rsid w:val="008B3775"/>
    <w:rsid w:val="008B5EF1"/>
    <w:rsid w:val="008C1453"/>
    <w:rsid w:val="008C2CC1"/>
    <w:rsid w:val="008C5DAB"/>
    <w:rsid w:val="008C6B88"/>
    <w:rsid w:val="008D242A"/>
    <w:rsid w:val="008D2BC6"/>
    <w:rsid w:val="008D3834"/>
    <w:rsid w:val="008D58FA"/>
    <w:rsid w:val="008D5E68"/>
    <w:rsid w:val="008E007C"/>
    <w:rsid w:val="008E2C6F"/>
    <w:rsid w:val="008E583F"/>
    <w:rsid w:val="008E5F5E"/>
    <w:rsid w:val="008F0BDE"/>
    <w:rsid w:val="008F1261"/>
    <w:rsid w:val="008F5474"/>
    <w:rsid w:val="009020E5"/>
    <w:rsid w:val="0090266B"/>
    <w:rsid w:val="0090317E"/>
    <w:rsid w:val="00910CBF"/>
    <w:rsid w:val="0091553A"/>
    <w:rsid w:val="00917951"/>
    <w:rsid w:val="00920562"/>
    <w:rsid w:val="00922997"/>
    <w:rsid w:val="00923F37"/>
    <w:rsid w:val="0093015D"/>
    <w:rsid w:val="00930BFD"/>
    <w:rsid w:val="0093363D"/>
    <w:rsid w:val="009403EE"/>
    <w:rsid w:val="009442A8"/>
    <w:rsid w:val="00946075"/>
    <w:rsid w:val="009462B9"/>
    <w:rsid w:val="0094775F"/>
    <w:rsid w:val="00953591"/>
    <w:rsid w:val="00953611"/>
    <w:rsid w:val="009572AA"/>
    <w:rsid w:val="00960A5B"/>
    <w:rsid w:val="00961631"/>
    <w:rsid w:val="00962211"/>
    <w:rsid w:val="00962742"/>
    <w:rsid w:val="009642B2"/>
    <w:rsid w:val="00964C32"/>
    <w:rsid w:val="00973178"/>
    <w:rsid w:val="009733B2"/>
    <w:rsid w:val="00974900"/>
    <w:rsid w:val="009752D0"/>
    <w:rsid w:val="00977BC2"/>
    <w:rsid w:val="00980702"/>
    <w:rsid w:val="00983873"/>
    <w:rsid w:val="009838A2"/>
    <w:rsid w:val="00983E38"/>
    <w:rsid w:val="0098458A"/>
    <w:rsid w:val="00984BDB"/>
    <w:rsid w:val="0099374B"/>
    <w:rsid w:val="00993B36"/>
    <w:rsid w:val="00993D10"/>
    <w:rsid w:val="009A000B"/>
    <w:rsid w:val="009A1911"/>
    <w:rsid w:val="009A297D"/>
    <w:rsid w:val="009A3926"/>
    <w:rsid w:val="009B4070"/>
    <w:rsid w:val="009C3210"/>
    <w:rsid w:val="009C7AEB"/>
    <w:rsid w:val="009D142F"/>
    <w:rsid w:val="009D220E"/>
    <w:rsid w:val="009D2424"/>
    <w:rsid w:val="009D2AD6"/>
    <w:rsid w:val="009D3897"/>
    <w:rsid w:val="009D46E3"/>
    <w:rsid w:val="009D4B36"/>
    <w:rsid w:val="009D5A00"/>
    <w:rsid w:val="009E0869"/>
    <w:rsid w:val="009E10BA"/>
    <w:rsid w:val="009E314D"/>
    <w:rsid w:val="009E64F8"/>
    <w:rsid w:val="009E6A56"/>
    <w:rsid w:val="009E754D"/>
    <w:rsid w:val="009F5F30"/>
    <w:rsid w:val="00A008E2"/>
    <w:rsid w:val="00A01481"/>
    <w:rsid w:val="00A02CA4"/>
    <w:rsid w:val="00A04CB3"/>
    <w:rsid w:val="00A05A3C"/>
    <w:rsid w:val="00A05FB9"/>
    <w:rsid w:val="00A06BF6"/>
    <w:rsid w:val="00A07665"/>
    <w:rsid w:val="00A10130"/>
    <w:rsid w:val="00A10B37"/>
    <w:rsid w:val="00A12891"/>
    <w:rsid w:val="00A14B0E"/>
    <w:rsid w:val="00A151D0"/>
    <w:rsid w:val="00A15737"/>
    <w:rsid w:val="00A15887"/>
    <w:rsid w:val="00A16DE6"/>
    <w:rsid w:val="00A20326"/>
    <w:rsid w:val="00A20C17"/>
    <w:rsid w:val="00A241BB"/>
    <w:rsid w:val="00A24A34"/>
    <w:rsid w:val="00A262AD"/>
    <w:rsid w:val="00A26513"/>
    <w:rsid w:val="00A31894"/>
    <w:rsid w:val="00A31CF7"/>
    <w:rsid w:val="00A32685"/>
    <w:rsid w:val="00A360BE"/>
    <w:rsid w:val="00A3747A"/>
    <w:rsid w:val="00A429C8"/>
    <w:rsid w:val="00A43A0A"/>
    <w:rsid w:val="00A43E90"/>
    <w:rsid w:val="00A45414"/>
    <w:rsid w:val="00A46073"/>
    <w:rsid w:val="00A47C4A"/>
    <w:rsid w:val="00A50BA7"/>
    <w:rsid w:val="00A53956"/>
    <w:rsid w:val="00A53969"/>
    <w:rsid w:val="00A5578B"/>
    <w:rsid w:val="00A57595"/>
    <w:rsid w:val="00A64B30"/>
    <w:rsid w:val="00A64D66"/>
    <w:rsid w:val="00A729C9"/>
    <w:rsid w:val="00A74BC1"/>
    <w:rsid w:val="00A8034E"/>
    <w:rsid w:val="00A833F9"/>
    <w:rsid w:val="00A845E9"/>
    <w:rsid w:val="00A8500A"/>
    <w:rsid w:val="00A8599F"/>
    <w:rsid w:val="00A86CF6"/>
    <w:rsid w:val="00A87D53"/>
    <w:rsid w:val="00A90485"/>
    <w:rsid w:val="00A9087C"/>
    <w:rsid w:val="00A90913"/>
    <w:rsid w:val="00A91372"/>
    <w:rsid w:val="00A91C7C"/>
    <w:rsid w:val="00A94C74"/>
    <w:rsid w:val="00A95037"/>
    <w:rsid w:val="00A96452"/>
    <w:rsid w:val="00A9750E"/>
    <w:rsid w:val="00AA646B"/>
    <w:rsid w:val="00AA674E"/>
    <w:rsid w:val="00AB36E3"/>
    <w:rsid w:val="00AB3CED"/>
    <w:rsid w:val="00AB4DAD"/>
    <w:rsid w:val="00AC0FED"/>
    <w:rsid w:val="00AC10F5"/>
    <w:rsid w:val="00AC3668"/>
    <w:rsid w:val="00AC3CC5"/>
    <w:rsid w:val="00AC3E0C"/>
    <w:rsid w:val="00AC4959"/>
    <w:rsid w:val="00AC6084"/>
    <w:rsid w:val="00AD0468"/>
    <w:rsid w:val="00AD361D"/>
    <w:rsid w:val="00AD675D"/>
    <w:rsid w:val="00AD6D47"/>
    <w:rsid w:val="00AD72F3"/>
    <w:rsid w:val="00AE0BC5"/>
    <w:rsid w:val="00AE0D47"/>
    <w:rsid w:val="00AE439B"/>
    <w:rsid w:val="00AF25E0"/>
    <w:rsid w:val="00AF2864"/>
    <w:rsid w:val="00B022FC"/>
    <w:rsid w:val="00B043FF"/>
    <w:rsid w:val="00B05C39"/>
    <w:rsid w:val="00B06C5C"/>
    <w:rsid w:val="00B11428"/>
    <w:rsid w:val="00B14782"/>
    <w:rsid w:val="00B22F40"/>
    <w:rsid w:val="00B233B2"/>
    <w:rsid w:val="00B236B4"/>
    <w:rsid w:val="00B244C1"/>
    <w:rsid w:val="00B26978"/>
    <w:rsid w:val="00B275D7"/>
    <w:rsid w:val="00B30CE5"/>
    <w:rsid w:val="00B31873"/>
    <w:rsid w:val="00B31961"/>
    <w:rsid w:val="00B322C3"/>
    <w:rsid w:val="00B34AC1"/>
    <w:rsid w:val="00B36CA7"/>
    <w:rsid w:val="00B378F0"/>
    <w:rsid w:val="00B432A8"/>
    <w:rsid w:val="00B4549A"/>
    <w:rsid w:val="00B474F4"/>
    <w:rsid w:val="00B50CA6"/>
    <w:rsid w:val="00B51F42"/>
    <w:rsid w:val="00B53F34"/>
    <w:rsid w:val="00B54952"/>
    <w:rsid w:val="00B56169"/>
    <w:rsid w:val="00B573E4"/>
    <w:rsid w:val="00B5750D"/>
    <w:rsid w:val="00B60D6D"/>
    <w:rsid w:val="00B62C43"/>
    <w:rsid w:val="00B62E30"/>
    <w:rsid w:val="00B6612B"/>
    <w:rsid w:val="00B66746"/>
    <w:rsid w:val="00B73750"/>
    <w:rsid w:val="00B74058"/>
    <w:rsid w:val="00B74452"/>
    <w:rsid w:val="00B75880"/>
    <w:rsid w:val="00B75FE5"/>
    <w:rsid w:val="00B771A3"/>
    <w:rsid w:val="00B80C71"/>
    <w:rsid w:val="00B80DDD"/>
    <w:rsid w:val="00B827B8"/>
    <w:rsid w:val="00B841C7"/>
    <w:rsid w:val="00B85EB1"/>
    <w:rsid w:val="00B861C4"/>
    <w:rsid w:val="00B871E3"/>
    <w:rsid w:val="00B92BB7"/>
    <w:rsid w:val="00B92F58"/>
    <w:rsid w:val="00B952B8"/>
    <w:rsid w:val="00B95718"/>
    <w:rsid w:val="00B95D13"/>
    <w:rsid w:val="00B962B9"/>
    <w:rsid w:val="00B96895"/>
    <w:rsid w:val="00B96B7B"/>
    <w:rsid w:val="00B96E66"/>
    <w:rsid w:val="00BA0BCF"/>
    <w:rsid w:val="00BA200D"/>
    <w:rsid w:val="00BA2484"/>
    <w:rsid w:val="00BA653C"/>
    <w:rsid w:val="00BB0DAC"/>
    <w:rsid w:val="00BB1C1F"/>
    <w:rsid w:val="00BB4704"/>
    <w:rsid w:val="00BB759F"/>
    <w:rsid w:val="00BC06F6"/>
    <w:rsid w:val="00BC2F4B"/>
    <w:rsid w:val="00BC348E"/>
    <w:rsid w:val="00BC4659"/>
    <w:rsid w:val="00BC512B"/>
    <w:rsid w:val="00BC6640"/>
    <w:rsid w:val="00BD0344"/>
    <w:rsid w:val="00BD2731"/>
    <w:rsid w:val="00BD2EE2"/>
    <w:rsid w:val="00BD2F6F"/>
    <w:rsid w:val="00BE038F"/>
    <w:rsid w:val="00BE179B"/>
    <w:rsid w:val="00BE1999"/>
    <w:rsid w:val="00BE1E33"/>
    <w:rsid w:val="00BE2A38"/>
    <w:rsid w:val="00BE3A42"/>
    <w:rsid w:val="00BE4DFD"/>
    <w:rsid w:val="00BF190B"/>
    <w:rsid w:val="00C05885"/>
    <w:rsid w:val="00C06635"/>
    <w:rsid w:val="00C07F4D"/>
    <w:rsid w:val="00C115AF"/>
    <w:rsid w:val="00C14E9B"/>
    <w:rsid w:val="00C16D54"/>
    <w:rsid w:val="00C221E4"/>
    <w:rsid w:val="00C24B4F"/>
    <w:rsid w:val="00C24FD7"/>
    <w:rsid w:val="00C26260"/>
    <w:rsid w:val="00C31D0D"/>
    <w:rsid w:val="00C326D8"/>
    <w:rsid w:val="00C37AA6"/>
    <w:rsid w:val="00C37CBF"/>
    <w:rsid w:val="00C42A78"/>
    <w:rsid w:val="00C42E30"/>
    <w:rsid w:val="00C42F75"/>
    <w:rsid w:val="00C44639"/>
    <w:rsid w:val="00C44B64"/>
    <w:rsid w:val="00C55F94"/>
    <w:rsid w:val="00C60B25"/>
    <w:rsid w:val="00C6301D"/>
    <w:rsid w:val="00C717D3"/>
    <w:rsid w:val="00C71E3F"/>
    <w:rsid w:val="00C752DF"/>
    <w:rsid w:val="00C7544F"/>
    <w:rsid w:val="00C80F9E"/>
    <w:rsid w:val="00C811EF"/>
    <w:rsid w:val="00C81CD5"/>
    <w:rsid w:val="00C82E5B"/>
    <w:rsid w:val="00C8414E"/>
    <w:rsid w:val="00C8469A"/>
    <w:rsid w:val="00C8512A"/>
    <w:rsid w:val="00C857BC"/>
    <w:rsid w:val="00C85BFD"/>
    <w:rsid w:val="00C87AC4"/>
    <w:rsid w:val="00C87AD4"/>
    <w:rsid w:val="00C91470"/>
    <w:rsid w:val="00C96F43"/>
    <w:rsid w:val="00CA1F1D"/>
    <w:rsid w:val="00CA2519"/>
    <w:rsid w:val="00CA28C0"/>
    <w:rsid w:val="00CA2982"/>
    <w:rsid w:val="00CA5EC1"/>
    <w:rsid w:val="00CA7C47"/>
    <w:rsid w:val="00CB29D4"/>
    <w:rsid w:val="00CB3427"/>
    <w:rsid w:val="00CB558F"/>
    <w:rsid w:val="00CC1F46"/>
    <w:rsid w:val="00CC48E3"/>
    <w:rsid w:val="00CC4A16"/>
    <w:rsid w:val="00CC5CC0"/>
    <w:rsid w:val="00CD1578"/>
    <w:rsid w:val="00CD2791"/>
    <w:rsid w:val="00CD4ABE"/>
    <w:rsid w:val="00CD63CA"/>
    <w:rsid w:val="00CD650D"/>
    <w:rsid w:val="00CD6B52"/>
    <w:rsid w:val="00CE06E1"/>
    <w:rsid w:val="00CE44D8"/>
    <w:rsid w:val="00CE4995"/>
    <w:rsid w:val="00CE4D57"/>
    <w:rsid w:val="00CE6061"/>
    <w:rsid w:val="00CE6B8B"/>
    <w:rsid w:val="00CF18C5"/>
    <w:rsid w:val="00CF6579"/>
    <w:rsid w:val="00CF68E2"/>
    <w:rsid w:val="00D001C3"/>
    <w:rsid w:val="00D008F3"/>
    <w:rsid w:val="00D015D7"/>
    <w:rsid w:val="00D0465D"/>
    <w:rsid w:val="00D05D09"/>
    <w:rsid w:val="00D06DD4"/>
    <w:rsid w:val="00D11BAF"/>
    <w:rsid w:val="00D14A9F"/>
    <w:rsid w:val="00D15EB6"/>
    <w:rsid w:val="00D16CF9"/>
    <w:rsid w:val="00D21856"/>
    <w:rsid w:val="00D23980"/>
    <w:rsid w:val="00D271B1"/>
    <w:rsid w:val="00D36799"/>
    <w:rsid w:val="00D40990"/>
    <w:rsid w:val="00D42581"/>
    <w:rsid w:val="00D43B8E"/>
    <w:rsid w:val="00D45670"/>
    <w:rsid w:val="00D523D5"/>
    <w:rsid w:val="00D53FA3"/>
    <w:rsid w:val="00D540B2"/>
    <w:rsid w:val="00D55538"/>
    <w:rsid w:val="00D5576F"/>
    <w:rsid w:val="00D61A95"/>
    <w:rsid w:val="00D622EF"/>
    <w:rsid w:val="00D62ABC"/>
    <w:rsid w:val="00D62C02"/>
    <w:rsid w:val="00D646DB"/>
    <w:rsid w:val="00D6487B"/>
    <w:rsid w:val="00D6513F"/>
    <w:rsid w:val="00D67031"/>
    <w:rsid w:val="00D70645"/>
    <w:rsid w:val="00D76363"/>
    <w:rsid w:val="00D83385"/>
    <w:rsid w:val="00D84DA7"/>
    <w:rsid w:val="00D87C91"/>
    <w:rsid w:val="00D90757"/>
    <w:rsid w:val="00D90EF9"/>
    <w:rsid w:val="00D9727C"/>
    <w:rsid w:val="00DA10D2"/>
    <w:rsid w:val="00DA1E2E"/>
    <w:rsid w:val="00DA1FE2"/>
    <w:rsid w:val="00DA5112"/>
    <w:rsid w:val="00DA7021"/>
    <w:rsid w:val="00DB07C4"/>
    <w:rsid w:val="00DB384F"/>
    <w:rsid w:val="00DB7920"/>
    <w:rsid w:val="00DC1D40"/>
    <w:rsid w:val="00DC2B3E"/>
    <w:rsid w:val="00DC34CA"/>
    <w:rsid w:val="00DC75E8"/>
    <w:rsid w:val="00DC79CC"/>
    <w:rsid w:val="00DD0392"/>
    <w:rsid w:val="00DD1D62"/>
    <w:rsid w:val="00DD2506"/>
    <w:rsid w:val="00DE20A9"/>
    <w:rsid w:val="00DE2787"/>
    <w:rsid w:val="00DE4DA8"/>
    <w:rsid w:val="00DF1A29"/>
    <w:rsid w:val="00DF2F8B"/>
    <w:rsid w:val="00DF3557"/>
    <w:rsid w:val="00DF517E"/>
    <w:rsid w:val="00DF54DB"/>
    <w:rsid w:val="00DF54EF"/>
    <w:rsid w:val="00DF6486"/>
    <w:rsid w:val="00DF67AC"/>
    <w:rsid w:val="00E01360"/>
    <w:rsid w:val="00E02A41"/>
    <w:rsid w:val="00E0396D"/>
    <w:rsid w:val="00E114B9"/>
    <w:rsid w:val="00E1259E"/>
    <w:rsid w:val="00E12CE6"/>
    <w:rsid w:val="00E13B48"/>
    <w:rsid w:val="00E157BD"/>
    <w:rsid w:val="00E248AE"/>
    <w:rsid w:val="00E251D6"/>
    <w:rsid w:val="00E30AFD"/>
    <w:rsid w:val="00E3118B"/>
    <w:rsid w:val="00E31654"/>
    <w:rsid w:val="00E33B42"/>
    <w:rsid w:val="00E33BC7"/>
    <w:rsid w:val="00E35817"/>
    <w:rsid w:val="00E35903"/>
    <w:rsid w:val="00E41DA7"/>
    <w:rsid w:val="00E53567"/>
    <w:rsid w:val="00E57E4D"/>
    <w:rsid w:val="00E60BAE"/>
    <w:rsid w:val="00E61834"/>
    <w:rsid w:val="00E66A3E"/>
    <w:rsid w:val="00E7184F"/>
    <w:rsid w:val="00E738AD"/>
    <w:rsid w:val="00E7507E"/>
    <w:rsid w:val="00E76BA0"/>
    <w:rsid w:val="00E81533"/>
    <w:rsid w:val="00E8189E"/>
    <w:rsid w:val="00E81EDD"/>
    <w:rsid w:val="00E82E95"/>
    <w:rsid w:val="00E83461"/>
    <w:rsid w:val="00E847EC"/>
    <w:rsid w:val="00E86C08"/>
    <w:rsid w:val="00E87881"/>
    <w:rsid w:val="00E90D66"/>
    <w:rsid w:val="00E93CD7"/>
    <w:rsid w:val="00E94A72"/>
    <w:rsid w:val="00E96844"/>
    <w:rsid w:val="00E96A34"/>
    <w:rsid w:val="00E9767F"/>
    <w:rsid w:val="00E9789C"/>
    <w:rsid w:val="00EA129B"/>
    <w:rsid w:val="00EA32A5"/>
    <w:rsid w:val="00EA43F2"/>
    <w:rsid w:val="00EA4DEC"/>
    <w:rsid w:val="00EA5E76"/>
    <w:rsid w:val="00EA6925"/>
    <w:rsid w:val="00EA7CE3"/>
    <w:rsid w:val="00EB1323"/>
    <w:rsid w:val="00EB1F05"/>
    <w:rsid w:val="00EB4890"/>
    <w:rsid w:val="00EB5888"/>
    <w:rsid w:val="00EB6D73"/>
    <w:rsid w:val="00EB7096"/>
    <w:rsid w:val="00EC0EC8"/>
    <w:rsid w:val="00EC2002"/>
    <w:rsid w:val="00EC2500"/>
    <w:rsid w:val="00EC2F1A"/>
    <w:rsid w:val="00EC48CD"/>
    <w:rsid w:val="00EC5608"/>
    <w:rsid w:val="00EC62EE"/>
    <w:rsid w:val="00EC72E1"/>
    <w:rsid w:val="00ED0754"/>
    <w:rsid w:val="00ED37CD"/>
    <w:rsid w:val="00ED6F8C"/>
    <w:rsid w:val="00EE2405"/>
    <w:rsid w:val="00EE3192"/>
    <w:rsid w:val="00EE49D7"/>
    <w:rsid w:val="00EE62C4"/>
    <w:rsid w:val="00EE72CC"/>
    <w:rsid w:val="00EE7D53"/>
    <w:rsid w:val="00EF062D"/>
    <w:rsid w:val="00EF7F65"/>
    <w:rsid w:val="00F03B52"/>
    <w:rsid w:val="00F12647"/>
    <w:rsid w:val="00F128DA"/>
    <w:rsid w:val="00F15BF4"/>
    <w:rsid w:val="00F201EB"/>
    <w:rsid w:val="00F223A3"/>
    <w:rsid w:val="00F22D11"/>
    <w:rsid w:val="00F23359"/>
    <w:rsid w:val="00F244B7"/>
    <w:rsid w:val="00F24960"/>
    <w:rsid w:val="00F30D0E"/>
    <w:rsid w:val="00F316CF"/>
    <w:rsid w:val="00F32A7E"/>
    <w:rsid w:val="00F3540A"/>
    <w:rsid w:val="00F35785"/>
    <w:rsid w:val="00F36039"/>
    <w:rsid w:val="00F37423"/>
    <w:rsid w:val="00F40780"/>
    <w:rsid w:val="00F431D9"/>
    <w:rsid w:val="00F45EDB"/>
    <w:rsid w:val="00F472FB"/>
    <w:rsid w:val="00F473D2"/>
    <w:rsid w:val="00F525B6"/>
    <w:rsid w:val="00F53A2F"/>
    <w:rsid w:val="00F55D93"/>
    <w:rsid w:val="00F5614F"/>
    <w:rsid w:val="00F56914"/>
    <w:rsid w:val="00F56FB4"/>
    <w:rsid w:val="00F579A3"/>
    <w:rsid w:val="00F61615"/>
    <w:rsid w:val="00F64B39"/>
    <w:rsid w:val="00F64B63"/>
    <w:rsid w:val="00F66A5D"/>
    <w:rsid w:val="00F701B5"/>
    <w:rsid w:val="00F70E3D"/>
    <w:rsid w:val="00F8207B"/>
    <w:rsid w:val="00F911B3"/>
    <w:rsid w:val="00F91A6A"/>
    <w:rsid w:val="00F91B04"/>
    <w:rsid w:val="00F942CB"/>
    <w:rsid w:val="00F94C7E"/>
    <w:rsid w:val="00FA3A56"/>
    <w:rsid w:val="00FB0372"/>
    <w:rsid w:val="00FB34E8"/>
    <w:rsid w:val="00FB3A83"/>
    <w:rsid w:val="00FB58B1"/>
    <w:rsid w:val="00FB5C3E"/>
    <w:rsid w:val="00FB5E46"/>
    <w:rsid w:val="00FC1ADF"/>
    <w:rsid w:val="00FC3D13"/>
    <w:rsid w:val="00FC6458"/>
    <w:rsid w:val="00FD5272"/>
    <w:rsid w:val="00FD5A3A"/>
    <w:rsid w:val="00FD65EB"/>
    <w:rsid w:val="00FE01EE"/>
    <w:rsid w:val="00FE0247"/>
    <w:rsid w:val="00FE10FA"/>
    <w:rsid w:val="00FE6B81"/>
    <w:rsid w:val="00FF172C"/>
    <w:rsid w:val="00FF1FB2"/>
    <w:rsid w:val="00FF54E4"/>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4">
    <w:name w:val="heading 4"/>
    <w:basedOn w:val="Normal"/>
    <w:next w:val="Normal"/>
    <w:link w:val="Heading4Char"/>
    <w:uiPriority w:val="9"/>
    <w:semiHidden/>
    <w:unhideWhenUsed/>
    <w:qFormat/>
    <w:rsid w:val="002F71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aliases w:val="List Paragraph1 Char,Recommendation Char,List Paragraph11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3E0C1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link w:val="Docnumber"/>
    <w:rsid w:val="003E0C10"/>
    <w:rPr>
      <w:rFonts w:ascii="Times New Roman" w:eastAsia="Times New Roman" w:hAnsi="Times New Roman" w:cs="Times New Roman"/>
      <w:b/>
      <w:bCs/>
      <w:sz w:val="40"/>
      <w:szCs w:val="20"/>
      <w:lang w:eastAsia="en-US"/>
    </w:rPr>
  </w:style>
  <w:style w:type="paragraph" w:customStyle="1" w:styleId="enumlev1">
    <w:name w:val="enumlev1"/>
    <w:basedOn w:val="Normal"/>
    <w:link w:val="enumlev1Char"/>
    <w:qFormat/>
    <w:rsid w:val="00AC10F5"/>
    <w:pPr>
      <w:spacing w:before="80" w:after="0" w:line="240" w:lineRule="auto"/>
      <w:ind w:left="794" w:hanging="794"/>
    </w:pPr>
    <w:rPr>
      <w:rFonts w:ascii="Times New Roman" w:hAnsi="Times New Roman" w:cs="Times New Roman"/>
      <w:sz w:val="24"/>
      <w:szCs w:val="24"/>
      <w:lang w:eastAsia="ja-JP"/>
    </w:rPr>
  </w:style>
  <w:style w:type="character" w:customStyle="1" w:styleId="enumlev1Char">
    <w:name w:val="enumlev1 Char"/>
    <w:basedOn w:val="DefaultParagraphFont"/>
    <w:link w:val="enumlev1"/>
    <w:rsid w:val="00AC10F5"/>
    <w:rPr>
      <w:rFonts w:ascii="Times New Roman" w:hAnsi="Times New Roman" w:cs="Times New Roman"/>
      <w:sz w:val="24"/>
      <w:szCs w:val="24"/>
      <w:lang w:eastAsia="ja-JP"/>
    </w:rPr>
  </w:style>
  <w:style w:type="paragraph" w:styleId="PlainText">
    <w:name w:val="Plain Text"/>
    <w:basedOn w:val="Normal"/>
    <w:link w:val="PlainTextChar"/>
    <w:uiPriority w:val="99"/>
    <w:semiHidden/>
    <w:unhideWhenUsed/>
    <w:rsid w:val="00F55D93"/>
    <w:pPr>
      <w:spacing w:after="0" w:line="240" w:lineRule="auto"/>
    </w:pPr>
    <w:rPr>
      <w:rFonts w:ascii="Calibri" w:eastAsiaTheme="minorHAnsi" w:hAnsi="Calibri" w:cs="Calibri"/>
      <w:lang w:val="en-US" w:eastAsia="en-US"/>
    </w:rPr>
  </w:style>
  <w:style w:type="character" w:customStyle="1" w:styleId="PlainTextChar">
    <w:name w:val="Plain Text Char"/>
    <w:basedOn w:val="DefaultParagraphFont"/>
    <w:link w:val="PlainText"/>
    <w:uiPriority w:val="99"/>
    <w:semiHidden/>
    <w:rsid w:val="00F55D93"/>
    <w:rPr>
      <w:rFonts w:ascii="Calibri" w:eastAsiaTheme="minorHAnsi" w:hAnsi="Calibri" w:cs="Calibri"/>
      <w:lang w:val="en-US" w:eastAsia="en-US"/>
    </w:rPr>
  </w:style>
  <w:style w:type="paragraph" w:styleId="FootnoteText">
    <w:name w:val="footnote text"/>
    <w:basedOn w:val="Normal"/>
    <w:link w:val="FootnoteTextChar"/>
    <w:uiPriority w:val="99"/>
    <w:semiHidden/>
    <w:unhideWhenUsed/>
    <w:rsid w:val="00F55D93"/>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F55D93"/>
    <w:rPr>
      <w:rFonts w:eastAsiaTheme="minorHAnsi"/>
      <w:sz w:val="20"/>
      <w:szCs w:val="20"/>
      <w:lang w:val="en-US" w:eastAsia="en-US"/>
    </w:rPr>
  </w:style>
  <w:style w:type="character" w:styleId="FootnoteReference">
    <w:name w:val="footnote reference"/>
    <w:basedOn w:val="DefaultParagraphFont"/>
    <w:uiPriority w:val="99"/>
    <w:semiHidden/>
    <w:unhideWhenUsed/>
    <w:rsid w:val="00F55D93"/>
    <w:rPr>
      <w:vertAlign w:val="superscript"/>
    </w:rPr>
  </w:style>
  <w:style w:type="character" w:styleId="CommentReference">
    <w:name w:val="annotation reference"/>
    <w:basedOn w:val="DefaultParagraphFont"/>
    <w:uiPriority w:val="99"/>
    <w:semiHidden/>
    <w:unhideWhenUsed/>
    <w:rsid w:val="00E90D66"/>
    <w:rPr>
      <w:sz w:val="16"/>
      <w:szCs w:val="16"/>
    </w:rPr>
  </w:style>
  <w:style w:type="paragraph" w:styleId="CommentText">
    <w:name w:val="annotation text"/>
    <w:basedOn w:val="Normal"/>
    <w:link w:val="CommentTextChar"/>
    <w:uiPriority w:val="99"/>
    <w:unhideWhenUsed/>
    <w:rsid w:val="00E90D66"/>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rsid w:val="00E90D66"/>
    <w:rPr>
      <w:rFonts w:eastAsiaTheme="minorHAnsi"/>
      <w:sz w:val="20"/>
      <w:szCs w:val="20"/>
      <w:lang w:val="en-US" w:eastAsia="en-US"/>
    </w:rPr>
  </w:style>
  <w:style w:type="table" w:customStyle="1" w:styleId="TableGrid1">
    <w:name w:val="Table Grid1"/>
    <w:basedOn w:val="TableNormal"/>
    <w:next w:val="TableGrid"/>
    <w:uiPriority w:val="39"/>
    <w:rsid w:val="00A31CF7"/>
    <w:pPr>
      <w:spacing w:after="0" w:line="240" w:lineRule="auto"/>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D05"/>
    <w:rPr>
      <w:color w:val="605E5C"/>
      <w:shd w:val="clear" w:color="auto" w:fill="E1DFDD"/>
    </w:rPr>
  </w:style>
  <w:style w:type="character" w:styleId="PlaceholderText">
    <w:name w:val="Placeholder Text"/>
    <w:basedOn w:val="DefaultParagraphFont"/>
    <w:uiPriority w:val="99"/>
    <w:semiHidden/>
    <w:rPr>
      <w:rFonts w:ascii="Times New Roman" w:hAnsi="Times New Roman"/>
      <w:color w:val="808080"/>
    </w:rPr>
  </w:style>
  <w:style w:type="character" w:customStyle="1" w:styleId="Heading4Char">
    <w:name w:val="Heading 4 Char"/>
    <w:basedOn w:val="DefaultParagraphFont"/>
    <w:link w:val="Heading4"/>
    <w:uiPriority w:val="9"/>
    <w:semiHidden/>
    <w:rsid w:val="002F7191"/>
    <w:rPr>
      <w:rFonts w:asciiTheme="majorHAnsi" w:eastAsiaTheme="majorEastAsia" w:hAnsiTheme="majorHAnsi" w:cstheme="majorBidi"/>
      <w:i/>
      <w:iCs/>
      <w:color w:val="2E74B5" w:themeColor="accent1" w:themeShade="BF"/>
    </w:rPr>
  </w:style>
  <w:style w:type="paragraph" w:customStyle="1" w:styleId="Headingb">
    <w:name w:val="Heading_b"/>
    <w:basedOn w:val="Normal"/>
    <w:next w:val="Normal"/>
    <w:qFormat/>
    <w:rsid w:val="002F7191"/>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cs="Times New Roman"/>
      <w:b/>
      <w:sz w:val="24"/>
      <w:szCs w:val="20"/>
      <w:lang w:eastAsia="en-US"/>
    </w:rPr>
  </w:style>
  <w:style w:type="paragraph" w:customStyle="1" w:styleId="Call">
    <w:name w:val="Call"/>
    <w:basedOn w:val="Normal"/>
    <w:rsid w:val="002F7191"/>
    <w:pPr>
      <w:keepNext/>
      <w:overflowPunct w:val="0"/>
      <w:autoSpaceDE w:val="0"/>
      <w:autoSpaceDN w:val="0"/>
      <w:spacing w:before="160" w:after="0" w:line="240" w:lineRule="auto"/>
      <w:ind w:left="567"/>
    </w:pPr>
    <w:rPr>
      <w:rFonts w:ascii="Calibri" w:hAnsi="Calibri" w:cs="Times New Roman"/>
      <w:i/>
      <w:iCs/>
      <w:sz w:val="24"/>
      <w:szCs w:val="24"/>
      <w:lang w:val="en-US"/>
    </w:rPr>
  </w:style>
  <w:style w:type="paragraph" w:customStyle="1" w:styleId="TSBHeaderSource">
    <w:name w:val="TSBHeaderSource"/>
    <w:basedOn w:val="Normal"/>
    <w:qFormat/>
    <w:rsid w:val="00480DB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eastAsia="en-US"/>
    </w:rPr>
  </w:style>
  <w:style w:type="paragraph" w:customStyle="1" w:styleId="TSBHeaderTitle">
    <w:name w:val="TSBHeaderTitle"/>
    <w:basedOn w:val="Normal"/>
    <w:qFormat/>
    <w:rsid w:val="00FD65E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eastAsia="en-US"/>
    </w:rPr>
  </w:style>
  <w:style w:type="paragraph" w:customStyle="1" w:styleId="TSBHeaderQuestion">
    <w:name w:val="TSBHeaderQuestion"/>
    <w:basedOn w:val="Normal"/>
    <w:qFormat/>
    <w:rsid w:val="00A845E9"/>
    <w:pPr>
      <w:spacing w:before="120" w:after="0" w:line="240" w:lineRule="auto"/>
    </w:pPr>
    <w:rPr>
      <w:rFonts w:ascii="Times New Roman" w:hAnsi="Times New Roman" w:cs="Times New Roman"/>
      <w:sz w:val="24"/>
      <w:szCs w:val="24"/>
      <w:lang w:eastAsia="ja-JP"/>
    </w:rPr>
  </w:style>
  <w:style w:type="paragraph" w:customStyle="1" w:styleId="TSBHeaderRight14">
    <w:name w:val="TSBHeaderRight14"/>
    <w:basedOn w:val="Normal"/>
    <w:qFormat/>
    <w:rsid w:val="00A845E9"/>
    <w:pPr>
      <w:spacing w:before="120" w:after="0" w:line="240" w:lineRule="auto"/>
      <w:jc w:val="right"/>
    </w:pPr>
    <w:rPr>
      <w:rFonts w:ascii="Times New Roman" w:hAnsi="Times New Roman" w:cs="Times New Roman"/>
      <w:b/>
      <w:bCs/>
      <w:sz w:val="28"/>
      <w:szCs w:val="28"/>
      <w:lang w:eastAsia="ja-JP"/>
    </w:rPr>
  </w:style>
  <w:style w:type="paragraph" w:customStyle="1" w:styleId="VenueDate">
    <w:name w:val="VenueDate"/>
    <w:basedOn w:val="Normal"/>
    <w:qFormat/>
    <w:rsid w:val="00A845E9"/>
    <w:pPr>
      <w:spacing w:before="120" w:after="0" w:line="240" w:lineRule="auto"/>
      <w:jc w:val="right"/>
    </w:pPr>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236614">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66143135">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38250875">
      <w:bodyDiv w:val="1"/>
      <w:marLeft w:val="0"/>
      <w:marRight w:val="0"/>
      <w:marTop w:val="0"/>
      <w:marBottom w:val="0"/>
      <w:divBdr>
        <w:top w:val="none" w:sz="0" w:space="0" w:color="auto"/>
        <w:left w:val="none" w:sz="0" w:space="0" w:color="auto"/>
        <w:bottom w:val="none" w:sz="0" w:space="0" w:color="auto"/>
        <w:right w:val="none" w:sz="0" w:space="0" w:color="auto"/>
      </w:divBdr>
      <w:divsChild>
        <w:div w:id="1207910488">
          <w:marLeft w:val="576"/>
          <w:marRight w:val="0"/>
          <w:marTop w:val="160"/>
          <w:marBottom w:val="0"/>
          <w:divBdr>
            <w:top w:val="none" w:sz="0" w:space="0" w:color="auto"/>
            <w:left w:val="none" w:sz="0" w:space="0" w:color="auto"/>
            <w:bottom w:val="none" w:sz="0" w:space="0" w:color="auto"/>
            <w:right w:val="none" w:sz="0" w:space="0" w:color="auto"/>
          </w:divBdr>
        </w:div>
        <w:div w:id="489366897">
          <w:marLeft w:val="1166"/>
          <w:marRight w:val="0"/>
          <w:marTop w:val="86"/>
          <w:marBottom w:val="0"/>
          <w:divBdr>
            <w:top w:val="none" w:sz="0" w:space="0" w:color="auto"/>
            <w:left w:val="none" w:sz="0" w:space="0" w:color="auto"/>
            <w:bottom w:val="none" w:sz="0" w:space="0" w:color="auto"/>
            <w:right w:val="none" w:sz="0" w:space="0" w:color="auto"/>
          </w:divBdr>
        </w:div>
        <w:div w:id="1156216648">
          <w:marLeft w:val="1800"/>
          <w:marRight w:val="0"/>
          <w:marTop w:val="86"/>
          <w:marBottom w:val="0"/>
          <w:divBdr>
            <w:top w:val="none" w:sz="0" w:space="0" w:color="auto"/>
            <w:left w:val="none" w:sz="0" w:space="0" w:color="auto"/>
            <w:bottom w:val="none" w:sz="0" w:space="0" w:color="auto"/>
            <w:right w:val="none" w:sz="0" w:space="0" w:color="auto"/>
          </w:divBdr>
        </w:div>
        <w:div w:id="780337723">
          <w:marLeft w:val="576"/>
          <w:marRight w:val="0"/>
          <w:marTop w:val="160"/>
          <w:marBottom w:val="0"/>
          <w:divBdr>
            <w:top w:val="none" w:sz="0" w:space="0" w:color="auto"/>
            <w:left w:val="none" w:sz="0" w:space="0" w:color="auto"/>
            <w:bottom w:val="none" w:sz="0" w:space="0" w:color="auto"/>
            <w:right w:val="none" w:sz="0" w:space="0" w:color="auto"/>
          </w:divBdr>
        </w:div>
        <w:div w:id="1184514953">
          <w:marLeft w:val="1166"/>
          <w:marRight w:val="0"/>
          <w:marTop w:val="86"/>
          <w:marBottom w:val="0"/>
          <w:divBdr>
            <w:top w:val="none" w:sz="0" w:space="0" w:color="auto"/>
            <w:left w:val="none" w:sz="0" w:space="0" w:color="auto"/>
            <w:bottom w:val="none" w:sz="0" w:space="0" w:color="auto"/>
            <w:right w:val="none" w:sz="0" w:space="0" w:color="auto"/>
          </w:divBdr>
        </w:div>
        <w:div w:id="89591330">
          <w:marLeft w:val="1800"/>
          <w:marRight w:val="0"/>
          <w:marTop w:val="86"/>
          <w:marBottom w:val="0"/>
          <w:divBdr>
            <w:top w:val="none" w:sz="0" w:space="0" w:color="auto"/>
            <w:left w:val="none" w:sz="0" w:space="0" w:color="auto"/>
            <w:bottom w:val="none" w:sz="0" w:space="0" w:color="auto"/>
            <w:right w:val="none" w:sz="0" w:space="0" w:color="auto"/>
          </w:divBdr>
        </w:div>
        <w:div w:id="1571696696">
          <w:marLeft w:val="1800"/>
          <w:marRight w:val="0"/>
          <w:marTop w:val="86"/>
          <w:marBottom w:val="0"/>
          <w:divBdr>
            <w:top w:val="none" w:sz="0" w:space="0" w:color="auto"/>
            <w:left w:val="none" w:sz="0" w:space="0" w:color="auto"/>
            <w:bottom w:val="none" w:sz="0" w:space="0" w:color="auto"/>
            <w:right w:val="none" w:sz="0" w:space="0" w:color="auto"/>
          </w:divBdr>
        </w:div>
        <w:div w:id="69423130">
          <w:marLeft w:val="1800"/>
          <w:marRight w:val="0"/>
          <w:marTop w:val="86"/>
          <w:marBottom w:val="0"/>
          <w:divBdr>
            <w:top w:val="none" w:sz="0" w:space="0" w:color="auto"/>
            <w:left w:val="none" w:sz="0" w:space="0" w:color="auto"/>
            <w:bottom w:val="none" w:sz="0" w:space="0" w:color="auto"/>
            <w:right w:val="none" w:sz="0" w:space="0" w:color="auto"/>
          </w:divBdr>
        </w:div>
      </w:divsChild>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307905597">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850754889">
      <w:bodyDiv w:val="1"/>
      <w:marLeft w:val="0"/>
      <w:marRight w:val="0"/>
      <w:marTop w:val="0"/>
      <w:marBottom w:val="0"/>
      <w:divBdr>
        <w:top w:val="none" w:sz="0" w:space="0" w:color="auto"/>
        <w:left w:val="none" w:sz="0" w:space="0" w:color="auto"/>
        <w:bottom w:val="none" w:sz="0" w:space="0" w:color="auto"/>
        <w:right w:val="none" w:sz="0" w:space="0" w:color="auto"/>
      </w:divBdr>
    </w:div>
    <w:div w:id="906837275">
      <w:bodyDiv w:val="1"/>
      <w:marLeft w:val="0"/>
      <w:marRight w:val="0"/>
      <w:marTop w:val="0"/>
      <w:marBottom w:val="0"/>
      <w:divBdr>
        <w:top w:val="none" w:sz="0" w:space="0" w:color="auto"/>
        <w:left w:val="none" w:sz="0" w:space="0" w:color="auto"/>
        <w:bottom w:val="none" w:sz="0" w:space="0" w:color="auto"/>
        <w:right w:val="none" w:sz="0" w:space="0" w:color="auto"/>
      </w:divBdr>
      <w:divsChild>
        <w:div w:id="170148130">
          <w:marLeft w:val="547"/>
          <w:marRight w:val="0"/>
          <w:marTop w:val="96"/>
          <w:marBottom w:val="0"/>
          <w:divBdr>
            <w:top w:val="none" w:sz="0" w:space="0" w:color="auto"/>
            <w:left w:val="none" w:sz="0" w:space="0" w:color="auto"/>
            <w:bottom w:val="none" w:sz="0" w:space="0" w:color="auto"/>
            <w:right w:val="none" w:sz="0" w:space="0" w:color="auto"/>
          </w:divBdr>
        </w:div>
        <w:div w:id="1017149372">
          <w:marLeft w:val="547"/>
          <w:marRight w:val="0"/>
          <w:marTop w:val="96"/>
          <w:marBottom w:val="0"/>
          <w:divBdr>
            <w:top w:val="none" w:sz="0" w:space="0" w:color="auto"/>
            <w:left w:val="none" w:sz="0" w:space="0" w:color="auto"/>
            <w:bottom w:val="none" w:sz="0" w:space="0" w:color="auto"/>
            <w:right w:val="none" w:sz="0" w:space="0" w:color="auto"/>
          </w:divBdr>
        </w:div>
        <w:div w:id="396712128">
          <w:marLeft w:val="547"/>
          <w:marRight w:val="0"/>
          <w:marTop w:val="96"/>
          <w:marBottom w:val="0"/>
          <w:divBdr>
            <w:top w:val="none" w:sz="0" w:space="0" w:color="auto"/>
            <w:left w:val="none" w:sz="0" w:space="0" w:color="auto"/>
            <w:bottom w:val="none" w:sz="0" w:space="0" w:color="auto"/>
            <w:right w:val="none" w:sz="0" w:space="0" w:color="auto"/>
          </w:divBdr>
        </w:div>
        <w:div w:id="293562103">
          <w:marLeft w:val="1354"/>
          <w:marRight w:val="0"/>
          <w:marTop w:val="86"/>
          <w:marBottom w:val="0"/>
          <w:divBdr>
            <w:top w:val="none" w:sz="0" w:space="0" w:color="auto"/>
            <w:left w:val="none" w:sz="0" w:space="0" w:color="auto"/>
            <w:bottom w:val="none" w:sz="0" w:space="0" w:color="auto"/>
            <w:right w:val="none" w:sz="0" w:space="0" w:color="auto"/>
          </w:divBdr>
        </w:div>
        <w:div w:id="1201436782">
          <w:marLeft w:val="1354"/>
          <w:marRight w:val="0"/>
          <w:marTop w:val="86"/>
          <w:marBottom w:val="0"/>
          <w:divBdr>
            <w:top w:val="none" w:sz="0" w:space="0" w:color="auto"/>
            <w:left w:val="none" w:sz="0" w:space="0" w:color="auto"/>
            <w:bottom w:val="none" w:sz="0" w:space="0" w:color="auto"/>
            <w:right w:val="none" w:sz="0" w:space="0" w:color="auto"/>
          </w:divBdr>
        </w:div>
        <w:div w:id="163786069">
          <w:marLeft w:val="1354"/>
          <w:marRight w:val="0"/>
          <w:marTop w:val="86"/>
          <w:marBottom w:val="0"/>
          <w:divBdr>
            <w:top w:val="none" w:sz="0" w:space="0" w:color="auto"/>
            <w:left w:val="none" w:sz="0" w:space="0" w:color="auto"/>
            <w:bottom w:val="none" w:sz="0" w:space="0" w:color="auto"/>
            <w:right w:val="none" w:sz="0" w:space="0" w:color="auto"/>
          </w:divBdr>
        </w:div>
        <w:div w:id="833253872">
          <w:marLeft w:val="1354"/>
          <w:marRight w:val="0"/>
          <w:marTop w:val="86"/>
          <w:marBottom w:val="0"/>
          <w:divBdr>
            <w:top w:val="none" w:sz="0" w:space="0" w:color="auto"/>
            <w:left w:val="none" w:sz="0" w:space="0" w:color="auto"/>
            <w:bottom w:val="none" w:sz="0" w:space="0" w:color="auto"/>
            <w:right w:val="none" w:sz="0" w:space="0" w:color="auto"/>
          </w:divBdr>
        </w:div>
      </w:divsChild>
    </w:div>
    <w:div w:id="939871412">
      <w:bodyDiv w:val="1"/>
      <w:marLeft w:val="0"/>
      <w:marRight w:val="0"/>
      <w:marTop w:val="0"/>
      <w:marBottom w:val="0"/>
      <w:divBdr>
        <w:top w:val="none" w:sz="0" w:space="0" w:color="auto"/>
        <w:left w:val="none" w:sz="0" w:space="0" w:color="auto"/>
        <w:bottom w:val="none" w:sz="0" w:space="0" w:color="auto"/>
        <w:right w:val="none" w:sz="0" w:space="0" w:color="auto"/>
      </w:divBdr>
      <w:divsChild>
        <w:div w:id="1426463932">
          <w:marLeft w:val="576"/>
          <w:marRight w:val="0"/>
          <w:marTop w:val="160"/>
          <w:marBottom w:val="0"/>
          <w:divBdr>
            <w:top w:val="none" w:sz="0" w:space="0" w:color="auto"/>
            <w:left w:val="none" w:sz="0" w:space="0" w:color="auto"/>
            <w:bottom w:val="none" w:sz="0" w:space="0" w:color="auto"/>
            <w:right w:val="none" w:sz="0" w:space="0" w:color="auto"/>
          </w:divBdr>
        </w:div>
        <w:div w:id="680275781">
          <w:marLeft w:val="576"/>
          <w:marRight w:val="0"/>
          <w:marTop w:val="160"/>
          <w:marBottom w:val="0"/>
          <w:divBdr>
            <w:top w:val="none" w:sz="0" w:space="0" w:color="auto"/>
            <w:left w:val="none" w:sz="0" w:space="0" w:color="auto"/>
            <w:bottom w:val="none" w:sz="0" w:space="0" w:color="auto"/>
            <w:right w:val="none" w:sz="0" w:space="0" w:color="auto"/>
          </w:divBdr>
        </w:div>
        <w:div w:id="1591546964">
          <w:marLeft w:val="576"/>
          <w:marRight w:val="0"/>
          <w:marTop w:val="160"/>
          <w:marBottom w:val="0"/>
          <w:divBdr>
            <w:top w:val="none" w:sz="0" w:space="0" w:color="auto"/>
            <w:left w:val="none" w:sz="0" w:space="0" w:color="auto"/>
            <w:bottom w:val="none" w:sz="0" w:space="0" w:color="auto"/>
            <w:right w:val="none" w:sz="0" w:space="0" w:color="auto"/>
          </w:divBdr>
        </w:div>
        <w:div w:id="410202890">
          <w:marLeft w:val="1210"/>
          <w:marRight w:val="0"/>
          <w:marTop w:val="160"/>
          <w:marBottom w:val="0"/>
          <w:divBdr>
            <w:top w:val="none" w:sz="0" w:space="0" w:color="auto"/>
            <w:left w:val="none" w:sz="0" w:space="0" w:color="auto"/>
            <w:bottom w:val="none" w:sz="0" w:space="0" w:color="auto"/>
            <w:right w:val="none" w:sz="0" w:space="0" w:color="auto"/>
          </w:divBdr>
        </w:div>
        <w:div w:id="916013845">
          <w:marLeft w:val="1210"/>
          <w:marRight w:val="0"/>
          <w:marTop w:val="160"/>
          <w:marBottom w:val="0"/>
          <w:divBdr>
            <w:top w:val="none" w:sz="0" w:space="0" w:color="auto"/>
            <w:left w:val="none" w:sz="0" w:space="0" w:color="auto"/>
            <w:bottom w:val="none" w:sz="0" w:space="0" w:color="auto"/>
            <w:right w:val="none" w:sz="0" w:space="0" w:color="auto"/>
          </w:divBdr>
        </w:div>
        <w:div w:id="185337118">
          <w:marLeft w:val="1210"/>
          <w:marRight w:val="0"/>
          <w:marTop w:val="160"/>
          <w:marBottom w:val="0"/>
          <w:divBdr>
            <w:top w:val="none" w:sz="0" w:space="0" w:color="auto"/>
            <w:left w:val="none" w:sz="0" w:space="0" w:color="auto"/>
            <w:bottom w:val="none" w:sz="0" w:space="0" w:color="auto"/>
            <w:right w:val="none" w:sz="0" w:space="0" w:color="auto"/>
          </w:divBdr>
        </w:div>
        <w:div w:id="7997408">
          <w:marLeft w:val="576"/>
          <w:marRight w:val="0"/>
          <w:marTop w:val="160"/>
          <w:marBottom w:val="0"/>
          <w:divBdr>
            <w:top w:val="none" w:sz="0" w:space="0" w:color="auto"/>
            <w:left w:val="none" w:sz="0" w:space="0" w:color="auto"/>
            <w:bottom w:val="none" w:sz="0" w:space="0" w:color="auto"/>
            <w:right w:val="none" w:sz="0" w:space="0" w:color="auto"/>
          </w:divBdr>
        </w:div>
        <w:div w:id="668289207">
          <w:marLeft w:val="1210"/>
          <w:marRight w:val="0"/>
          <w:marTop w:val="160"/>
          <w:marBottom w:val="0"/>
          <w:divBdr>
            <w:top w:val="none" w:sz="0" w:space="0" w:color="auto"/>
            <w:left w:val="none" w:sz="0" w:space="0" w:color="auto"/>
            <w:bottom w:val="none" w:sz="0" w:space="0" w:color="auto"/>
            <w:right w:val="none" w:sz="0" w:space="0" w:color="auto"/>
          </w:divBdr>
        </w:div>
        <w:div w:id="689648235">
          <w:marLeft w:val="1210"/>
          <w:marRight w:val="0"/>
          <w:marTop w:val="160"/>
          <w:marBottom w:val="0"/>
          <w:divBdr>
            <w:top w:val="none" w:sz="0" w:space="0" w:color="auto"/>
            <w:left w:val="none" w:sz="0" w:space="0" w:color="auto"/>
            <w:bottom w:val="none" w:sz="0" w:space="0" w:color="auto"/>
            <w:right w:val="none" w:sz="0" w:space="0" w:color="auto"/>
          </w:divBdr>
        </w:div>
      </w:divsChild>
    </w:div>
    <w:div w:id="1057238291">
      <w:bodyDiv w:val="1"/>
      <w:marLeft w:val="0"/>
      <w:marRight w:val="0"/>
      <w:marTop w:val="0"/>
      <w:marBottom w:val="0"/>
      <w:divBdr>
        <w:top w:val="none" w:sz="0" w:space="0" w:color="auto"/>
        <w:left w:val="none" w:sz="0" w:space="0" w:color="auto"/>
        <w:bottom w:val="none" w:sz="0" w:space="0" w:color="auto"/>
        <w:right w:val="none" w:sz="0" w:space="0" w:color="auto"/>
      </w:divBdr>
      <w:divsChild>
        <w:div w:id="1463038461">
          <w:marLeft w:val="576"/>
          <w:marRight w:val="0"/>
          <w:marTop w:val="160"/>
          <w:marBottom w:val="0"/>
          <w:divBdr>
            <w:top w:val="none" w:sz="0" w:space="0" w:color="auto"/>
            <w:left w:val="none" w:sz="0" w:space="0" w:color="auto"/>
            <w:bottom w:val="none" w:sz="0" w:space="0" w:color="auto"/>
            <w:right w:val="none" w:sz="0" w:space="0" w:color="auto"/>
          </w:divBdr>
        </w:div>
        <w:div w:id="1934438238">
          <w:marLeft w:val="1210"/>
          <w:marRight w:val="0"/>
          <w:marTop w:val="160"/>
          <w:marBottom w:val="0"/>
          <w:divBdr>
            <w:top w:val="none" w:sz="0" w:space="0" w:color="auto"/>
            <w:left w:val="none" w:sz="0" w:space="0" w:color="auto"/>
            <w:bottom w:val="none" w:sz="0" w:space="0" w:color="auto"/>
            <w:right w:val="none" w:sz="0" w:space="0" w:color="auto"/>
          </w:divBdr>
        </w:div>
        <w:div w:id="1143617063">
          <w:marLeft w:val="1210"/>
          <w:marRight w:val="0"/>
          <w:marTop w:val="160"/>
          <w:marBottom w:val="0"/>
          <w:divBdr>
            <w:top w:val="none" w:sz="0" w:space="0" w:color="auto"/>
            <w:left w:val="none" w:sz="0" w:space="0" w:color="auto"/>
            <w:bottom w:val="none" w:sz="0" w:space="0" w:color="auto"/>
            <w:right w:val="none" w:sz="0" w:space="0" w:color="auto"/>
          </w:divBdr>
        </w:div>
        <w:div w:id="774986697">
          <w:marLeft w:val="576"/>
          <w:marRight w:val="0"/>
          <w:marTop w:val="160"/>
          <w:marBottom w:val="0"/>
          <w:divBdr>
            <w:top w:val="none" w:sz="0" w:space="0" w:color="auto"/>
            <w:left w:val="none" w:sz="0" w:space="0" w:color="auto"/>
            <w:bottom w:val="none" w:sz="0" w:space="0" w:color="auto"/>
            <w:right w:val="none" w:sz="0" w:space="0" w:color="auto"/>
          </w:divBdr>
        </w:div>
      </w:divsChild>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114981601">
      <w:bodyDiv w:val="1"/>
      <w:marLeft w:val="0"/>
      <w:marRight w:val="0"/>
      <w:marTop w:val="0"/>
      <w:marBottom w:val="0"/>
      <w:divBdr>
        <w:top w:val="none" w:sz="0" w:space="0" w:color="auto"/>
        <w:left w:val="none" w:sz="0" w:space="0" w:color="auto"/>
        <w:bottom w:val="none" w:sz="0" w:space="0" w:color="auto"/>
        <w:right w:val="none" w:sz="0" w:space="0" w:color="auto"/>
      </w:divBdr>
      <w:divsChild>
        <w:div w:id="1958103961">
          <w:marLeft w:val="576"/>
          <w:marRight w:val="0"/>
          <w:marTop w:val="160"/>
          <w:marBottom w:val="0"/>
          <w:divBdr>
            <w:top w:val="none" w:sz="0" w:space="0" w:color="auto"/>
            <w:left w:val="none" w:sz="0" w:space="0" w:color="auto"/>
            <w:bottom w:val="none" w:sz="0" w:space="0" w:color="auto"/>
            <w:right w:val="none" w:sz="0" w:space="0" w:color="auto"/>
          </w:divBdr>
        </w:div>
      </w:divsChild>
    </w:div>
    <w:div w:id="1167331355">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426225674">
      <w:bodyDiv w:val="1"/>
      <w:marLeft w:val="0"/>
      <w:marRight w:val="0"/>
      <w:marTop w:val="0"/>
      <w:marBottom w:val="0"/>
      <w:divBdr>
        <w:top w:val="none" w:sz="0" w:space="0" w:color="auto"/>
        <w:left w:val="none" w:sz="0" w:space="0" w:color="auto"/>
        <w:bottom w:val="none" w:sz="0" w:space="0" w:color="auto"/>
        <w:right w:val="none" w:sz="0" w:space="0" w:color="auto"/>
      </w:divBdr>
      <w:divsChild>
        <w:div w:id="512232221">
          <w:marLeft w:val="576"/>
          <w:marRight w:val="0"/>
          <w:marTop w:val="160"/>
          <w:marBottom w:val="0"/>
          <w:divBdr>
            <w:top w:val="none" w:sz="0" w:space="0" w:color="auto"/>
            <w:left w:val="none" w:sz="0" w:space="0" w:color="auto"/>
            <w:bottom w:val="none" w:sz="0" w:space="0" w:color="auto"/>
            <w:right w:val="none" w:sz="0" w:space="0" w:color="auto"/>
          </w:divBdr>
        </w:div>
      </w:divsChild>
    </w:div>
    <w:div w:id="1697850702">
      <w:bodyDiv w:val="1"/>
      <w:marLeft w:val="0"/>
      <w:marRight w:val="0"/>
      <w:marTop w:val="0"/>
      <w:marBottom w:val="0"/>
      <w:divBdr>
        <w:top w:val="none" w:sz="0" w:space="0" w:color="auto"/>
        <w:left w:val="none" w:sz="0" w:space="0" w:color="auto"/>
        <w:bottom w:val="none" w:sz="0" w:space="0" w:color="auto"/>
        <w:right w:val="none" w:sz="0" w:space="0" w:color="auto"/>
      </w:divBdr>
      <w:divsChild>
        <w:div w:id="83503612">
          <w:marLeft w:val="547"/>
          <w:marRight w:val="0"/>
          <w:marTop w:val="96"/>
          <w:marBottom w:val="0"/>
          <w:divBdr>
            <w:top w:val="none" w:sz="0" w:space="0" w:color="auto"/>
            <w:left w:val="none" w:sz="0" w:space="0" w:color="auto"/>
            <w:bottom w:val="none" w:sz="0" w:space="0" w:color="auto"/>
            <w:right w:val="none" w:sz="0" w:space="0" w:color="auto"/>
          </w:divBdr>
        </w:div>
        <w:div w:id="1395156281">
          <w:marLeft w:val="547"/>
          <w:marRight w:val="0"/>
          <w:marTop w:val="96"/>
          <w:marBottom w:val="0"/>
          <w:divBdr>
            <w:top w:val="none" w:sz="0" w:space="0" w:color="auto"/>
            <w:left w:val="none" w:sz="0" w:space="0" w:color="auto"/>
            <w:bottom w:val="none" w:sz="0" w:space="0" w:color="auto"/>
            <w:right w:val="none" w:sz="0" w:space="0" w:color="auto"/>
          </w:divBdr>
        </w:div>
        <w:div w:id="424963488">
          <w:marLeft w:val="547"/>
          <w:marRight w:val="0"/>
          <w:marTop w:val="96"/>
          <w:marBottom w:val="0"/>
          <w:divBdr>
            <w:top w:val="none" w:sz="0" w:space="0" w:color="auto"/>
            <w:left w:val="none" w:sz="0" w:space="0" w:color="auto"/>
            <w:bottom w:val="none" w:sz="0" w:space="0" w:color="auto"/>
            <w:right w:val="none" w:sz="0" w:space="0" w:color="auto"/>
          </w:divBdr>
        </w:div>
        <w:div w:id="1449008172">
          <w:marLeft w:val="1166"/>
          <w:marRight w:val="0"/>
          <w:marTop w:val="77"/>
          <w:marBottom w:val="0"/>
          <w:divBdr>
            <w:top w:val="none" w:sz="0" w:space="0" w:color="auto"/>
            <w:left w:val="none" w:sz="0" w:space="0" w:color="auto"/>
            <w:bottom w:val="none" w:sz="0" w:space="0" w:color="auto"/>
            <w:right w:val="none" w:sz="0" w:space="0" w:color="auto"/>
          </w:divBdr>
        </w:div>
        <w:div w:id="453409666">
          <w:marLeft w:val="1166"/>
          <w:marRight w:val="0"/>
          <w:marTop w:val="77"/>
          <w:marBottom w:val="0"/>
          <w:divBdr>
            <w:top w:val="none" w:sz="0" w:space="0" w:color="auto"/>
            <w:left w:val="none" w:sz="0" w:space="0" w:color="auto"/>
            <w:bottom w:val="none" w:sz="0" w:space="0" w:color="auto"/>
            <w:right w:val="none" w:sz="0" w:space="0" w:color="auto"/>
          </w:divBdr>
        </w:div>
      </w:divsChild>
    </w:div>
    <w:div w:id="174734346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 w:id="1912541611">
      <w:bodyDiv w:val="1"/>
      <w:marLeft w:val="0"/>
      <w:marRight w:val="0"/>
      <w:marTop w:val="0"/>
      <w:marBottom w:val="0"/>
      <w:divBdr>
        <w:top w:val="none" w:sz="0" w:space="0" w:color="auto"/>
        <w:left w:val="none" w:sz="0" w:space="0" w:color="auto"/>
        <w:bottom w:val="none" w:sz="0" w:space="0" w:color="auto"/>
        <w:right w:val="none" w:sz="0" w:space="0" w:color="auto"/>
      </w:divBdr>
    </w:div>
    <w:div w:id="21003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d/sites/africa/" TargetMode="External"/><Relationship Id="rId18" Type="http://schemas.openxmlformats.org/officeDocument/2006/relationships/hyperlink" Target="https://www.itu.int/en/ITU-D/Regional-Presence/Europe/Pages/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dtdeputydir@itu.int" TargetMode="External"/><Relationship Id="rId17" Type="http://schemas.openxmlformats.org/officeDocument/2006/relationships/hyperlink" Target="https://www.itu.int/en/ITU-D/Regional-Presence/CIS/Pages/default.aspx" TargetMode="External"/><Relationship Id="rId2" Type="http://schemas.openxmlformats.org/officeDocument/2006/relationships/customXml" Target="../customXml/item2.xml"/><Relationship Id="rId16" Type="http://schemas.openxmlformats.org/officeDocument/2006/relationships/hyperlink" Target="https://www.itu.int/en/ITU-D/Regional-Presence/asiapacific/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D/Regional-Presence/ArabStates/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D/Pages/Regional-Presen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mericas/Pages/default.asp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F94C439E95403582B113277333BC17"/>
        <w:category>
          <w:name w:val="General"/>
          <w:gallery w:val="placeholder"/>
        </w:category>
        <w:types>
          <w:type w:val="bbPlcHdr"/>
        </w:types>
        <w:behaviors>
          <w:behavior w:val="content"/>
        </w:behaviors>
        <w:guid w:val="{2CCD0BAA-2C35-49B4-8EDF-31A804A5AC7C}"/>
      </w:docPartPr>
      <w:docPartBody>
        <w:p w:rsidR="00C55F41" w:rsidRDefault="00C55F41" w:rsidP="00C55F41">
          <w:pPr>
            <w:pStyle w:val="0CF94C439E95403582B113277333BC17"/>
          </w:pPr>
          <w:r w:rsidRPr="00543D41">
            <w:rPr>
              <w:rStyle w:val="PlaceholderText"/>
              <w:highlight w:val="yellow"/>
            </w:rPr>
            <w:t>Insert abstract under 200 words. See Rec.A.2, clause I.1.12 for guidance.</w:t>
          </w:r>
        </w:p>
      </w:docPartBody>
    </w:docPart>
    <w:docPart>
      <w:docPartPr>
        <w:name w:val="5DADC820913A4E69B1B8D2518C2C9E98"/>
        <w:category>
          <w:name w:val="General"/>
          <w:gallery w:val="placeholder"/>
        </w:category>
        <w:types>
          <w:type w:val="bbPlcHdr"/>
        </w:types>
        <w:behaviors>
          <w:behavior w:val="content"/>
        </w:behaviors>
        <w:guid w:val="{B9E60A9A-6B81-4D05-8FAD-773E50F8E0A4}"/>
      </w:docPartPr>
      <w:docPartBody>
        <w:p w:rsidR="003A0AC6" w:rsidRDefault="003A0AC6" w:rsidP="003A0AC6">
          <w:pPr>
            <w:pStyle w:val="5DADC820913A4E69B1B8D2518C2C9E98"/>
          </w:pPr>
          <w:r w:rsidRPr="00543D41">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41"/>
    <w:rsid w:val="002B6DCD"/>
    <w:rsid w:val="002D12A5"/>
    <w:rsid w:val="003076F2"/>
    <w:rsid w:val="003A0AC6"/>
    <w:rsid w:val="003A2772"/>
    <w:rsid w:val="003B2E7E"/>
    <w:rsid w:val="00535A7D"/>
    <w:rsid w:val="00640A8B"/>
    <w:rsid w:val="00752C37"/>
    <w:rsid w:val="008617DA"/>
    <w:rsid w:val="009165B4"/>
    <w:rsid w:val="00A86CF6"/>
    <w:rsid w:val="00B4549A"/>
    <w:rsid w:val="00C55F41"/>
    <w:rsid w:val="00F360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AC6"/>
    <w:rPr>
      <w:rFonts w:ascii="Times New Roman" w:hAnsi="Times New Roman"/>
      <w:color w:val="808080"/>
    </w:rPr>
  </w:style>
  <w:style w:type="paragraph" w:customStyle="1" w:styleId="0CF94C439E95403582B113277333BC17">
    <w:name w:val="0CF94C439E95403582B113277333BC17"/>
    <w:rsid w:val="00C55F41"/>
  </w:style>
  <w:style w:type="paragraph" w:customStyle="1" w:styleId="5DADC820913A4E69B1B8D2518C2C9E98">
    <w:name w:val="5DADC820913A4E69B1B8D2518C2C9E98"/>
    <w:rsid w:val="003A0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4106A-3EDD-4556-A0AC-F2E6B5CA3C48}">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81665285-f1bb-4675-b7f4-28c4ccc980a7"/>
    <ds:schemaRef ds:uri="http://schemas.microsoft.com/office/infopath/2007/PartnerControl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AC642759-8D99-4EEE-9837-F9CF2E9E9B8A}">
  <ds:schemaRefs>
    <ds:schemaRef ds:uri="http://schemas.openxmlformats.org/officeDocument/2006/bibliography"/>
  </ds:schemaRefs>
</ds:datastoreItem>
</file>

<file path=customXml/itemProps3.xml><?xml version="1.0" encoding="utf-8"?>
<ds:datastoreItem xmlns:ds="http://schemas.openxmlformats.org/officeDocument/2006/customXml" ds:itemID="{2670A6BF-DD90-4C54-BCCB-85C41A89C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EF553-0E7B-4CF2-8D0A-D992229002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3554</Words>
  <Characters>17985</Characters>
  <Application>Microsoft Office Word</Application>
  <DocSecurity>0</DocSecurity>
  <Lines>374</Lines>
  <Paragraphs>253</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DRAFT – Contribution of the ITU Regional Offices to the ITU-T Operational Plan and Coordination activities with TSB (July 2024 – April 2025)</vt:lpstr>
      <vt:lpstr/>
      <vt:lpstr/>
    </vt:vector>
  </TitlesOfParts>
  <Manager>ITU-T</Manager>
  <Company>International Telecommunication Union (ITU)</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the ITU Regional Offices to the ITU-T Operational Plan and Coordination activities with TSB (July 2024 – April 2025)</dc:title>
  <dc:creator>Directors, ITU Regional Office</dc:creator>
  <dc:description>TSAG-TD67  For: Geneva, 26-30 May 2025_x000d_Document date: _x000d_Saved by ITU51017913 at 3:22:15 PM on 5/20/2025</dc:description>
  <cp:lastModifiedBy>TSB</cp:lastModifiedBy>
  <cp:revision>5</cp:revision>
  <cp:lastPrinted>2017-07-07T16:49:00Z</cp:lastPrinted>
  <dcterms:created xsi:type="dcterms:W3CDTF">2025-05-20T13:21:00Z</dcterms:created>
  <dcterms:modified xsi:type="dcterms:W3CDTF">2025-05-23T16:38:00Z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TSAG-TD67</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Geneva, 26-30 May 2025</vt:lpwstr>
  </property>
  <property fmtid="{D5CDD505-2E9C-101B-9397-08002B2CF9AE}" pid="8" name="Docauthor">
    <vt:lpwstr>Directors, ITU Regional Office</vt:lpwstr>
  </property>
</Properties>
</file>