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360"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9F4182" w:rsidRPr="00A307A9" w14:paraId="0AEAAA47" w14:textId="77777777" w:rsidTr="00A307A9">
        <w:trPr>
          <w:cantSplit/>
        </w:trPr>
        <w:tc>
          <w:tcPr>
            <w:tcW w:w="1160" w:type="dxa"/>
            <w:vMerge w:val="restart"/>
            <w:vAlign w:val="center"/>
          </w:tcPr>
          <w:p w14:paraId="6FD17CF0" w14:textId="77777777" w:rsidR="009F4182" w:rsidRPr="00A307A9" w:rsidRDefault="009F4182" w:rsidP="008179C6">
            <w:pPr>
              <w:spacing w:before="0"/>
              <w:jc w:val="center"/>
              <w:rPr>
                <w:rFonts w:asciiTheme="majorBidi" w:hAnsiTheme="majorBidi" w:cstheme="majorBidi"/>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A307A9">
              <w:rPr>
                <w:rFonts w:asciiTheme="majorBidi" w:hAnsiTheme="majorBidi" w:cstheme="majorBidi"/>
                <w:noProof/>
              </w:rPr>
              <w:drawing>
                <wp:inline distT="0" distB="0" distL="0" distR="0" wp14:anchorId="6EE351F1" wp14:editId="21CB8789">
                  <wp:extent cx="647065" cy="70358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065" cy="703580"/>
                          </a:xfrm>
                          <a:prstGeom prst="rect">
                            <a:avLst/>
                          </a:prstGeom>
                          <a:noFill/>
                          <a:ln>
                            <a:noFill/>
                          </a:ln>
                        </pic:spPr>
                      </pic:pic>
                    </a:graphicData>
                  </a:graphic>
                </wp:inline>
              </w:drawing>
            </w:r>
          </w:p>
        </w:tc>
        <w:tc>
          <w:tcPr>
            <w:tcW w:w="4954" w:type="dxa"/>
            <w:gridSpan w:val="3"/>
            <w:vMerge w:val="restart"/>
          </w:tcPr>
          <w:p w14:paraId="52B2E784" w14:textId="77777777" w:rsidR="009F4182" w:rsidRPr="00A307A9" w:rsidRDefault="009F4182" w:rsidP="008179C6">
            <w:pPr>
              <w:rPr>
                <w:rFonts w:asciiTheme="majorBidi" w:hAnsiTheme="majorBidi" w:cstheme="majorBidi"/>
                <w:sz w:val="16"/>
              </w:rPr>
            </w:pPr>
            <w:r w:rsidRPr="00A307A9">
              <w:rPr>
                <w:rFonts w:asciiTheme="majorBidi" w:hAnsiTheme="majorBidi" w:cstheme="majorBidi"/>
                <w:sz w:val="16"/>
              </w:rPr>
              <w:t>INTERNATIONAL TELECOMMUNICATION UNION</w:t>
            </w:r>
          </w:p>
          <w:p w14:paraId="3468952F" w14:textId="77777777" w:rsidR="009F4182" w:rsidRPr="00A307A9" w:rsidRDefault="009F4182" w:rsidP="008179C6">
            <w:pPr>
              <w:rPr>
                <w:rFonts w:asciiTheme="majorBidi" w:hAnsiTheme="majorBidi" w:cstheme="majorBidi"/>
                <w:b/>
                <w:bCs/>
                <w:sz w:val="26"/>
              </w:rPr>
            </w:pPr>
            <w:r w:rsidRPr="00A307A9">
              <w:rPr>
                <w:rFonts w:asciiTheme="majorBidi" w:hAnsiTheme="majorBidi" w:cstheme="majorBidi"/>
                <w:b/>
                <w:bCs/>
                <w:sz w:val="26"/>
              </w:rPr>
              <w:t>TELECOMMUNICATION STANDARDIZATION SECTOR</w:t>
            </w:r>
          </w:p>
          <w:p w14:paraId="2B300AEF" w14:textId="77777777" w:rsidR="009F4182" w:rsidRPr="00A307A9" w:rsidRDefault="009F4182" w:rsidP="008179C6">
            <w:pPr>
              <w:rPr>
                <w:rFonts w:asciiTheme="majorBidi" w:hAnsiTheme="majorBidi" w:cstheme="majorBidi"/>
                <w:sz w:val="20"/>
              </w:rPr>
            </w:pPr>
            <w:r w:rsidRPr="00A307A9">
              <w:rPr>
                <w:rFonts w:asciiTheme="majorBidi" w:hAnsiTheme="majorBidi" w:cstheme="majorBidi"/>
                <w:sz w:val="20"/>
              </w:rPr>
              <w:t>STUDY PERIOD 2025-2028</w:t>
            </w:r>
          </w:p>
        </w:tc>
        <w:tc>
          <w:tcPr>
            <w:tcW w:w="3525" w:type="dxa"/>
          </w:tcPr>
          <w:p w14:paraId="6D204B03" w14:textId="23BECCA7" w:rsidR="009F4182" w:rsidRPr="00A307A9" w:rsidRDefault="009F4182" w:rsidP="008179C6">
            <w:pPr>
              <w:pStyle w:val="Docnumber"/>
              <w:rPr>
                <w:rFonts w:asciiTheme="majorBidi" w:hAnsiTheme="majorBidi" w:cstheme="majorBidi"/>
              </w:rPr>
            </w:pPr>
            <w:r w:rsidRPr="00A307A9">
              <w:rPr>
                <w:rFonts w:asciiTheme="majorBidi" w:hAnsiTheme="majorBidi" w:cstheme="majorBidi"/>
              </w:rPr>
              <w:t>TSAG-TD6</w:t>
            </w:r>
            <w:r w:rsidR="00374606">
              <w:rPr>
                <w:rFonts w:asciiTheme="majorBidi" w:hAnsiTheme="majorBidi" w:cstheme="majorBidi"/>
              </w:rPr>
              <w:t>6</w:t>
            </w:r>
          </w:p>
        </w:tc>
      </w:tr>
      <w:tr w:rsidR="009F4182" w:rsidRPr="00A307A9" w14:paraId="29520673" w14:textId="77777777" w:rsidTr="00A307A9">
        <w:trPr>
          <w:cantSplit/>
          <w:trHeight w:val="461"/>
        </w:trPr>
        <w:tc>
          <w:tcPr>
            <w:tcW w:w="1160" w:type="dxa"/>
            <w:vMerge/>
          </w:tcPr>
          <w:p w14:paraId="679326C1" w14:textId="77777777" w:rsidR="009F4182" w:rsidRPr="00A307A9" w:rsidRDefault="009F4182" w:rsidP="008179C6">
            <w:pPr>
              <w:rPr>
                <w:rFonts w:asciiTheme="majorBidi" w:hAnsiTheme="majorBidi" w:cstheme="majorBidi"/>
                <w:smallCaps/>
                <w:sz w:val="20"/>
              </w:rPr>
            </w:pPr>
            <w:bookmarkStart w:id="6" w:name="dsg" w:colFirst="2" w:colLast="2"/>
          </w:p>
        </w:tc>
        <w:tc>
          <w:tcPr>
            <w:tcW w:w="4954" w:type="dxa"/>
            <w:gridSpan w:val="3"/>
            <w:vMerge/>
          </w:tcPr>
          <w:p w14:paraId="1342A676" w14:textId="77777777" w:rsidR="009F4182" w:rsidRPr="00A307A9" w:rsidRDefault="009F4182" w:rsidP="008179C6">
            <w:pPr>
              <w:rPr>
                <w:rFonts w:asciiTheme="majorBidi" w:hAnsiTheme="majorBidi" w:cstheme="majorBidi"/>
                <w:smallCaps/>
                <w:sz w:val="20"/>
              </w:rPr>
            </w:pPr>
          </w:p>
        </w:tc>
        <w:tc>
          <w:tcPr>
            <w:tcW w:w="3525" w:type="dxa"/>
            <w:tcBorders>
              <w:bottom w:val="nil"/>
            </w:tcBorders>
          </w:tcPr>
          <w:p w14:paraId="7EF8C95E" w14:textId="77777777" w:rsidR="009F4182" w:rsidRPr="00A307A9" w:rsidRDefault="009F4182" w:rsidP="008179C6">
            <w:pPr>
              <w:pStyle w:val="TSBHeaderRight14"/>
              <w:rPr>
                <w:rFonts w:asciiTheme="majorBidi" w:hAnsiTheme="majorBidi" w:cstheme="majorBidi"/>
              </w:rPr>
            </w:pPr>
            <w:r w:rsidRPr="00A307A9">
              <w:rPr>
                <w:rFonts w:asciiTheme="majorBidi" w:hAnsiTheme="majorBidi" w:cstheme="majorBidi"/>
              </w:rPr>
              <w:t>TSAG</w:t>
            </w:r>
          </w:p>
        </w:tc>
      </w:tr>
      <w:bookmarkEnd w:id="6"/>
      <w:tr w:rsidR="009F4182" w:rsidRPr="00A307A9" w14:paraId="3453213A" w14:textId="77777777" w:rsidTr="00A307A9">
        <w:trPr>
          <w:cantSplit/>
          <w:trHeight w:val="379"/>
        </w:trPr>
        <w:tc>
          <w:tcPr>
            <w:tcW w:w="1160" w:type="dxa"/>
            <w:vMerge/>
            <w:tcBorders>
              <w:bottom w:val="single" w:sz="12" w:space="0" w:color="auto"/>
            </w:tcBorders>
          </w:tcPr>
          <w:p w14:paraId="4ACE2173" w14:textId="77777777" w:rsidR="009F4182" w:rsidRPr="00A307A9" w:rsidRDefault="009F4182" w:rsidP="008179C6">
            <w:pPr>
              <w:rPr>
                <w:rFonts w:asciiTheme="majorBidi" w:hAnsiTheme="majorBidi" w:cstheme="majorBidi"/>
                <w:b/>
                <w:bCs/>
                <w:sz w:val="26"/>
              </w:rPr>
            </w:pPr>
          </w:p>
        </w:tc>
        <w:tc>
          <w:tcPr>
            <w:tcW w:w="4954" w:type="dxa"/>
            <w:gridSpan w:val="3"/>
            <w:vMerge/>
            <w:tcBorders>
              <w:bottom w:val="single" w:sz="12" w:space="0" w:color="auto"/>
            </w:tcBorders>
          </w:tcPr>
          <w:p w14:paraId="60E6110B" w14:textId="77777777" w:rsidR="009F4182" w:rsidRPr="00A307A9" w:rsidRDefault="009F4182" w:rsidP="008179C6">
            <w:pPr>
              <w:rPr>
                <w:rFonts w:asciiTheme="majorBidi" w:hAnsiTheme="majorBidi" w:cstheme="majorBidi"/>
                <w:b/>
                <w:bCs/>
                <w:sz w:val="26"/>
              </w:rPr>
            </w:pPr>
          </w:p>
        </w:tc>
        <w:tc>
          <w:tcPr>
            <w:tcW w:w="3525" w:type="dxa"/>
            <w:tcBorders>
              <w:bottom w:val="single" w:sz="12" w:space="0" w:color="auto"/>
            </w:tcBorders>
          </w:tcPr>
          <w:p w14:paraId="7528ABC8" w14:textId="77777777" w:rsidR="009F4182" w:rsidRPr="00A307A9" w:rsidRDefault="009F4182" w:rsidP="008179C6">
            <w:pPr>
              <w:jc w:val="right"/>
              <w:rPr>
                <w:rFonts w:asciiTheme="majorBidi" w:hAnsiTheme="majorBidi" w:cstheme="majorBidi"/>
                <w:b/>
                <w:bCs/>
                <w:sz w:val="28"/>
              </w:rPr>
            </w:pPr>
            <w:r w:rsidRPr="00A307A9">
              <w:rPr>
                <w:rFonts w:asciiTheme="majorBidi" w:hAnsiTheme="majorBidi" w:cstheme="majorBidi"/>
                <w:b/>
                <w:bCs/>
                <w:sz w:val="28"/>
              </w:rPr>
              <w:t>Original: English</w:t>
            </w:r>
          </w:p>
        </w:tc>
      </w:tr>
      <w:tr w:rsidR="009F4182" w:rsidRPr="00A307A9" w14:paraId="0CD3362D" w14:textId="77777777" w:rsidTr="00A307A9">
        <w:trPr>
          <w:cantSplit/>
          <w:trHeight w:val="357"/>
        </w:trPr>
        <w:tc>
          <w:tcPr>
            <w:tcW w:w="1508" w:type="dxa"/>
            <w:gridSpan w:val="2"/>
          </w:tcPr>
          <w:p w14:paraId="742E746D" w14:textId="2A8647EB" w:rsidR="009F4182" w:rsidRPr="00A307A9" w:rsidRDefault="009F4182" w:rsidP="008179C6">
            <w:pPr>
              <w:rPr>
                <w:rFonts w:asciiTheme="majorBidi" w:hAnsiTheme="majorBidi" w:cstheme="majorBidi"/>
                <w:b/>
                <w:bCs/>
              </w:rPr>
            </w:pPr>
            <w:bookmarkStart w:id="7" w:name="dbluepink" w:colFirst="1" w:colLast="1"/>
          </w:p>
        </w:tc>
        <w:tc>
          <w:tcPr>
            <w:tcW w:w="4606" w:type="dxa"/>
            <w:gridSpan w:val="2"/>
          </w:tcPr>
          <w:p w14:paraId="353568F1" w14:textId="5114EAF3" w:rsidR="009F4182" w:rsidRPr="00A307A9" w:rsidRDefault="009F4182" w:rsidP="008179C6">
            <w:pPr>
              <w:pStyle w:val="TSBHeaderQuestion"/>
              <w:rPr>
                <w:rFonts w:asciiTheme="majorBidi" w:hAnsiTheme="majorBidi" w:cstheme="majorBidi"/>
              </w:rPr>
            </w:pPr>
          </w:p>
        </w:tc>
        <w:tc>
          <w:tcPr>
            <w:tcW w:w="3525" w:type="dxa"/>
          </w:tcPr>
          <w:p w14:paraId="5D07BC64" w14:textId="77777777" w:rsidR="009F4182" w:rsidRPr="00A307A9" w:rsidRDefault="009F4182" w:rsidP="008179C6">
            <w:pPr>
              <w:pStyle w:val="VenueDate"/>
              <w:rPr>
                <w:rFonts w:asciiTheme="majorBidi" w:hAnsiTheme="majorBidi" w:cstheme="majorBidi"/>
              </w:rPr>
            </w:pPr>
            <w:r w:rsidRPr="00A307A9">
              <w:rPr>
                <w:rFonts w:asciiTheme="majorBidi" w:hAnsiTheme="majorBidi" w:cstheme="majorBidi"/>
              </w:rPr>
              <w:t>Geneva, 26-30 May 2025</w:t>
            </w:r>
          </w:p>
        </w:tc>
      </w:tr>
      <w:tr w:rsidR="009F4182" w:rsidRPr="00A307A9" w14:paraId="20599072" w14:textId="77777777" w:rsidTr="00A307A9">
        <w:trPr>
          <w:cantSplit/>
          <w:trHeight w:val="357"/>
        </w:trPr>
        <w:tc>
          <w:tcPr>
            <w:tcW w:w="9639" w:type="dxa"/>
            <w:gridSpan w:val="5"/>
          </w:tcPr>
          <w:p w14:paraId="1DD21AC4" w14:textId="77777777" w:rsidR="009F4182" w:rsidRPr="00A307A9" w:rsidRDefault="009F4182" w:rsidP="008179C6">
            <w:pPr>
              <w:jc w:val="center"/>
              <w:rPr>
                <w:rFonts w:asciiTheme="majorBidi" w:hAnsiTheme="majorBidi" w:cstheme="majorBidi"/>
                <w:b/>
                <w:bCs/>
              </w:rPr>
            </w:pPr>
            <w:bookmarkStart w:id="8" w:name="dtitle" w:colFirst="0" w:colLast="0"/>
            <w:bookmarkEnd w:id="7"/>
            <w:r w:rsidRPr="00A307A9">
              <w:rPr>
                <w:rFonts w:asciiTheme="majorBidi" w:hAnsiTheme="majorBidi" w:cstheme="majorBidi"/>
                <w:b/>
                <w:bCs/>
              </w:rPr>
              <w:t>TD</w:t>
            </w:r>
            <w:r w:rsidRPr="00A307A9">
              <w:rPr>
                <w:rFonts w:asciiTheme="majorBidi" w:hAnsiTheme="majorBidi" w:cstheme="majorBidi"/>
                <w:b/>
                <w:bCs/>
              </w:rPr>
              <w:br/>
              <w:t xml:space="preserve">(Ref: </w:t>
            </w:r>
            <w:hyperlink r:id="rId12" w:tooltip="ITU-T ftp file restricted to TIES access only" w:history="1">
              <w:r w:rsidRPr="00A307A9">
                <w:rPr>
                  <w:rStyle w:val="Hyperlink"/>
                  <w:rFonts w:asciiTheme="majorBidi" w:hAnsiTheme="majorBidi" w:cstheme="majorBidi"/>
                </w:rPr>
                <w:t>ISCG-LS8</w:t>
              </w:r>
            </w:hyperlink>
            <w:r w:rsidRPr="00A307A9">
              <w:rPr>
                <w:rFonts w:asciiTheme="majorBidi" w:hAnsiTheme="majorBidi" w:cstheme="majorBidi"/>
                <w:b/>
                <w:bCs/>
              </w:rPr>
              <w:t>)</w:t>
            </w:r>
          </w:p>
        </w:tc>
      </w:tr>
      <w:tr w:rsidR="009F4182" w:rsidRPr="00A307A9" w14:paraId="70CBF2D5" w14:textId="77777777" w:rsidTr="00A307A9">
        <w:trPr>
          <w:cantSplit/>
          <w:trHeight w:val="357"/>
        </w:trPr>
        <w:tc>
          <w:tcPr>
            <w:tcW w:w="1508" w:type="dxa"/>
            <w:gridSpan w:val="2"/>
          </w:tcPr>
          <w:p w14:paraId="27072495" w14:textId="77777777" w:rsidR="009F4182" w:rsidRPr="00A307A9" w:rsidRDefault="009F4182" w:rsidP="008179C6">
            <w:pPr>
              <w:rPr>
                <w:rFonts w:asciiTheme="majorBidi" w:hAnsiTheme="majorBidi" w:cstheme="majorBidi"/>
                <w:b/>
                <w:bCs/>
              </w:rPr>
            </w:pPr>
            <w:bookmarkStart w:id="9" w:name="dsource" w:colFirst="1" w:colLast="1"/>
            <w:bookmarkEnd w:id="8"/>
            <w:r w:rsidRPr="00A307A9">
              <w:rPr>
                <w:rFonts w:asciiTheme="majorBidi" w:hAnsiTheme="majorBidi" w:cstheme="majorBidi"/>
                <w:b/>
                <w:bCs/>
              </w:rPr>
              <w:t>Source:</w:t>
            </w:r>
          </w:p>
        </w:tc>
        <w:tc>
          <w:tcPr>
            <w:tcW w:w="8131" w:type="dxa"/>
            <w:gridSpan w:val="3"/>
          </w:tcPr>
          <w:p w14:paraId="58132053" w14:textId="77777777" w:rsidR="009F4182" w:rsidRPr="00A307A9" w:rsidRDefault="009F4182" w:rsidP="008179C6">
            <w:pPr>
              <w:pStyle w:val="TSBHeaderSource"/>
              <w:rPr>
                <w:rFonts w:asciiTheme="majorBidi" w:hAnsiTheme="majorBidi" w:cstheme="majorBidi"/>
              </w:rPr>
            </w:pPr>
            <w:r w:rsidRPr="00A307A9">
              <w:rPr>
                <w:rFonts w:asciiTheme="majorBidi" w:hAnsiTheme="majorBidi" w:cstheme="majorBidi"/>
              </w:rPr>
              <w:t>ISCG</w:t>
            </w:r>
          </w:p>
        </w:tc>
      </w:tr>
      <w:tr w:rsidR="009F4182" w:rsidRPr="00A307A9" w14:paraId="227E357D" w14:textId="77777777" w:rsidTr="00A307A9">
        <w:trPr>
          <w:cantSplit/>
          <w:trHeight w:val="357"/>
        </w:trPr>
        <w:tc>
          <w:tcPr>
            <w:tcW w:w="1508" w:type="dxa"/>
            <w:gridSpan w:val="2"/>
          </w:tcPr>
          <w:p w14:paraId="5B2FB7AF" w14:textId="77777777" w:rsidR="009F4182" w:rsidRPr="00A307A9" w:rsidRDefault="009F4182" w:rsidP="008179C6">
            <w:pPr>
              <w:rPr>
                <w:rFonts w:asciiTheme="majorBidi" w:hAnsiTheme="majorBidi" w:cstheme="majorBidi"/>
                <w:b/>
                <w:bCs/>
              </w:rPr>
            </w:pPr>
            <w:bookmarkStart w:id="10" w:name="dtitle1" w:colFirst="1" w:colLast="1"/>
            <w:bookmarkEnd w:id="9"/>
            <w:r w:rsidRPr="00A307A9">
              <w:rPr>
                <w:rFonts w:asciiTheme="majorBidi" w:hAnsiTheme="majorBidi" w:cstheme="majorBidi"/>
                <w:b/>
                <w:bCs/>
              </w:rPr>
              <w:t>Title:</w:t>
            </w:r>
          </w:p>
        </w:tc>
        <w:tc>
          <w:tcPr>
            <w:tcW w:w="8131" w:type="dxa"/>
            <w:gridSpan w:val="3"/>
          </w:tcPr>
          <w:p w14:paraId="50A69A67" w14:textId="0AF205A3" w:rsidR="009F4182" w:rsidRPr="00A307A9" w:rsidRDefault="009F4182" w:rsidP="008179C6">
            <w:pPr>
              <w:pStyle w:val="TSBHeaderTitle"/>
              <w:rPr>
                <w:rFonts w:asciiTheme="majorBidi" w:hAnsiTheme="majorBidi" w:cstheme="majorBidi"/>
              </w:rPr>
            </w:pPr>
            <w:r w:rsidRPr="00A307A9">
              <w:rPr>
                <w:rFonts w:asciiTheme="majorBidi" w:hAnsiTheme="majorBidi" w:cstheme="majorBidi"/>
              </w:rPr>
              <w:t>LS/</w:t>
            </w:r>
            <w:proofErr w:type="spellStart"/>
            <w:r w:rsidRPr="00A307A9">
              <w:rPr>
                <w:rFonts w:asciiTheme="majorBidi" w:hAnsiTheme="majorBidi" w:cstheme="majorBidi"/>
              </w:rPr>
              <w:t>i</w:t>
            </w:r>
            <w:proofErr w:type="spellEnd"/>
            <w:r w:rsidRPr="00A307A9">
              <w:rPr>
                <w:rFonts w:asciiTheme="majorBidi" w:hAnsiTheme="majorBidi" w:cstheme="majorBidi"/>
              </w:rPr>
              <w:t xml:space="preserve"> on </w:t>
            </w:r>
            <w:r w:rsidR="00A03065">
              <w:t xml:space="preserve">ISCG Terms of Reference </w:t>
            </w:r>
            <w:r w:rsidRPr="00A307A9">
              <w:rPr>
                <w:rFonts w:asciiTheme="majorBidi" w:hAnsiTheme="majorBidi" w:cstheme="majorBidi"/>
              </w:rPr>
              <w:t>[from ISCG]</w:t>
            </w:r>
          </w:p>
        </w:tc>
      </w:tr>
      <w:bookmarkEnd w:id="10"/>
      <w:tr w:rsidR="009F4182" w:rsidRPr="00A307A9" w14:paraId="71C0F41C" w14:textId="77777777" w:rsidTr="00A307A9">
        <w:trPr>
          <w:cantSplit/>
          <w:trHeight w:val="357"/>
        </w:trPr>
        <w:tc>
          <w:tcPr>
            <w:tcW w:w="9639" w:type="dxa"/>
            <w:gridSpan w:val="5"/>
            <w:tcBorders>
              <w:top w:val="single" w:sz="12" w:space="0" w:color="auto"/>
            </w:tcBorders>
          </w:tcPr>
          <w:p w14:paraId="5ED6CE9B" w14:textId="77777777" w:rsidR="009F4182" w:rsidRPr="00A307A9" w:rsidRDefault="009F4182" w:rsidP="008179C6">
            <w:pPr>
              <w:jc w:val="center"/>
              <w:rPr>
                <w:rFonts w:asciiTheme="majorBidi" w:hAnsiTheme="majorBidi" w:cstheme="majorBidi"/>
                <w:b/>
              </w:rPr>
            </w:pPr>
            <w:r w:rsidRPr="00A307A9">
              <w:rPr>
                <w:rFonts w:asciiTheme="majorBidi" w:hAnsiTheme="majorBidi" w:cstheme="majorBidi"/>
                <w:b/>
              </w:rPr>
              <w:t>LIAISON STATEMENT</w:t>
            </w:r>
          </w:p>
        </w:tc>
      </w:tr>
      <w:tr w:rsidR="009F4182" w:rsidRPr="00A307A9" w14:paraId="41DA092E" w14:textId="77777777" w:rsidTr="00A307A9">
        <w:trPr>
          <w:cantSplit/>
          <w:trHeight w:val="357"/>
        </w:trPr>
        <w:tc>
          <w:tcPr>
            <w:tcW w:w="2187" w:type="dxa"/>
            <w:gridSpan w:val="3"/>
          </w:tcPr>
          <w:p w14:paraId="1261D448" w14:textId="77777777" w:rsidR="009F4182" w:rsidRPr="00A307A9" w:rsidRDefault="009F4182" w:rsidP="008179C6">
            <w:pPr>
              <w:rPr>
                <w:rFonts w:asciiTheme="majorBidi" w:hAnsiTheme="majorBidi" w:cstheme="majorBidi"/>
                <w:b/>
                <w:bCs/>
              </w:rPr>
            </w:pPr>
            <w:r w:rsidRPr="00A307A9">
              <w:rPr>
                <w:rFonts w:asciiTheme="majorBidi" w:hAnsiTheme="majorBidi" w:cstheme="majorBidi"/>
                <w:b/>
                <w:bCs/>
              </w:rPr>
              <w:t>For action to:</w:t>
            </w:r>
          </w:p>
        </w:tc>
        <w:tc>
          <w:tcPr>
            <w:tcW w:w="7452" w:type="dxa"/>
            <w:gridSpan w:val="2"/>
          </w:tcPr>
          <w:p w14:paraId="4E19763E" w14:textId="3F980DCD" w:rsidR="009F4182" w:rsidRPr="00A307A9" w:rsidRDefault="00A03065" w:rsidP="008179C6">
            <w:pPr>
              <w:rPr>
                <w:rFonts w:asciiTheme="majorBidi" w:hAnsiTheme="majorBidi" w:cstheme="majorBidi"/>
              </w:rPr>
            </w:pPr>
            <w:r>
              <w:rPr>
                <w:rFonts w:asciiTheme="majorBidi" w:hAnsiTheme="majorBidi" w:cstheme="majorBidi"/>
              </w:rPr>
              <w:t>-</w:t>
            </w:r>
          </w:p>
        </w:tc>
      </w:tr>
      <w:tr w:rsidR="009F4182" w:rsidRPr="00A307A9" w14:paraId="6C0F71DE" w14:textId="77777777" w:rsidTr="00A307A9">
        <w:trPr>
          <w:cantSplit/>
          <w:trHeight w:val="357"/>
        </w:trPr>
        <w:tc>
          <w:tcPr>
            <w:tcW w:w="2187" w:type="dxa"/>
            <w:gridSpan w:val="3"/>
          </w:tcPr>
          <w:p w14:paraId="649F0FB0" w14:textId="77777777" w:rsidR="009F4182" w:rsidRPr="00A307A9" w:rsidRDefault="009F4182" w:rsidP="008179C6">
            <w:pPr>
              <w:rPr>
                <w:rFonts w:asciiTheme="majorBidi" w:hAnsiTheme="majorBidi" w:cstheme="majorBidi"/>
                <w:b/>
                <w:bCs/>
              </w:rPr>
            </w:pPr>
            <w:r w:rsidRPr="00A307A9">
              <w:rPr>
                <w:rFonts w:asciiTheme="majorBidi" w:hAnsiTheme="majorBidi" w:cstheme="majorBidi"/>
                <w:b/>
                <w:bCs/>
              </w:rPr>
              <w:t>For information to:</w:t>
            </w:r>
          </w:p>
        </w:tc>
        <w:tc>
          <w:tcPr>
            <w:tcW w:w="7452" w:type="dxa"/>
            <w:gridSpan w:val="2"/>
          </w:tcPr>
          <w:p w14:paraId="4529B4F2" w14:textId="2FC1F9C7" w:rsidR="009F4182" w:rsidRPr="00A307A9" w:rsidRDefault="00A03065" w:rsidP="008179C6">
            <w:pPr>
              <w:rPr>
                <w:rFonts w:asciiTheme="majorBidi" w:hAnsiTheme="majorBidi" w:cstheme="majorBidi"/>
              </w:rPr>
            </w:pPr>
            <w:r w:rsidRPr="00A307A9">
              <w:rPr>
                <w:rFonts w:asciiTheme="majorBidi" w:hAnsiTheme="majorBidi" w:cstheme="majorBidi"/>
              </w:rPr>
              <w:t>ITU-R RAG, ITU-D TDAG, TSAG</w:t>
            </w:r>
          </w:p>
        </w:tc>
      </w:tr>
      <w:tr w:rsidR="009F4182" w:rsidRPr="00A307A9" w14:paraId="52BFE120" w14:textId="77777777" w:rsidTr="00A307A9">
        <w:trPr>
          <w:cantSplit/>
          <w:trHeight w:val="357"/>
        </w:trPr>
        <w:tc>
          <w:tcPr>
            <w:tcW w:w="2187" w:type="dxa"/>
            <w:gridSpan w:val="3"/>
          </w:tcPr>
          <w:p w14:paraId="27903634" w14:textId="77777777" w:rsidR="009F4182" w:rsidRPr="00A307A9" w:rsidRDefault="009F4182" w:rsidP="008179C6">
            <w:pPr>
              <w:rPr>
                <w:rFonts w:asciiTheme="majorBidi" w:hAnsiTheme="majorBidi" w:cstheme="majorBidi"/>
                <w:b/>
                <w:bCs/>
              </w:rPr>
            </w:pPr>
            <w:r w:rsidRPr="00A307A9">
              <w:rPr>
                <w:rFonts w:asciiTheme="majorBidi" w:hAnsiTheme="majorBidi" w:cstheme="majorBidi"/>
                <w:b/>
                <w:bCs/>
              </w:rPr>
              <w:t>Approval:</w:t>
            </w:r>
          </w:p>
        </w:tc>
        <w:tc>
          <w:tcPr>
            <w:tcW w:w="7452" w:type="dxa"/>
            <w:gridSpan w:val="2"/>
          </w:tcPr>
          <w:p w14:paraId="627C39BD" w14:textId="77777777" w:rsidR="009F4182" w:rsidRPr="00A307A9" w:rsidRDefault="009F4182" w:rsidP="008179C6">
            <w:pPr>
              <w:rPr>
                <w:rFonts w:asciiTheme="majorBidi" w:hAnsiTheme="majorBidi" w:cstheme="majorBidi"/>
              </w:rPr>
            </w:pPr>
            <w:r w:rsidRPr="00A307A9">
              <w:rPr>
                <w:rFonts w:asciiTheme="majorBidi" w:hAnsiTheme="majorBidi" w:cstheme="majorBidi"/>
              </w:rPr>
              <w:t>ISCG Meeting (Geneva, 12 February 2025)</w:t>
            </w:r>
          </w:p>
        </w:tc>
      </w:tr>
      <w:tr w:rsidR="009F4182" w:rsidRPr="00A307A9" w14:paraId="281B1217" w14:textId="77777777" w:rsidTr="00A307A9">
        <w:trPr>
          <w:cantSplit/>
          <w:trHeight w:val="357"/>
        </w:trPr>
        <w:tc>
          <w:tcPr>
            <w:tcW w:w="2187" w:type="dxa"/>
            <w:gridSpan w:val="3"/>
            <w:tcBorders>
              <w:bottom w:val="single" w:sz="12" w:space="0" w:color="auto"/>
            </w:tcBorders>
          </w:tcPr>
          <w:p w14:paraId="262C5DD2" w14:textId="77777777" w:rsidR="009F4182" w:rsidRPr="00A307A9" w:rsidRDefault="009F4182" w:rsidP="008179C6">
            <w:pPr>
              <w:rPr>
                <w:rFonts w:asciiTheme="majorBidi" w:hAnsiTheme="majorBidi" w:cstheme="majorBidi"/>
              </w:rPr>
            </w:pPr>
            <w:r w:rsidRPr="00A307A9">
              <w:rPr>
                <w:rFonts w:asciiTheme="majorBidi" w:hAnsiTheme="majorBidi" w:cstheme="majorBidi"/>
                <w:b/>
              </w:rPr>
              <w:t>Deadline:</w:t>
            </w:r>
          </w:p>
        </w:tc>
        <w:tc>
          <w:tcPr>
            <w:tcW w:w="7452" w:type="dxa"/>
            <w:gridSpan w:val="2"/>
            <w:tcBorders>
              <w:bottom w:val="single" w:sz="12" w:space="0" w:color="auto"/>
            </w:tcBorders>
          </w:tcPr>
          <w:p w14:paraId="0F1808EC" w14:textId="2877A502" w:rsidR="009F4182" w:rsidRPr="00A307A9" w:rsidRDefault="00A307A9" w:rsidP="008179C6">
            <w:pPr>
              <w:rPr>
                <w:rFonts w:asciiTheme="majorBidi" w:hAnsiTheme="majorBidi" w:cstheme="majorBidi"/>
              </w:rPr>
            </w:pPr>
            <w:r>
              <w:rPr>
                <w:rFonts w:asciiTheme="majorBidi" w:hAnsiTheme="majorBidi" w:cstheme="majorBidi"/>
              </w:rPr>
              <w:t>-</w:t>
            </w:r>
          </w:p>
        </w:tc>
      </w:tr>
      <w:tr w:rsidR="009F4182" w:rsidRPr="00374606" w14:paraId="22F5CC4B" w14:textId="77777777" w:rsidTr="00A307A9">
        <w:trPr>
          <w:trHeight w:val="204"/>
        </w:trPr>
        <w:tc>
          <w:tcPr>
            <w:tcW w:w="2187" w:type="dxa"/>
            <w:gridSpan w:val="3"/>
            <w:tcBorders>
              <w:bottom w:val="single" w:sz="12" w:space="0" w:color="auto"/>
            </w:tcBorders>
          </w:tcPr>
          <w:p w14:paraId="3191B35B" w14:textId="77777777" w:rsidR="009F4182" w:rsidRPr="00A307A9" w:rsidRDefault="009F4182" w:rsidP="008179C6">
            <w:pPr>
              <w:rPr>
                <w:rFonts w:asciiTheme="majorBidi" w:hAnsiTheme="majorBidi" w:cstheme="majorBidi"/>
                <w:b/>
                <w:bCs/>
              </w:rPr>
            </w:pPr>
            <w:r w:rsidRPr="00A307A9">
              <w:rPr>
                <w:rFonts w:asciiTheme="majorBidi" w:hAnsiTheme="majorBidi" w:cstheme="majorBidi"/>
                <w:b/>
                <w:bCs/>
              </w:rPr>
              <w:t>Contact:</w:t>
            </w:r>
          </w:p>
        </w:tc>
        <w:tc>
          <w:tcPr>
            <w:tcW w:w="3927" w:type="dxa"/>
            <w:tcBorders>
              <w:bottom w:val="single" w:sz="12" w:space="0" w:color="auto"/>
            </w:tcBorders>
          </w:tcPr>
          <w:p w14:paraId="3D9A69F9" w14:textId="77777777" w:rsidR="009F4182" w:rsidRPr="00A307A9" w:rsidRDefault="009F4182" w:rsidP="00A03065">
            <w:pPr>
              <w:rPr>
                <w:rFonts w:asciiTheme="majorBidi" w:hAnsiTheme="majorBidi" w:cstheme="majorBidi"/>
              </w:rPr>
            </w:pPr>
            <w:r w:rsidRPr="00A307A9">
              <w:rPr>
                <w:rFonts w:asciiTheme="majorBidi" w:hAnsiTheme="majorBidi" w:cstheme="majorBidi"/>
              </w:rPr>
              <w:t>Fabio Bigi</w:t>
            </w:r>
            <w:r w:rsidRPr="00A307A9">
              <w:rPr>
                <w:rFonts w:asciiTheme="majorBidi" w:hAnsiTheme="majorBidi" w:cstheme="majorBidi"/>
              </w:rPr>
              <w:br/>
              <w:t>ISCG Chair</w:t>
            </w:r>
          </w:p>
        </w:tc>
        <w:tc>
          <w:tcPr>
            <w:tcW w:w="3525" w:type="dxa"/>
            <w:tcBorders>
              <w:bottom w:val="single" w:sz="12" w:space="0" w:color="auto"/>
            </w:tcBorders>
          </w:tcPr>
          <w:p w14:paraId="67E04CF9" w14:textId="1AA47606" w:rsidR="00B8762C" w:rsidRPr="00A307A9" w:rsidRDefault="009F4182" w:rsidP="00E60A57">
            <w:pPr>
              <w:rPr>
                <w:rFonts w:asciiTheme="majorBidi" w:hAnsiTheme="majorBidi" w:cstheme="majorBidi"/>
                <w:lang w:val="fr-CH"/>
              </w:rPr>
            </w:pPr>
            <w:proofErr w:type="gramStart"/>
            <w:r w:rsidRPr="00A307A9">
              <w:rPr>
                <w:rFonts w:asciiTheme="majorBidi" w:hAnsiTheme="majorBidi" w:cstheme="majorBidi"/>
                <w:lang w:val="fr-CH"/>
              </w:rPr>
              <w:t>E-mail:</w:t>
            </w:r>
            <w:proofErr w:type="gramEnd"/>
            <w:r w:rsidRPr="00A307A9">
              <w:rPr>
                <w:rFonts w:asciiTheme="majorBidi" w:hAnsiTheme="majorBidi" w:cstheme="majorBidi"/>
                <w:lang w:val="fr-CH"/>
              </w:rPr>
              <w:t xml:space="preserve"> </w:t>
            </w:r>
            <w:hyperlink r:id="rId13" w:history="1">
              <w:r w:rsidR="00B8762C" w:rsidRPr="001C7139">
                <w:rPr>
                  <w:rStyle w:val="Hyperlink"/>
                  <w:rFonts w:asciiTheme="majorBidi" w:hAnsiTheme="majorBidi" w:cstheme="majorBidi"/>
                  <w:lang w:val="fr-CH"/>
                </w:rPr>
                <w:t>fabio.bigi@virgilio.it</w:t>
              </w:r>
            </w:hyperlink>
          </w:p>
        </w:tc>
      </w:tr>
    </w:tbl>
    <w:p w14:paraId="30755184" w14:textId="77777777" w:rsidR="00A307A9" w:rsidRPr="00B8762C" w:rsidRDefault="00A307A9" w:rsidP="00A307A9">
      <w:pPr>
        <w:ind w:left="-270"/>
        <w:rPr>
          <w:rFonts w:asciiTheme="majorBidi" w:hAnsiTheme="majorBidi" w:cstheme="majorBidi"/>
          <w:lang w:val="fr-CH"/>
        </w:rPr>
      </w:pPr>
    </w:p>
    <w:p w14:paraId="2309A13D" w14:textId="6015694B" w:rsidR="009F4182" w:rsidRPr="00A307A9" w:rsidRDefault="00A307A9" w:rsidP="00A307A9">
      <w:pPr>
        <w:ind w:left="-270"/>
        <w:rPr>
          <w:rFonts w:asciiTheme="majorBidi" w:hAnsiTheme="majorBidi" w:cstheme="majorBidi"/>
        </w:rPr>
      </w:pPr>
      <w:r>
        <w:rPr>
          <w:rFonts w:asciiTheme="majorBidi" w:hAnsiTheme="majorBidi" w:cstheme="majorBidi"/>
        </w:rPr>
        <w:t>Please see below</w:t>
      </w:r>
      <w:r w:rsidR="009F4182" w:rsidRPr="00A307A9">
        <w:rPr>
          <w:rFonts w:asciiTheme="majorBidi" w:hAnsiTheme="majorBidi" w:cstheme="majorBidi"/>
        </w:rPr>
        <w:t>.</w:t>
      </w:r>
    </w:p>
    <w:p w14:paraId="6F698E46" w14:textId="77777777" w:rsidR="00A307A9" w:rsidRDefault="00A307A9" w:rsidP="00A307A9">
      <w:pPr>
        <w:spacing w:before="0"/>
        <w:ind w:left="-450"/>
        <w:jc w:val="center"/>
        <w:sectPr w:rsidR="00A307A9" w:rsidSect="009F4182">
          <w:footerReference w:type="default" r:id="rId14"/>
          <w:footerReference w:type="first" r:id="rId15"/>
          <w:pgSz w:w="11907" w:h="16834"/>
          <w:pgMar w:top="1418" w:right="1418" w:bottom="1418" w:left="1418" w:header="720" w:footer="720" w:gutter="0"/>
          <w:paperSrc w:first="286" w:other="286"/>
          <w:cols w:space="720"/>
          <w:titlePg/>
          <w:docGrid w:linePitch="326"/>
        </w:sectPr>
      </w:pPr>
    </w:p>
    <w:tbl>
      <w:tblPr>
        <w:tblpPr w:leftFromText="180" w:rightFromText="180" w:vertAnchor="page" w:horzAnchor="margin" w:tblpX="-450" w:tblpY="2590"/>
        <w:tblW w:w="9990" w:type="dxa"/>
        <w:tblLayout w:type="fixed"/>
        <w:tblLook w:val="0000" w:firstRow="0" w:lastRow="0" w:firstColumn="0" w:lastColumn="0" w:noHBand="0" w:noVBand="0"/>
      </w:tblPr>
      <w:tblGrid>
        <w:gridCol w:w="3969"/>
        <w:gridCol w:w="6021"/>
      </w:tblGrid>
      <w:tr w:rsidR="00A307A9" w:rsidRPr="004B51C8" w14:paraId="516E3DBA" w14:textId="77777777" w:rsidTr="00A307A9">
        <w:trPr>
          <w:cantSplit/>
          <w:trHeight w:val="23"/>
        </w:trPr>
        <w:tc>
          <w:tcPr>
            <w:tcW w:w="3969" w:type="dxa"/>
            <w:vMerge w:val="restart"/>
            <w:tcMar>
              <w:left w:w="0" w:type="dxa"/>
            </w:tcMar>
          </w:tcPr>
          <w:p w14:paraId="318A6D46" w14:textId="77777777" w:rsidR="00A307A9" w:rsidRPr="00147C54" w:rsidRDefault="00A307A9" w:rsidP="00A307A9">
            <w:pPr>
              <w:tabs>
                <w:tab w:val="left" w:pos="851"/>
              </w:tabs>
              <w:spacing w:before="0" w:line="240" w:lineRule="atLeast"/>
              <w:rPr>
                <w:b/>
              </w:rPr>
            </w:pPr>
          </w:p>
        </w:tc>
        <w:tc>
          <w:tcPr>
            <w:tcW w:w="6021" w:type="dxa"/>
          </w:tcPr>
          <w:p w14:paraId="268EDAD7" w14:textId="77777777" w:rsidR="00A307A9" w:rsidRPr="00A307A9" w:rsidRDefault="00A307A9" w:rsidP="00A307A9">
            <w:pPr>
              <w:tabs>
                <w:tab w:val="left" w:pos="851"/>
              </w:tabs>
              <w:spacing w:before="0" w:line="240" w:lineRule="atLeast"/>
              <w:jc w:val="right"/>
              <w:rPr>
                <w:b/>
              </w:rPr>
            </w:pPr>
          </w:p>
        </w:tc>
      </w:tr>
      <w:tr w:rsidR="00A307A9" w:rsidRPr="00147C54" w14:paraId="59219E7F" w14:textId="77777777" w:rsidTr="00A307A9">
        <w:trPr>
          <w:cantSplit/>
        </w:trPr>
        <w:tc>
          <w:tcPr>
            <w:tcW w:w="3969" w:type="dxa"/>
            <w:vMerge/>
          </w:tcPr>
          <w:p w14:paraId="0D42D753" w14:textId="77777777" w:rsidR="00A307A9" w:rsidRPr="00A307A9" w:rsidRDefault="00A307A9" w:rsidP="00A307A9">
            <w:pPr>
              <w:tabs>
                <w:tab w:val="left" w:pos="851"/>
              </w:tabs>
              <w:spacing w:line="240" w:lineRule="atLeast"/>
              <w:rPr>
                <w:b/>
              </w:rPr>
            </w:pPr>
            <w:bookmarkStart w:id="11" w:name="ddate" w:colFirst="1" w:colLast="1"/>
          </w:p>
        </w:tc>
        <w:tc>
          <w:tcPr>
            <w:tcW w:w="6021" w:type="dxa"/>
          </w:tcPr>
          <w:p w14:paraId="584B3AF5" w14:textId="77777777" w:rsidR="00A307A9" w:rsidRPr="00147C54" w:rsidRDefault="00A307A9" w:rsidP="00A307A9">
            <w:pPr>
              <w:tabs>
                <w:tab w:val="left" w:pos="851"/>
              </w:tabs>
              <w:spacing w:before="0"/>
              <w:jc w:val="right"/>
              <w:rPr>
                <w:b/>
              </w:rPr>
            </w:pPr>
            <w:r>
              <w:rPr>
                <w:b/>
              </w:rPr>
              <w:t>12 February 2025</w:t>
            </w:r>
          </w:p>
        </w:tc>
      </w:tr>
      <w:tr w:rsidR="00A307A9" w:rsidRPr="00147C54" w14:paraId="73CBFE21" w14:textId="77777777" w:rsidTr="00A307A9">
        <w:trPr>
          <w:cantSplit/>
          <w:trHeight w:val="23"/>
        </w:trPr>
        <w:tc>
          <w:tcPr>
            <w:tcW w:w="3969" w:type="dxa"/>
            <w:vMerge/>
          </w:tcPr>
          <w:p w14:paraId="79CA51A3" w14:textId="77777777" w:rsidR="00A307A9" w:rsidRPr="00147C54" w:rsidRDefault="00A307A9" w:rsidP="00A307A9">
            <w:pPr>
              <w:tabs>
                <w:tab w:val="left" w:pos="851"/>
              </w:tabs>
              <w:spacing w:line="240" w:lineRule="atLeast"/>
              <w:rPr>
                <w:b/>
              </w:rPr>
            </w:pPr>
            <w:bookmarkStart w:id="12" w:name="dorlang" w:colFirst="1" w:colLast="1"/>
            <w:bookmarkEnd w:id="11"/>
          </w:p>
        </w:tc>
        <w:tc>
          <w:tcPr>
            <w:tcW w:w="6021" w:type="dxa"/>
          </w:tcPr>
          <w:p w14:paraId="61AAE2CF" w14:textId="77777777" w:rsidR="00A307A9" w:rsidRPr="00147C54" w:rsidRDefault="00A307A9" w:rsidP="00A307A9">
            <w:pPr>
              <w:tabs>
                <w:tab w:val="left" w:pos="851"/>
              </w:tabs>
              <w:spacing w:before="0" w:line="240" w:lineRule="atLeast"/>
              <w:jc w:val="right"/>
              <w:rPr>
                <w:b/>
              </w:rPr>
            </w:pPr>
            <w:r w:rsidRPr="00147C54">
              <w:rPr>
                <w:b/>
              </w:rPr>
              <w:t>English only</w:t>
            </w:r>
          </w:p>
        </w:tc>
      </w:tr>
      <w:tr w:rsidR="00A307A9" w:rsidRPr="00147C54" w14:paraId="0F41F667" w14:textId="77777777" w:rsidTr="00A307A9">
        <w:trPr>
          <w:cantSplit/>
          <w:trHeight w:val="23"/>
        </w:trPr>
        <w:tc>
          <w:tcPr>
            <w:tcW w:w="3969" w:type="dxa"/>
          </w:tcPr>
          <w:p w14:paraId="73E13D82" w14:textId="77777777" w:rsidR="00A307A9" w:rsidRPr="00147C54" w:rsidRDefault="00A307A9" w:rsidP="00A307A9">
            <w:pPr>
              <w:tabs>
                <w:tab w:val="left" w:pos="851"/>
              </w:tabs>
              <w:spacing w:line="240" w:lineRule="atLeast"/>
              <w:rPr>
                <w:b/>
              </w:rPr>
            </w:pPr>
          </w:p>
        </w:tc>
        <w:tc>
          <w:tcPr>
            <w:tcW w:w="6021" w:type="dxa"/>
          </w:tcPr>
          <w:p w14:paraId="23019871" w14:textId="77777777" w:rsidR="00A307A9" w:rsidRPr="00147C54" w:rsidRDefault="00A307A9" w:rsidP="00A307A9">
            <w:pPr>
              <w:tabs>
                <w:tab w:val="left" w:pos="851"/>
              </w:tabs>
              <w:spacing w:before="0" w:line="240" w:lineRule="atLeast"/>
              <w:jc w:val="right"/>
              <w:rPr>
                <w:b/>
              </w:rPr>
            </w:pPr>
          </w:p>
        </w:tc>
      </w:tr>
    </w:tbl>
    <w:bookmarkEnd w:id="0"/>
    <w:bookmarkEnd w:id="1"/>
    <w:bookmarkEnd w:id="2"/>
    <w:bookmarkEnd w:id="3"/>
    <w:bookmarkEnd w:id="4"/>
    <w:bookmarkEnd w:id="5"/>
    <w:bookmarkEnd w:id="12"/>
    <w:p w14:paraId="57447111" w14:textId="77777777" w:rsidR="00206F80" w:rsidRPr="00F11733" w:rsidRDefault="00206F80" w:rsidP="00206F80">
      <w:pPr>
        <w:tabs>
          <w:tab w:val="clear" w:pos="1134"/>
          <w:tab w:val="clear" w:pos="2268"/>
          <w:tab w:val="center" w:pos="7371"/>
        </w:tabs>
        <w:spacing w:before="0"/>
        <w:jc w:val="center"/>
        <w:rPr>
          <w:rFonts w:ascii="Times New Roman" w:hAnsi="Times New Roman"/>
          <w:szCs w:val="24"/>
        </w:rPr>
      </w:pPr>
      <w:r>
        <w:rPr>
          <w:rFonts w:ascii="Times New Roman" w:hAnsi="Times New Roman"/>
          <w:szCs w:val="24"/>
        </w:rPr>
        <w:t>LIAISON STATEMENT</w:t>
      </w:r>
    </w:p>
    <w:tbl>
      <w:tblPr>
        <w:tblW w:w="9900" w:type="dxa"/>
        <w:jc w:val="center"/>
        <w:tblLayout w:type="fixed"/>
        <w:tblCellMar>
          <w:left w:w="57" w:type="dxa"/>
          <w:right w:w="57" w:type="dxa"/>
        </w:tblCellMar>
        <w:tblLook w:val="0000" w:firstRow="0" w:lastRow="0" w:firstColumn="0" w:lastColumn="0" w:noHBand="0" w:noVBand="0"/>
      </w:tblPr>
      <w:tblGrid>
        <w:gridCol w:w="1560"/>
        <w:gridCol w:w="8340"/>
      </w:tblGrid>
      <w:tr w:rsidR="00904191" w:rsidRPr="00F11733" w14:paraId="1EDFF02D" w14:textId="77777777" w:rsidTr="00A307A9">
        <w:trPr>
          <w:cantSplit/>
          <w:jc w:val="center"/>
        </w:trPr>
        <w:tc>
          <w:tcPr>
            <w:tcW w:w="1560" w:type="dxa"/>
          </w:tcPr>
          <w:p w14:paraId="1FCDBEA3" w14:textId="77777777" w:rsidR="00904191" w:rsidRPr="00F11733" w:rsidRDefault="00904191" w:rsidP="003D396B">
            <w:pPr>
              <w:ind w:left="-57"/>
              <w:rPr>
                <w:rFonts w:ascii="Times New Roman" w:hAnsi="Times New Roman"/>
                <w:b/>
                <w:bCs/>
                <w:szCs w:val="24"/>
              </w:rPr>
            </w:pPr>
            <w:r w:rsidRPr="00F11733">
              <w:rPr>
                <w:rFonts w:ascii="Times New Roman" w:hAnsi="Times New Roman"/>
                <w:b/>
                <w:bCs/>
                <w:szCs w:val="24"/>
              </w:rPr>
              <w:t>Source:</w:t>
            </w:r>
          </w:p>
        </w:tc>
        <w:sdt>
          <w:sdtPr>
            <w:rPr>
              <w:rFonts w:ascii="Times New Roman" w:hAnsi="Times New Roman"/>
              <w:szCs w:val="24"/>
            </w:rPr>
            <w:alias w:val="DocumentSource"/>
            <w:tag w:val="DocumentSource"/>
            <w:id w:val="-1547363769"/>
            <w:placeholder>
              <w:docPart w:val="C54AC96BB68043599336C793A6B0B4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Content>
            <w:tc>
              <w:tcPr>
                <w:tcW w:w="8340" w:type="dxa"/>
              </w:tcPr>
              <w:p w14:paraId="331745DD" w14:textId="77777777" w:rsidR="00904191" w:rsidRPr="00F11733" w:rsidRDefault="00904191" w:rsidP="00A73248">
                <w:pPr>
                  <w:rPr>
                    <w:rFonts w:ascii="Times New Roman" w:hAnsi="Times New Roman"/>
                    <w:szCs w:val="24"/>
                  </w:rPr>
                </w:pPr>
                <w:r w:rsidRPr="00493D82">
                  <w:rPr>
                    <w:rFonts w:ascii="Times New Roman" w:hAnsi="Times New Roman"/>
                    <w:szCs w:val="24"/>
                  </w:rPr>
                  <w:t>ISCG</w:t>
                </w:r>
              </w:p>
            </w:tc>
          </w:sdtContent>
        </w:sdt>
      </w:tr>
      <w:tr w:rsidR="00122E3C" w:rsidRPr="00F11733" w14:paraId="32CA15B4" w14:textId="77777777" w:rsidTr="00A307A9">
        <w:trPr>
          <w:cantSplit/>
          <w:jc w:val="center"/>
        </w:trPr>
        <w:tc>
          <w:tcPr>
            <w:tcW w:w="1560" w:type="dxa"/>
          </w:tcPr>
          <w:p w14:paraId="100DAD5E" w14:textId="77777777" w:rsidR="00122E3C" w:rsidRPr="00F11733" w:rsidRDefault="00122E3C" w:rsidP="00122E3C">
            <w:pPr>
              <w:ind w:left="-57"/>
              <w:rPr>
                <w:rFonts w:ascii="Times New Roman" w:hAnsi="Times New Roman"/>
                <w:szCs w:val="24"/>
              </w:rPr>
            </w:pPr>
            <w:r w:rsidRPr="00F11733">
              <w:rPr>
                <w:rFonts w:ascii="Times New Roman" w:hAnsi="Times New Roman"/>
                <w:b/>
                <w:bCs/>
                <w:szCs w:val="24"/>
              </w:rPr>
              <w:t>Title:</w:t>
            </w:r>
          </w:p>
        </w:tc>
        <w:tc>
          <w:tcPr>
            <w:tcW w:w="8340" w:type="dxa"/>
          </w:tcPr>
          <w:p w14:paraId="77C09968" w14:textId="16B8F0D7" w:rsidR="00122E3C" w:rsidRPr="00F11733" w:rsidRDefault="00122E3C" w:rsidP="00122E3C">
            <w:pPr>
              <w:rPr>
                <w:rFonts w:ascii="Times New Roman" w:hAnsi="Times New Roman"/>
                <w:szCs w:val="24"/>
              </w:rPr>
            </w:pPr>
            <w:sdt>
              <w:sdtPr>
                <w:rPr>
                  <w:rFonts w:ascii="Times New Roman" w:hAnsi="Times New Roman"/>
                </w:rPr>
                <w:alias w:val="Title"/>
                <w:tag w:val="Title"/>
                <w:id w:val="1877968201"/>
                <w:placeholder>
                  <w:docPart w:val="876ED794086F4FA789C437E3AFE8CA1A"/>
                </w:placeholder>
                <w:dataBinding w:prefixMappings="xmlns:ns0='http://purl.org/dc/elements/1.1/' xmlns:ns1='http://schemas.openxmlformats.org/package/2006/metadata/core-properties' " w:xpath="/ns1:coreProperties[1]/ns0:title[1]" w:storeItemID="{6C3C8BC8-F283-45AE-878A-BAB7291924A1}"/>
                <w:text/>
              </w:sdtPr>
              <w:sdtContent>
                <w:r>
                  <w:rPr>
                    <w:rFonts w:ascii="Times New Roman" w:hAnsi="Times New Roman"/>
                  </w:rPr>
                  <w:t>Draft guidelines on the management of fully virtual and physical meetings with remote participation</w:t>
                </w:r>
              </w:sdtContent>
            </w:sdt>
          </w:p>
        </w:tc>
      </w:tr>
      <w:tr w:rsidR="00122E3C" w:rsidRPr="00F11733" w14:paraId="490662D4" w14:textId="77777777" w:rsidTr="00A307A9">
        <w:trPr>
          <w:cantSplit/>
          <w:jc w:val="center"/>
        </w:trPr>
        <w:tc>
          <w:tcPr>
            <w:tcW w:w="1560" w:type="dxa"/>
          </w:tcPr>
          <w:p w14:paraId="0DAF7C07" w14:textId="77777777" w:rsidR="00122E3C" w:rsidRPr="00F11733" w:rsidRDefault="00122E3C" w:rsidP="00122E3C">
            <w:pPr>
              <w:ind w:left="-57"/>
              <w:rPr>
                <w:rFonts w:ascii="Times New Roman" w:hAnsi="Times New Roman"/>
                <w:b/>
                <w:bCs/>
                <w:szCs w:val="24"/>
              </w:rPr>
            </w:pPr>
            <w:r w:rsidRPr="00F11733">
              <w:rPr>
                <w:rFonts w:ascii="Times New Roman" w:hAnsi="Times New Roman"/>
                <w:b/>
                <w:bCs/>
                <w:szCs w:val="24"/>
              </w:rPr>
              <w:t>Purpose:</w:t>
            </w:r>
          </w:p>
        </w:tc>
        <w:tc>
          <w:tcPr>
            <w:tcW w:w="8340" w:type="dxa"/>
          </w:tcPr>
          <w:p w14:paraId="2035BFA8" w14:textId="27588750" w:rsidR="00122E3C" w:rsidRPr="00F11733" w:rsidRDefault="00122E3C" w:rsidP="00122E3C">
            <w:pPr>
              <w:rPr>
                <w:rFonts w:ascii="Times New Roman" w:hAnsi="Times New Roman"/>
                <w:szCs w:val="24"/>
              </w:rPr>
            </w:pPr>
            <w:r>
              <w:rPr>
                <w:rFonts w:ascii="Times New Roman" w:hAnsi="Times New Roman"/>
                <w:szCs w:val="24"/>
              </w:rPr>
              <w:t>Information</w:t>
            </w:r>
          </w:p>
        </w:tc>
      </w:tr>
    </w:tbl>
    <w:p w14:paraId="150A2DD8" w14:textId="53588F65" w:rsidR="00904191" w:rsidRPr="00103335" w:rsidRDefault="00904191" w:rsidP="00CE5933">
      <w:pPr>
        <w:pBdr>
          <w:top w:val="single" w:sz="4" w:space="1" w:color="auto"/>
        </w:pBdr>
        <w:ind w:left="-397"/>
        <w:rPr>
          <w:rFonts w:ascii="Times New Roman" w:hAnsi="Times New Roman"/>
          <w:szCs w:val="24"/>
        </w:rPr>
      </w:pPr>
      <w:r>
        <w:rPr>
          <w:rFonts w:ascii="Times New Roman" w:hAnsi="Times New Roman"/>
          <w:b/>
          <w:bCs/>
          <w:szCs w:val="24"/>
        </w:rPr>
        <w:t xml:space="preserve"> </w:t>
      </w:r>
      <w:r w:rsidRPr="003D7525">
        <w:rPr>
          <w:rFonts w:ascii="Times New Roman" w:hAnsi="Times New Roman"/>
          <w:b/>
          <w:bCs/>
          <w:szCs w:val="24"/>
        </w:rPr>
        <w:t xml:space="preserve">For </w:t>
      </w:r>
      <w:r>
        <w:rPr>
          <w:rFonts w:ascii="Times New Roman" w:hAnsi="Times New Roman"/>
          <w:b/>
          <w:bCs/>
          <w:szCs w:val="24"/>
        </w:rPr>
        <w:t>action to:</w:t>
      </w:r>
      <w:r>
        <w:rPr>
          <w:rFonts w:ascii="Times New Roman" w:hAnsi="Times New Roman"/>
          <w:b/>
          <w:bCs/>
          <w:szCs w:val="24"/>
        </w:rPr>
        <w:tab/>
      </w:r>
      <w:r>
        <w:rPr>
          <w:rFonts w:ascii="Times New Roman" w:hAnsi="Times New Roman"/>
          <w:b/>
          <w:bCs/>
          <w:szCs w:val="24"/>
        </w:rPr>
        <w:tab/>
      </w:r>
      <w:r w:rsidRPr="00E1735E">
        <w:rPr>
          <w:rFonts w:ascii="Times New Roman" w:hAnsi="Times New Roman"/>
          <w:szCs w:val="24"/>
        </w:rPr>
        <w:t xml:space="preserve">RAG, </w:t>
      </w:r>
      <w:r w:rsidR="00EA4478">
        <w:rPr>
          <w:rFonts w:ascii="Times New Roman" w:hAnsi="Times New Roman"/>
          <w:szCs w:val="24"/>
        </w:rPr>
        <w:t xml:space="preserve">TSAG, </w:t>
      </w:r>
      <w:r w:rsidRPr="00E1735E">
        <w:rPr>
          <w:rFonts w:ascii="Times New Roman" w:hAnsi="Times New Roman"/>
          <w:szCs w:val="24"/>
        </w:rPr>
        <w:t>TDAG</w:t>
      </w:r>
    </w:p>
    <w:p w14:paraId="428D6E3E" w14:textId="159E419C" w:rsidR="00904191" w:rsidRDefault="00904191" w:rsidP="00CE5933">
      <w:pPr>
        <w:ind w:left="-397"/>
        <w:rPr>
          <w:rFonts w:ascii="Times New Roman" w:hAnsi="Times New Roman"/>
          <w:b/>
          <w:bCs/>
          <w:szCs w:val="24"/>
        </w:rPr>
      </w:pPr>
      <w:r>
        <w:rPr>
          <w:rFonts w:ascii="Times New Roman" w:hAnsi="Times New Roman"/>
          <w:b/>
          <w:bCs/>
          <w:szCs w:val="24"/>
        </w:rPr>
        <w:t xml:space="preserve"> For comment to: </w:t>
      </w:r>
      <w:r>
        <w:rPr>
          <w:rFonts w:ascii="Times New Roman" w:hAnsi="Times New Roman"/>
          <w:b/>
          <w:bCs/>
          <w:szCs w:val="24"/>
        </w:rPr>
        <w:tab/>
      </w:r>
      <w:r w:rsidR="00445E90" w:rsidRPr="00E1735E">
        <w:rPr>
          <w:rFonts w:ascii="Times New Roman" w:hAnsi="Times New Roman"/>
          <w:szCs w:val="24"/>
        </w:rPr>
        <w:t xml:space="preserve">RAG, </w:t>
      </w:r>
      <w:r w:rsidR="00445E90">
        <w:rPr>
          <w:rFonts w:ascii="Times New Roman" w:hAnsi="Times New Roman"/>
          <w:szCs w:val="24"/>
        </w:rPr>
        <w:t xml:space="preserve">TSAG, </w:t>
      </w:r>
      <w:r w:rsidR="00445E90" w:rsidRPr="00E1735E">
        <w:rPr>
          <w:rFonts w:ascii="Times New Roman" w:hAnsi="Times New Roman"/>
          <w:szCs w:val="24"/>
        </w:rPr>
        <w:t>TDAG</w:t>
      </w:r>
    </w:p>
    <w:p w14:paraId="46CB11E5" w14:textId="7F7A5305" w:rsidR="00904191" w:rsidRDefault="00904191" w:rsidP="00CE5933">
      <w:pPr>
        <w:ind w:left="-397"/>
        <w:rPr>
          <w:rFonts w:ascii="Times New Roman" w:hAnsi="Times New Roman"/>
          <w:b/>
          <w:bCs/>
          <w:szCs w:val="24"/>
        </w:rPr>
      </w:pPr>
      <w:r>
        <w:rPr>
          <w:rFonts w:ascii="Times New Roman" w:hAnsi="Times New Roman"/>
          <w:b/>
          <w:bCs/>
          <w:szCs w:val="24"/>
        </w:rPr>
        <w:t xml:space="preserve"> For information to:</w:t>
      </w:r>
      <w:r w:rsidR="004B39DB">
        <w:rPr>
          <w:rFonts w:ascii="Times New Roman" w:hAnsi="Times New Roman"/>
          <w:b/>
          <w:bCs/>
          <w:szCs w:val="24"/>
        </w:rPr>
        <w:t xml:space="preserve"> </w:t>
      </w:r>
      <w:r w:rsidR="004B39DB">
        <w:rPr>
          <w:rFonts w:ascii="Times New Roman" w:hAnsi="Times New Roman"/>
          <w:szCs w:val="24"/>
        </w:rPr>
        <w:t>-</w:t>
      </w:r>
      <w:r>
        <w:rPr>
          <w:rFonts w:ascii="Times New Roman" w:hAnsi="Times New Roman"/>
          <w:szCs w:val="24"/>
        </w:rPr>
        <w:t xml:space="preserve"> </w:t>
      </w:r>
    </w:p>
    <w:p w14:paraId="777A6211" w14:textId="635D248E" w:rsidR="00904191" w:rsidRPr="00103335" w:rsidRDefault="00904191" w:rsidP="00CE5933">
      <w:pPr>
        <w:ind w:left="-397"/>
        <w:rPr>
          <w:rFonts w:ascii="Times New Roman" w:hAnsi="Times New Roman"/>
          <w:szCs w:val="24"/>
        </w:rPr>
      </w:pPr>
      <w:r>
        <w:rPr>
          <w:rFonts w:ascii="Times New Roman" w:hAnsi="Times New Roman"/>
          <w:b/>
          <w:bCs/>
          <w:szCs w:val="24"/>
        </w:rPr>
        <w:t xml:space="preserve"> Approval: </w:t>
      </w:r>
      <w:r>
        <w:rPr>
          <w:rFonts w:ascii="Times New Roman" w:hAnsi="Times New Roman"/>
          <w:b/>
          <w:bCs/>
          <w:szCs w:val="24"/>
        </w:rPr>
        <w:tab/>
      </w:r>
      <w:r>
        <w:rPr>
          <w:rFonts w:ascii="Times New Roman" w:hAnsi="Times New Roman"/>
          <w:b/>
          <w:bCs/>
          <w:szCs w:val="24"/>
        </w:rPr>
        <w:tab/>
      </w:r>
      <w:r w:rsidRPr="00103335">
        <w:rPr>
          <w:rFonts w:ascii="Times New Roman" w:hAnsi="Times New Roman"/>
          <w:szCs w:val="24"/>
        </w:rPr>
        <w:t xml:space="preserve">ISCG </w:t>
      </w:r>
      <w:r>
        <w:rPr>
          <w:rFonts w:ascii="Times New Roman" w:hAnsi="Times New Roman"/>
          <w:szCs w:val="24"/>
        </w:rPr>
        <w:t>M</w:t>
      </w:r>
      <w:r w:rsidRPr="00103335">
        <w:rPr>
          <w:rFonts w:ascii="Times New Roman" w:hAnsi="Times New Roman"/>
          <w:szCs w:val="24"/>
        </w:rPr>
        <w:t>eeting (</w:t>
      </w:r>
      <w:r>
        <w:rPr>
          <w:rFonts w:ascii="Times New Roman" w:hAnsi="Times New Roman"/>
          <w:szCs w:val="24"/>
        </w:rPr>
        <w:t xml:space="preserve">Geneva, </w:t>
      </w:r>
      <w:r w:rsidR="0060722C">
        <w:rPr>
          <w:rFonts w:ascii="Times New Roman" w:hAnsi="Times New Roman"/>
          <w:szCs w:val="24"/>
        </w:rPr>
        <w:t>12 February 2025</w:t>
      </w:r>
      <w:r w:rsidRPr="00103335">
        <w:rPr>
          <w:rFonts w:ascii="Times New Roman" w:hAnsi="Times New Roman"/>
          <w:szCs w:val="24"/>
        </w:rPr>
        <w:t>)</w:t>
      </w:r>
    </w:p>
    <w:p w14:paraId="536B0A8E" w14:textId="07504BD5" w:rsidR="005241E0" w:rsidRDefault="00904191" w:rsidP="00CE5933">
      <w:pPr>
        <w:pBdr>
          <w:bottom w:val="single" w:sz="6" w:space="1" w:color="auto"/>
        </w:pBdr>
        <w:ind w:left="-397"/>
        <w:rPr>
          <w:rFonts w:ascii="Times New Roman" w:hAnsi="Times New Roman"/>
          <w:szCs w:val="24"/>
        </w:rPr>
      </w:pPr>
      <w:r>
        <w:rPr>
          <w:rFonts w:ascii="Times New Roman" w:hAnsi="Times New Roman"/>
          <w:b/>
          <w:bCs/>
          <w:szCs w:val="24"/>
        </w:rPr>
        <w:t xml:space="preserve"> Deadline:</w:t>
      </w:r>
      <w:r>
        <w:rPr>
          <w:rFonts w:ascii="Times New Roman" w:hAnsi="Times New Roman"/>
          <w:b/>
          <w:bCs/>
          <w:szCs w:val="24"/>
        </w:rPr>
        <w:tab/>
      </w:r>
      <w:r>
        <w:rPr>
          <w:rFonts w:ascii="Times New Roman" w:hAnsi="Times New Roman"/>
          <w:b/>
          <w:bCs/>
          <w:szCs w:val="24"/>
        </w:rPr>
        <w:tab/>
      </w:r>
      <w:r w:rsidRPr="0006139D">
        <w:rPr>
          <w:rFonts w:ascii="Times New Roman" w:hAnsi="Times New Roman"/>
          <w:szCs w:val="24"/>
        </w:rPr>
        <w:t>N/A</w:t>
      </w:r>
    </w:p>
    <w:p w14:paraId="016A492F" w14:textId="229ABDC5" w:rsidR="00133FCB" w:rsidRPr="00E27C5A" w:rsidRDefault="009C222A" w:rsidP="00CE5933">
      <w:pPr>
        <w:spacing w:before="0"/>
        <w:ind w:left="-397"/>
        <w:rPr>
          <w:rStyle w:val="Hyperlink"/>
          <w:rFonts w:ascii="Times New Roman" w:hAnsi="Times New Roman"/>
          <w:szCs w:val="24"/>
        </w:rPr>
      </w:pPr>
      <w:r w:rsidRPr="00E27C5A">
        <w:rPr>
          <w:rFonts w:ascii="Times New Roman" w:hAnsi="Times New Roman"/>
          <w:b/>
          <w:bCs/>
          <w:szCs w:val="24"/>
        </w:rPr>
        <w:t xml:space="preserve"> </w:t>
      </w:r>
      <w:r w:rsidR="00D4450D" w:rsidRPr="00E27C5A">
        <w:rPr>
          <w:rFonts w:ascii="Times New Roman" w:hAnsi="Times New Roman"/>
          <w:b/>
          <w:bCs/>
          <w:szCs w:val="24"/>
        </w:rPr>
        <w:t>Contact:</w:t>
      </w:r>
      <w:r w:rsidR="00D4450D" w:rsidRPr="00E27C5A">
        <w:rPr>
          <w:rFonts w:ascii="Times New Roman" w:hAnsi="Times New Roman"/>
          <w:b/>
          <w:bCs/>
          <w:szCs w:val="24"/>
        </w:rPr>
        <w:tab/>
      </w:r>
      <w:r w:rsidR="00D4450D" w:rsidRPr="00E27C5A">
        <w:rPr>
          <w:rFonts w:ascii="Times New Roman" w:hAnsi="Times New Roman"/>
          <w:b/>
          <w:bCs/>
          <w:szCs w:val="24"/>
        </w:rPr>
        <w:tab/>
      </w:r>
      <w:r w:rsidR="00EA4478" w:rsidRPr="00E27C5A">
        <w:rPr>
          <w:rFonts w:ascii="Times New Roman" w:hAnsi="Times New Roman"/>
          <w:b/>
          <w:bCs/>
          <w:szCs w:val="24"/>
        </w:rPr>
        <w:tab/>
      </w:r>
      <w:r w:rsidR="006502FF" w:rsidRPr="00E27C5A">
        <w:rPr>
          <w:rFonts w:ascii="Times New Roman" w:hAnsi="Times New Roman"/>
          <w:szCs w:val="24"/>
        </w:rPr>
        <w:t>Fabio Bigi</w:t>
      </w:r>
      <w:r w:rsidR="00C55782" w:rsidRPr="00E27C5A">
        <w:rPr>
          <w:rFonts w:ascii="Times New Roman" w:hAnsi="Times New Roman"/>
          <w:szCs w:val="24"/>
        </w:rPr>
        <w:tab/>
      </w:r>
      <w:r w:rsidR="00C55782" w:rsidRPr="00E27C5A">
        <w:rPr>
          <w:rFonts w:ascii="Times New Roman" w:hAnsi="Times New Roman"/>
          <w:szCs w:val="24"/>
        </w:rPr>
        <w:tab/>
      </w:r>
      <w:r w:rsidR="00C55782" w:rsidRPr="00E27C5A">
        <w:rPr>
          <w:rFonts w:ascii="Times New Roman" w:hAnsi="Times New Roman"/>
          <w:szCs w:val="24"/>
        </w:rPr>
        <w:tab/>
      </w:r>
      <w:r w:rsidR="00C55782" w:rsidRPr="00E27C5A">
        <w:rPr>
          <w:rFonts w:ascii="Times New Roman" w:hAnsi="Times New Roman"/>
          <w:szCs w:val="24"/>
        </w:rPr>
        <w:tab/>
      </w:r>
      <w:r w:rsidR="00CF2CE5" w:rsidRPr="00E27C5A">
        <w:rPr>
          <w:rFonts w:ascii="Times New Roman" w:hAnsi="Times New Roman"/>
          <w:szCs w:val="24"/>
        </w:rPr>
        <w:tab/>
      </w:r>
      <w:r w:rsidR="00CF2CE5" w:rsidRPr="00E27C5A">
        <w:rPr>
          <w:rFonts w:ascii="Times New Roman" w:hAnsi="Times New Roman"/>
          <w:szCs w:val="24"/>
        </w:rPr>
        <w:tab/>
      </w:r>
      <w:r w:rsidR="00C55782" w:rsidRPr="00E27C5A">
        <w:rPr>
          <w:rFonts w:ascii="Times New Roman" w:hAnsi="Times New Roman"/>
          <w:b/>
          <w:bCs/>
          <w:szCs w:val="24"/>
        </w:rPr>
        <w:t xml:space="preserve">E-mail: </w:t>
      </w:r>
      <w:hyperlink r:id="rId16" w:history="1">
        <w:r w:rsidR="00C55782" w:rsidRPr="00E27C5A">
          <w:rPr>
            <w:rStyle w:val="Hyperlink"/>
            <w:rFonts w:ascii="Times New Roman" w:hAnsi="Times New Roman"/>
            <w:szCs w:val="24"/>
          </w:rPr>
          <w:t>fabio.bigi@virgilio.it</w:t>
        </w:r>
      </w:hyperlink>
    </w:p>
    <w:p w14:paraId="03B18014" w14:textId="6EF35309" w:rsidR="00C55782" w:rsidRPr="00E27C5A" w:rsidRDefault="00C55782" w:rsidP="009C222A">
      <w:pPr>
        <w:spacing w:before="0"/>
        <w:ind w:left="-340"/>
        <w:rPr>
          <w:rStyle w:val="Hyperlink"/>
          <w:rFonts w:ascii="Times New Roman" w:hAnsi="Times New Roman"/>
          <w:szCs w:val="24"/>
        </w:rPr>
      </w:pPr>
      <w:r w:rsidRPr="00E27C5A">
        <w:rPr>
          <w:rFonts w:ascii="Times New Roman" w:hAnsi="Times New Roman"/>
          <w:b/>
          <w:bCs/>
          <w:szCs w:val="24"/>
        </w:rPr>
        <w:tab/>
      </w:r>
      <w:r w:rsidRPr="00E27C5A">
        <w:rPr>
          <w:rFonts w:ascii="Times New Roman" w:hAnsi="Times New Roman"/>
          <w:b/>
          <w:bCs/>
          <w:szCs w:val="24"/>
        </w:rPr>
        <w:tab/>
      </w:r>
      <w:r w:rsidRPr="00E27C5A">
        <w:rPr>
          <w:rFonts w:ascii="Times New Roman" w:hAnsi="Times New Roman"/>
          <w:b/>
          <w:bCs/>
          <w:szCs w:val="24"/>
        </w:rPr>
        <w:tab/>
      </w:r>
      <w:r w:rsidR="003C4C71" w:rsidRPr="00E27C5A">
        <w:rPr>
          <w:rFonts w:ascii="Times New Roman" w:hAnsi="Times New Roman"/>
          <w:szCs w:val="24"/>
        </w:rPr>
        <w:t>ISCG Chair</w:t>
      </w:r>
      <w:r w:rsidR="003C4C71" w:rsidRPr="00E27C5A">
        <w:rPr>
          <w:rFonts w:ascii="Times New Roman" w:hAnsi="Times New Roman"/>
          <w:szCs w:val="24"/>
        </w:rPr>
        <w:tab/>
      </w:r>
      <w:r w:rsidR="003C4C71" w:rsidRPr="00E27C5A">
        <w:rPr>
          <w:rFonts w:ascii="Times New Roman" w:hAnsi="Times New Roman"/>
          <w:szCs w:val="24"/>
        </w:rPr>
        <w:tab/>
      </w:r>
      <w:r w:rsidR="003C4C71" w:rsidRPr="00E27C5A">
        <w:rPr>
          <w:rFonts w:ascii="Times New Roman" w:hAnsi="Times New Roman"/>
          <w:szCs w:val="24"/>
        </w:rPr>
        <w:tab/>
      </w:r>
      <w:r w:rsidR="003C4C71" w:rsidRPr="00E27C5A">
        <w:rPr>
          <w:rFonts w:ascii="Times New Roman" w:hAnsi="Times New Roman"/>
          <w:szCs w:val="24"/>
        </w:rPr>
        <w:tab/>
      </w:r>
      <w:r w:rsidR="00CA1801">
        <w:rPr>
          <w:rFonts w:ascii="Times New Roman" w:hAnsi="Times New Roman"/>
          <w:szCs w:val="24"/>
        </w:rPr>
        <w:tab/>
      </w:r>
      <w:r w:rsidR="004138EB" w:rsidRPr="00E27C5A">
        <w:rPr>
          <w:rFonts w:ascii="Times New Roman" w:hAnsi="Times New Roman"/>
          <w:b/>
          <w:bCs/>
          <w:szCs w:val="24"/>
        </w:rPr>
        <w:t>E-mail:</w:t>
      </w:r>
      <w:r w:rsidR="004138EB" w:rsidRPr="00E27C5A">
        <w:rPr>
          <w:rFonts w:ascii="Times New Roman" w:hAnsi="Times New Roman"/>
          <w:szCs w:val="24"/>
        </w:rPr>
        <w:t xml:space="preserve">  </w:t>
      </w:r>
      <w:hyperlink r:id="rId17" w:history="1">
        <w:r w:rsidR="004138EB" w:rsidRPr="00E27C5A">
          <w:rPr>
            <w:rStyle w:val="Hyperlink"/>
            <w:rFonts w:ascii="Times New Roman" w:hAnsi="Times New Roman"/>
            <w:szCs w:val="24"/>
          </w:rPr>
          <w:t>iscg@itu.int</w:t>
        </w:r>
      </w:hyperlink>
    </w:p>
    <w:p w14:paraId="38AD1514" w14:textId="212717C9" w:rsidR="004138EB" w:rsidRPr="00E27C5A" w:rsidRDefault="004138EB" w:rsidP="009C222A">
      <w:pPr>
        <w:pBdr>
          <w:bottom w:val="single" w:sz="6" w:space="1" w:color="auto"/>
        </w:pBdr>
        <w:spacing w:before="0"/>
        <w:ind w:left="-340"/>
        <w:rPr>
          <w:rFonts w:ascii="Times New Roman" w:hAnsi="Times New Roman"/>
          <w:szCs w:val="24"/>
        </w:rPr>
      </w:pPr>
      <w:r w:rsidRPr="00E27C5A">
        <w:rPr>
          <w:rFonts w:ascii="Times New Roman" w:hAnsi="Times New Roman"/>
          <w:szCs w:val="24"/>
        </w:rPr>
        <w:tab/>
      </w:r>
      <w:r w:rsidRPr="00E27C5A">
        <w:rPr>
          <w:rFonts w:ascii="Times New Roman" w:hAnsi="Times New Roman"/>
          <w:szCs w:val="24"/>
        </w:rPr>
        <w:tab/>
      </w:r>
      <w:r w:rsidRPr="00E27C5A">
        <w:rPr>
          <w:rFonts w:ascii="Times New Roman" w:hAnsi="Times New Roman"/>
          <w:szCs w:val="24"/>
        </w:rPr>
        <w:tab/>
      </w:r>
      <w:r w:rsidR="009C222A" w:rsidRPr="00E27C5A">
        <w:rPr>
          <w:rFonts w:ascii="Times New Roman" w:hAnsi="Times New Roman"/>
          <w:szCs w:val="24"/>
        </w:rPr>
        <w:t>(Italy)</w:t>
      </w:r>
    </w:p>
    <w:p w14:paraId="25D75A74" w14:textId="77777777" w:rsidR="009C222A" w:rsidRPr="00C55782" w:rsidRDefault="009C222A" w:rsidP="009C222A">
      <w:pPr>
        <w:spacing w:before="0"/>
        <w:ind w:left="-340"/>
        <w:rPr>
          <w:rFonts w:ascii="Times New Roman" w:hAnsi="Times New Roman"/>
          <w:szCs w:val="24"/>
          <w:lang w:val="it-IT"/>
        </w:rPr>
      </w:pPr>
    </w:p>
    <w:tbl>
      <w:tblPr>
        <w:tblW w:w="9498" w:type="dxa"/>
        <w:tblInd w:w="-426" w:type="dxa"/>
        <w:tblLayout w:type="fixed"/>
        <w:tblCellMar>
          <w:left w:w="57" w:type="dxa"/>
          <w:right w:w="57" w:type="dxa"/>
        </w:tblCellMar>
        <w:tblLook w:val="0000" w:firstRow="0" w:lastRow="0" w:firstColumn="0" w:lastColumn="0" w:noHBand="0" w:noVBand="0"/>
      </w:tblPr>
      <w:tblGrid>
        <w:gridCol w:w="2069"/>
        <w:gridCol w:w="7429"/>
      </w:tblGrid>
      <w:tr w:rsidR="0011338E" w:rsidRPr="0098572B" w14:paraId="0335ED90" w14:textId="77777777" w:rsidTr="008179C6">
        <w:trPr>
          <w:cantSplit/>
          <w:trHeight w:val="489"/>
        </w:trPr>
        <w:tc>
          <w:tcPr>
            <w:tcW w:w="2069" w:type="dxa"/>
          </w:tcPr>
          <w:p w14:paraId="315FD0DE" w14:textId="77777777" w:rsidR="0011338E" w:rsidRPr="0098572B" w:rsidRDefault="0011338E" w:rsidP="008179C6">
            <w:pPr>
              <w:spacing w:after="40"/>
              <w:rPr>
                <w:rFonts w:ascii="Times New Roman" w:hAnsi="Times New Roman"/>
                <w:b/>
                <w:bCs/>
              </w:rPr>
            </w:pPr>
            <w:r w:rsidRPr="0098572B">
              <w:rPr>
                <w:rFonts w:ascii="Times New Roman" w:hAnsi="Times New Roman"/>
                <w:b/>
                <w:bCs/>
              </w:rPr>
              <w:t>Keywords:</w:t>
            </w:r>
          </w:p>
        </w:tc>
        <w:tc>
          <w:tcPr>
            <w:tcW w:w="7429" w:type="dxa"/>
          </w:tcPr>
          <w:p w14:paraId="43DCA86B" w14:textId="77777777" w:rsidR="0011338E" w:rsidRPr="0098572B" w:rsidRDefault="0011338E" w:rsidP="008179C6">
            <w:pPr>
              <w:spacing w:after="40"/>
              <w:rPr>
                <w:rFonts w:ascii="Times New Roman" w:hAnsi="Times New Roman"/>
              </w:rPr>
            </w:pPr>
            <w:r w:rsidRPr="0098572B">
              <w:rPr>
                <w:rFonts w:ascii="Times New Roman" w:hAnsi="Times New Roman"/>
              </w:rPr>
              <w:t>Inter-Sector</w:t>
            </w:r>
            <w:r>
              <w:rPr>
                <w:rFonts w:ascii="Times New Roman" w:hAnsi="Times New Roman"/>
              </w:rPr>
              <w:t>al</w:t>
            </w:r>
            <w:r w:rsidRPr="0098572B">
              <w:rPr>
                <w:rFonts w:ascii="Times New Roman" w:hAnsi="Times New Roman"/>
              </w:rPr>
              <w:t xml:space="preserve"> coordination;</w:t>
            </w:r>
            <w:r>
              <w:rPr>
                <w:rFonts w:ascii="Times New Roman" w:hAnsi="Times New Roman"/>
              </w:rPr>
              <w:t xml:space="preserve"> ISCG, Terms of Reference, </w:t>
            </w:r>
            <w:proofErr w:type="spellStart"/>
            <w:r>
              <w:rPr>
                <w:rFonts w:ascii="Times New Roman" w:hAnsi="Times New Roman"/>
              </w:rPr>
              <w:t>ToR</w:t>
            </w:r>
            <w:proofErr w:type="spellEnd"/>
            <w:r>
              <w:rPr>
                <w:rFonts w:ascii="Times New Roman" w:hAnsi="Times New Roman"/>
              </w:rPr>
              <w:t>.</w:t>
            </w:r>
          </w:p>
        </w:tc>
      </w:tr>
      <w:tr w:rsidR="0011338E" w:rsidRPr="0098572B" w14:paraId="7EEEFFDC" w14:textId="77777777" w:rsidTr="008179C6">
        <w:trPr>
          <w:cantSplit/>
          <w:trHeight w:val="1094"/>
        </w:trPr>
        <w:tc>
          <w:tcPr>
            <w:tcW w:w="2069" w:type="dxa"/>
          </w:tcPr>
          <w:p w14:paraId="46E754E0" w14:textId="77777777" w:rsidR="0011338E" w:rsidRPr="0098572B" w:rsidRDefault="0011338E" w:rsidP="008179C6">
            <w:pPr>
              <w:spacing w:after="40"/>
              <w:rPr>
                <w:rFonts w:ascii="Times New Roman" w:hAnsi="Times New Roman"/>
                <w:b/>
                <w:bCs/>
              </w:rPr>
            </w:pPr>
            <w:r w:rsidRPr="0098572B">
              <w:rPr>
                <w:rFonts w:ascii="Times New Roman" w:hAnsi="Times New Roman"/>
                <w:b/>
                <w:bCs/>
              </w:rPr>
              <w:t>Abstract:</w:t>
            </w:r>
          </w:p>
        </w:tc>
        <w:tc>
          <w:tcPr>
            <w:tcW w:w="7429" w:type="dxa"/>
          </w:tcPr>
          <w:p w14:paraId="33AFEB9F" w14:textId="77777777" w:rsidR="0011338E" w:rsidRPr="0098572B" w:rsidRDefault="0011338E" w:rsidP="008179C6">
            <w:pPr>
              <w:spacing w:after="40"/>
              <w:jc w:val="both"/>
              <w:rPr>
                <w:rFonts w:ascii="Times New Roman" w:hAnsi="Times New Roman"/>
              </w:rPr>
            </w:pPr>
            <w:r w:rsidRPr="00EA4478">
              <w:rPr>
                <w:rFonts w:ascii="Times New Roman" w:hAnsi="Times New Roman"/>
              </w:rPr>
              <w:t xml:space="preserve">The ISCG </w:t>
            </w:r>
            <w:r>
              <w:rPr>
                <w:rFonts w:ascii="Times New Roman" w:hAnsi="Times New Roman"/>
              </w:rPr>
              <w:t>would like to inform the updates on its Terms of Reference approved during its last meeting on 12 February 2025.</w:t>
            </w:r>
          </w:p>
        </w:tc>
      </w:tr>
    </w:tbl>
    <w:p w14:paraId="31DA979B" w14:textId="77777777" w:rsidR="0011338E" w:rsidRDefault="0011338E" w:rsidP="00465B55">
      <w:pPr>
        <w:ind w:left="-360"/>
        <w:jc w:val="both"/>
        <w:rPr>
          <w:rFonts w:ascii="Times New Roman" w:hAnsi="Times New Roman"/>
        </w:rPr>
      </w:pPr>
      <w:r w:rsidRPr="00B416B7">
        <w:rPr>
          <w:rFonts w:ascii="Times New Roman" w:hAnsi="Times New Roman"/>
        </w:rPr>
        <w:t>The Inter-Sector Coordination Group (ISCG) on issues of mutual interest would like to</w:t>
      </w:r>
      <w:r>
        <w:rPr>
          <w:rFonts w:ascii="Times New Roman" w:hAnsi="Times New Roman"/>
        </w:rPr>
        <w:t xml:space="preserve"> inform </w:t>
      </w:r>
      <w:r w:rsidRPr="00B416B7">
        <w:rPr>
          <w:rFonts w:ascii="Times New Roman" w:hAnsi="Times New Roman"/>
        </w:rPr>
        <w:t>the Radiocommunication Advisory Groups (RAG), the Telecommunication Standardization Advisory Group (TSAG) and the Telecommunication Development Advisory Group (TDAG)</w:t>
      </w:r>
      <w:r>
        <w:rPr>
          <w:rFonts w:ascii="Times New Roman" w:hAnsi="Times New Roman"/>
        </w:rPr>
        <w:t xml:space="preserve"> </w:t>
      </w:r>
      <w:r w:rsidRPr="004C526E">
        <w:rPr>
          <w:rFonts w:ascii="Times New Roman" w:hAnsi="Times New Roman"/>
        </w:rPr>
        <w:t>that updates to the ISCG Terms of Reference (</w:t>
      </w:r>
      <w:proofErr w:type="spellStart"/>
      <w:r w:rsidRPr="004C526E">
        <w:rPr>
          <w:rFonts w:ascii="Times New Roman" w:hAnsi="Times New Roman"/>
        </w:rPr>
        <w:t>ToR</w:t>
      </w:r>
      <w:proofErr w:type="spellEnd"/>
      <w:r w:rsidRPr="004C526E">
        <w:rPr>
          <w:rFonts w:ascii="Times New Roman" w:hAnsi="Times New Roman"/>
        </w:rPr>
        <w:t>) were approved at our last meeting.</w:t>
      </w:r>
    </w:p>
    <w:p w14:paraId="29F6D260" w14:textId="77777777" w:rsidR="0011338E" w:rsidRDefault="0011338E" w:rsidP="00465B55">
      <w:pPr>
        <w:ind w:left="-360"/>
        <w:jc w:val="both"/>
        <w:rPr>
          <w:rFonts w:ascii="Times New Roman" w:hAnsi="Times New Roman"/>
        </w:rPr>
      </w:pPr>
      <w:r>
        <w:rPr>
          <w:rFonts w:ascii="Times New Roman" w:hAnsi="Times New Roman"/>
        </w:rPr>
        <w:t xml:space="preserve">The updated </w:t>
      </w:r>
      <w:proofErr w:type="spellStart"/>
      <w:r>
        <w:rPr>
          <w:rFonts w:ascii="Times New Roman" w:hAnsi="Times New Roman"/>
        </w:rPr>
        <w:t>ToR</w:t>
      </w:r>
      <w:proofErr w:type="spellEnd"/>
      <w:r>
        <w:rPr>
          <w:rFonts w:ascii="Times New Roman" w:hAnsi="Times New Roman"/>
        </w:rPr>
        <w:t xml:space="preserve"> can be found on the ISCG website </w:t>
      </w:r>
      <w:hyperlink r:id="rId18" w:history="1">
        <w:r w:rsidRPr="008D2E46">
          <w:rPr>
            <w:rStyle w:val="Hyperlink"/>
            <w:rFonts w:ascii="Times New Roman" w:hAnsi="Times New Roman"/>
          </w:rPr>
          <w:t>here</w:t>
        </w:r>
      </w:hyperlink>
      <w:r>
        <w:rPr>
          <w:rFonts w:ascii="Times New Roman" w:hAnsi="Times New Roman"/>
        </w:rPr>
        <w:t xml:space="preserve"> and are also attached to this Liaison Statement</w:t>
      </w:r>
      <w:r w:rsidRPr="00F50F11">
        <w:rPr>
          <w:rFonts w:ascii="Times New Roman" w:hAnsi="Times New Roman"/>
        </w:rPr>
        <w:t>.</w:t>
      </w:r>
    </w:p>
    <w:p w14:paraId="7CF18822" w14:textId="77777777" w:rsidR="0011338E" w:rsidRDefault="0011338E" w:rsidP="00465B55">
      <w:pPr>
        <w:ind w:left="-360"/>
        <w:jc w:val="both"/>
        <w:rPr>
          <w:rFonts w:ascii="Times New Roman" w:hAnsi="Times New Roman"/>
          <w:szCs w:val="24"/>
        </w:rPr>
      </w:pPr>
      <w:r w:rsidRPr="00B36263">
        <w:rPr>
          <w:rFonts w:ascii="Times New Roman" w:hAnsi="Times New Roman"/>
        </w:rPr>
        <w:t>We look forward to continuing our collaboration and thank the sector advisory groups</w:t>
      </w:r>
      <w:r>
        <w:rPr>
          <w:rFonts w:ascii="Times New Roman" w:hAnsi="Times New Roman"/>
        </w:rPr>
        <w:t xml:space="preserve">, </w:t>
      </w:r>
      <w:r w:rsidRPr="00B36263">
        <w:rPr>
          <w:rFonts w:ascii="Times New Roman" w:hAnsi="Times New Roman"/>
        </w:rPr>
        <w:t>RAG, TSAG, and TDAG</w:t>
      </w:r>
      <w:r>
        <w:rPr>
          <w:rFonts w:ascii="Times New Roman" w:hAnsi="Times New Roman"/>
        </w:rPr>
        <w:t xml:space="preserve">, </w:t>
      </w:r>
      <w:r w:rsidRPr="00B36263">
        <w:rPr>
          <w:rFonts w:ascii="Times New Roman" w:hAnsi="Times New Roman"/>
        </w:rPr>
        <w:t>for their ongoing cooperation and contributions</w:t>
      </w:r>
      <w:r w:rsidRPr="00B36263">
        <w:rPr>
          <w:rFonts w:ascii="Times New Roman" w:hAnsi="Times New Roman"/>
          <w:szCs w:val="24"/>
        </w:rPr>
        <w:t>.</w:t>
      </w:r>
    </w:p>
    <w:p w14:paraId="29DDDF41" w14:textId="77777777" w:rsidR="00465B55" w:rsidRDefault="00465B55">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rPr>
      </w:pPr>
      <w:r>
        <w:rPr>
          <w:rFonts w:ascii="Times New Roman" w:hAnsi="Times New Roman"/>
          <w:szCs w:val="24"/>
        </w:rPr>
        <w:br w:type="page"/>
      </w:r>
    </w:p>
    <w:p w14:paraId="1433B3D5" w14:textId="488ED067" w:rsidR="0011338E" w:rsidRDefault="0011338E" w:rsidP="00465B55">
      <w:pPr>
        <w:spacing w:after="360"/>
        <w:jc w:val="center"/>
      </w:pPr>
      <w:r>
        <w:lastRenderedPageBreak/>
        <w:t>ANNEX</w:t>
      </w:r>
    </w:p>
    <w:p w14:paraId="1E869DFD" w14:textId="77777777" w:rsidR="0011338E" w:rsidRPr="00CD2D51" w:rsidRDefault="0011338E" w:rsidP="0011338E">
      <w:pPr>
        <w:shd w:val="clear" w:color="auto" w:fill="FFFFFF"/>
        <w:tabs>
          <w:tab w:val="clear" w:pos="567"/>
          <w:tab w:val="clear" w:pos="1134"/>
          <w:tab w:val="clear" w:pos="1701"/>
          <w:tab w:val="clear" w:pos="2268"/>
          <w:tab w:val="clear" w:pos="2835"/>
        </w:tabs>
        <w:overflowPunct/>
        <w:autoSpaceDE/>
        <w:autoSpaceDN/>
        <w:adjustRightInd/>
        <w:spacing w:before="0"/>
        <w:jc w:val="both"/>
        <w:rPr>
          <w:rFonts w:ascii="Times New Roman" w:hAnsi="Times New Roman"/>
          <w:b/>
          <w:bCs/>
          <w:color w:val="444444"/>
          <w:szCs w:val="24"/>
          <w:bdr w:val="none" w:sz="0" w:space="0" w:color="auto" w:frame="1"/>
          <w:lang w:eastAsia="en-GB"/>
        </w:rPr>
      </w:pPr>
      <w:r w:rsidRPr="00CD2D51">
        <w:rPr>
          <w:rFonts w:ascii="Times New Roman" w:hAnsi="Times New Roman"/>
          <w:b/>
          <w:bCs/>
          <w:color w:val="444444"/>
          <w:szCs w:val="24"/>
          <w:bdr w:val="none" w:sz="0" w:space="0" w:color="auto" w:frame="1"/>
          <w:lang w:eastAsia="en-GB"/>
        </w:rPr>
        <w:t>Background documents</w:t>
      </w:r>
    </w:p>
    <w:p w14:paraId="2D67C1D0" w14:textId="77777777" w:rsidR="0011338E" w:rsidRPr="00CD2D51" w:rsidRDefault="0011338E" w:rsidP="0011338E">
      <w:pPr>
        <w:shd w:val="clear" w:color="auto" w:fill="FFFFFF"/>
        <w:tabs>
          <w:tab w:val="clear" w:pos="567"/>
          <w:tab w:val="clear" w:pos="1134"/>
          <w:tab w:val="clear" w:pos="1701"/>
          <w:tab w:val="clear" w:pos="2268"/>
          <w:tab w:val="clear" w:pos="2835"/>
        </w:tabs>
        <w:overflowPunct/>
        <w:autoSpaceDE/>
        <w:autoSpaceDN/>
        <w:adjustRightInd/>
        <w:spacing w:before="0"/>
        <w:jc w:val="both"/>
        <w:rPr>
          <w:rFonts w:ascii="Times New Roman" w:hAnsi="Times New Roman"/>
          <w:color w:val="444444"/>
          <w:szCs w:val="24"/>
          <w:lang w:eastAsia="en-GB"/>
        </w:rPr>
      </w:pPr>
    </w:p>
    <w:p w14:paraId="0083064F" w14:textId="77777777" w:rsidR="0011338E" w:rsidRPr="00CD2D51" w:rsidRDefault="0011338E" w:rsidP="0011338E">
      <w:pPr>
        <w:shd w:val="clear" w:color="auto" w:fill="FFFFFF"/>
        <w:tabs>
          <w:tab w:val="clear" w:pos="567"/>
          <w:tab w:val="clear" w:pos="1134"/>
          <w:tab w:val="clear" w:pos="1701"/>
          <w:tab w:val="clear" w:pos="2268"/>
          <w:tab w:val="clear" w:pos="2835"/>
        </w:tabs>
        <w:overflowPunct/>
        <w:autoSpaceDE/>
        <w:autoSpaceDN/>
        <w:adjustRightInd/>
        <w:spacing w:before="0"/>
        <w:rPr>
          <w:rFonts w:ascii="Times New Roman" w:hAnsi="Times New Roman"/>
          <w:color w:val="444444"/>
          <w:szCs w:val="24"/>
          <w:lang w:eastAsia="en-GB"/>
        </w:rPr>
      </w:pPr>
      <w:r w:rsidRPr="00CD2D51">
        <w:rPr>
          <w:rFonts w:ascii="Times New Roman" w:hAnsi="Times New Roman"/>
          <w:color w:val="444444"/>
          <w:szCs w:val="24"/>
          <w:lang w:eastAsia="en-GB"/>
        </w:rPr>
        <w:t>a) Resolution 191 (Rev. Bucharest, 2022) of the Plenipotentiary Conference, on Strategy for the coordination of efforts among the three Sectors of the Union;</w:t>
      </w:r>
      <w:r w:rsidRPr="00CD2D51">
        <w:rPr>
          <w:rFonts w:ascii="Times New Roman" w:hAnsi="Times New Roman"/>
          <w:color w:val="444444"/>
          <w:szCs w:val="24"/>
          <w:lang w:eastAsia="en-GB"/>
        </w:rPr>
        <w:br/>
        <w:t>b) Resolution ITU-R 75 (Dubai, 2023) of the Radiocommunication Assembly (RA), on Strengthening coordination and cooperation among the three ITU Sectors on matters of mutual interest;</w:t>
      </w:r>
      <w:r w:rsidRPr="00CD2D51">
        <w:rPr>
          <w:rFonts w:ascii="Times New Roman" w:hAnsi="Times New Roman"/>
          <w:color w:val="444444"/>
          <w:szCs w:val="24"/>
          <w:lang w:eastAsia="en-GB"/>
        </w:rPr>
        <w:br/>
        <w:t>c) </w:t>
      </w:r>
      <w:r w:rsidRPr="00CD2D51">
        <w:rPr>
          <w:rFonts w:ascii="Times New Roman" w:hAnsi="Times New Roman"/>
          <w:color w:val="444444"/>
          <w:szCs w:val="24"/>
          <w:bdr w:val="none" w:sz="0" w:space="0" w:color="auto" w:frame="1"/>
          <w:lang w:eastAsia="en-GB"/>
        </w:rPr>
        <w:t>Resolution 18 (Rev. New Delhi, 2024) of the World Telecommunication Standardization Assembly (WTSA), on principles and procedures for the allocation of work to, and coordination among the ITU Radiocommunication, ITU Telecommunication Standardization, and ITU Telecommunication Development Sectors;</w:t>
      </w:r>
      <w:r w:rsidRPr="00CD2D51">
        <w:rPr>
          <w:rFonts w:ascii="Times New Roman" w:hAnsi="Times New Roman"/>
          <w:color w:val="444444"/>
          <w:szCs w:val="24"/>
          <w:lang w:eastAsia="en-GB"/>
        </w:rPr>
        <w:br/>
        <w:t>d)</w:t>
      </w:r>
      <w:r w:rsidRPr="00CD2D51">
        <w:rPr>
          <w:rFonts w:ascii="Times New Roman" w:hAnsi="Times New Roman"/>
          <w:color w:val="444444"/>
          <w:szCs w:val="24"/>
          <w:bdr w:val="none" w:sz="0" w:space="0" w:color="auto" w:frame="1"/>
          <w:lang w:eastAsia="en-GB"/>
        </w:rPr>
        <w:tab/>
      </w:r>
      <w:r w:rsidRPr="00CD2D51">
        <w:rPr>
          <w:rFonts w:ascii="Times New Roman" w:hAnsi="Times New Roman"/>
          <w:color w:val="444444"/>
          <w:szCs w:val="24"/>
          <w:lang w:eastAsia="en-GB"/>
        </w:rPr>
        <w:t>Resolution 5 (Rev. Kigali, 2022) of the World Telecommunication Development Conference (WTDC), on Enhanced participation by developing countries in the activities of the Union, and Resolution 59 (Rev. Kigali, 2022) of WTDC on Strengthening coordination and cooperation among the three ITU Sectors on matters of mutual interest.</w:t>
      </w:r>
    </w:p>
    <w:p w14:paraId="3D95AB96" w14:textId="77777777" w:rsidR="0011338E" w:rsidRPr="00CD2D51" w:rsidRDefault="0011338E" w:rsidP="0011338E">
      <w:pPr>
        <w:tabs>
          <w:tab w:val="clear" w:pos="567"/>
          <w:tab w:val="clear" w:pos="1134"/>
          <w:tab w:val="clear" w:pos="1701"/>
          <w:tab w:val="clear" w:pos="2268"/>
          <w:tab w:val="clear" w:pos="2835"/>
        </w:tabs>
        <w:overflowPunct/>
        <w:autoSpaceDE/>
        <w:autoSpaceDN/>
        <w:adjustRightInd/>
        <w:spacing w:before="0" w:after="150" w:line="288" w:lineRule="atLeast"/>
        <w:jc w:val="both"/>
        <w:rPr>
          <w:rFonts w:ascii="Times New Roman" w:hAnsi="Times New Roman"/>
          <w:color w:val="444444"/>
          <w:szCs w:val="24"/>
          <w:lang w:eastAsia="en-GB"/>
        </w:rPr>
      </w:pPr>
      <w:r w:rsidRPr="00CD2D51">
        <w:rPr>
          <w:rFonts w:ascii="Times New Roman" w:hAnsi="Times New Roman"/>
          <w:color w:val="444444"/>
          <w:szCs w:val="24"/>
          <w:lang w:eastAsia="en-GB"/>
        </w:rPr>
        <w:t xml:space="preserve">The Inter-Sector Coordination Group (ISCG) on issues of mutual interest was set up under decisions of the Sector advisory groups, </w:t>
      </w:r>
      <w:proofErr w:type="gramStart"/>
      <w:r w:rsidRPr="00CD2D51">
        <w:rPr>
          <w:rFonts w:ascii="Times New Roman" w:hAnsi="Times New Roman"/>
          <w:color w:val="444444"/>
          <w:szCs w:val="24"/>
          <w:lang w:eastAsia="en-GB"/>
        </w:rPr>
        <w:t>in order to</w:t>
      </w:r>
      <w:proofErr w:type="gramEnd"/>
      <w:r w:rsidRPr="00CD2D51">
        <w:rPr>
          <w:rFonts w:ascii="Times New Roman" w:hAnsi="Times New Roman"/>
          <w:color w:val="444444"/>
          <w:szCs w:val="24"/>
          <w:lang w:eastAsia="en-GB"/>
        </w:rPr>
        <w:t xml:space="preserve"> eliminate duplication of effort and optimize the use of resources. While carrying out its functions the ISCG will: </w:t>
      </w:r>
    </w:p>
    <w:p w14:paraId="31E47DC0" w14:textId="77777777" w:rsidR="0011338E" w:rsidRPr="00CD2D51" w:rsidRDefault="0011338E" w:rsidP="0011338E">
      <w:pPr>
        <w:numPr>
          <w:ilvl w:val="0"/>
          <w:numId w:val="2"/>
        </w:numPr>
        <w:tabs>
          <w:tab w:val="clear" w:pos="567"/>
          <w:tab w:val="clear" w:pos="1134"/>
          <w:tab w:val="clear" w:pos="1701"/>
          <w:tab w:val="clear" w:pos="2268"/>
          <w:tab w:val="clear" w:pos="2835"/>
        </w:tabs>
        <w:overflowPunct/>
        <w:autoSpaceDE/>
        <w:autoSpaceDN/>
        <w:adjustRightInd/>
        <w:spacing w:before="0" w:line="270" w:lineRule="atLeast"/>
        <w:rPr>
          <w:rFonts w:ascii="Times New Roman" w:hAnsi="Times New Roman"/>
          <w:color w:val="444444"/>
          <w:szCs w:val="24"/>
          <w:lang w:eastAsia="en-GB"/>
        </w:rPr>
      </w:pPr>
      <w:r w:rsidRPr="00CD2D51">
        <w:rPr>
          <w:rFonts w:ascii="Times New Roman" w:hAnsi="Times New Roman"/>
          <w:color w:val="444444"/>
          <w:szCs w:val="24"/>
          <w:lang w:eastAsia="en-GB"/>
        </w:rPr>
        <w:t xml:space="preserve">identify subjects common to the three Sectors and the General Secretariat, or, bilaterally, and consider an updated list (prepared by the secretariat) containing the areas of mutual interest to the three Sectors and the General Secretariat pursuant to the mandates assigned by each ITU assembly or conference, and in accordance with the objectives of the ITU Strategic and Financial </w:t>
      </w:r>
      <w:proofErr w:type="gramStart"/>
      <w:r w:rsidRPr="00CD2D51">
        <w:rPr>
          <w:rFonts w:ascii="Times New Roman" w:hAnsi="Times New Roman"/>
          <w:color w:val="444444"/>
          <w:szCs w:val="24"/>
          <w:lang w:eastAsia="en-GB"/>
        </w:rPr>
        <w:t>Plans;</w:t>
      </w:r>
      <w:proofErr w:type="gramEnd"/>
    </w:p>
    <w:p w14:paraId="25B8EF0A" w14:textId="77777777" w:rsidR="0011338E" w:rsidRPr="00CD2D51" w:rsidRDefault="0011338E" w:rsidP="0011338E">
      <w:pPr>
        <w:numPr>
          <w:ilvl w:val="0"/>
          <w:numId w:val="2"/>
        </w:numPr>
        <w:tabs>
          <w:tab w:val="clear" w:pos="567"/>
          <w:tab w:val="clear" w:pos="1134"/>
          <w:tab w:val="clear" w:pos="1701"/>
          <w:tab w:val="clear" w:pos="2268"/>
          <w:tab w:val="clear" w:pos="2835"/>
        </w:tabs>
        <w:overflowPunct/>
        <w:autoSpaceDE/>
        <w:autoSpaceDN/>
        <w:adjustRightInd/>
        <w:spacing w:before="0" w:line="270" w:lineRule="atLeast"/>
        <w:rPr>
          <w:rFonts w:ascii="Times New Roman" w:hAnsi="Times New Roman"/>
          <w:color w:val="444444"/>
          <w:szCs w:val="24"/>
          <w:lang w:eastAsia="en-GB"/>
        </w:rPr>
      </w:pPr>
      <w:r w:rsidRPr="00CD2D51">
        <w:rPr>
          <w:rFonts w:ascii="Times New Roman" w:hAnsi="Times New Roman"/>
          <w:color w:val="444444"/>
          <w:szCs w:val="24"/>
          <w:lang w:eastAsia="en-GB"/>
        </w:rPr>
        <w:t xml:space="preserve">identify the necessary mechanisms to strengthen cooperation and joint activity among the three Sectors and the General Secretariat, or with each Sector, on issues of mutual interest, paying particular attention to the interests of the developing countries, and </w:t>
      </w:r>
      <w:proofErr w:type="gramStart"/>
      <w:r w:rsidRPr="00CD2D51">
        <w:rPr>
          <w:rFonts w:ascii="Times New Roman" w:hAnsi="Times New Roman"/>
          <w:color w:val="444444"/>
          <w:szCs w:val="24"/>
          <w:lang w:eastAsia="en-GB"/>
        </w:rPr>
        <w:t>taking into account</w:t>
      </w:r>
      <w:proofErr w:type="gramEnd"/>
      <w:r w:rsidRPr="00CD2D51">
        <w:rPr>
          <w:rFonts w:ascii="Times New Roman" w:hAnsi="Times New Roman"/>
          <w:color w:val="444444"/>
          <w:szCs w:val="24"/>
          <w:lang w:eastAsia="en-GB"/>
        </w:rPr>
        <w:t xml:space="preserve"> the activities of the regional offices, including their role in the organization of events (workshops, seminars, symposia, etc.); and</w:t>
      </w:r>
    </w:p>
    <w:p w14:paraId="42B726A1" w14:textId="77777777" w:rsidR="0011338E" w:rsidRPr="00CD2D51" w:rsidRDefault="0011338E" w:rsidP="0011338E">
      <w:pPr>
        <w:numPr>
          <w:ilvl w:val="0"/>
          <w:numId w:val="2"/>
        </w:numPr>
        <w:tabs>
          <w:tab w:val="clear" w:pos="567"/>
          <w:tab w:val="clear" w:pos="1134"/>
          <w:tab w:val="clear" w:pos="1701"/>
          <w:tab w:val="clear" w:pos="2268"/>
          <w:tab w:val="clear" w:pos="2835"/>
        </w:tabs>
        <w:overflowPunct/>
        <w:autoSpaceDE/>
        <w:autoSpaceDN/>
        <w:adjustRightInd/>
        <w:spacing w:before="0" w:line="270" w:lineRule="atLeast"/>
        <w:rPr>
          <w:rFonts w:ascii="Times New Roman" w:hAnsi="Times New Roman"/>
          <w:color w:val="444444"/>
          <w:szCs w:val="24"/>
          <w:lang w:eastAsia="en-GB"/>
        </w:rPr>
      </w:pPr>
      <w:r w:rsidRPr="00CD2D51">
        <w:rPr>
          <w:rFonts w:ascii="Times New Roman" w:hAnsi="Times New Roman"/>
          <w:color w:val="444444"/>
          <w:szCs w:val="24"/>
          <w:lang w:eastAsia="en-GB"/>
        </w:rPr>
        <w:t>report annually to the respective advisory groups on the progress of the work undertaken, highlighting key issues to be raised with the respective Bureau Directors, as well as with the Inter-Sectoral Coordination Task Force (ISC-TF) as the mechanism that comprises the Focal Points from the General Secretariat as well as from the Bureaux, responsible for specific subjects.</w:t>
      </w:r>
    </w:p>
    <w:p w14:paraId="0751B9B8" w14:textId="77777777" w:rsidR="0011338E" w:rsidRDefault="0011338E" w:rsidP="0011338E">
      <w:pPr>
        <w:shd w:val="clear" w:color="auto" w:fill="FFFFFF"/>
        <w:tabs>
          <w:tab w:val="clear" w:pos="567"/>
          <w:tab w:val="clear" w:pos="1134"/>
          <w:tab w:val="clear" w:pos="1701"/>
          <w:tab w:val="clear" w:pos="2268"/>
          <w:tab w:val="clear" w:pos="2835"/>
        </w:tabs>
        <w:overflowPunct/>
        <w:autoSpaceDE/>
        <w:autoSpaceDN/>
        <w:adjustRightInd/>
        <w:spacing w:before="0" w:after="150"/>
        <w:rPr>
          <w:rFonts w:ascii="Times New Roman" w:hAnsi="Times New Roman"/>
          <w:color w:val="444444"/>
          <w:szCs w:val="24"/>
          <w:lang w:eastAsia="en-GB"/>
        </w:rPr>
      </w:pPr>
    </w:p>
    <w:p w14:paraId="654E8967" w14:textId="77777777" w:rsidR="0011338E" w:rsidRPr="00CD2D51" w:rsidRDefault="0011338E" w:rsidP="0011338E">
      <w:pPr>
        <w:shd w:val="clear" w:color="auto" w:fill="FFFFFF"/>
        <w:tabs>
          <w:tab w:val="clear" w:pos="567"/>
          <w:tab w:val="clear" w:pos="1134"/>
          <w:tab w:val="clear" w:pos="1701"/>
          <w:tab w:val="clear" w:pos="2268"/>
          <w:tab w:val="clear" w:pos="2835"/>
        </w:tabs>
        <w:overflowPunct/>
        <w:autoSpaceDE/>
        <w:autoSpaceDN/>
        <w:adjustRightInd/>
        <w:spacing w:before="0" w:after="150"/>
        <w:rPr>
          <w:rFonts w:ascii="Times New Roman" w:hAnsi="Times New Roman"/>
          <w:color w:val="444444"/>
          <w:szCs w:val="24"/>
          <w:lang w:eastAsia="en-GB"/>
        </w:rPr>
      </w:pPr>
      <w:r w:rsidRPr="00CD2D51">
        <w:rPr>
          <w:rFonts w:ascii="Times New Roman" w:hAnsi="Times New Roman"/>
          <w:color w:val="444444"/>
          <w:szCs w:val="24"/>
          <w:lang w:eastAsia="en-GB"/>
        </w:rPr>
        <w:t>To do so, the ISCG will request the advisory groups to appoint Focal Points and one Coordinator, from the membership, for each of the subjects identified as of common interest, with the aim to:</w:t>
      </w:r>
    </w:p>
    <w:p w14:paraId="10FA3227" w14:textId="77777777" w:rsidR="0011338E" w:rsidRPr="00CD2D51" w:rsidRDefault="0011338E" w:rsidP="0011338E">
      <w:pPr>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rPr>
          <w:rFonts w:ascii="Times New Roman" w:hAnsi="Times New Roman"/>
          <w:color w:val="444444"/>
          <w:szCs w:val="24"/>
          <w:lang w:eastAsia="en-GB"/>
        </w:rPr>
      </w:pPr>
      <w:r w:rsidRPr="00CD2D51">
        <w:rPr>
          <w:rFonts w:ascii="Times New Roman" w:hAnsi="Times New Roman"/>
          <w:color w:val="444444"/>
          <w:szCs w:val="24"/>
          <w:lang w:eastAsia="en-GB"/>
        </w:rPr>
        <w:t xml:space="preserve">Examine the activities of the various sectors and of the General Secretariat in order to avoid duplication of activities, studies, and events, and to streamline the expected results and </w:t>
      </w:r>
      <w:proofErr w:type="gramStart"/>
      <w:r w:rsidRPr="00CD2D51">
        <w:rPr>
          <w:rFonts w:ascii="Times New Roman" w:hAnsi="Times New Roman"/>
          <w:color w:val="444444"/>
          <w:szCs w:val="24"/>
          <w:lang w:eastAsia="en-GB"/>
        </w:rPr>
        <w:t>achievements;</w:t>
      </w:r>
      <w:proofErr w:type="gramEnd"/>
    </w:p>
    <w:p w14:paraId="6962ADB3" w14:textId="77777777" w:rsidR="0011338E" w:rsidRPr="00CD2D51" w:rsidRDefault="0011338E" w:rsidP="0011338E">
      <w:pPr>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rPr>
          <w:rFonts w:ascii="Times New Roman" w:hAnsi="Times New Roman"/>
          <w:color w:val="444444"/>
          <w:szCs w:val="24"/>
          <w:lang w:eastAsia="en-GB"/>
        </w:rPr>
      </w:pPr>
      <w:r w:rsidRPr="00CD2D51">
        <w:rPr>
          <w:rFonts w:ascii="Times New Roman" w:hAnsi="Times New Roman"/>
          <w:color w:val="444444"/>
          <w:szCs w:val="24"/>
          <w:lang w:eastAsia="en-GB"/>
        </w:rPr>
        <w:t xml:space="preserve">Ensure coordination and cooperation with external organizations and partners dealing with the same </w:t>
      </w:r>
      <w:proofErr w:type="gramStart"/>
      <w:r w:rsidRPr="00CD2D51">
        <w:rPr>
          <w:rFonts w:ascii="Times New Roman" w:hAnsi="Times New Roman"/>
          <w:color w:val="444444"/>
          <w:szCs w:val="24"/>
          <w:lang w:eastAsia="en-GB"/>
        </w:rPr>
        <w:t>subjects;</w:t>
      </w:r>
      <w:proofErr w:type="gramEnd"/>
    </w:p>
    <w:p w14:paraId="09AE9A53" w14:textId="77777777" w:rsidR="0011338E" w:rsidRPr="00CD2D51" w:rsidRDefault="0011338E" w:rsidP="0011338E">
      <w:pPr>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rPr>
          <w:rFonts w:ascii="Times New Roman" w:hAnsi="Times New Roman"/>
          <w:color w:val="444444"/>
          <w:szCs w:val="24"/>
          <w:lang w:eastAsia="en-GB"/>
        </w:rPr>
      </w:pPr>
      <w:r w:rsidRPr="00CD2D51">
        <w:rPr>
          <w:rFonts w:ascii="Times New Roman" w:hAnsi="Times New Roman"/>
          <w:color w:val="444444"/>
          <w:szCs w:val="24"/>
          <w:lang w:eastAsia="en-GB"/>
        </w:rPr>
        <w:t>Coordinate and give guidance to the corresponding Focal Points from the secretariat; and</w:t>
      </w:r>
    </w:p>
    <w:p w14:paraId="0A632405" w14:textId="77777777" w:rsidR="0011338E" w:rsidRPr="00CD2D51" w:rsidRDefault="0011338E" w:rsidP="0011338E">
      <w:pPr>
        <w:numPr>
          <w:ilvl w:val="0"/>
          <w:numId w:val="3"/>
        </w:numPr>
        <w:shd w:val="clear" w:color="auto" w:fill="FFFFFF"/>
        <w:tabs>
          <w:tab w:val="clear" w:pos="567"/>
          <w:tab w:val="clear" w:pos="1134"/>
          <w:tab w:val="clear" w:pos="1701"/>
          <w:tab w:val="clear" w:pos="2268"/>
          <w:tab w:val="clear" w:pos="2835"/>
        </w:tabs>
        <w:overflowPunct/>
        <w:autoSpaceDE/>
        <w:autoSpaceDN/>
        <w:adjustRightInd/>
        <w:spacing w:before="0"/>
        <w:rPr>
          <w:rFonts w:ascii="Times New Roman" w:hAnsi="Times New Roman"/>
          <w:color w:val="444444"/>
          <w:szCs w:val="24"/>
          <w:lang w:eastAsia="en-GB"/>
        </w:rPr>
      </w:pPr>
      <w:r w:rsidRPr="00CD2D51">
        <w:rPr>
          <w:rFonts w:ascii="Times New Roman" w:hAnsi="Times New Roman"/>
          <w:color w:val="444444"/>
          <w:szCs w:val="24"/>
          <w:lang w:eastAsia="en-GB"/>
        </w:rPr>
        <w:t>Report to the ISCG meetings on the results obtained.</w:t>
      </w:r>
    </w:p>
    <w:p w14:paraId="18697A55" w14:textId="77777777" w:rsidR="0011338E" w:rsidRDefault="0011338E" w:rsidP="0011338E">
      <w:pPr>
        <w:shd w:val="clear" w:color="auto" w:fill="FFFFFF"/>
        <w:tabs>
          <w:tab w:val="clear" w:pos="567"/>
          <w:tab w:val="clear" w:pos="1134"/>
          <w:tab w:val="clear" w:pos="1701"/>
          <w:tab w:val="clear" w:pos="2268"/>
          <w:tab w:val="clear" w:pos="2835"/>
        </w:tabs>
        <w:overflowPunct/>
        <w:autoSpaceDE/>
        <w:autoSpaceDN/>
        <w:adjustRightInd/>
        <w:spacing w:before="0"/>
        <w:rPr>
          <w:rFonts w:ascii="Times New Roman" w:hAnsi="Times New Roman"/>
          <w:b/>
          <w:bCs/>
          <w:color w:val="444444"/>
          <w:szCs w:val="24"/>
          <w:bdr w:val="none" w:sz="0" w:space="0" w:color="auto" w:frame="1"/>
          <w:lang w:eastAsia="en-GB"/>
        </w:rPr>
      </w:pPr>
    </w:p>
    <w:p w14:paraId="2186D04B" w14:textId="77777777" w:rsidR="0011338E" w:rsidRDefault="0011338E" w:rsidP="0011338E">
      <w:pPr>
        <w:shd w:val="clear" w:color="auto" w:fill="FFFFFF"/>
        <w:tabs>
          <w:tab w:val="clear" w:pos="567"/>
          <w:tab w:val="clear" w:pos="1134"/>
          <w:tab w:val="clear" w:pos="1701"/>
          <w:tab w:val="clear" w:pos="2268"/>
          <w:tab w:val="clear" w:pos="2835"/>
        </w:tabs>
        <w:overflowPunct/>
        <w:autoSpaceDE/>
        <w:autoSpaceDN/>
        <w:adjustRightInd/>
        <w:spacing w:before="0"/>
        <w:rPr>
          <w:rFonts w:ascii="Times New Roman" w:hAnsi="Times New Roman"/>
          <w:b/>
          <w:bCs/>
          <w:color w:val="444444"/>
          <w:szCs w:val="24"/>
          <w:bdr w:val="none" w:sz="0" w:space="0" w:color="auto" w:frame="1"/>
          <w:lang w:eastAsia="en-GB"/>
        </w:rPr>
      </w:pPr>
    </w:p>
    <w:p w14:paraId="4BF196AD" w14:textId="77777777" w:rsidR="0011338E" w:rsidRDefault="0011338E" w:rsidP="00465B55">
      <w:pPr>
        <w:keepNext/>
        <w:keepLines/>
        <w:shd w:val="clear" w:color="auto" w:fill="FFFFFF"/>
        <w:tabs>
          <w:tab w:val="clear" w:pos="567"/>
          <w:tab w:val="clear" w:pos="1134"/>
          <w:tab w:val="clear" w:pos="1701"/>
          <w:tab w:val="clear" w:pos="2268"/>
          <w:tab w:val="clear" w:pos="2835"/>
        </w:tabs>
        <w:overflowPunct/>
        <w:autoSpaceDE/>
        <w:autoSpaceDN/>
        <w:adjustRightInd/>
        <w:spacing w:before="0"/>
        <w:rPr>
          <w:rFonts w:ascii="Times New Roman" w:hAnsi="Times New Roman"/>
          <w:b/>
          <w:bCs/>
          <w:color w:val="444444"/>
          <w:szCs w:val="24"/>
          <w:bdr w:val="none" w:sz="0" w:space="0" w:color="auto" w:frame="1"/>
          <w:lang w:eastAsia="en-GB"/>
        </w:rPr>
      </w:pPr>
      <w:r w:rsidRPr="00CD2D51">
        <w:rPr>
          <w:rFonts w:ascii="Times New Roman" w:hAnsi="Times New Roman"/>
          <w:b/>
          <w:bCs/>
          <w:color w:val="444444"/>
          <w:szCs w:val="24"/>
          <w:bdr w:val="none" w:sz="0" w:space="0" w:color="auto" w:frame="1"/>
          <w:lang w:eastAsia="en-GB"/>
        </w:rPr>
        <w:lastRenderedPageBreak/>
        <w:t>Composition of the inter-Sector Coordination Group on issues of mutual interest</w:t>
      </w:r>
    </w:p>
    <w:p w14:paraId="0E2E44FD" w14:textId="77777777" w:rsidR="0011338E" w:rsidRPr="00CD2D51" w:rsidRDefault="0011338E" w:rsidP="00465B55">
      <w:pPr>
        <w:keepNext/>
        <w:keepLines/>
        <w:shd w:val="clear" w:color="auto" w:fill="FFFFFF"/>
        <w:tabs>
          <w:tab w:val="clear" w:pos="567"/>
          <w:tab w:val="clear" w:pos="1134"/>
          <w:tab w:val="clear" w:pos="1701"/>
          <w:tab w:val="clear" w:pos="2268"/>
          <w:tab w:val="clear" w:pos="2835"/>
        </w:tabs>
        <w:overflowPunct/>
        <w:autoSpaceDE/>
        <w:autoSpaceDN/>
        <w:adjustRightInd/>
        <w:spacing w:before="0"/>
        <w:rPr>
          <w:rFonts w:ascii="Times New Roman" w:hAnsi="Times New Roman"/>
          <w:color w:val="444444"/>
          <w:szCs w:val="24"/>
          <w:lang w:eastAsia="en-GB"/>
        </w:rPr>
      </w:pPr>
    </w:p>
    <w:p w14:paraId="20196518" w14:textId="77777777" w:rsidR="0011338E" w:rsidRPr="00CD2D51" w:rsidRDefault="0011338E" w:rsidP="00465B55">
      <w:pPr>
        <w:keepNext/>
        <w:keepLines/>
        <w:numPr>
          <w:ilvl w:val="0"/>
          <w:numId w:val="4"/>
        </w:numPr>
        <w:shd w:val="clear" w:color="auto" w:fill="FFFFFF"/>
        <w:tabs>
          <w:tab w:val="clear" w:pos="567"/>
          <w:tab w:val="clear" w:pos="1134"/>
          <w:tab w:val="clear" w:pos="1701"/>
          <w:tab w:val="clear" w:pos="2268"/>
          <w:tab w:val="clear" w:pos="2835"/>
        </w:tabs>
        <w:overflowPunct/>
        <w:autoSpaceDE/>
        <w:autoSpaceDN/>
        <w:adjustRightInd/>
        <w:spacing w:before="0"/>
        <w:rPr>
          <w:rFonts w:ascii="Times New Roman" w:hAnsi="Times New Roman"/>
          <w:color w:val="444444"/>
          <w:szCs w:val="24"/>
          <w:lang w:eastAsia="en-GB"/>
        </w:rPr>
      </w:pPr>
      <w:r w:rsidRPr="00CD2D51">
        <w:rPr>
          <w:rFonts w:ascii="Times New Roman" w:hAnsi="Times New Roman"/>
          <w:color w:val="444444"/>
          <w:szCs w:val="24"/>
          <w:lang w:eastAsia="en-GB"/>
        </w:rPr>
        <w:t>The ISCG management team will consist of two representatives from each of the three Sector advisory groups, keeping in mind the need for regional balance.</w:t>
      </w:r>
    </w:p>
    <w:p w14:paraId="094812A1" w14:textId="77777777" w:rsidR="0011338E" w:rsidRPr="00CD2D51" w:rsidRDefault="0011338E" w:rsidP="0011338E">
      <w:pPr>
        <w:numPr>
          <w:ilvl w:val="0"/>
          <w:numId w:val="4"/>
        </w:numPr>
        <w:shd w:val="clear" w:color="auto" w:fill="FFFFFF"/>
        <w:tabs>
          <w:tab w:val="clear" w:pos="567"/>
          <w:tab w:val="clear" w:pos="1134"/>
          <w:tab w:val="clear" w:pos="1701"/>
          <w:tab w:val="clear" w:pos="2268"/>
          <w:tab w:val="clear" w:pos="2835"/>
        </w:tabs>
        <w:overflowPunct/>
        <w:autoSpaceDE/>
        <w:autoSpaceDN/>
        <w:adjustRightInd/>
        <w:spacing w:before="0"/>
        <w:rPr>
          <w:rFonts w:ascii="Times New Roman" w:hAnsi="Times New Roman"/>
          <w:color w:val="444444"/>
          <w:szCs w:val="24"/>
          <w:lang w:eastAsia="en-GB"/>
        </w:rPr>
      </w:pPr>
      <w:r w:rsidRPr="00CD2D51">
        <w:rPr>
          <w:rFonts w:ascii="Times New Roman" w:hAnsi="Times New Roman"/>
          <w:color w:val="444444"/>
          <w:szCs w:val="24"/>
          <w:lang w:eastAsia="en-GB"/>
        </w:rPr>
        <w:t>The ISCG Chair, will be appointed by the ISCG, preferably from the ISCG management team, shortly after the Plenipotentiary Conference, for a term of four years, in accordance with the requirements of Resolution 208 (Rev. Bucharest, 2022). The term of office as ISCG Chair might be extended to the subsequent interval between Plenipotentiary Conferences if no other candidates are nominated for the position of ISCG Chair.</w:t>
      </w:r>
    </w:p>
    <w:p w14:paraId="2CFF53DA" w14:textId="77777777" w:rsidR="0011338E" w:rsidRPr="00CD2D51" w:rsidRDefault="0011338E" w:rsidP="0011338E">
      <w:pPr>
        <w:numPr>
          <w:ilvl w:val="0"/>
          <w:numId w:val="4"/>
        </w:numPr>
        <w:shd w:val="clear" w:color="auto" w:fill="FFFFFF"/>
        <w:tabs>
          <w:tab w:val="clear" w:pos="567"/>
          <w:tab w:val="clear" w:pos="1134"/>
          <w:tab w:val="clear" w:pos="1701"/>
          <w:tab w:val="clear" w:pos="2268"/>
          <w:tab w:val="clear" w:pos="2835"/>
        </w:tabs>
        <w:overflowPunct/>
        <w:autoSpaceDE/>
        <w:autoSpaceDN/>
        <w:adjustRightInd/>
        <w:spacing w:before="0"/>
        <w:rPr>
          <w:rFonts w:ascii="Times New Roman" w:hAnsi="Times New Roman"/>
          <w:color w:val="444444"/>
          <w:szCs w:val="24"/>
          <w:lang w:eastAsia="en-GB"/>
        </w:rPr>
      </w:pPr>
      <w:r w:rsidRPr="00CD2D51">
        <w:rPr>
          <w:rFonts w:ascii="Times New Roman" w:hAnsi="Times New Roman"/>
          <w:color w:val="444444"/>
          <w:szCs w:val="24"/>
          <w:bdr w:val="none" w:sz="0" w:space="0" w:color="auto" w:frame="1"/>
          <w:lang w:eastAsia="en-GB"/>
        </w:rPr>
        <w:t>The composition of the ISCG will be published on the ISCG website.</w:t>
      </w:r>
    </w:p>
    <w:p w14:paraId="5A408FDC" w14:textId="77777777" w:rsidR="0011338E" w:rsidRPr="00CD2D51" w:rsidRDefault="0011338E" w:rsidP="0011338E">
      <w:pPr>
        <w:numPr>
          <w:ilvl w:val="0"/>
          <w:numId w:val="4"/>
        </w:numPr>
        <w:shd w:val="clear" w:color="auto" w:fill="FFFFFF"/>
        <w:tabs>
          <w:tab w:val="clear" w:pos="567"/>
          <w:tab w:val="clear" w:pos="1134"/>
          <w:tab w:val="clear" w:pos="1701"/>
          <w:tab w:val="clear" w:pos="2268"/>
          <w:tab w:val="clear" w:pos="2835"/>
        </w:tabs>
        <w:overflowPunct/>
        <w:autoSpaceDE/>
        <w:autoSpaceDN/>
        <w:adjustRightInd/>
        <w:spacing w:before="0"/>
        <w:rPr>
          <w:rFonts w:ascii="Times New Roman" w:hAnsi="Times New Roman"/>
          <w:color w:val="444444"/>
          <w:szCs w:val="24"/>
          <w:lang w:eastAsia="en-GB"/>
        </w:rPr>
      </w:pPr>
      <w:r w:rsidRPr="00CD2D51">
        <w:rPr>
          <w:rFonts w:ascii="Times New Roman" w:hAnsi="Times New Roman"/>
          <w:color w:val="444444"/>
          <w:szCs w:val="24"/>
          <w:bdr w:val="none" w:sz="0" w:space="0" w:color="auto" w:frame="1"/>
          <w:lang w:eastAsia="en-GB"/>
        </w:rPr>
        <w:t>The coordinators by subject of common interest will also be informed on the ISCG website).</w:t>
      </w:r>
    </w:p>
    <w:p w14:paraId="79DBD791" w14:textId="77777777" w:rsidR="0011338E" w:rsidRPr="00CD2D51" w:rsidRDefault="0011338E" w:rsidP="0011338E">
      <w:pPr>
        <w:numPr>
          <w:ilvl w:val="0"/>
          <w:numId w:val="4"/>
        </w:numPr>
        <w:shd w:val="clear" w:color="auto" w:fill="FFFFFF"/>
        <w:tabs>
          <w:tab w:val="clear" w:pos="567"/>
          <w:tab w:val="clear" w:pos="1134"/>
          <w:tab w:val="clear" w:pos="1701"/>
          <w:tab w:val="clear" w:pos="2268"/>
          <w:tab w:val="clear" w:pos="2835"/>
        </w:tabs>
        <w:overflowPunct/>
        <w:autoSpaceDE/>
        <w:autoSpaceDN/>
        <w:adjustRightInd/>
        <w:spacing w:before="0"/>
        <w:rPr>
          <w:rFonts w:ascii="Times New Roman" w:hAnsi="Times New Roman"/>
          <w:color w:val="444444"/>
          <w:szCs w:val="24"/>
          <w:lang w:eastAsia="en-GB"/>
        </w:rPr>
      </w:pPr>
      <w:r w:rsidRPr="00CD2D51">
        <w:rPr>
          <w:rFonts w:ascii="Times New Roman" w:hAnsi="Times New Roman"/>
          <w:color w:val="444444"/>
          <w:szCs w:val="24"/>
          <w:bdr w:val="none" w:sz="0" w:space="0" w:color="auto" w:frame="1"/>
          <w:lang w:eastAsia="en-GB"/>
        </w:rPr>
        <w:t>The ISCG will be open to Member States and Sector members</w:t>
      </w:r>
      <w:r w:rsidRPr="00CD2D51">
        <w:rPr>
          <w:rFonts w:ascii="Times New Roman" w:hAnsi="Times New Roman"/>
          <w:color w:val="444444"/>
          <w:szCs w:val="24"/>
          <w:lang w:eastAsia="en-GB"/>
        </w:rPr>
        <w:t>.</w:t>
      </w:r>
    </w:p>
    <w:p w14:paraId="01E9BE0E" w14:textId="77777777" w:rsidR="0011338E" w:rsidRDefault="0011338E" w:rsidP="0011338E">
      <w:pPr>
        <w:shd w:val="clear" w:color="auto" w:fill="FFFFFF"/>
        <w:tabs>
          <w:tab w:val="clear" w:pos="567"/>
          <w:tab w:val="clear" w:pos="1134"/>
          <w:tab w:val="clear" w:pos="1701"/>
          <w:tab w:val="clear" w:pos="2268"/>
          <w:tab w:val="clear" w:pos="2835"/>
        </w:tabs>
        <w:overflowPunct/>
        <w:autoSpaceDE/>
        <w:autoSpaceDN/>
        <w:adjustRightInd/>
        <w:spacing w:before="0"/>
        <w:jc w:val="both"/>
        <w:rPr>
          <w:rFonts w:ascii="Times New Roman" w:hAnsi="Times New Roman"/>
          <w:b/>
          <w:bCs/>
          <w:color w:val="444444"/>
          <w:szCs w:val="24"/>
          <w:bdr w:val="none" w:sz="0" w:space="0" w:color="auto" w:frame="1"/>
          <w:lang w:eastAsia="en-GB"/>
        </w:rPr>
      </w:pPr>
    </w:p>
    <w:p w14:paraId="7F2CD39B" w14:textId="77777777" w:rsidR="0011338E" w:rsidRDefault="0011338E" w:rsidP="0011338E">
      <w:pPr>
        <w:shd w:val="clear" w:color="auto" w:fill="FFFFFF"/>
        <w:tabs>
          <w:tab w:val="clear" w:pos="567"/>
          <w:tab w:val="clear" w:pos="1134"/>
          <w:tab w:val="clear" w:pos="1701"/>
          <w:tab w:val="clear" w:pos="2268"/>
          <w:tab w:val="clear" w:pos="2835"/>
        </w:tabs>
        <w:overflowPunct/>
        <w:autoSpaceDE/>
        <w:autoSpaceDN/>
        <w:adjustRightInd/>
        <w:spacing w:before="0"/>
        <w:jc w:val="both"/>
        <w:rPr>
          <w:rFonts w:ascii="Times New Roman" w:hAnsi="Times New Roman"/>
          <w:b/>
          <w:bCs/>
          <w:color w:val="444444"/>
          <w:szCs w:val="24"/>
          <w:bdr w:val="none" w:sz="0" w:space="0" w:color="auto" w:frame="1"/>
          <w:lang w:eastAsia="en-GB"/>
        </w:rPr>
      </w:pPr>
      <w:r w:rsidRPr="00CD2D51">
        <w:rPr>
          <w:rFonts w:ascii="Times New Roman" w:hAnsi="Times New Roman"/>
          <w:b/>
          <w:bCs/>
          <w:color w:val="444444"/>
          <w:szCs w:val="24"/>
          <w:bdr w:val="none" w:sz="0" w:space="0" w:color="auto" w:frame="1"/>
          <w:lang w:eastAsia="en-GB"/>
        </w:rPr>
        <w:t>Secretariat support</w:t>
      </w:r>
    </w:p>
    <w:p w14:paraId="75BEEE2C" w14:textId="77777777" w:rsidR="0011338E" w:rsidRDefault="0011338E" w:rsidP="0011338E">
      <w:pPr>
        <w:shd w:val="clear" w:color="auto" w:fill="FFFFFF"/>
        <w:tabs>
          <w:tab w:val="clear" w:pos="567"/>
          <w:tab w:val="clear" w:pos="1134"/>
          <w:tab w:val="clear" w:pos="1701"/>
          <w:tab w:val="clear" w:pos="2268"/>
          <w:tab w:val="clear" w:pos="2835"/>
        </w:tabs>
        <w:overflowPunct/>
        <w:autoSpaceDE/>
        <w:autoSpaceDN/>
        <w:adjustRightInd/>
        <w:spacing w:before="0"/>
        <w:jc w:val="both"/>
        <w:rPr>
          <w:rFonts w:ascii="Times New Roman" w:hAnsi="Times New Roman"/>
          <w:color w:val="444444"/>
          <w:szCs w:val="24"/>
          <w:lang w:eastAsia="en-GB"/>
        </w:rPr>
      </w:pPr>
    </w:p>
    <w:p w14:paraId="38C4117C" w14:textId="77777777" w:rsidR="0011338E" w:rsidRPr="00CD2D51" w:rsidRDefault="0011338E" w:rsidP="0011338E">
      <w:pPr>
        <w:shd w:val="clear" w:color="auto" w:fill="FFFFFF"/>
        <w:tabs>
          <w:tab w:val="clear" w:pos="567"/>
          <w:tab w:val="clear" w:pos="1134"/>
          <w:tab w:val="clear" w:pos="1701"/>
          <w:tab w:val="clear" w:pos="2268"/>
          <w:tab w:val="clear" w:pos="2835"/>
        </w:tabs>
        <w:overflowPunct/>
        <w:autoSpaceDE/>
        <w:autoSpaceDN/>
        <w:adjustRightInd/>
        <w:spacing w:before="0" w:after="150"/>
        <w:jc w:val="both"/>
        <w:rPr>
          <w:rFonts w:ascii="Times New Roman" w:hAnsi="Times New Roman"/>
          <w:color w:val="444444"/>
          <w:szCs w:val="24"/>
          <w:lang w:eastAsia="en-GB"/>
        </w:rPr>
      </w:pPr>
      <w:r w:rsidRPr="00CD2D51">
        <w:rPr>
          <w:rFonts w:ascii="Times New Roman" w:hAnsi="Times New Roman"/>
          <w:color w:val="444444"/>
          <w:szCs w:val="24"/>
          <w:lang w:eastAsia="en-GB"/>
        </w:rPr>
        <w:t>The support of the group activity will be provided in accordance with Resolution 191 (Rev. Bucharest, 2022).</w:t>
      </w:r>
    </w:p>
    <w:p w14:paraId="54DF937E" w14:textId="77777777" w:rsidR="0011338E" w:rsidRDefault="0011338E" w:rsidP="0011338E">
      <w:pPr>
        <w:shd w:val="clear" w:color="auto" w:fill="FFFFFF"/>
        <w:tabs>
          <w:tab w:val="clear" w:pos="567"/>
          <w:tab w:val="clear" w:pos="1134"/>
          <w:tab w:val="clear" w:pos="1701"/>
          <w:tab w:val="clear" w:pos="2268"/>
          <w:tab w:val="clear" w:pos="2835"/>
        </w:tabs>
        <w:overflowPunct/>
        <w:autoSpaceDE/>
        <w:autoSpaceDN/>
        <w:adjustRightInd/>
        <w:spacing w:before="0"/>
        <w:jc w:val="both"/>
        <w:rPr>
          <w:rFonts w:ascii="Times New Roman" w:hAnsi="Times New Roman"/>
          <w:b/>
          <w:bCs/>
          <w:color w:val="444444"/>
          <w:szCs w:val="24"/>
          <w:bdr w:val="none" w:sz="0" w:space="0" w:color="auto" w:frame="1"/>
          <w:lang w:eastAsia="en-GB"/>
        </w:rPr>
      </w:pPr>
      <w:r w:rsidRPr="00CD2D51">
        <w:rPr>
          <w:rFonts w:ascii="Times New Roman" w:hAnsi="Times New Roman"/>
          <w:b/>
          <w:bCs/>
          <w:color w:val="444444"/>
          <w:szCs w:val="24"/>
          <w:bdr w:val="none" w:sz="0" w:space="0" w:color="auto" w:frame="1"/>
          <w:lang w:eastAsia="en-GB"/>
        </w:rPr>
        <w:t>Working methods:</w:t>
      </w:r>
    </w:p>
    <w:p w14:paraId="202A33A0" w14:textId="77777777" w:rsidR="0011338E" w:rsidRPr="00CD2D51" w:rsidRDefault="0011338E" w:rsidP="0011338E">
      <w:pPr>
        <w:shd w:val="clear" w:color="auto" w:fill="FFFFFF"/>
        <w:tabs>
          <w:tab w:val="clear" w:pos="567"/>
          <w:tab w:val="clear" w:pos="1134"/>
          <w:tab w:val="clear" w:pos="1701"/>
          <w:tab w:val="clear" w:pos="2268"/>
          <w:tab w:val="clear" w:pos="2835"/>
        </w:tabs>
        <w:overflowPunct/>
        <w:autoSpaceDE/>
        <w:autoSpaceDN/>
        <w:adjustRightInd/>
        <w:spacing w:before="0"/>
        <w:jc w:val="both"/>
        <w:rPr>
          <w:rFonts w:ascii="Times New Roman" w:hAnsi="Times New Roman"/>
          <w:color w:val="444444"/>
          <w:szCs w:val="24"/>
          <w:lang w:eastAsia="en-GB"/>
        </w:rPr>
      </w:pPr>
    </w:p>
    <w:p w14:paraId="0E0B355A" w14:textId="77777777" w:rsidR="0011338E" w:rsidRPr="00CD2D51" w:rsidRDefault="0011338E" w:rsidP="0011338E">
      <w:pPr>
        <w:numPr>
          <w:ilvl w:val="0"/>
          <w:numId w:val="5"/>
        </w:numPr>
        <w:shd w:val="clear" w:color="auto" w:fill="FFFFFF"/>
        <w:tabs>
          <w:tab w:val="clear" w:pos="567"/>
          <w:tab w:val="clear" w:pos="1134"/>
          <w:tab w:val="clear" w:pos="1701"/>
          <w:tab w:val="clear" w:pos="2268"/>
          <w:tab w:val="clear" w:pos="2835"/>
        </w:tabs>
        <w:overflowPunct/>
        <w:autoSpaceDE/>
        <w:autoSpaceDN/>
        <w:adjustRightInd/>
        <w:spacing w:before="0"/>
        <w:rPr>
          <w:rFonts w:ascii="Times New Roman" w:hAnsi="Times New Roman"/>
          <w:color w:val="444444"/>
          <w:szCs w:val="24"/>
          <w:lang w:eastAsia="en-GB"/>
        </w:rPr>
      </w:pPr>
      <w:r w:rsidRPr="00CD2D51">
        <w:rPr>
          <w:rFonts w:ascii="Times New Roman" w:hAnsi="Times New Roman"/>
          <w:color w:val="444444"/>
          <w:szCs w:val="24"/>
          <w:bdr w:val="none" w:sz="0" w:space="0" w:color="auto" w:frame="1"/>
          <w:lang w:eastAsia="en-GB"/>
        </w:rPr>
        <w:t>The ISCG interactions may include e-mail exchange via the e-mail list or through electronic meetings.</w:t>
      </w:r>
    </w:p>
    <w:p w14:paraId="5F0A8853" w14:textId="77777777" w:rsidR="0011338E" w:rsidRPr="00CD2D51" w:rsidRDefault="0011338E" w:rsidP="0011338E">
      <w:pPr>
        <w:numPr>
          <w:ilvl w:val="0"/>
          <w:numId w:val="5"/>
        </w:numPr>
        <w:shd w:val="clear" w:color="auto" w:fill="FFFFFF"/>
        <w:tabs>
          <w:tab w:val="clear" w:pos="567"/>
          <w:tab w:val="clear" w:pos="1134"/>
          <w:tab w:val="clear" w:pos="1701"/>
          <w:tab w:val="clear" w:pos="2268"/>
          <w:tab w:val="clear" w:pos="2835"/>
        </w:tabs>
        <w:overflowPunct/>
        <w:autoSpaceDE/>
        <w:autoSpaceDN/>
        <w:adjustRightInd/>
        <w:spacing w:before="0"/>
        <w:rPr>
          <w:rFonts w:ascii="Times New Roman" w:hAnsi="Times New Roman"/>
          <w:color w:val="444444"/>
          <w:szCs w:val="24"/>
          <w:lang w:eastAsia="en-GB"/>
        </w:rPr>
      </w:pPr>
      <w:r w:rsidRPr="00CD2D51">
        <w:rPr>
          <w:rFonts w:ascii="Times New Roman" w:hAnsi="Times New Roman"/>
          <w:color w:val="444444"/>
          <w:szCs w:val="24"/>
          <w:lang w:eastAsia="en-GB"/>
        </w:rPr>
        <w:t>The ISCG will use the e-mail list </w:t>
      </w:r>
      <w:hyperlink r:id="rId19" w:history="1">
        <w:r w:rsidRPr="00CD2D51">
          <w:rPr>
            <w:rFonts w:ascii="Times New Roman" w:hAnsi="Times New Roman"/>
            <w:color w:val="3789BD"/>
            <w:szCs w:val="24"/>
            <w:u w:val="single"/>
            <w:bdr w:val="none" w:sz="0" w:space="0" w:color="auto" w:frame="1"/>
            <w:lang w:eastAsia="en-GB"/>
          </w:rPr>
          <w:t>int-sect-group@lists.itu.int</w:t>
        </w:r>
      </w:hyperlink>
    </w:p>
    <w:p w14:paraId="321CAEB2" w14:textId="77777777" w:rsidR="0011338E" w:rsidRPr="00CD2D51" w:rsidRDefault="0011338E" w:rsidP="0011338E">
      <w:pPr>
        <w:numPr>
          <w:ilvl w:val="0"/>
          <w:numId w:val="5"/>
        </w:numPr>
        <w:shd w:val="clear" w:color="auto" w:fill="FFFFFF"/>
        <w:tabs>
          <w:tab w:val="clear" w:pos="567"/>
          <w:tab w:val="clear" w:pos="1134"/>
          <w:tab w:val="clear" w:pos="1701"/>
          <w:tab w:val="clear" w:pos="2268"/>
          <w:tab w:val="clear" w:pos="2835"/>
        </w:tabs>
        <w:overflowPunct/>
        <w:autoSpaceDE/>
        <w:autoSpaceDN/>
        <w:adjustRightInd/>
        <w:spacing w:before="0"/>
        <w:rPr>
          <w:rFonts w:ascii="Times New Roman" w:hAnsi="Times New Roman"/>
          <w:color w:val="444444"/>
          <w:szCs w:val="24"/>
          <w:lang w:eastAsia="en-GB"/>
        </w:rPr>
      </w:pPr>
      <w:r w:rsidRPr="00CD2D51">
        <w:rPr>
          <w:rFonts w:ascii="Times New Roman" w:hAnsi="Times New Roman"/>
          <w:color w:val="444444"/>
          <w:szCs w:val="24"/>
          <w:lang w:eastAsia="en-GB"/>
        </w:rPr>
        <w:t>Possible physical meetings may be held, preferably in conjunction with advisory group meetings, and within available resources, and will be announced on the ITU calendar of events.</w:t>
      </w:r>
    </w:p>
    <w:p w14:paraId="1166B4A4" w14:textId="77777777" w:rsidR="0011338E" w:rsidRPr="00CD2D51" w:rsidRDefault="0011338E" w:rsidP="0011338E">
      <w:pPr>
        <w:numPr>
          <w:ilvl w:val="0"/>
          <w:numId w:val="5"/>
        </w:numPr>
        <w:shd w:val="clear" w:color="auto" w:fill="FFFFFF"/>
        <w:tabs>
          <w:tab w:val="clear" w:pos="567"/>
          <w:tab w:val="clear" w:pos="1134"/>
          <w:tab w:val="clear" w:pos="1701"/>
          <w:tab w:val="clear" w:pos="2268"/>
          <w:tab w:val="clear" w:pos="2835"/>
        </w:tabs>
        <w:overflowPunct/>
        <w:autoSpaceDE/>
        <w:autoSpaceDN/>
        <w:adjustRightInd/>
        <w:spacing w:before="0"/>
        <w:rPr>
          <w:rFonts w:ascii="Times New Roman" w:hAnsi="Times New Roman"/>
          <w:color w:val="444444"/>
          <w:szCs w:val="24"/>
          <w:lang w:eastAsia="en-GB"/>
        </w:rPr>
      </w:pPr>
      <w:r w:rsidRPr="00CD2D51">
        <w:rPr>
          <w:rFonts w:ascii="Times New Roman" w:hAnsi="Times New Roman"/>
          <w:color w:val="444444"/>
          <w:szCs w:val="24"/>
          <w:lang w:eastAsia="en-GB"/>
        </w:rPr>
        <w:t>The coordinators by subject of common interest will work through electronic means and coordinate their own meetings, whenever needed.</w:t>
      </w:r>
    </w:p>
    <w:p w14:paraId="2C2CA01E" w14:textId="77777777" w:rsidR="0011338E" w:rsidRPr="00CD2D51" w:rsidRDefault="0011338E" w:rsidP="0011338E">
      <w:pPr>
        <w:numPr>
          <w:ilvl w:val="0"/>
          <w:numId w:val="5"/>
        </w:numPr>
        <w:shd w:val="clear" w:color="auto" w:fill="FFFFFF"/>
        <w:tabs>
          <w:tab w:val="clear" w:pos="567"/>
          <w:tab w:val="clear" w:pos="1134"/>
          <w:tab w:val="clear" w:pos="1701"/>
          <w:tab w:val="clear" w:pos="2268"/>
          <w:tab w:val="clear" w:pos="2835"/>
        </w:tabs>
        <w:overflowPunct/>
        <w:autoSpaceDE/>
        <w:autoSpaceDN/>
        <w:adjustRightInd/>
        <w:spacing w:before="0"/>
        <w:rPr>
          <w:rFonts w:ascii="Times New Roman" w:hAnsi="Times New Roman"/>
          <w:color w:val="444444"/>
          <w:szCs w:val="24"/>
          <w:lang w:eastAsia="en-GB"/>
        </w:rPr>
      </w:pPr>
      <w:r w:rsidRPr="00CD2D51">
        <w:rPr>
          <w:rFonts w:ascii="Times New Roman" w:hAnsi="Times New Roman"/>
          <w:color w:val="444444"/>
          <w:szCs w:val="24"/>
          <w:lang w:eastAsia="en-GB"/>
        </w:rPr>
        <w:t>A dedicated </w:t>
      </w:r>
      <w:hyperlink r:id="rId20" w:history="1">
        <w:r w:rsidRPr="00CD2D51">
          <w:rPr>
            <w:rFonts w:ascii="Times New Roman" w:hAnsi="Times New Roman"/>
            <w:color w:val="3789BD"/>
            <w:szCs w:val="24"/>
            <w:u w:val="single"/>
            <w:bdr w:val="none" w:sz="0" w:space="0" w:color="auto" w:frame="1"/>
            <w:lang w:eastAsia="en-GB"/>
          </w:rPr>
          <w:t>ISCG website</w:t>
        </w:r>
      </w:hyperlink>
      <w:r w:rsidRPr="00CD2D51">
        <w:rPr>
          <w:rFonts w:ascii="Times New Roman" w:hAnsi="Times New Roman"/>
          <w:color w:val="444444"/>
          <w:szCs w:val="24"/>
          <w:lang w:eastAsia="en-GB"/>
        </w:rPr>
        <w:t> is developed, including links to the Sector advisory groups.</w:t>
      </w:r>
    </w:p>
    <w:p w14:paraId="47075CA4" w14:textId="77777777" w:rsidR="0011338E" w:rsidRDefault="0011338E" w:rsidP="0011338E">
      <w:pPr>
        <w:shd w:val="clear" w:color="auto" w:fill="FFFFFF"/>
        <w:tabs>
          <w:tab w:val="clear" w:pos="567"/>
          <w:tab w:val="clear" w:pos="1134"/>
          <w:tab w:val="clear" w:pos="1701"/>
          <w:tab w:val="clear" w:pos="2268"/>
          <w:tab w:val="clear" w:pos="2835"/>
        </w:tabs>
        <w:overflowPunct/>
        <w:autoSpaceDE/>
        <w:autoSpaceDN/>
        <w:adjustRightInd/>
        <w:spacing w:before="0" w:after="150"/>
        <w:rPr>
          <w:rFonts w:ascii="Times New Roman" w:hAnsi="Times New Roman"/>
          <w:color w:val="444444"/>
          <w:szCs w:val="24"/>
          <w:lang w:eastAsia="en-GB"/>
        </w:rPr>
      </w:pPr>
    </w:p>
    <w:p w14:paraId="0079CCD5" w14:textId="77777777" w:rsidR="0011338E" w:rsidRPr="00CD2D51" w:rsidRDefault="0011338E" w:rsidP="0011338E">
      <w:pPr>
        <w:shd w:val="clear" w:color="auto" w:fill="FFFFFF"/>
        <w:tabs>
          <w:tab w:val="clear" w:pos="567"/>
          <w:tab w:val="clear" w:pos="1134"/>
          <w:tab w:val="clear" w:pos="1701"/>
          <w:tab w:val="clear" w:pos="2268"/>
          <w:tab w:val="clear" w:pos="2835"/>
        </w:tabs>
        <w:overflowPunct/>
        <w:autoSpaceDE/>
        <w:autoSpaceDN/>
        <w:adjustRightInd/>
        <w:spacing w:before="0" w:after="150"/>
        <w:rPr>
          <w:rFonts w:ascii="Times New Roman" w:hAnsi="Times New Roman"/>
          <w:color w:val="444444"/>
          <w:szCs w:val="24"/>
          <w:lang w:eastAsia="en-GB"/>
        </w:rPr>
      </w:pPr>
      <w:r w:rsidRPr="00CD2D51">
        <w:rPr>
          <w:rFonts w:ascii="Times New Roman" w:hAnsi="Times New Roman"/>
          <w:color w:val="444444"/>
          <w:szCs w:val="24"/>
          <w:lang w:eastAsia="en-GB"/>
        </w:rPr>
        <w:t>Last updated in February 2025.</w:t>
      </w:r>
    </w:p>
    <w:p w14:paraId="5BB3C545" w14:textId="77777777" w:rsidR="0011338E" w:rsidRDefault="0011338E" w:rsidP="0011338E">
      <w:pPr>
        <w:rPr>
          <w:rFonts w:asciiTheme="majorBidi" w:hAnsiTheme="majorBidi" w:cstheme="majorBidi"/>
        </w:rPr>
      </w:pPr>
    </w:p>
    <w:p w14:paraId="34B8244F" w14:textId="752DB7FE" w:rsidR="00465B55" w:rsidRPr="0011338E" w:rsidRDefault="00465B55" w:rsidP="00465B55">
      <w:pPr>
        <w:jc w:val="center"/>
        <w:rPr>
          <w:rFonts w:asciiTheme="majorBidi" w:hAnsiTheme="majorBidi" w:cstheme="majorBidi"/>
        </w:rPr>
      </w:pPr>
      <w:r>
        <w:rPr>
          <w:rFonts w:asciiTheme="majorBidi" w:hAnsiTheme="majorBidi" w:cstheme="majorBidi"/>
        </w:rPr>
        <w:t>_____________________</w:t>
      </w:r>
    </w:p>
    <w:sectPr w:rsidR="00465B55" w:rsidRPr="0011338E" w:rsidSect="00A307A9">
      <w:headerReference w:type="default" r:id="rId21"/>
      <w:headerReference w:type="first" r:id="rId22"/>
      <w:pgSz w:w="11907" w:h="16834"/>
      <w:pgMar w:top="900" w:right="1418" w:bottom="90"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9ECBA" w14:textId="77777777" w:rsidR="00CE3F2D" w:rsidRDefault="00CE3F2D">
      <w:r>
        <w:separator/>
      </w:r>
    </w:p>
  </w:endnote>
  <w:endnote w:type="continuationSeparator" w:id="0">
    <w:p w14:paraId="722C7883" w14:textId="77777777" w:rsidR="00CE3F2D" w:rsidRDefault="00CE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12D51"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22F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C4AEA" w14:textId="77777777" w:rsidR="00CE3F2D" w:rsidRDefault="00CE3F2D">
      <w:r>
        <w:t>____________________</w:t>
      </w:r>
    </w:p>
  </w:footnote>
  <w:footnote w:type="continuationSeparator" w:id="0">
    <w:p w14:paraId="06777AFE" w14:textId="77777777" w:rsidR="00CE3F2D" w:rsidRDefault="00CE3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81235" w14:textId="77777777" w:rsidR="00465B55" w:rsidRPr="00A307A9" w:rsidRDefault="00465B55" w:rsidP="00465B55">
    <w:pPr>
      <w:tabs>
        <w:tab w:val="clear" w:pos="567"/>
        <w:tab w:val="clear" w:pos="1134"/>
        <w:tab w:val="clear" w:pos="1701"/>
        <w:tab w:val="clear" w:pos="2268"/>
        <w:tab w:val="clear" w:pos="2835"/>
      </w:tabs>
      <w:spacing w:before="0"/>
      <w:jc w:val="center"/>
      <w:rPr>
        <w:rFonts w:ascii="Times New Roman" w:hAnsi="Times New Roman"/>
        <w:sz w:val="18"/>
      </w:rPr>
    </w:pPr>
    <w:r w:rsidRPr="00A307A9">
      <w:rPr>
        <w:rFonts w:ascii="Times New Roman" w:hAnsi="Times New Roman"/>
        <w:sz w:val="18"/>
      </w:rPr>
      <w:fldChar w:fldCharType="begin"/>
    </w:r>
    <w:r w:rsidRPr="00A307A9">
      <w:rPr>
        <w:rFonts w:ascii="Times New Roman" w:hAnsi="Times New Roman"/>
        <w:sz w:val="18"/>
      </w:rPr>
      <w:instrText xml:space="preserve"> PAGE  \* MERGEFORMAT </w:instrText>
    </w:r>
    <w:r w:rsidRPr="00A307A9">
      <w:rPr>
        <w:rFonts w:ascii="Times New Roman" w:hAnsi="Times New Roman"/>
        <w:sz w:val="18"/>
      </w:rPr>
      <w:fldChar w:fldCharType="separate"/>
    </w:r>
    <w:r>
      <w:rPr>
        <w:rFonts w:ascii="Times New Roman" w:hAnsi="Times New Roman"/>
        <w:sz w:val="18"/>
      </w:rPr>
      <w:t>2</w:t>
    </w:r>
    <w:r w:rsidRPr="00A307A9">
      <w:rPr>
        <w:rFonts w:ascii="Times New Roman" w:hAnsi="Times New Roman"/>
        <w:sz w:val="18"/>
      </w:rPr>
      <w:fldChar w:fldCharType="end"/>
    </w:r>
    <w:r w:rsidRPr="00A307A9">
      <w:rPr>
        <w:rFonts w:ascii="Times New Roman" w:hAnsi="Times New Roman"/>
        <w:sz w:val="18"/>
      </w:rPr>
      <w:t xml:space="preserve"> -</w:t>
    </w:r>
  </w:p>
  <w:p w14:paraId="196F68E0" w14:textId="22843895" w:rsidR="00465B55" w:rsidRDefault="00465B55" w:rsidP="00465B55">
    <w:pPr>
      <w:tabs>
        <w:tab w:val="clear" w:pos="567"/>
        <w:tab w:val="clear" w:pos="1134"/>
        <w:tab w:val="clear" w:pos="1701"/>
        <w:tab w:val="clear" w:pos="2268"/>
        <w:tab w:val="clear" w:pos="2835"/>
      </w:tabs>
      <w:spacing w:before="0"/>
      <w:jc w:val="center"/>
      <w:rPr>
        <w:rFonts w:ascii="Times New Roman" w:hAnsi="Times New Roman"/>
        <w:sz w:val="18"/>
      </w:rPr>
    </w:pPr>
    <w:r w:rsidRPr="00A307A9">
      <w:rPr>
        <w:rFonts w:ascii="Times New Roman" w:hAnsi="Times New Roman"/>
        <w:sz w:val="18"/>
      </w:rPr>
      <w:fldChar w:fldCharType="begin"/>
    </w:r>
    <w:r w:rsidRPr="00A307A9">
      <w:rPr>
        <w:rFonts w:ascii="Times New Roman" w:hAnsi="Times New Roman"/>
        <w:sz w:val="18"/>
      </w:rPr>
      <w:instrText xml:space="preserve"> STYLEREF  Docnumber  </w:instrText>
    </w:r>
    <w:r w:rsidRPr="00A307A9">
      <w:rPr>
        <w:rFonts w:ascii="Times New Roman" w:hAnsi="Times New Roman"/>
        <w:sz w:val="18"/>
      </w:rPr>
      <w:fldChar w:fldCharType="separate"/>
    </w:r>
    <w:r>
      <w:rPr>
        <w:rFonts w:ascii="Times New Roman" w:hAnsi="Times New Roman"/>
        <w:noProof/>
        <w:sz w:val="18"/>
      </w:rPr>
      <w:t>TSAG-TD66</w:t>
    </w:r>
    <w:r w:rsidRPr="00A307A9">
      <w:rPr>
        <w:rFonts w:ascii="Times New Roman" w:hAnsi="Times New Roman"/>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E2AD6" w14:textId="77777777" w:rsidR="00A307A9" w:rsidRPr="00A307A9" w:rsidRDefault="00A307A9" w:rsidP="00A307A9">
    <w:pPr>
      <w:tabs>
        <w:tab w:val="clear" w:pos="567"/>
        <w:tab w:val="clear" w:pos="1134"/>
        <w:tab w:val="clear" w:pos="1701"/>
        <w:tab w:val="clear" w:pos="2268"/>
        <w:tab w:val="clear" w:pos="2835"/>
      </w:tabs>
      <w:spacing w:before="0"/>
      <w:jc w:val="center"/>
      <w:rPr>
        <w:rFonts w:ascii="Times New Roman" w:hAnsi="Times New Roman"/>
        <w:sz w:val="18"/>
      </w:rPr>
    </w:pPr>
    <w:r w:rsidRPr="00A307A9">
      <w:rPr>
        <w:rFonts w:ascii="Times New Roman" w:hAnsi="Times New Roman"/>
        <w:sz w:val="18"/>
      </w:rPr>
      <w:t xml:space="preserve">- </w:t>
    </w:r>
    <w:r w:rsidRPr="00A307A9">
      <w:rPr>
        <w:rFonts w:ascii="Times New Roman" w:hAnsi="Times New Roman"/>
        <w:sz w:val="18"/>
      </w:rPr>
      <w:fldChar w:fldCharType="begin"/>
    </w:r>
    <w:r w:rsidRPr="00A307A9">
      <w:rPr>
        <w:rFonts w:ascii="Times New Roman" w:hAnsi="Times New Roman"/>
        <w:sz w:val="18"/>
      </w:rPr>
      <w:instrText xml:space="preserve"> PAGE  \* MERGEFORMAT </w:instrText>
    </w:r>
    <w:r w:rsidRPr="00A307A9">
      <w:rPr>
        <w:rFonts w:ascii="Times New Roman" w:hAnsi="Times New Roman"/>
        <w:sz w:val="18"/>
      </w:rPr>
      <w:fldChar w:fldCharType="separate"/>
    </w:r>
    <w:r w:rsidRPr="00A307A9">
      <w:rPr>
        <w:rFonts w:ascii="Times New Roman" w:hAnsi="Times New Roman"/>
        <w:sz w:val="18"/>
      </w:rPr>
      <w:t>2</w:t>
    </w:r>
    <w:r w:rsidRPr="00A307A9">
      <w:rPr>
        <w:rFonts w:ascii="Times New Roman" w:hAnsi="Times New Roman"/>
        <w:sz w:val="18"/>
      </w:rPr>
      <w:fldChar w:fldCharType="end"/>
    </w:r>
    <w:r w:rsidRPr="00A307A9">
      <w:rPr>
        <w:rFonts w:ascii="Times New Roman" w:hAnsi="Times New Roman"/>
        <w:sz w:val="18"/>
      </w:rPr>
      <w:t xml:space="preserve"> -</w:t>
    </w:r>
  </w:p>
  <w:p w14:paraId="7ACE3080" w14:textId="50CBECE9" w:rsidR="00A307A9" w:rsidRDefault="00A307A9" w:rsidP="00A307A9">
    <w:pPr>
      <w:tabs>
        <w:tab w:val="clear" w:pos="567"/>
        <w:tab w:val="clear" w:pos="1134"/>
        <w:tab w:val="clear" w:pos="1701"/>
        <w:tab w:val="clear" w:pos="2268"/>
        <w:tab w:val="clear" w:pos="2835"/>
      </w:tabs>
      <w:spacing w:before="0"/>
      <w:jc w:val="center"/>
      <w:rPr>
        <w:rFonts w:ascii="Times New Roman" w:hAnsi="Times New Roman"/>
        <w:sz w:val="18"/>
      </w:rPr>
    </w:pPr>
    <w:r w:rsidRPr="00A307A9">
      <w:rPr>
        <w:rFonts w:ascii="Times New Roman" w:hAnsi="Times New Roman"/>
        <w:sz w:val="18"/>
      </w:rPr>
      <w:fldChar w:fldCharType="begin"/>
    </w:r>
    <w:r w:rsidRPr="00A307A9">
      <w:rPr>
        <w:rFonts w:ascii="Times New Roman" w:hAnsi="Times New Roman"/>
        <w:sz w:val="18"/>
      </w:rPr>
      <w:instrText xml:space="preserve"> STYLEREF  Docnumber  </w:instrText>
    </w:r>
    <w:r w:rsidRPr="00A307A9">
      <w:rPr>
        <w:rFonts w:ascii="Times New Roman" w:hAnsi="Times New Roman"/>
        <w:sz w:val="18"/>
      </w:rPr>
      <w:fldChar w:fldCharType="separate"/>
    </w:r>
    <w:r w:rsidR="00465B55">
      <w:rPr>
        <w:rFonts w:ascii="Times New Roman" w:hAnsi="Times New Roman"/>
        <w:noProof/>
        <w:sz w:val="18"/>
      </w:rPr>
      <w:t>TSAG-TD66</w:t>
    </w:r>
    <w:r w:rsidRPr="00A307A9">
      <w:rPr>
        <w:rFonts w:ascii="Times New Roman" w:hAnsi="Times New Roman"/>
        <w:sz w:val="18"/>
      </w:rPr>
      <w:fldChar w:fldCharType="end"/>
    </w:r>
  </w:p>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307A9" w:rsidRPr="00784011" w14:paraId="79500B5B" w14:textId="77777777" w:rsidTr="008179C6">
      <w:trPr>
        <w:trHeight w:val="1304"/>
        <w:jc w:val="center"/>
      </w:trPr>
      <w:tc>
        <w:tcPr>
          <w:tcW w:w="6546" w:type="dxa"/>
        </w:tcPr>
        <w:p w14:paraId="7C2C35C9" w14:textId="77777777" w:rsidR="00A307A9" w:rsidRPr="009621F8" w:rsidRDefault="00A307A9" w:rsidP="00A307A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59264" behindDoc="0" locked="0" layoutInCell="1" allowOverlap="1" wp14:anchorId="0ED0A689" wp14:editId="75918EA3">
                    <wp:simplePos x="0" y="0"/>
                    <wp:positionH relativeFrom="column">
                      <wp:posOffset>1438380</wp:posOffset>
                    </wp:positionH>
                    <wp:positionV relativeFrom="paragraph">
                      <wp:posOffset>7620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65334D60" w14:textId="77777777" w:rsidR="00A307A9" w:rsidRDefault="00A307A9" w:rsidP="00A307A9">
                                <w:pPr>
                                  <w:spacing w:before="0"/>
                                  <w:ind w:left="-57"/>
                                </w:pPr>
                                <w:r>
                                  <w:rPr>
                                    <w:b/>
                                    <w:bCs/>
                                    <w:szCs w:val="24"/>
                                  </w:rPr>
                                  <w:t xml:space="preserve">Inter-Sector Coordination Group (ISCG) </w:t>
                                </w:r>
                                <w:r w:rsidRPr="00F74694">
                                  <w:rPr>
                                    <w:b/>
                                    <w:bCs/>
                                    <w:szCs w:val="24"/>
                                  </w:rPr>
                                  <w:t xml:space="preserve"> </w:t>
                                </w:r>
                                <w:r w:rsidRPr="00F74694">
                                  <w:rPr>
                                    <w:b/>
                                    <w:bCs/>
                                    <w:szCs w:val="24"/>
                                  </w:rPr>
                                  <w:br/>
                                </w:r>
                                <w:r>
                                  <w:rPr>
                                    <w:b/>
                                    <w:bCs/>
                                    <w:szCs w:val="24"/>
                                  </w:rPr>
                                  <w:t>on issues of mutual interest</w:t>
                                </w:r>
                                <w:r>
                                  <w:br/>
                                </w:r>
                                <w:r>
                                  <w:rPr>
                                    <w:sz w:val="20"/>
                                  </w:rPr>
                                  <w:t>Geneva, 12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ED0A689" id="_x0000_t202" coordsize="21600,21600" o:spt="202" path="m,l,21600r21600,l21600,xe">
                    <v:stroke joinstyle="miter"/>
                    <v:path gradientshapeok="t" o:connecttype="rect"/>
                  </v:shapetype>
                  <v:shape id="Text Box 2" o:spid="_x0000_s1026" type="#_x0000_t202" style="position:absolute;margin-left:113.25pt;margin-top:.6pt;width:314.9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E9NA3bfAAAACAEAAA8AAABkcnMvZG93bnJldi54bWxMj8tOwzAQRfdI/IM1SOyoQyBuFOJU&#10;qBKrwoKAUNk5sfNQ47EVu2369wwrWI7O1b1nys1iJ3YycxgdSrhfJcAMtk6P2Ev4/Hi5y4GFqFCr&#10;yaGRcDEBNtX1VakK7c74bk517BmVYCiUhCFGX3Ae2sFYFVbOGyTWudmqSOfccz2rM5XbiadJIrhV&#10;I9LCoLzZDqY91EcrIW8P30m33+a+fr2Izje7ty+xk/L2Znl+AhbNEv/C8KtP6lCRU+OOqAObJKSp&#10;yChKIAVGPM/EA7BGwjp7BF6V/P8D1Q8AAAD//wMAUEsBAi0AFAAGAAgAAAAhALaDOJL+AAAA4QEA&#10;ABMAAAAAAAAAAAAAAAAAAAAAAFtDb250ZW50X1R5cGVzXS54bWxQSwECLQAUAAYACAAAACEAOP0h&#10;/9YAAACUAQAACwAAAAAAAAAAAAAAAAAvAQAAX3JlbHMvLnJlbHNQSwECLQAUAAYACAAAACEAaDSp&#10;MhACAAD1AwAADgAAAAAAAAAAAAAAAAAuAgAAZHJzL2Uyb0RvYy54bWxQSwECLQAUAAYACAAAACEA&#10;T00Ddt8AAAAIAQAADwAAAAAAAAAAAAAAAABqBAAAZHJzL2Rvd25yZXYueG1sUEsFBgAAAAAEAAQA&#10;8wAAAHYFAAAAAA==&#10;" fillcolor="white [3212]" stroked="f">
                    <v:textbox style="mso-fit-shape-to-text:t" inset="1mm">
                      <w:txbxContent>
                        <w:p w14:paraId="65334D60" w14:textId="77777777" w:rsidR="00A307A9" w:rsidRDefault="00A307A9" w:rsidP="00A307A9">
                          <w:pPr>
                            <w:spacing w:before="0"/>
                            <w:ind w:left="-57"/>
                          </w:pPr>
                          <w:r>
                            <w:rPr>
                              <w:b/>
                              <w:bCs/>
                              <w:szCs w:val="24"/>
                            </w:rPr>
                            <w:t xml:space="preserve">Inter-Sector Coordination Group (ISCG) </w:t>
                          </w:r>
                          <w:r w:rsidRPr="00F74694">
                            <w:rPr>
                              <w:b/>
                              <w:bCs/>
                              <w:szCs w:val="24"/>
                            </w:rPr>
                            <w:t xml:space="preserve"> </w:t>
                          </w:r>
                          <w:r w:rsidRPr="00F74694">
                            <w:rPr>
                              <w:b/>
                              <w:bCs/>
                              <w:szCs w:val="24"/>
                            </w:rPr>
                            <w:br/>
                          </w:r>
                          <w:r>
                            <w:rPr>
                              <w:b/>
                              <w:bCs/>
                              <w:szCs w:val="24"/>
                            </w:rPr>
                            <w:t>on issues of mutual interest</w:t>
                          </w:r>
                          <w:r>
                            <w:br/>
                          </w:r>
                          <w:r>
                            <w:rPr>
                              <w:sz w:val="20"/>
                            </w:rPr>
                            <w:t>Geneva, 12 February 2025</w:t>
                          </w:r>
                        </w:p>
                      </w:txbxContent>
                    </v:textbox>
                  </v:shape>
                </w:pict>
              </mc:Fallback>
            </mc:AlternateContent>
          </w:r>
          <w:r>
            <w:rPr>
              <w:rFonts w:ascii="Arial" w:hAnsi="Arial" w:cs="Arial"/>
              <w:b/>
              <w:bCs/>
              <w:noProof/>
              <w:color w:val="009CD6"/>
              <w:sz w:val="36"/>
              <w:szCs w:val="36"/>
            </w:rPr>
            <w:drawing>
              <wp:inline distT="0" distB="0" distL="0" distR="0" wp14:anchorId="6C19FE3F" wp14:editId="3C3B9A9E">
                <wp:extent cx="3671597" cy="612000"/>
                <wp:effectExtent l="0" t="0" r="0" b="0"/>
                <wp:docPr id="156471037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47185F06" w14:textId="77777777" w:rsidR="00A307A9" w:rsidRDefault="00A307A9" w:rsidP="00A307A9">
          <w:pPr>
            <w:pStyle w:val="Header"/>
            <w:jc w:val="right"/>
            <w:rPr>
              <w:rFonts w:ascii="Arial" w:hAnsi="Arial" w:cs="Arial"/>
              <w:b/>
              <w:bCs/>
              <w:color w:val="009CD6"/>
              <w:szCs w:val="18"/>
            </w:rPr>
          </w:pPr>
        </w:p>
        <w:p w14:paraId="0D023E87" w14:textId="77777777" w:rsidR="00A307A9" w:rsidRDefault="00A307A9" w:rsidP="00A307A9">
          <w:pPr>
            <w:pStyle w:val="Header"/>
            <w:jc w:val="right"/>
            <w:rPr>
              <w:rFonts w:ascii="Arial" w:hAnsi="Arial" w:cs="Arial"/>
              <w:b/>
              <w:bCs/>
              <w:color w:val="009CD6"/>
              <w:szCs w:val="18"/>
            </w:rPr>
          </w:pPr>
        </w:p>
        <w:p w14:paraId="2A257040" w14:textId="77777777" w:rsidR="00A307A9" w:rsidRPr="00784011" w:rsidRDefault="00A307A9" w:rsidP="00A307A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06764F70" w14:textId="77777777" w:rsidR="00A307A9" w:rsidRPr="00A307A9" w:rsidRDefault="00A307A9" w:rsidP="00A307A9">
    <w:pPr>
      <w:pStyle w:val="Header"/>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AD6D82"/>
    <w:multiLevelType w:val="multilevel"/>
    <w:tmpl w:val="CD70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51C4E"/>
    <w:multiLevelType w:val="multilevel"/>
    <w:tmpl w:val="2C84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954A0"/>
    <w:multiLevelType w:val="multilevel"/>
    <w:tmpl w:val="A2485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EB0505"/>
    <w:multiLevelType w:val="multilevel"/>
    <w:tmpl w:val="9EBE4C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4816267">
    <w:abstractNumId w:val="0"/>
  </w:num>
  <w:num w:numId="2" w16cid:durableId="1981760082">
    <w:abstractNumId w:val="1"/>
  </w:num>
  <w:num w:numId="3" w16cid:durableId="1482844461">
    <w:abstractNumId w:val="2"/>
  </w:num>
  <w:num w:numId="4" w16cid:durableId="451217662">
    <w:abstractNumId w:val="4"/>
  </w:num>
  <w:num w:numId="5" w16cid:durableId="1106272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3C"/>
    <w:rsid w:val="00003A6D"/>
    <w:rsid w:val="000041A9"/>
    <w:rsid w:val="00004C8C"/>
    <w:rsid w:val="00006DB2"/>
    <w:rsid w:val="000120E4"/>
    <w:rsid w:val="000210D4"/>
    <w:rsid w:val="000525A1"/>
    <w:rsid w:val="00063016"/>
    <w:rsid w:val="00066795"/>
    <w:rsid w:val="00076AF6"/>
    <w:rsid w:val="00082ECE"/>
    <w:rsid w:val="00083FFB"/>
    <w:rsid w:val="00085CF2"/>
    <w:rsid w:val="000A1525"/>
    <w:rsid w:val="000B1705"/>
    <w:rsid w:val="000D75B2"/>
    <w:rsid w:val="000E78A8"/>
    <w:rsid w:val="000F6AB8"/>
    <w:rsid w:val="001121F5"/>
    <w:rsid w:val="0011338E"/>
    <w:rsid w:val="00122E3C"/>
    <w:rsid w:val="00130599"/>
    <w:rsid w:val="00131E18"/>
    <w:rsid w:val="00133FCB"/>
    <w:rsid w:val="001400DC"/>
    <w:rsid w:val="00140CE1"/>
    <w:rsid w:val="00147C54"/>
    <w:rsid w:val="0016259B"/>
    <w:rsid w:val="00165E44"/>
    <w:rsid w:val="0017539C"/>
    <w:rsid w:val="00175AC2"/>
    <w:rsid w:val="0017609F"/>
    <w:rsid w:val="001A3D68"/>
    <w:rsid w:val="001A7D1D"/>
    <w:rsid w:val="001B0595"/>
    <w:rsid w:val="001B51DD"/>
    <w:rsid w:val="001C628E"/>
    <w:rsid w:val="001D62DF"/>
    <w:rsid w:val="001E0F7B"/>
    <w:rsid w:val="001E0FBE"/>
    <w:rsid w:val="001E5FE7"/>
    <w:rsid w:val="00203C78"/>
    <w:rsid w:val="00205D4E"/>
    <w:rsid w:val="00206F80"/>
    <w:rsid w:val="002119FD"/>
    <w:rsid w:val="002130E0"/>
    <w:rsid w:val="00217C43"/>
    <w:rsid w:val="00227AAB"/>
    <w:rsid w:val="00242591"/>
    <w:rsid w:val="00244F7F"/>
    <w:rsid w:val="0025570E"/>
    <w:rsid w:val="002608B7"/>
    <w:rsid w:val="00264425"/>
    <w:rsid w:val="00265875"/>
    <w:rsid w:val="0027303B"/>
    <w:rsid w:val="0028109B"/>
    <w:rsid w:val="00282E8E"/>
    <w:rsid w:val="002A2188"/>
    <w:rsid w:val="002B1F58"/>
    <w:rsid w:val="002C1C7A"/>
    <w:rsid w:val="002C54E2"/>
    <w:rsid w:val="002E0AC3"/>
    <w:rsid w:val="002E2BC5"/>
    <w:rsid w:val="002F2D06"/>
    <w:rsid w:val="0030160F"/>
    <w:rsid w:val="00301AEE"/>
    <w:rsid w:val="003145DF"/>
    <w:rsid w:val="00320223"/>
    <w:rsid w:val="00322D0D"/>
    <w:rsid w:val="00361465"/>
    <w:rsid w:val="00374606"/>
    <w:rsid w:val="00374BB5"/>
    <w:rsid w:val="003877F5"/>
    <w:rsid w:val="003942D4"/>
    <w:rsid w:val="0039514F"/>
    <w:rsid w:val="003958A8"/>
    <w:rsid w:val="003B29C2"/>
    <w:rsid w:val="003C20CA"/>
    <w:rsid w:val="003C2533"/>
    <w:rsid w:val="003C4C71"/>
    <w:rsid w:val="003D2E43"/>
    <w:rsid w:val="003D396B"/>
    <w:rsid w:val="003D5A7F"/>
    <w:rsid w:val="003D635C"/>
    <w:rsid w:val="003D71D8"/>
    <w:rsid w:val="003E780E"/>
    <w:rsid w:val="004016E2"/>
    <w:rsid w:val="0040435A"/>
    <w:rsid w:val="004138EB"/>
    <w:rsid w:val="00416A24"/>
    <w:rsid w:val="00416A30"/>
    <w:rsid w:val="0042059E"/>
    <w:rsid w:val="00431D9E"/>
    <w:rsid w:val="00433CE8"/>
    <w:rsid w:val="00434A5C"/>
    <w:rsid w:val="004427C0"/>
    <w:rsid w:val="00445E90"/>
    <w:rsid w:val="004544D9"/>
    <w:rsid w:val="00465B55"/>
    <w:rsid w:val="00472BAD"/>
    <w:rsid w:val="00484009"/>
    <w:rsid w:val="00490E72"/>
    <w:rsid w:val="00491157"/>
    <w:rsid w:val="004921C8"/>
    <w:rsid w:val="00495B0B"/>
    <w:rsid w:val="0049627B"/>
    <w:rsid w:val="004A1B8B"/>
    <w:rsid w:val="004A3025"/>
    <w:rsid w:val="004A5B3C"/>
    <w:rsid w:val="004B39DB"/>
    <w:rsid w:val="004B51C8"/>
    <w:rsid w:val="004D1851"/>
    <w:rsid w:val="004D599D"/>
    <w:rsid w:val="004E06D1"/>
    <w:rsid w:val="004E2EA5"/>
    <w:rsid w:val="004E3AEB"/>
    <w:rsid w:val="00500CA4"/>
    <w:rsid w:val="0050223C"/>
    <w:rsid w:val="005170FD"/>
    <w:rsid w:val="005241E0"/>
    <w:rsid w:val="005243FF"/>
    <w:rsid w:val="00524E9C"/>
    <w:rsid w:val="005311D6"/>
    <w:rsid w:val="00533E0D"/>
    <w:rsid w:val="00536422"/>
    <w:rsid w:val="0054526E"/>
    <w:rsid w:val="005536C2"/>
    <w:rsid w:val="00561CC2"/>
    <w:rsid w:val="00564FBC"/>
    <w:rsid w:val="005800BC"/>
    <w:rsid w:val="00582442"/>
    <w:rsid w:val="005A335D"/>
    <w:rsid w:val="005B0869"/>
    <w:rsid w:val="005C13D4"/>
    <w:rsid w:val="005E2BD5"/>
    <w:rsid w:val="005E4F47"/>
    <w:rsid w:val="005F3269"/>
    <w:rsid w:val="005F7BEB"/>
    <w:rsid w:val="0060722C"/>
    <w:rsid w:val="0061042B"/>
    <w:rsid w:val="00612123"/>
    <w:rsid w:val="00615961"/>
    <w:rsid w:val="0062287E"/>
    <w:rsid w:val="00623AE3"/>
    <w:rsid w:val="006261F4"/>
    <w:rsid w:val="0064737F"/>
    <w:rsid w:val="00647966"/>
    <w:rsid w:val="006502FF"/>
    <w:rsid w:val="006535F1"/>
    <w:rsid w:val="0065557D"/>
    <w:rsid w:val="00660D50"/>
    <w:rsid w:val="00662984"/>
    <w:rsid w:val="00663050"/>
    <w:rsid w:val="006716BB"/>
    <w:rsid w:val="00675381"/>
    <w:rsid w:val="006973C8"/>
    <w:rsid w:val="006A4862"/>
    <w:rsid w:val="006B1859"/>
    <w:rsid w:val="006B6680"/>
    <w:rsid w:val="006B6DCC"/>
    <w:rsid w:val="006C2E4B"/>
    <w:rsid w:val="006D5FE4"/>
    <w:rsid w:val="00701C70"/>
    <w:rsid w:val="00702DEF"/>
    <w:rsid w:val="00706861"/>
    <w:rsid w:val="00723448"/>
    <w:rsid w:val="007247CF"/>
    <w:rsid w:val="00726B8C"/>
    <w:rsid w:val="00727C44"/>
    <w:rsid w:val="0075051B"/>
    <w:rsid w:val="0077110E"/>
    <w:rsid w:val="00775655"/>
    <w:rsid w:val="007849D5"/>
    <w:rsid w:val="00793188"/>
    <w:rsid w:val="00794D34"/>
    <w:rsid w:val="007C1A58"/>
    <w:rsid w:val="00806E3C"/>
    <w:rsid w:val="00813E5E"/>
    <w:rsid w:val="00816C2C"/>
    <w:rsid w:val="00831657"/>
    <w:rsid w:val="0083581B"/>
    <w:rsid w:val="00860EED"/>
    <w:rsid w:val="00863874"/>
    <w:rsid w:val="00864AFF"/>
    <w:rsid w:val="00865925"/>
    <w:rsid w:val="00870C17"/>
    <w:rsid w:val="00872B5C"/>
    <w:rsid w:val="00875FD1"/>
    <w:rsid w:val="008761FD"/>
    <w:rsid w:val="00877BF2"/>
    <w:rsid w:val="00884F3A"/>
    <w:rsid w:val="00891503"/>
    <w:rsid w:val="008A2F06"/>
    <w:rsid w:val="008A359A"/>
    <w:rsid w:val="008B4A6A"/>
    <w:rsid w:val="008C7E27"/>
    <w:rsid w:val="008F3822"/>
    <w:rsid w:val="008F7448"/>
    <w:rsid w:val="0090147A"/>
    <w:rsid w:val="0090389B"/>
    <w:rsid w:val="00903CF4"/>
    <w:rsid w:val="00904191"/>
    <w:rsid w:val="0090774B"/>
    <w:rsid w:val="009173EF"/>
    <w:rsid w:val="00932906"/>
    <w:rsid w:val="00951083"/>
    <w:rsid w:val="00961860"/>
    <w:rsid w:val="00961B0B"/>
    <w:rsid w:val="00962D33"/>
    <w:rsid w:val="00973E34"/>
    <w:rsid w:val="009B38C3"/>
    <w:rsid w:val="009B44BD"/>
    <w:rsid w:val="009C222A"/>
    <w:rsid w:val="009E17BD"/>
    <w:rsid w:val="009E485A"/>
    <w:rsid w:val="009F4182"/>
    <w:rsid w:val="00A03065"/>
    <w:rsid w:val="00A04CEC"/>
    <w:rsid w:val="00A27F92"/>
    <w:rsid w:val="00A307A9"/>
    <w:rsid w:val="00A32257"/>
    <w:rsid w:val="00A36D20"/>
    <w:rsid w:val="00A43C03"/>
    <w:rsid w:val="00A43CB0"/>
    <w:rsid w:val="00A46CD0"/>
    <w:rsid w:val="00A514A4"/>
    <w:rsid w:val="00A52C84"/>
    <w:rsid w:val="00A55622"/>
    <w:rsid w:val="00A83502"/>
    <w:rsid w:val="00A94A67"/>
    <w:rsid w:val="00AC6BFA"/>
    <w:rsid w:val="00AD15B3"/>
    <w:rsid w:val="00AD3606"/>
    <w:rsid w:val="00AD4A3D"/>
    <w:rsid w:val="00AF6E49"/>
    <w:rsid w:val="00B04A67"/>
    <w:rsid w:val="00B0583C"/>
    <w:rsid w:val="00B248BC"/>
    <w:rsid w:val="00B358B2"/>
    <w:rsid w:val="00B40A81"/>
    <w:rsid w:val="00B416B7"/>
    <w:rsid w:val="00B44910"/>
    <w:rsid w:val="00B72267"/>
    <w:rsid w:val="00B73DD1"/>
    <w:rsid w:val="00B76EB6"/>
    <w:rsid w:val="00B7737B"/>
    <w:rsid w:val="00B824C8"/>
    <w:rsid w:val="00B82C1B"/>
    <w:rsid w:val="00B849D3"/>
    <w:rsid w:val="00B84B9D"/>
    <w:rsid w:val="00B8762C"/>
    <w:rsid w:val="00B95E5A"/>
    <w:rsid w:val="00BA1489"/>
    <w:rsid w:val="00BA3A51"/>
    <w:rsid w:val="00BC251A"/>
    <w:rsid w:val="00BD032B"/>
    <w:rsid w:val="00BD0614"/>
    <w:rsid w:val="00BD094B"/>
    <w:rsid w:val="00BE2640"/>
    <w:rsid w:val="00C01189"/>
    <w:rsid w:val="00C27DB8"/>
    <w:rsid w:val="00C374DE"/>
    <w:rsid w:val="00C4404F"/>
    <w:rsid w:val="00C47AD4"/>
    <w:rsid w:val="00C52D81"/>
    <w:rsid w:val="00C55198"/>
    <w:rsid w:val="00C55782"/>
    <w:rsid w:val="00C725C6"/>
    <w:rsid w:val="00C922C7"/>
    <w:rsid w:val="00C951B1"/>
    <w:rsid w:val="00CA1801"/>
    <w:rsid w:val="00CA51FE"/>
    <w:rsid w:val="00CA6393"/>
    <w:rsid w:val="00CB18FF"/>
    <w:rsid w:val="00CB24AA"/>
    <w:rsid w:val="00CB3BB5"/>
    <w:rsid w:val="00CD0C08"/>
    <w:rsid w:val="00CD3C91"/>
    <w:rsid w:val="00CE03FB"/>
    <w:rsid w:val="00CE3F2D"/>
    <w:rsid w:val="00CE433C"/>
    <w:rsid w:val="00CE5933"/>
    <w:rsid w:val="00CF0161"/>
    <w:rsid w:val="00CF2CE5"/>
    <w:rsid w:val="00CF33F3"/>
    <w:rsid w:val="00D06183"/>
    <w:rsid w:val="00D143DF"/>
    <w:rsid w:val="00D22C42"/>
    <w:rsid w:val="00D4450D"/>
    <w:rsid w:val="00D45669"/>
    <w:rsid w:val="00D464CC"/>
    <w:rsid w:val="00D522F6"/>
    <w:rsid w:val="00D65041"/>
    <w:rsid w:val="00D67039"/>
    <w:rsid w:val="00D710F4"/>
    <w:rsid w:val="00D74BFC"/>
    <w:rsid w:val="00D86E6C"/>
    <w:rsid w:val="00DB00D5"/>
    <w:rsid w:val="00DB1936"/>
    <w:rsid w:val="00DB384B"/>
    <w:rsid w:val="00DB7540"/>
    <w:rsid w:val="00DE572C"/>
    <w:rsid w:val="00DF0189"/>
    <w:rsid w:val="00E06FD5"/>
    <w:rsid w:val="00E10E80"/>
    <w:rsid w:val="00E124F0"/>
    <w:rsid w:val="00E227F3"/>
    <w:rsid w:val="00E27C5A"/>
    <w:rsid w:val="00E40B37"/>
    <w:rsid w:val="00E4728B"/>
    <w:rsid w:val="00E545C6"/>
    <w:rsid w:val="00E60A57"/>
    <w:rsid w:val="00E60F04"/>
    <w:rsid w:val="00E63EFF"/>
    <w:rsid w:val="00E65B24"/>
    <w:rsid w:val="00E854E4"/>
    <w:rsid w:val="00E85B67"/>
    <w:rsid w:val="00E86DBF"/>
    <w:rsid w:val="00E914F8"/>
    <w:rsid w:val="00EA1733"/>
    <w:rsid w:val="00EA4478"/>
    <w:rsid w:val="00EB0D6F"/>
    <w:rsid w:val="00EB2232"/>
    <w:rsid w:val="00EB6913"/>
    <w:rsid w:val="00EC5337"/>
    <w:rsid w:val="00EC5427"/>
    <w:rsid w:val="00EC7C07"/>
    <w:rsid w:val="00EE49E8"/>
    <w:rsid w:val="00F10B59"/>
    <w:rsid w:val="00F119DF"/>
    <w:rsid w:val="00F145CD"/>
    <w:rsid w:val="00F16BAB"/>
    <w:rsid w:val="00F211C2"/>
    <w:rsid w:val="00F2150A"/>
    <w:rsid w:val="00F231D8"/>
    <w:rsid w:val="00F44C00"/>
    <w:rsid w:val="00F45D2C"/>
    <w:rsid w:val="00F46C5F"/>
    <w:rsid w:val="00F50F11"/>
    <w:rsid w:val="00F632C0"/>
    <w:rsid w:val="00F66A26"/>
    <w:rsid w:val="00F73B2C"/>
    <w:rsid w:val="00F74694"/>
    <w:rsid w:val="00F84734"/>
    <w:rsid w:val="00F86596"/>
    <w:rsid w:val="00F93FD4"/>
    <w:rsid w:val="00F94A63"/>
    <w:rsid w:val="00FA1B92"/>
    <w:rsid w:val="00FA1C28"/>
    <w:rsid w:val="00FA4517"/>
    <w:rsid w:val="00FA5795"/>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9EDCA"/>
  <w15:docId w15:val="{AF485E8A-77AF-4C9B-B518-BED4120D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超级链接,Style 58,超?级链,超????,하이퍼링크2,超链接1,超?级链?,Style?,S,하이퍼링크21,超??级链Ú,fL????,fL?级,超??级链,超?级链Ú,’´?级链,’´????,’´??级链Ú,’´??级"/>
    <w:basedOn w:val="DefaultParagraphFont"/>
    <w:qForma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75FD1"/>
    <w:rPr>
      <w:color w:val="666666"/>
    </w:rPr>
  </w:style>
  <w:style w:type="paragraph" w:customStyle="1" w:styleId="Docnumber">
    <w:name w:val="Docnumber"/>
    <w:basedOn w:val="Normal"/>
    <w:link w:val="DocnumberChar"/>
    <w:rsid w:val="009F4182"/>
    <w:pPr>
      <w:tabs>
        <w:tab w:val="clear" w:pos="567"/>
        <w:tab w:val="clear" w:pos="1134"/>
        <w:tab w:val="clear" w:pos="1701"/>
        <w:tab w:val="clear" w:pos="2268"/>
        <w:tab w:val="clear" w:pos="2835"/>
      </w:tabs>
      <w:overflowPunct/>
      <w:autoSpaceDE/>
      <w:autoSpaceDN/>
      <w:adjustRightInd/>
      <w:jc w:val="right"/>
      <w:textAlignment w:val="auto"/>
    </w:pPr>
    <w:rPr>
      <w:rFonts w:ascii="Times New Roman" w:eastAsia="DengXian" w:hAnsi="Times New Roman"/>
      <w:b/>
      <w:bCs/>
      <w:sz w:val="32"/>
      <w:szCs w:val="24"/>
      <w:lang w:eastAsia="en-GB"/>
    </w:rPr>
  </w:style>
  <w:style w:type="character" w:customStyle="1" w:styleId="DocnumberChar">
    <w:name w:val="Docnumber Char"/>
    <w:link w:val="Docnumber"/>
    <w:rsid w:val="009F4182"/>
    <w:rPr>
      <w:rFonts w:ascii="Times New Roman" w:eastAsia="DengXian" w:hAnsi="Times New Roman"/>
      <w:b/>
      <w:bCs/>
      <w:sz w:val="32"/>
      <w:szCs w:val="24"/>
      <w:lang w:val="en-GB" w:eastAsia="en-GB"/>
    </w:rPr>
  </w:style>
  <w:style w:type="paragraph" w:customStyle="1" w:styleId="TSBHeaderQuestion">
    <w:name w:val="TSBHeaderQuestion"/>
    <w:basedOn w:val="Normal"/>
    <w:rsid w:val="009F4182"/>
    <w:pPr>
      <w:tabs>
        <w:tab w:val="clear" w:pos="567"/>
        <w:tab w:val="clear" w:pos="1134"/>
        <w:tab w:val="clear" w:pos="1701"/>
        <w:tab w:val="clear" w:pos="2268"/>
        <w:tab w:val="clear" w:pos="2835"/>
      </w:tabs>
      <w:overflowPunct/>
      <w:autoSpaceDE/>
      <w:autoSpaceDN/>
      <w:adjustRightInd/>
      <w:textAlignment w:val="auto"/>
    </w:pPr>
    <w:rPr>
      <w:rFonts w:ascii="Times New Roman" w:eastAsia="DengXian" w:hAnsi="Times New Roman"/>
      <w:szCs w:val="24"/>
      <w:lang w:eastAsia="en-GB"/>
    </w:rPr>
  </w:style>
  <w:style w:type="paragraph" w:customStyle="1" w:styleId="TSBHeaderRight14">
    <w:name w:val="TSBHeaderRight14"/>
    <w:basedOn w:val="Normal"/>
    <w:rsid w:val="009F4182"/>
    <w:pPr>
      <w:tabs>
        <w:tab w:val="clear" w:pos="567"/>
        <w:tab w:val="clear" w:pos="1134"/>
        <w:tab w:val="clear" w:pos="1701"/>
        <w:tab w:val="clear" w:pos="2268"/>
        <w:tab w:val="clear" w:pos="2835"/>
      </w:tabs>
      <w:overflowPunct/>
      <w:autoSpaceDE/>
      <w:autoSpaceDN/>
      <w:adjustRightInd/>
      <w:jc w:val="right"/>
      <w:textAlignment w:val="auto"/>
    </w:pPr>
    <w:rPr>
      <w:rFonts w:ascii="Times New Roman" w:eastAsia="DengXian" w:hAnsi="Times New Roman"/>
      <w:b/>
      <w:bCs/>
      <w:sz w:val="28"/>
      <w:szCs w:val="28"/>
      <w:lang w:eastAsia="en-GB"/>
    </w:rPr>
  </w:style>
  <w:style w:type="paragraph" w:customStyle="1" w:styleId="TSBHeaderSource">
    <w:name w:val="TSBHeaderSource"/>
    <w:basedOn w:val="Normal"/>
    <w:rsid w:val="009F4182"/>
    <w:pPr>
      <w:tabs>
        <w:tab w:val="clear" w:pos="567"/>
        <w:tab w:val="clear" w:pos="1134"/>
        <w:tab w:val="clear" w:pos="1701"/>
        <w:tab w:val="clear" w:pos="2268"/>
        <w:tab w:val="clear" w:pos="2835"/>
      </w:tabs>
      <w:overflowPunct/>
      <w:autoSpaceDE/>
      <w:autoSpaceDN/>
      <w:adjustRightInd/>
      <w:textAlignment w:val="auto"/>
    </w:pPr>
    <w:rPr>
      <w:rFonts w:ascii="Times New Roman" w:eastAsia="DengXian" w:hAnsi="Times New Roman"/>
      <w:szCs w:val="24"/>
      <w:lang w:eastAsia="en-GB"/>
    </w:rPr>
  </w:style>
  <w:style w:type="paragraph" w:customStyle="1" w:styleId="TSBHeaderSummary">
    <w:name w:val="TSBHeaderSummary"/>
    <w:basedOn w:val="Normal"/>
    <w:rsid w:val="009F4182"/>
    <w:pPr>
      <w:tabs>
        <w:tab w:val="clear" w:pos="567"/>
        <w:tab w:val="clear" w:pos="1134"/>
        <w:tab w:val="clear" w:pos="1701"/>
        <w:tab w:val="clear" w:pos="2268"/>
        <w:tab w:val="clear" w:pos="2835"/>
      </w:tabs>
      <w:overflowPunct/>
      <w:autoSpaceDE/>
      <w:autoSpaceDN/>
      <w:adjustRightInd/>
      <w:textAlignment w:val="auto"/>
    </w:pPr>
    <w:rPr>
      <w:rFonts w:ascii="Times New Roman" w:eastAsia="DengXian" w:hAnsi="Times New Roman"/>
      <w:szCs w:val="24"/>
      <w:lang w:eastAsia="en-GB"/>
    </w:rPr>
  </w:style>
  <w:style w:type="paragraph" w:customStyle="1" w:styleId="TSBHeaderTitle">
    <w:name w:val="TSBHeaderTitle"/>
    <w:basedOn w:val="Normal"/>
    <w:rsid w:val="009F4182"/>
    <w:pPr>
      <w:tabs>
        <w:tab w:val="clear" w:pos="567"/>
        <w:tab w:val="clear" w:pos="1134"/>
        <w:tab w:val="clear" w:pos="1701"/>
        <w:tab w:val="clear" w:pos="2268"/>
        <w:tab w:val="clear" w:pos="2835"/>
      </w:tabs>
      <w:overflowPunct/>
      <w:autoSpaceDE/>
      <w:autoSpaceDN/>
      <w:adjustRightInd/>
      <w:textAlignment w:val="auto"/>
    </w:pPr>
    <w:rPr>
      <w:rFonts w:ascii="Times New Roman" w:eastAsia="DengXian" w:hAnsi="Times New Roman"/>
      <w:szCs w:val="24"/>
      <w:lang w:eastAsia="en-GB"/>
    </w:rPr>
  </w:style>
  <w:style w:type="paragraph" w:customStyle="1" w:styleId="VenueDate">
    <w:name w:val="VenueDate"/>
    <w:basedOn w:val="Normal"/>
    <w:rsid w:val="009F4182"/>
    <w:pPr>
      <w:tabs>
        <w:tab w:val="clear" w:pos="567"/>
        <w:tab w:val="clear" w:pos="1134"/>
        <w:tab w:val="clear" w:pos="1701"/>
        <w:tab w:val="clear" w:pos="2268"/>
        <w:tab w:val="clear" w:pos="2835"/>
      </w:tabs>
      <w:overflowPunct/>
      <w:autoSpaceDE/>
      <w:autoSpaceDN/>
      <w:adjustRightInd/>
      <w:jc w:val="right"/>
      <w:textAlignment w:val="auto"/>
    </w:pPr>
    <w:rPr>
      <w:rFonts w:ascii="Times New Roman" w:eastAsia="DengXi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bio.bigi@virgilio.it" TargetMode="External"/><Relationship Id="rId18" Type="http://schemas.openxmlformats.org/officeDocument/2006/relationships/hyperlink" Target="https://www.itu.int/en/general-secretariat/Pages/ISCG/Terms-of-reference-for-IST.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handle.itu.int/11.1002/ls/sp18-iscg-iLS-00008.docx" TargetMode="External"/><Relationship Id="rId17" Type="http://schemas.openxmlformats.org/officeDocument/2006/relationships/hyperlink" Target="mailto:iscg@itu.i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abio.bigi@virgilio.it" TargetMode="External"/><Relationship Id="rId20" Type="http://schemas.openxmlformats.org/officeDocument/2006/relationships/hyperlink" Target="https://www.itu.int/en/general-secretariat/Pages/ISCG/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t-sect-team@lists.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kenik\OneDrive%20-%20ITU\ISCG\1st%20Meeting%202025\ISCG-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4AC96BB68043599336C793A6B0B47A"/>
        <w:category>
          <w:name w:val="General"/>
          <w:gallery w:val="placeholder"/>
        </w:category>
        <w:types>
          <w:type w:val="bbPlcHdr"/>
        </w:types>
        <w:behaviors>
          <w:behavior w:val="content"/>
        </w:behaviors>
        <w:guid w:val="{339699AE-A7C2-4754-988A-A6A517DCCAB4}"/>
      </w:docPartPr>
      <w:docPartBody>
        <w:p w:rsidR="00E24CF0" w:rsidRDefault="00E24CF0" w:rsidP="00E24CF0">
          <w:pPr>
            <w:pStyle w:val="C54AC96BB68043599336C793A6B0B47A"/>
          </w:pPr>
          <w:r w:rsidRPr="00543D41">
            <w:rPr>
              <w:rStyle w:val="PlaceholderText"/>
              <w:highlight w:val="yellow"/>
            </w:rPr>
            <w:t>Insert source(s)</w:t>
          </w:r>
        </w:p>
      </w:docPartBody>
    </w:docPart>
    <w:docPart>
      <w:docPartPr>
        <w:name w:val="876ED794086F4FA789C437E3AFE8CA1A"/>
        <w:category>
          <w:name w:val="General"/>
          <w:gallery w:val="placeholder"/>
        </w:category>
        <w:types>
          <w:type w:val="bbPlcHdr"/>
        </w:types>
        <w:behaviors>
          <w:behavior w:val="content"/>
        </w:behaviors>
        <w:guid w:val="{3AB25425-F40C-4A9B-A689-262C06DD41F5}"/>
      </w:docPartPr>
      <w:docPartBody>
        <w:p w:rsidR="00000000" w:rsidRDefault="003C0996" w:rsidP="003C0996">
          <w:pPr>
            <w:pStyle w:val="876ED794086F4FA789C437E3AFE8CA1A"/>
          </w:pPr>
          <w:r w:rsidRPr="00543D41">
            <w:rPr>
              <w:rStyle w:val="PlaceholderText"/>
              <w:highlight w:val="yellow"/>
            </w:rPr>
            <w:t>Insert title (always in ENGLISH)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F0"/>
    <w:rsid w:val="00177F1C"/>
    <w:rsid w:val="003C0996"/>
    <w:rsid w:val="003E780E"/>
    <w:rsid w:val="00527D85"/>
    <w:rsid w:val="00AC6BFA"/>
    <w:rsid w:val="00E24CF0"/>
    <w:rsid w:val="00E40B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0996"/>
    <w:rPr>
      <w:rFonts w:ascii="Times New Roman" w:hAnsi="Times New Roman"/>
      <w:color w:val="808080"/>
    </w:rPr>
  </w:style>
  <w:style w:type="paragraph" w:customStyle="1" w:styleId="C54AC96BB68043599336C793A6B0B47A">
    <w:name w:val="C54AC96BB68043599336C793A6B0B47A"/>
    <w:rsid w:val="00E24CF0"/>
  </w:style>
  <w:style w:type="paragraph" w:customStyle="1" w:styleId="56C5073C734B4C86BF5D14B1D53D5089">
    <w:name w:val="56C5073C734B4C86BF5D14B1D53D5089"/>
    <w:rsid w:val="00E24CF0"/>
  </w:style>
  <w:style w:type="paragraph" w:customStyle="1" w:styleId="876ED794086F4FA789C437E3AFE8CA1A">
    <w:name w:val="876ED794086F4FA789C437E3AFE8CA1A"/>
    <w:rsid w:val="003C0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4E00A-A34D-42B5-9E24-01D2C0655E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3F12F1-1F94-470B-9445-F840C53E68A1}">
  <ds:schemaRefs>
    <ds:schemaRef ds:uri="http://schemas.microsoft.com/sharepoint/v3/contenttype/forms"/>
  </ds:schemaRefs>
</ds:datastoreItem>
</file>

<file path=customXml/itemProps3.xml><?xml version="1.0" encoding="utf-8"?>
<ds:datastoreItem xmlns:ds="http://schemas.openxmlformats.org/officeDocument/2006/customXml" ds:itemID="{29BD1787-1F36-4694-A6C7-145F4FCD5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ISCG-TEMPLATE.dotx</Template>
  <TotalTime>3</TotalTime>
  <Pages>4</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Draft guidelines on the management of fully virtual and physical meetings with remote participation</vt:lpstr>
    </vt:vector>
  </TitlesOfParts>
  <Manager/>
  <Company/>
  <LinksUpToDate>false</LinksUpToDate>
  <CharactersWithSpaces>6976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guidelines on the management of fully virtual and physical meetings with remote participation</dc:title>
  <dc:subject>ITU Council Working Group for strategic and financial plans 2028-2031</dc:subject>
  <dc:creator>Sukenik, Maria Victoria</dc:creator>
  <cp:keywords>CWG-SFP</cp:keywords>
  <dc:description/>
  <cp:lastModifiedBy>TSB - JB</cp:lastModifiedBy>
  <cp:revision>6</cp:revision>
  <dcterms:created xsi:type="dcterms:W3CDTF">2025-02-25T13:27:00Z</dcterms:created>
  <dcterms:modified xsi:type="dcterms:W3CDTF">2025-02-25T13:30:00Z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ies>
</file>