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ayout w:type="fixed"/>
        <w:tblCellMar>
          <w:left w:w="57" w:type="dxa"/>
          <w:right w:w="57" w:type="dxa"/>
        </w:tblCellMar>
        <w:tblLook w:val="0000" w:firstRow="0" w:lastRow="0" w:firstColumn="0" w:lastColumn="0" w:noHBand="0" w:noVBand="0"/>
      </w:tblPr>
      <w:tblGrid>
        <w:gridCol w:w="1132"/>
        <w:gridCol w:w="455"/>
        <w:gridCol w:w="29"/>
        <w:gridCol w:w="509"/>
        <w:gridCol w:w="3267"/>
        <w:gridCol w:w="221"/>
        <w:gridCol w:w="4287"/>
      </w:tblGrid>
      <w:tr w:rsidR="00B4465D" w:rsidRPr="00B4465D" w14:paraId="476B7504" w14:textId="77777777" w:rsidTr="00B4465D">
        <w:trPr>
          <w:cantSplit/>
        </w:trPr>
        <w:tc>
          <w:tcPr>
            <w:tcW w:w="1132" w:type="dxa"/>
            <w:vMerge w:val="restart"/>
            <w:vAlign w:val="center"/>
          </w:tcPr>
          <w:p w14:paraId="6D906258" w14:textId="77777777" w:rsidR="00B4465D" w:rsidRPr="00B4465D" w:rsidRDefault="00B4465D" w:rsidP="00B4465D">
            <w:pPr>
              <w:spacing w:before="0"/>
              <w:jc w:val="center"/>
              <w:rPr>
                <w:sz w:val="20"/>
              </w:rPr>
            </w:pPr>
            <w:bookmarkStart w:id="0" w:name="dtableau"/>
            <w:bookmarkStart w:id="1" w:name="dnum" w:colFirst="2" w:colLast="2"/>
            <w:r w:rsidRPr="00B4465D">
              <w:rPr>
                <w:noProof/>
              </w:rPr>
              <w:drawing>
                <wp:inline distT="0" distB="0" distL="0" distR="0" wp14:anchorId="25EE979F" wp14:editId="4D3B8886">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5719C7C6" w14:textId="77777777" w:rsidR="00B4465D" w:rsidRPr="00B4465D" w:rsidRDefault="00B4465D" w:rsidP="00B4465D">
            <w:pPr>
              <w:rPr>
                <w:sz w:val="16"/>
                <w:szCs w:val="16"/>
              </w:rPr>
            </w:pPr>
            <w:r w:rsidRPr="00B4465D">
              <w:rPr>
                <w:sz w:val="16"/>
                <w:szCs w:val="16"/>
              </w:rPr>
              <w:t>INTERNATIONAL TELECOMMUNICATION UNION</w:t>
            </w:r>
          </w:p>
          <w:p w14:paraId="1311CFDF" w14:textId="77777777" w:rsidR="00B4465D" w:rsidRPr="00B4465D" w:rsidRDefault="00B4465D" w:rsidP="00B4465D">
            <w:pPr>
              <w:rPr>
                <w:b/>
                <w:bCs/>
                <w:sz w:val="26"/>
                <w:szCs w:val="26"/>
              </w:rPr>
            </w:pPr>
            <w:r w:rsidRPr="00B4465D">
              <w:rPr>
                <w:b/>
                <w:bCs/>
                <w:sz w:val="26"/>
                <w:szCs w:val="26"/>
              </w:rPr>
              <w:t>TELECOMMUNICATION</w:t>
            </w:r>
            <w:r w:rsidRPr="00B4465D">
              <w:rPr>
                <w:b/>
                <w:bCs/>
                <w:sz w:val="26"/>
                <w:szCs w:val="26"/>
              </w:rPr>
              <w:br/>
              <w:t>STANDARDIZATION SECTOR</w:t>
            </w:r>
          </w:p>
          <w:p w14:paraId="2D6068CB" w14:textId="39E8936D" w:rsidR="00B4465D" w:rsidRPr="00B4465D" w:rsidRDefault="00B4465D" w:rsidP="00B4465D">
            <w:pPr>
              <w:rPr>
                <w:sz w:val="20"/>
              </w:rPr>
            </w:pPr>
            <w:r w:rsidRPr="00B4465D">
              <w:rPr>
                <w:sz w:val="20"/>
              </w:rPr>
              <w:t xml:space="preserve">STUDY PERIOD </w:t>
            </w:r>
            <w:r>
              <w:rPr>
                <w:sz w:val="20"/>
              </w:rPr>
              <w:t>2025-2028</w:t>
            </w:r>
          </w:p>
        </w:tc>
        <w:tc>
          <w:tcPr>
            <w:tcW w:w="4287" w:type="dxa"/>
            <w:vAlign w:val="center"/>
          </w:tcPr>
          <w:p w14:paraId="66A0F1DC" w14:textId="276AA880" w:rsidR="00B4465D" w:rsidRPr="00B4465D" w:rsidRDefault="00B4465D" w:rsidP="00B4465D">
            <w:pPr>
              <w:pStyle w:val="Docnumber"/>
              <w:rPr>
                <w:sz w:val="32"/>
              </w:rPr>
            </w:pPr>
            <w:r>
              <w:rPr>
                <w:sz w:val="32"/>
              </w:rPr>
              <w:t>TSAG-TD61</w:t>
            </w:r>
          </w:p>
        </w:tc>
      </w:tr>
      <w:tr w:rsidR="00B4465D" w:rsidRPr="00B4465D" w14:paraId="549708FD" w14:textId="77777777" w:rsidTr="00B4465D">
        <w:trPr>
          <w:cantSplit/>
        </w:trPr>
        <w:tc>
          <w:tcPr>
            <w:tcW w:w="1132" w:type="dxa"/>
            <w:vMerge/>
          </w:tcPr>
          <w:p w14:paraId="0074EA1B" w14:textId="77777777" w:rsidR="00B4465D" w:rsidRPr="00B4465D" w:rsidRDefault="00B4465D" w:rsidP="00B4465D">
            <w:pPr>
              <w:rPr>
                <w:smallCaps/>
                <w:sz w:val="20"/>
              </w:rPr>
            </w:pPr>
            <w:bookmarkStart w:id="2" w:name="dsg" w:colFirst="2" w:colLast="2"/>
            <w:bookmarkEnd w:id="1"/>
          </w:p>
        </w:tc>
        <w:tc>
          <w:tcPr>
            <w:tcW w:w="4481" w:type="dxa"/>
            <w:gridSpan w:val="5"/>
            <w:vMerge/>
          </w:tcPr>
          <w:p w14:paraId="2045C482" w14:textId="77777777" w:rsidR="00B4465D" w:rsidRPr="00B4465D" w:rsidRDefault="00B4465D" w:rsidP="00B4465D">
            <w:pPr>
              <w:rPr>
                <w:smallCaps/>
                <w:sz w:val="20"/>
              </w:rPr>
            </w:pPr>
          </w:p>
        </w:tc>
        <w:tc>
          <w:tcPr>
            <w:tcW w:w="4287" w:type="dxa"/>
          </w:tcPr>
          <w:p w14:paraId="2F9079A2" w14:textId="1210BE8B" w:rsidR="00B4465D" w:rsidRPr="00B4465D" w:rsidRDefault="00B4465D" w:rsidP="00B4465D">
            <w:pPr>
              <w:pStyle w:val="TSBHeaderRight14"/>
              <w:rPr>
                <w:smallCaps/>
              </w:rPr>
            </w:pPr>
            <w:r>
              <w:rPr>
                <w:smallCaps/>
              </w:rPr>
              <w:t>TSAG</w:t>
            </w:r>
          </w:p>
        </w:tc>
      </w:tr>
      <w:bookmarkEnd w:id="2"/>
      <w:tr w:rsidR="00B4465D" w:rsidRPr="00B4465D" w14:paraId="73ABD72D" w14:textId="77777777" w:rsidTr="00B4465D">
        <w:trPr>
          <w:cantSplit/>
        </w:trPr>
        <w:tc>
          <w:tcPr>
            <w:tcW w:w="1132" w:type="dxa"/>
            <w:vMerge/>
            <w:tcBorders>
              <w:bottom w:val="single" w:sz="12" w:space="0" w:color="auto"/>
            </w:tcBorders>
          </w:tcPr>
          <w:p w14:paraId="4140BEE5" w14:textId="77777777" w:rsidR="00B4465D" w:rsidRPr="00B4465D" w:rsidRDefault="00B4465D" w:rsidP="00B4465D">
            <w:pPr>
              <w:rPr>
                <w:b/>
                <w:bCs/>
                <w:sz w:val="26"/>
              </w:rPr>
            </w:pPr>
          </w:p>
        </w:tc>
        <w:tc>
          <w:tcPr>
            <w:tcW w:w="4481" w:type="dxa"/>
            <w:gridSpan w:val="5"/>
            <w:vMerge/>
            <w:tcBorders>
              <w:bottom w:val="single" w:sz="12" w:space="0" w:color="auto"/>
            </w:tcBorders>
          </w:tcPr>
          <w:p w14:paraId="6BE8256A" w14:textId="77777777" w:rsidR="00B4465D" w:rsidRPr="00B4465D" w:rsidRDefault="00B4465D" w:rsidP="00B4465D">
            <w:pPr>
              <w:rPr>
                <w:b/>
                <w:bCs/>
                <w:sz w:val="26"/>
              </w:rPr>
            </w:pPr>
          </w:p>
        </w:tc>
        <w:tc>
          <w:tcPr>
            <w:tcW w:w="4287" w:type="dxa"/>
            <w:tcBorders>
              <w:bottom w:val="single" w:sz="12" w:space="0" w:color="auto"/>
            </w:tcBorders>
            <w:vAlign w:val="center"/>
          </w:tcPr>
          <w:p w14:paraId="43F045A0" w14:textId="77777777" w:rsidR="00B4465D" w:rsidRPr="00B4465D" w:rsidRDefault="00B4465D" w:rsidP="00B4465D">
            <w:pPr>
              <w:pStyle w:val="TSBHeaderRight14"/>
            </w:pPr>
            <w:r w:rsidRPr="00B4465D">
              <w:t>Original: English</w:t>
            </w:r>
          </w:p>
        </w:tc>
      </w:tr>
      <w:tr w:rsidR="00B4465D" w:rsidRPr="00B4465D" w14:paraId="141BA564" w14:textId="77777777" w:rsidTr="00B4465D">
        <w:trPr>
          <w:cantSplit/>
        </w:trPr>
        <w:tc>
          <w:tcPr>
            <w:tcW w:w="1587" w:type="dxa"/>
            <w:gridSpan w:val="2"/>
          </w:tcPr>
          <w:p w14:paraId="226AC133" w14:textId="128D00AD" w:rsidR="00B4465D" w:rsidRPr="00B4465D" w:rsidRDefault="00B4465D" w:rsidP="00B4465D">
            <w:pPr>
              <w:rPr>
                <w:b/>
                <w:bCs/>
                <w:szCs w:val="24"/>
              </w:rPr>
            </w:pPr>
            <w:bookmarkStart w:id="3" w:name="dbluepink" w:colFirst="1" w:colLast="1"/>
            <w:bookmarkStart w:id="4" w:name="dmeeting" w:colFirst="2" w:colLast="2"/>
          </w:p>
        </w:tc>
        <w:tc>
          <w:tcPr>
            <w:tcW w:w="4026" w:type="dxa"/>
            <w:gridSpan w:val="4"/>
          </w:tcPr>
          <w:p w14:paraId="74829213" w14:textId="0AC3BF42" w:rsidR="00B4465D" w:rsidRPr="00B4465D" w:rsidRDefault="00B4465D" w:rsidP="00B4465D">
            <w:pPr>
              <w:pStyle w:val="TSBHeaderQuestion"/>
            </w:pPr>
          </w:p>
        </w:tc>
        <w:tc>
          <w:tcPr>
            <w:tcW w:w="4287" w:type="dxa"/>
          </w:tcPr>
          <w:p w14:paraId="502AC6DB" w14:textId="3A7447AC" w:rsidR="00B4465D" w:rsidRPr="00B4465D" w:rsidRDefault="00B4465D" w:rsidP="00B4465D">
            <w:pPr>
              <w:pStyle w:val="VenueDate"/>
            </w:pPr>
            <w:r w:rsidRPr="00B4465D">
              <w:t>Geneva, 26-30 May 2025</w:t>
            </w:r>
          </w:p>
        </w:tc>
      </w:tr>
      <w:tr w:rsidR="00B4465D" w:rsidRPr="00B4465D" w14:paraId="5CDC7A77" w14:textId="77777777" w:rsidTr="00B4465D">
        <w:trPr>
          <w:cantSplit/>
        </w:trPr>
        <w:tc>
          <w:tcPr>
            <w:tcW w:w="9900" w:type="dxa"/>
            <w:gridSpan w:val="7"/>
          </w:tcPr>
          <w:p w14:paraId="1D86AF3C" w14:textId="77777777" w:rsidR="00B4465D" w:rsidRPr="00B4465D" w:rsidRDefault="00B4465D" w:rsidP="00B4465D">
            <w:pPr>
              <w:jc w:val="center"/>
              <w:rPr>
                <w:b/>
                <w:bCs/>
                <w:szCs w:val="24"/>
              </w:rPr>
            </w:pPr>
            <w:bookmarkStart w:id="5" w:name="ddoctype"/>
            <w:bookmarkEnd w:id="3"/>
            <w:bookmarkEnd w:id="4"/>
            <w:r w:rsidRPr="00B4465D">
              <w:rPr>
                <w:b/>
                <w:bCs/>
                <w:szCs w:val="24"/>
              </w:rPr>
              <w:t>TD</w:t>
            </w:r>
          </w:p>
          <w:p w14:paraId="03A49B0A" w14:textId="77B604F9" w:rsidR="00B4465D" w:rsidRPr="00B4465D" w:rsidRDefault="00B4465D" w:rsidP="00B4465D">
            <w:pPr>
              <w:spacing w:before="0"/>
              <w:jc w:val="center"/>
              <w:rPr>
                <w:b/>
                <w:bCs/>
                <w:szCs w:val="24"/>
              </w:rPr>
            </w:pPr>
            <w:r w:rsidRPr="00B4465D">
              <w:rPr>
                <w:b/>
                <w:bCs/>
                <w:szCs w:val="24"/>
              </w:rPr>
              <w:t xml:space="preserve">(Ref.: </w:t>
            </w:r>
            <w:hyperlink r:id="rId12" w:history="1">
              <w:r w:rsidRPr="00B4465D">
                <w:rPr>
                  <w:rStyle w:val="Hyperlink"/>
                  <w:b/>
                  <w:bCs/>
                  <w:szCs w:val="24"/>
                </w:rPr>
                <w:t>SG2-LS3</w:t>
              </w:r>
            </w:hyperlink>
            <w:r w:rsidRPr="00B4465D">
              <w:rPr>
                <w:b/>
                <w:bCs/>
                <w:szCs w:val="24"/>
              </w:rPr>
              <w:t>)</w:t>
            </w:r>
          </w:p>
        </w:tc>
      </w:tr>
      <w:tr w:rsidR="00B4465D" w:rsidRPr="00B4465D" w14:paraId="28CDB177" w14:textId="77777777" w:rsidTr="00B4465D">
        <w:trPr>
          <w:cantSplit/>
        </w:trPr>
        <w:tc>
          <w:tcPr>
            <w:tcW w:w="1587" w:type="dxa"/>
            <w:gridSpan w:val="2"/>
          </w:tcPr>
          <w:p w14:paraId="11530B0A" w14:textId="77777777" w:rsidR="00B4465D" w:rsidRPr="00B4465D" w:rsidRDefault="00B4465D" w:rsidP="00B4465D">
            <w:pPr>
              <w:rPr>
                <w:b/>
                <w:bCs/>
                <w:szCs w:val="24"/>
              </w:rPr>
            </w:pPr>
            <w:bookmarkStart w:id="6" w:name="dsource" w:colFirst="1" w:colLast="1"/>
            <w:bookmarkEnd w:id="5"/>
            <w:r w:rsidRPr="00B4465D">
              <w:rPr>
                <w:b/>
                <w:bCs/>
                <w:szCs w:val="24"/>
              </w:rPr>
              <w:t>Source:</w:t>
            </w:r>
          </w:p>
        </w:tc>
        <w:tc>
          <w:tcPr>
            <w:tcW w:w="8313" w:type="dxa"/>
            <w:gridSpan w:val="5"/>
          </w:tcPr>
          <w:p w14:paraId="39DB3003" w14:textId="19EE713F" w:rsidR="00B4465D" w:rsidRPr="00B4465D" w:rsidRDefault="00B4465D" w:rsidP="00B4465D">
            <w:pPr>
              <w:pStyle w:val="TSBHeaderSource"/>
            </w:pPr>
            <w:r w:rsidRPr="00B4465D">
              <w:t>ITU-T Study Group 2</w:t>
            </w:r>
          </w:p>
        </w:tc>
      </w:tr>
      <w:tr w:rsidR="00B4465D" w:rsidRPr="00B4465D" w14:paraId="4559ED3A" w14:textId="77777777" w:rsidTr="00B4465D">
        <w:trPr>
          <w:cantSplit/>
        </w:trPr>
        <w:tc>
          <w:tcPr>
            <w:tcW w:w="1587" w:type="dxa"/>
            <w:gridSpan w:val="2"/>
            <w:tcBorders>
              <w:bottom w:val="single" w:sz="8" w:space="0" w:color="auto"/>
            </w:tcBorders>
          </w:tcPr>
          <w:p w14:paraId="761DFBEB" w14:textId="77777777" w:rsidR="00B4465D" w:rsidRPr="00B4465D" w:rsidRDefault="00B4465D" w:rsidP="00B4465D">
            <w:pPr>
              <w:rPr>
                <w:b/>
                <w:bCs/>
                <w:szCs w:val="24"/>
              </w:rPr>
            </w:pPr>
            <w:bookmarkStart w:id="7" w:name="dtitle1" w:colFirst="1" w:colLast="1"/>
            <w:bookmarkEnd w:id="6"/>
            <w:r w:rsidRPr="00B4465D">
              <w:rPr>
                <w:b/>
                <w:bCs/>
                <w:szCs w:val="24"/>
              </w:rPr>
              <w:t>Title:</w:t>
            </w:r>
          </w:p>
        </w:tc>
        <w:tc>
          <w:tcPr>
            <w:tcW w:w="8313" w:type="dxa"/>
            <w:gridSpan w:val="5"/>
            <w:tcBorders>
              <w:bottom w:val="single" w:sz="8" w:space="0" w:color="auto"/>
            </w:tcBorders>
          </w:tcPr>
          <w:p w14:paraId="77565077" w14:textId="4F62FFF4" w:rsidR="00B4465D" w:rsidRPr="00B4465D" w:rsidRDefault="00B4465D" w:rsidP="00B4465D">
            <w:pPr>
              <w:pStyle w:val="TSBHeaderTitle"/>
            </w:pPr>
            <w:r w:rsidRPr="00B4465D">
              <w:t>LS/</w:t>
            </w:r>
            <w:proofErr w:type="spellStart"/>
            <w:r>
              <w:t>i</w:t>
            </w:r>
            <w:proofErr w:type="spellEnd"/>
            <w:r>
              <w:t>/</w:t>
            </w:r>
            <w:r w:rsidRPr="00B4465D">
              <w:t>r on Proposal for a Joint Working Party on OTT Definitions (reply to SG3-LS35)</w:t>
            </w:r>
            <w:r>
              <w:t xml:space="preserve"> [from ITU-T SG2]</w:t>
            </w:r>
          </w:p>
        </w:tc>
      </w:tr>
      <w:bookmarkEnd w:id="0"/>
      <w:bookmarkEnd w:id="7"/>
      <w:tr w:rsidR="001F34F9" w14:paraId="6DB0F2CF" w14:textId="77777777" w:rsidTr="00B4465D">
        <w:tblPrEx>
          <w:tblLook w:val="04A0" w:firstRow="1" w:lastRow="0" w:firstColumn="1" w:lastColumn="0" w:noHBand="0" w:noVBand="1"/>
        </w:tblPrEx>
        <w:trPr>
          <w:cantSplit/>
          <w:trHeight w:val="357"/>
        </w:trPr>
        <w:tc>
          <w:tcPr>
            <w:tcW w:w="9900" w:type="dxa"/>
            <w:gridSpan w:val="7"/>
            <w:tcBorders>
              <w:top w:val="single" w:sz="12" w:space="0" w:color="auto"/>
            </w:tcBorders>
          </w:tcPr>
          <w:p w14:paraId="7580EA7F" w14:textId="0F8EEE08" w:rsidR="001F34F9" w:rsidRPr="00B4465D" w:rsidRDefault="001F34F9" w:rsidP="00F66064">
            <w:pPr>
              <w:jc w:val="center"/>
              <w:rPr>
                <w:b/>
              </w:rPr>
            </w:pPr>
            <w:r w:rsidRPr="00B4465D">
              <w:rPr>
                <w:b/>
              </w:rPr>
              <w:t>LIAISON STATEMENT</w:t>
            </w:r>
          </w:p>
        </w:tc>
      </w:tr>
      <w:tr w:rsidR="001F34F9" w14:paraId="471A5164" w14:textId="77777777" w:rsidTr="00B4465D">
        <w:tblPrEx>
          <w:tblLook w:val="04A0" w:firstRow="1" w:lastRow="0" w:firstColumn="1" w:lastColumn="0" w:noHBand="0" w:noVBand="1"/>
        </w:tblPrEx>
        <w:trPr>
          <w:cantSplit/>
          <w:trHeight w:val="357"/>
        </w:trPr>
        <w:tc>
          <w:tcPr>
            <w:tcW w:w="2125" w:type="dxa"/>
            <w:gridSpan w:val="4"/>
          </w:tcPr>
          <w:p w14:paraId="385FE5F6" w14:textId="77777777" w:rsidR="001F34F9" w:rsidRDefault="001F34F9" w:rsidP="00F66064">
            <w:pPr>
              <w:rPr>
                <w:b/>
                <w:bCs/>
              </w:rPr>
            </w:pPr>
            <w:r>
              <w:rPr>
                <w:b/>
                <w:bCs/>
              </w:rPr>
              <w:t>For action to:</w:t>
            </w:r>
          </w:p>
        </w:tc>
        <w:tc>
          <w:tcPr>
            <w:tcW w:w="7775" w:type="dxa"/>
            <w:gridSpan w:val="3"/>
          </w:tcPr>
          <w:p w14:paraId="5205E476" w14:textId="22C6DFF3" w:rsidR="001F34F9" w:rsidRDefault="004E2A4E" w:rsidP="00F66064">
            <w:pPr>
              <w:pStyle w:val="LSForAction"/>
            </w:pPr>
            <w:r>
              <w:t xml:space="preserve">ITU-T Study Group 3 </w:t>
            </w:r>
          </w:p>
        </w:tc>
      </w:tr>
      <w:tr w:rsidR="001F34F9" w14:paraId="454A2484" w14:textId="77777777" w:rsidTr="00B4465D">
        <w:tblPrEx>
          <w:tblLook w:val="04A0" w:firstRow="1" w:lastRow="0" w:firstColumn="1" w:lastColumn="0" w:noHBand="0" w:noVBand="1"/>
        </w:tblPrEx>
        <w:trPr>
          <w:cantSplit/>
          <w:trHeight w:val="357"/>
        </w:trPr>
        <w:tc>
          <w:tcPr>
            <w:tcW w:w="2125" w:type="dxa"/>
            <w:gridSpan w:val="4"/>
          </w:tcPr>
          <w:p w14:paraId="57B150F4" w14:textId="77777777" w:rsidR="001F34F9" w:rsidRDefault="001F34F9" w:rsidP="00F66064">
            <w:pPr>
              <w:rPr>
                <w:b/>
                <w:bCs/>
              </w:rPr>
            </w:pPr>
            <w:r>
              <w:rPr>
                <w:b/>
                <w:bCs/>
              </w:rPr>
              <w:t>For information to:</w:t>
            </w:r>
          </w:p>
        </w:tc>
        <w:tc>
          <w:tcPr>
            <w:tcW w:w="7775" w:type="dxa"/>
            <w:gridSpan w:val="3"/>
          </w:tcPr>
          <w:p w14:paraId="487B827F" w14:textId="77777777" w:rsidR="001F34F9" w:rsidRDefault="001F34F9" w:rsidP="00F66064">
            <w:pPr>
              <w:pStyle w:val="LSForInfo"/>
            </w:pPr>
            <w:r>
              <w:t>Telecommunication Standardization Advisory Group (TSAG)</w:t>
            </w:r>
          </w:p>
        </w:tc>
      </w:tr>
      <w:tr w:rsidR="001F34F9" w14:paraId="5584CE99" w14:textId="77777777" w:rsidTr="00B4465D">
        <w:tblPrEx>
          <w:tblLook w:val="04A0" w:firstRow="1" w:lastRow="0" w:firstColumn="1" w:lastColumn="0" w:noHBand="0" w:noVBand="1"/>
        </w:tblPrEx>
        <w:trPr>
          <w:cantSplit/>
          <w:trHeight w:val="357"/>
        </w:trPr>
        <w:tc>
          <w:tcPr>
            <w:tcW w:w="2125" w:type="dxa"/>
            <w:gridSpan w:val="4"/>
          </w:tcPr>
          <w:p w14:paraId="4867C8C0" w14:textId="77777777" w:rsidR="001F34F9" w:rsidRDefault="001F34F9" w:rsidP="00F66064">
            <w:pPr>
              <w:rPr>
                <w:b/>
                <w:bCs/>
              </w:rPr>
            </w:pPr>
            <w:r>
              <w:rPr>
                <w:b/>
                <w:bCs/>
              </w:rPr>
              <w:t>Approval:</w:t>
            </w:r>
          </w:p>
        </w:tc>
        <w:tc>
          <w:tcPr>
            <w:tcW w:w="7775" w:type="dxa"/>
            <w:gridSpan w:val="3"/>
          </w:tcPr>
          <w:p w14:paraId="508D3DB3" w14:textId="715EF6F4" w:rsidR="001F34F9" w:rsidRDefault="001F34F9" w:rsidP="00F66064">
            <w:r>
              <w:t>ITU-T Study Group 2 meeting (</w:t>
            </w:r>
            <w:r>
              <w:rPr>
                <w:rFonts w:hint="eastAsia"/>
                <w:lang w:eastAsia="zh-CN"/>
              </w:rPr>
              <w:t>Geneva</w:t>
            </w:r>
            <w:r>
              <w:t>, 14 February 2025)</w:t>
            </w:r>
          </w:p>
        </w:tc>
      </w:tr>
      <w:tr w:rsidR="001F34F9" w14:paraId="36EA7545" w14:textId="77777777" w:rsidTr="00B4465D">
        <w:tblPrEx>
          <w:tblLook w:val="04A0" w:firstRow="1" w:lastRow="0" w:firstColumn="1" w:lastColumn="0" w:noHBand="0" w:noVBand="1"/>
        </w:tblPrEx>
        <w:trPr>
          <w:cantSplit/>
          <w:trHeight w:val="508"/>
        </w:trPr>
        <w:tc>
          <w:tcPr>
            <w:tcW w:w="2125" w:type="dxa"/>
            <w:gridSpan w:val="4"/>
            <w:tcBorders>
              <w:bottom w:val="single" w:sz="12" w:space="0" w:color="auto"/>
            </w:tcBorders>
          </w:tcPr>
          <w:p w14:paraId="62F6A3DD" w14:textId="77777777" w:rsidR="001F34F9" w:rsidRDefault="001F34F9" w:rsidP="00F66064">
            <w:pPr>
              <w:rPr>
                <w:b/>
                <w:bCs/>
              </w:rPr>
            </w:pPr>
            <w:r>
              <w:rPr>
                <w:b/>
                <w:bCs/>
              </w:rPr>
              <w:t>Deadline:</w:t>
            </w:r>
          </w:p>
        </w:tc>
        <w:tc>
          <w:tcPr>
            <w:tcW w:w="7775" w:type="dxa"/>
            <w:gridSpan w:val="3"/>
            <w:tcBorders>
              <w:bottom w:val="single" w:sz="12" w:space="0" w:color="auto"/>
            </w:tcBorders>
          </w:tcPr>
          <w:p w14:paraId="2AF93EC9" w14:textId="5B4C8CEA" w:rsidR="001F34F9" w:rsidRDefault="00CE7429" w:rsidP="00F66064">
            <w:pPr>
              <w:pStyle w:val="LSDeadline"/>
            </w:pPr>
            <w:r>
              <w:t>-</w:t>
            </w:r>
          </w:p>
        </w:tc>
      </w:tr>
      <w:tr w:rsidR="001F34F9" w14:paraId="67E4B513" w14:textId="77777777" w:rsidTr="00B4465D">
        <w:tblPrEx>
          <w:tblLook w:val="04A0" w:firstRow="1" w:lastRow="0" w:firstColumn="1" w:lastColumn="0" w:noHBand="0" w:noVBand="1"/>
        </w:tblPrEx>
        <w:trPr>
          <w:cantSplit/>
          <w:trHeight w:val="1045"/>
        </w:trPr>
        <w:tc>
          <w:tcPr>
            <w:tcW w:w="1616" w:type="dxa"/>
            <w:gridSpan w:val="3"/>
            <w:tcBorders>
              <w:top w:val="single" w:sz="8" w:space="0" w:color="auto"/>
              <w:bottom w:val="single" w:sz="8" w:space="0" w:color="auto"/>
            </w:tcBorders>
          </w:tcPr>
          <w:p w14:paraId="5BA1A025" w14:textId="77777777" w:rsidR="001F34F9" w:rsidRPr="00AF3A0C" w:rsidRDefault="001F34F9" w:rsidP="00F66064">
            <w:pPr>
              <w:rPr>
                <w:rFonts w:asciiTheme="majorBidi" w:hAnsiTheme="majorBidi" w:cstheme="majorBidi"/>
                <w:b/>
                <w:bCs/>
                <w:kern w:val="2"/>
                <w:lang w:val="en-US" w:eastAsia="zh-CN"/>
              </w:rPr>
            </w:pPr>
            <w:r>
              <w:rPr>
                <w:rFonts w:asciiTheme="majorBidi" w:hAnsiTheme="majorBidi" w:cstheme="majorBidi"/>
                <w:b/>
                <w:bCs/>
                <w:kern w:val="2"/>
                <w:lang w:val="en-US" w:eastAsia="zh-CN"/>
              </w:rPr>
              <w:t>Contact:</w:t>
            </w:r>
          </w:p>
        </w:tc>
        <w:tc>
          <w:tcPr>
            <w:tcW w:w="3776" w:type="dxa"/>
            <w:gridSpan w:val="2"/>
            <w:tcBorders>
              <w:top w:val="single" w:sz="8" w:space="0" w:color="auto"/>
              <w:bottom w:val="single" w:sz="8" w:space="0" w:color="auto"/>
            </w:tcBorders>
          </w:tcPr>
          <w:p w14:paraId="6289A19A" w14:textId="5B04D066" w:rsidR="001F34F9" w:rsidRDefault="001F34F9" w:rsidP="00F66064">
            <w:pPr>
              <w:rPr>
                <w:lang w:val="en-US" w:eastAsia="zh-CN"/>
              </w:rPr>
            </w:pPr>
            <w:r>
              <w:t>Ena Dekanic</w:t>
            </w:r>
            <w:r w:rsidRPr="00D5603A">
              <w:br/>
              <w:t>SG2 Chair</w:t>
            </w:r>
            <w:r w:rsidRPr="00D5603A">
              <w:br/>
            </w:r>
            <w:r>
              <w:t>United States</w:t>
            </w:r>
          </w:p>
        </w:tc>
        <w:tc>
          <w:tcPr>
            <w:tcW w:w="4508" w:type="dxa"/>
            <w:gridSpan w:val="2"/>
            <w:tcBorders>
              <w:top w:val="single" w:sz="8" w:space="0" w:color="auto"/>
              <w:bottom w:val="single" w:sz="8" w:space="0" w:color="auto"/>
            </w:tcBorders>
          </w:tcPr>
          <w:p w14:paraId="55097BF1" w14:textId="57011D52" w:rsidR="001F34F9" w:rsidRPr="0066460E" w:rsidRDefault="001F34F9" w:rsidP="00B91388">
            <w:pPr>
              <w:rPr>
                <w:lang w:val="en-US"/>
              </w:rPr>
            </w:pPr>
            <w:r w:rsidRPr="00D5603A">
              <w:t>E-mail:</w:t>
            </w:r>
            <w:r w:rsidRPr="00D5603A">
              <w:tab/>
            </w:r>
            <w:hyperlink r:id="rId13" w:history="1">
              <w:r w:rsidRPr="00433877">
                <w:rPr>
                  <w:rStyle w:val="Hyperlink"/>
                </w:rPr>
                <w:t>DekanicE@state.gov</w:t>
              </w:r>
            </w:hyperlink>
            <w:r w:rsidRPr="00D5603A">
              <w:t xml:space="preserve"> </w:t>
            </w:r>
          </w:p>
        </w:tc>
      </w:tr>
    </w:tbl>
    <w:p w14:paraId="4C0382A7" w14:textId="77777777" w:rsidR="001F34F9" w:rsidRDefault="001F34F9" w:rsidP="001F34F9">
      <w:pPr>
        <w:rPr>
          <w:lang w:val="pt-BR" w:eastAsia="zh-CN"/>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1F34F9" w14:paraId="629746A9" w14:textId="77777777" w:rsidTr="00F66064">
        <w:trPr>
          <w:cantSplit/>
        </w:trPr>
        <w:tc>
          <w:tcPr>
            <w:tcW w:w="1641" w:type="dxa"/>
          </w:tcPr>
          <w:p w14:paraId="3DB817F6" w14:textId="77777777" w:rsidR="001F34F9" w:rsidRDefault="001F34F9" w:rsidP="00F66064">
            <w:pPr>
              <w:rPr>
                <w:b/>
                <w:bCs/>
              </w:rPr>
            </w:pPr>
            <w:r>
              <w:rPr>
                <w:b/>
                <w:bCs/>
              </w:rPr>
              <w:t>Abstract:</w:t>
            </w:r>
          </w:p>
        </w:tc>
        <w:sdt>
          <w:sdtPr>
            <w:rPr>
              <w:rFonts w:hint="eastAsia"/>
              <w:szCs w:val="24"/>
            </w:rPr>
            <w:alias w:val="Abstract"/>
            <w:tag w:val="Abstract"/>
            <w:id w:val="-939903723"/>
            <w:placeholder>
              <w:docPart w:val="86B4BF8AF2B94504BF6B52EF757A5C9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82" w:type="dxa"/>
              </w:tcPr>
              <w:p w14:paraId="5A7C034B" w14:textId="29188954" w:rsidR="001F34F9" w:rsidRDefault="00165163" w:rsidP="00F66064">
                <w:r w:rsidRPr="00165163">
                  <w:rPr>
                    <w:szCs w:val="24"/>
                  </w:rPr>
                  <w:t xml:space="preserve">This LS/o/r </w:t>
                </w:r>
                <w:r w:rsidR="00630083">
                  <w:rPr>
                    <w:szCs w:val="24"/>
                  </w:rPr>
                  <w:t xml:space="preserve">shares ITU-T Study Group 2 (SG2) concerns with the proposed joint working party (JWP) on OTT definitions, </w:t>
                </w:r>
                <w:r w:rsidRPr="00165163">
                  <w:rPr>
                    <w:szCs w:val="24"/>
                  </w:rPr>
                  <w:t>and, rather than a JWP, instead proposes a virtual joint meeting between Q3/2 and Q9/3</w:t>
                </w:r>
                <w:r w:rsidR="00630083">
                  <w:rPr>
                    <w:szCs w:val="24"/>
                  </w:rPr>
                  <w:t>.</w:t>
                </w:r>
                <w:r w:rsidRPr="00165163">
                  <w:rPr>
                    <w:szCs w:val="24"/>
                  </w:rPr>
                  <w:t xml:space="preserve">   </w:t>
                </w:r>
              </w:p>
            </w:tc>
          </w:sdtContent>
        </w:sdt>
      </w:tr>
    </w:tbl>
    <w:p w14:paraId="56CA3BFB" w14:textId="1F0C52DF" w:rsidR="00EC701F" w:rsidRDefault="00A926F9" w:rsidP="0066460E">
      <w:pPr>
        <w:keepNext/>
        <w:spacing w:before="360"/>
        <w:rPr>
          <w:rFonts w:eastAsia="MS Mincho"/>
          <w:szCs w:val="24"/>
        </w:rPr>
      </w:pPr>
      <w:r w:rsidRPr="00B226E7">
        <w:rPr>
          <w:rFonts w:eastAsia="MS Mincho"/>
          <w:szCs w:val="24"/>
        </w:rPr>
        <w:t xml:space="preserve">ITU-T </w:t>
      </w:r>
      <w:r w:rsidR="00B73718" w:rsidRPr="00B226E7">
        <w:rPr>
          <w:rFonts w:eastAsia="MS Mincho"/>
          <w:szCs w:val="24"/>
        </w:rPr>
        <w:t xml:space="preserve">Study Group 2 (SG2) thanks ITU-T Study Group 3 (SG3) for </w:t>
      </w:r>
      <w:r w:rsidR="004243AD">
        <w:rPr>
          <w:rFonts w:eastAsia="MS Mincho"/>
          <w:szCs w:val="24"/>
        </w:rPr>
        <w:t xml:space="preserve">its proposal to establish </w:t>
      </w:r>
      <w:r w:rsidR="00490B5A">
        <w:rPr>
          <w:rFonts w:eastAsia="MS Mincho"/>
          <w:szCs w:val="24"/>
        </w:rPr>
        <w:t xml:space="preserve">a joint working party (JWP) between our two study groups </w:t>
      </w:r>
      <w:r w:rsidR="007F4EA0">
        <w:rPr>
          <w:rFonts w:eastAsia="MS Mincho"/>
          <w:szCs w:val="24"/>
        </w:rPr>
        <w:t xml:space="preserve">on OTT definitions.  </w:t>
      </w:r>
      <w:r w:rsidR="000C60D4" w:rsidRPr="00B226E7">
        <w:rPr>
          <w:rFonts w:eastAsia="MS Mincho"/>
          <w:szCs w:val="24"/>
        </w:rPr>
        <w:t xml:space="preserve">We </w:t>
      </w:r>
      <w:r w:rsidR="0060494C">
        <w:rPr>
          <w:rFonts w:eastAsia="MS Mincho"/>
          <w:szCs w:val="24"/>
        </w:rPr>
        <w:t>fully appreciate SG3’s increasing interest in this important topic.</w:t>
      </w:r>
      <w:r w:rsidR="007363B0">
        <w:rPr>
          <w:rFonts w:eastAsia="MS Mincho"/>
          <w:szCs w:val="24"/>
        </w:rPr>
        <w:t xml:space="preserve">  </w:t>
      </w:r>
      <w:r w:rsidR="00ED15BD" w:rsidRPr="00B226E7">
        <w:rPr>
          <w:rFonts w:eastAsia="MS Mincho"/>
          <w:szCs w:val="24"/>
        </w:rPr>
        <w:t>However, SG2 c</w:t>
      </w:r>
      <w:r w:rsidRPr="00B226E7">
        <w:rPr>
          <w:rFonts w:eastAsia="MS Mincho"/>
          <w:szCs w:val="24"/>
        </w:rPr>
        <w:t>onsiders th</w:t>
      </w:r>
      <w:r w:rsidR="00ED15BD" w:rsidRPr="00B226E7">
        <w:rPr>
          <w:rFonts w:eastAsia="MS Mincho"/>
          <w:szCs w:val="24"/>
        </w:rPr>
        <w:t xml:space="preserve">e proposed JWP </w:t>
      </w:r>
      <w:r w:rsidR="00B73718" w:rsidRPr="00B226E7">
        <w:rPr>
          <w:rFonts w:eastAsia="MS Mincho"/>
          <w:szCs w:val="24"/>
        </w:rPr>
        <w:t>substantively and p</w:t>
      </w:r>
      <w:r w:rsidR="00673865" w:rsidRPr="00B226E7">
        <w:rPr>
          <w:rFonts w:eastAsia="MS Mincho"/>
          <w:szCs w:val="24"/>
        </w:rPr>
        <w:t>roce</w:t>
      </w:r>
      <w:r w:rsidR="00575597" w:rsidRPr="00B226E7">
        <w:rPr>
          <w:rFonts w:eastAsia="MS Mincho"/>
          <w:szCs w:val="24"/>
        </w:rPr>
        <w:t xml:space="preserve">durally infeasible, </w:t>
      </w:r>
      <w:r w:rsidR="00ED15BD" w:rsidRPr="00B226E7">
        <w:rPr>
          <w:rFonts w:eastAsia="MS Mincho"/>
          <w:szCs w:val="24"/>
        </w:rPr>
        <w:t xml:space="preserve">for the following reasons: </w:t>
      </w:r>
    </w:p>
    <w:p w14:paraId="757DDC95" w14:textId="759595CB" w:rsidR="008955C5" w:rsidRPr="008955C5" w:rsidRDefault="00464FC8" w:rsidP="00F8395D">
      <w:pPr>
        <w:pStyle w:val="ListParagraph"/>
        <w:numPr>
          <w:ilvl w:val="0"/>
          <w:numId w:val="17"/>
        </w:numPr>
        <w:ind w:left="900" w:hanging="900"/>
        <w:contextualSpacing w:val="0"/>
      </w:pPr>
      <w:r w:rsidRPr="00707D77">
        <w:rPr>
          <w:rFonts w:eastAsia="MS Mincho"/>
          <w:szCs w:val="24"/>
        </w:rPr>
        <w:t xml:space="preserve">The </w:t>
      </w:r>
      <w:r w:rsidR="006C17A5" w:rsidRPr="00707D77">
        <w:rPr>
          <w:rFonts w:eastAsia="MS Mincho"/>
          <w:szCs w:val="24"/>
        </w:rPr>
        <w:t xml:space="preserve">proposed </w:t>
      </w:r>
      <w:r w:rsidRPr="00707D77">
        <w:rPr>
          <w:rFonts w:eastAsia="MS Mincho"/>
          <w:szCs w:val="24"/>
        </w:rPr>
        <w:t xml:space="preserve">purpose and specific tasks </w:t>
      </w:r>
      <w:r w:rsidR="005B700F" w:rsidRPr="00707D77">
        <w:rPr>
          <w:rFonts w:eastAsia="MS Mincho"/>
          <w:szCs w:val="24"/>
        </w:rPr>
        <w:t>fall squ</w:t>
      </w:r>
      <w:r w:rsidR="006C17A5" w:rsidRPr="00707D77">
        <w:rPr>
          <w:rFonts w:eastAsia="MS Mincho"/>
          <w:szCs w:val="24"/>
        </w:rPr>
        <w:t xml:space="preserve">arely within the mandate </w:t>
      </w:r>
      <w:r w:rsidR="00A66F00" w:rsidRPr="00707D77">
        <w:rPr>
          <w:rFonts w:eastAsia="MS Mincho"/>
          <w:szCs w:val="24"/>
        </w:rPr>
        <w:t xml:space="preserve">of SG2.  </w:t>
      </w:r>
      <w:proofErr w:type="gramStart"/>
      <w:r w:rsidR="002D40C3">
        <w:rPr>
          <w:rFonts w:eastAsia="MS Mincho"/>
          <w:szCs w:val="24"/>
        </w:rPr>
        <w:t>In particular, at</w:t>
      </w:r>
      <w:proofErr w:type="gramEnd"/>
      <w:r w:rsidR="002D40C3">
        <w:rPr>
          <w:rFonts w:eastAsia="MS Mincho"/>
          <w:szCs w:val="24"/>
        </w:rPr>
        <w:t xml:space="preserve"> </w:t>
      </w:r>
      <w:r w:rsidR="00AB3D2D">
        <w:rPr>
          <w:rFonts w:eastAsia="MS Mincho"/>
          <w:szCs w:val="24"/>
        </w:rPr>
        <w:t>WTSA-24, Q3/2 has been</w:t>
      </w:r>
      <w:r w:rsidR="00A51149" w:rsidRPr="00707D77">
        <w:rPr>
          <w:rFonts w:eastAsia="MS Mincho"/>
          <w:szCs w:val="24"/>
        </w:rPr>
        <w:t xml:space="preserve"> newly tasked to “establish the </w:t>
      </w:r>
      <w:r w:rsidR="00707D77">
        <w:t>principles of service provision by OTT applications, their operational requirements, capabilities, and impact on other service</w:t>
      </w:r>
      <w:r w:rsidR="00AB3D2D">
        <w:t>s</w:t>
      </w:r>
      <w:r w:rsidR="00A504C5">
        <w:t>.”</w:t>
      </w:r>
      <w:r w:rsidR="00AB3D2D">
        <w:t xml:space="preserve">  </w:t>
      </w:r>
      <w:r w:rsidR="00C3010E">
        <w:rPr>
          <w:rFonts w:eastAsia="MS Mincho"/>
          <w:szCs w:val="24"/>
        </w:rPr>
        <w:t>According to clause 2.1.5 of Rec. ITU-T</w:t>
      </w:r>
      <w:r w:rsidR="00C3010E">
        <w:t xml:space="preserve"> A.1, </w:t>
      </w:r>
      <w:r w:rsidR="00924469">
        <w:t xml:space="preserve">JWPs should only be created “exceptionally.”  </w:t>
      </w:r>
      <w:r w:rsidR="00F642C2">
        <w:t>(</w:t>
      </w:r>
      <w:r w:rsidR="00924469">
        <w:t>Moreover, according to clause 2.1.4, “</w:t>
      </w:r>
      <w:r w:rsidR="00341762">
        <w:rPr>
          <w:rFonts w:eastAsiaTheme="minorEastAsia"/>
          <w:szCs w:val="24"/>
          <w:lang w:val="en-US" w:eastAsia="zh-CN"/>
        </w:rPr>
        <w:t>p</w:t>
      </w:r>
      <w:r w:rsidR="00924469">
        <w:rPr>
          <w:rFonts w:eastAsiaTheme="minorEastAsia"/>
          <w:szCs w:val="24"/>
          <w:lang w:val="en-US" w:eastAsia="zh-CN"/>
        </w:rPr>
        <w:t>roliferation of working parties, sub-working parties or any other subgroups should be avoided.”</w:t>
      </w:r>
      <w:r w:rsidR="00F642C2">
        <w:rPr>
          <w:rFonts w:eastAsiaTheme="minorEastAsia"/>
          <w:szCs w:val="24"/>
          <w:lang w:val="en-US" w:eastAsia="zh-CN"/>
        </w:rPr>
        <w:t>)</w:t>
      </w:r>
      <w:r w:rsidR="00924469">
        <w:rPr>
          <w:rFonts w:eastAsiaTheme="minorEastAsia"/>
          <w:szCs w:val="24"/>
          <w:lang w:val="en-US" w:eastAsia="zh-CN"/>
        </w:rPr>
        <w:t xml:space="preserve">  Therefore,</w:t>
      </w:r>
      <w:r w:rsidR="00384F29">
        <w:rPr>
          <w:rFonts w:eastAsia="MS Mincho"/>
          <w:szCs w:val="24"/>
        </w:rPr>
        <w:t xml:space="preserve"> </w:t>
      </w:r>
      <w:r w:rsidR="008955C5">
        <w:rPr>
          <w:rFonts w:eastAsia="MS Mincho"/>
          <w:szCs w:val="24"/>
        </w:rPr>
        <w:t xml:space="preserve">there is </w:t>
      </w:r>
      <w:r w:rsidR="00A3743E">
        <w:rPr>
          <w:rFonts w:eastAsia="MS Mincho"/>
          <w:szCs w:val="24"/>
        </w:rPr>
        <w:t>currently no need for this JWP</w:t>
      </w:r>
      <w:r w:rsidR="00972381">
        <w:rPr>
          <w:rFonts w:eastAsia="MS Mincho"/>
          <w:szCs w:val="24"/>
        </w:rPr>
        <w:t xml:space="preserve">; rather, </w:t>
      </w:r>
      <w:r w:rsidR="00F642C2">
        <w:rPr>
          <w:rFonts w:eastAsia="MS Mincho"/>
          <w:szCs w:val="24"/>
        </w:rPr>
        <w:t xml:space="preserve">interested SG3 experts </w:t>
      </w:r>
      <w:r w:rsidR="003F4AF6">
        <w:rPr>
          <w:rFonts w:eastAsia="MS Mincho"/>
          <w:szCs w:val="24"/>
        </w:rPr>
        <w:t xml:space="preserve">are already able to participate directly in the </w:t>
      </w:r>
      <w:r w:rsidR="00972381">
        <w:rPr>
          <w:rFonts w:eastAsia="MS Mincho"/>
          <w:szCs w:val="24"/>
        </w:rPr>
        <w:t>ongoing</w:t>
      </w:r>
      <w:r w:rsidR="003F4AF6">
        <w:rPr>
          <w:rFonts w:eastAsia="MS Mincho"/>
          <w:szCs w:val="24"/>
        </w:rPr>
        <w:t xml:space="preserve"> work in SG2</w:t>
      </w:r>
      <w:r w:rsidR="00402C62">
        <w:rPr>
          <w:rFonts w:eastAsia="MS Mincho"/>
          <w:szCs w:val="24"/>
        </w:rPr>
        <w:t xml:space="preserve"> (and vice versa)</w:t>
      </w:r>
      <w:r w:rsidR="001E76D7">
        <w:rPr>
          <w:rFonts w:eastAsia="MS Mincho"/>
          <w:szCs w:val="24"/>
        </w:rPr>
        <w:t xml:space="preserve">. </w:t>
      </w:r>
    </w:p>
    <w:p w14:paraId="40186EC9" w14:textId="4D13E7E2" w:rsidR="009810FF" w:rsidRDefault="008D0A9C" w:rsidP="00F8395D">
      <w:pPr>
        <w:pStyle w:val="ListParagraph"/>
        <w:numPr>
          <w:ilvl w:val="0"/>
          <w:numId w:val="17"/>
        </w:numPr>
        <w:ind w:left="900" w:hanging="900"/>
        <w:contextualSpacing w:val="0"/>
        <w:rPr>
          <w:rFonts w:eastAsia="MS Mincho"/>
          <w:szCs w:val="24"/>
        </w:rPr>
      </w:pPr>
      <w:r>
        <w:rPr>
          <w:rFonts w:eastAsia="MS Mincho"/>
          <w:szCs w:val="24"/>
        </w:rPr>
        <w:t>Likewise</w:t>
      </w:r>
      <w:r w:rsidR="00CE749C">
        <w:rPr>
          <w:rFonts w:eastAsia="MS Mincho"/>
          <w:szCs w:val="24"/>
        </w:rPr>
        <w:t>,</w:t>
      </w:r>
      <w:r w:rsidR="00C35ECF">
        <w:rPr>
          <w:rFonts w:eastAsia="MS Mincho"/>
          <w:szCs w:val="24"/>
        </w:rPr>
        <w:t xml:space="preserve"> pursuant to WTSA Resolution 2 (Rev. New Delhi, 2024),</w:t>
      </w:r>
      <w:r w:rsidR="00CE749C">
        <w:rPr>
          <w:rFonts w:eastAsia="MS Mincho"/>
          <w:szCs w:val="24"/>
        </w:rPr>
        <w:t xml:space="preserve"> </w:t>
      </w:r>
      <w:r w:rsidR="005D468E">
        <w:rPr>
          <w:rFonts w:eastAsia="DengXian"/>
        </w:rPr>
        <w:t>SG2 is the lead</w:t>
      </w:r>
      <w:r w:rsidR="00263934">
        <w:rPr>
          <w:rFonts w:eastAsia="DengXian"/>
        </w:rPr>
        <w:t xml:space="preserve"> study group on telecommunication/ICT service definition</w:t>
      </w:r>
      <w:r w:rsidR="00153800">
        <w:rPr>
          <w:rFonts w:eastAsia="DengXian"/>
        </w:rPr>
        <w:t xml:space="preserve">.  </w:t>
      </w:r>
      <w:r w:rsidR="001D7F61">
        <w:rPr>
          <w:rFonts w:eastAsia="MS Mincho"/>
          <w:szCs w:val="24"/>
        </w:rPr>
        <w:t>A JWP</w:t>
      </w:r>
      <w:r>
        <w:rPr>
          <w:rFonts w:eastAsia="MS Mincho"/>
          <w:szCs w:val="24"/>
        </w:rPr>
        <w:t xml:space="preserve"> on OTT definitions</w:t>
      </w:r>
      <w:r w:rsidR="001D7F61">
        <w:rPr>
          <w:rFonts w:eastAsia="MS Mincho"/>
          <w:szCs w:val="24"/>
        </w:rPr>
        <w:t xml:space="preserve"> </w:t>
      </w:r>
      <w:r w:rsidR="007D4C50">
        <w:rPr>
          <w:rFonts w:eastAsia="MS Mincho"/>
          <w:szCs w:val="24"/>
        </w:rPr>
        <w:t>with</w:t>
      </w:r>
      <w:r w:rsidR="001D7F61">
        <w:rPr>
          <w:rFonts w:eastAsia="MS Mincho"/>
          <w:szCs w:val="24"/>
        </w:rPr>
        <w:t xml:space="preserve"> SG3</w:t>
      </w:r>
      <w:r w:rsidR="00403B66">
        <w:rPr>
          <w:rFonts w:eastAsia="MS Mincho"/>
          <w:szCs w:val="24"/>
        </w:rPr>
        <w:t xml:space="preserve"> (</w:t>
      </w:r>
      <w:r w:rsidR="007C019A">
        <w:rPr>
          <w:rFonts w:eastAsia="MS Mincho"/>
          <w:szCs w:val="24"/>
        </w:rPr>
        <w:t>rather than</w:t>
      </w:r>
      <w:r w:rsidR="00403B66">
        <w:rPr>
          <w:rFonts w:eastAsia="MS Mincho"/>
          <w:szCs w:val="24"/>
        </w:rPr>
        <w:t xml:space="preserve"> SG2) as the lead study group, as proposed, </w:t>
      </w:r>
      <w:r w:rsidR="004F143F">
        <w:rPr>
          <w:rFonts w:eastAsia="MS Mincho"/>
          <w:szCs w:val="24"/>
        </w:rPr>
        <w:t xml:space="preserve">contradicts WTSA Resolution 2 and </w:t>
      </w:r>
      <w:r w:rsidR="00403B66">
        <w:rPr>
          <w:rFonts w:eastAsia="MS Mincho"/>
          <w:szCs w:val="24"/>
        </w:rPr>
        <w:t xml:space="preserve">would only </w:t>
      </w:r>
      <w:r w:rsidR="008D43EF">
        <w:rPr>
          <w:rFonts w:eastAsia="MS Mincho"/>
          <w:szCs w:val="24"/>
        </w:rPr>
        <w:t xml:space="preserve">introduce unnecessary confusion </w:t>
      </w:r>
      <w:r w:rsidR="00ED285F">
        <w:rPr>
          <w:rFonts w:eastAsia="MS Mincho"/>
          <w:szCs w:val="24"/>
        </w:rPr>
        <w:t xml:space="preserve">regarding the division of responsibilities </w:t>
      </w:r>
      <w:r w:rsidR="00A401D5">
        <w:rPr>
          <w:rFonts w:eastAsia="MS Mincho"/>
          <w:szCs w:val="24"/>
        </w:rPr>
        <w:t xml:space="preserve">on this topic. </w:t>
      </w:r>
      <w:r w:rsidR="00403B66">
        <w:rPr>
          <w:rFonts w:eastAsia="MS Mincho"/>
          <w:szCs w:val="24"/>
        </w:rPr>
        <w:t xml:space="preserve"> </w:t>
      </w:r>
    </w:p>
    <w:p w14:paraId="245BF34B" w14:textId="1E2984DB" w:rsidR="009810FF" w:rsidRDefault="00836028" w:rsidP="00F8395D">
      <w:pPr>
        <w:pStyle w:val="ListParagraph"/>
        <w:numPr>
          <w:ilvl w:val="0"/>
          <w:numId w:val="17"/>
        </w:numPr>
        <w:ind w:left="900" w:hanging="900"/>
        <w:contextualSpacing w:val="0"/>
        <w:rPr>
          <w:rFonts w:eastAsia="MS Mincho"/>
          <w:szCs w:val="24"/>
        </w:rPr>
      </w:pPr>
      <w:r>
        <w:rPr>
          <w:rFonts w:eastAsia="MS Mincho"/>
          <w:szCs w:val="24"/>
        </w:rPr>
        <w:t>Relatedly, i</w:t>
      </w:r>
      <w:r w:rsidR="00A3358B">
        <w:rPr>
          <w:rFonts w:eastAsia="MS Mincho"/>
          <w:szCs w:val="24"/>
        </w:rPr>
        <w:t>n terms of</w:t>
      </w:r>
      <w:r w:rsidR="00306CE5">
        <w:rPr>
          <w:rFonts w:eastAsia="MS Mincho"/>
          <w:szCs w:val="24"/>
        </w:rPr>
        <w:t xml:space="preserve"> authority, this proposal </w:t>
      </w:r>
      <w:r w:rsidR="009258D9">
        <w:rPr>
          <w:rFonts w:eastAsia="MS Mincho"/>
          <w:szCs w:val="24"/>
        </w:rPr>
        <w:t>suggests</w:t>
      </w:r>
      <w:r w:rsidR="00695B13">
        <w:rPr>
          <w:rFonts w:eastAsia="MS Mincho"/>
          <w:szCs w:val="24"/>
        </w:rPr>
        <w:t xml:space="preserve"> </w:t>
      </w:r>
      <w:r w:rsidR="00306CE5">
        <w:rPr>
          <w:rFonts w:eastAsia="MS Mincho"/>
          <w:szCs w:val="24"/>
        </w:rPr>
        <w:t xml:space="preserve">a parallel </w:t>
      </w:r>
      <w:r w:rsidR="00A3358B">
        <w:rPr>
          <w:rFonts w:eastAsia="MS Mincho"/>
          <w:szCs w:val="24"/>
        </w:rPr>
        <w:t xml:space="preserve">approval process, whereby </w:t>
      </w:r>
      <w:r w:rsidR="005F29C0">
        <w:rPr>
          <w:rFonts w:eastAsia="MS Mincho"/>
          <w:szCs w:val="24"/>
        </w:rPr>
        <w:t>SG</w:t>
      </w:r>
      <w:r w:rsidR="00F5173F">
        <w:rPr>
          <w:rFonts w:eastAsia="MS Mincho"/>
          <w:szCs w:val="24"/>
        </w:rPr>
        <w:t>2 and SG3 would each consider the JWP outputs at their respective plenaries</w:t>
      </w:r>
      <w:r w:rsidR="005F29C0">
        <w:rPr>
          <w:rFonts w:eastAsia="MS Mincho"/>
          <w:szCs w:val="24"/>
        </w:rPr>
        <w:t>.</w:t>
      </w:r>
      <w:r w:rsidR="00A71D3C">
        <w:rPr>
          <w:rFonts w:eastAsia="MS Mincho"/>
          <w:szCs w:val="24"/>
        </w:rPr>
        <w:t xml:space="preserve">  </w:t>
      </w:r>
      <w:r w:rsidR="005067D2">
        <w:rPr>
          <w:rFonts w:eastAsia="MS Mincho"/>
          <w:szCs w:val="24"/>
        </w:rPr>
        <w:t xml:space="preserve">This approach </w:t>
      </w:r>
      <w:r w:rsidR="000C1B4D">
        <w:rPr>
          <w:rFonts w:eastAsia="MS Mincho"/>
          <w:szCs w:val="24"/>
        </w:rPr>
        <w:t>risks the adoption of competing outcomes (</w:t>
      </w:r>
      <w:r w:rsidR="000C1B4D" w:rsidRPr="000C1B4D">
        <w:rPr>
          <w:rFonts w:eastAsia="MS Mincho"/>
          <w:i/>
          <w:iCs/>
          <w:szCs w:val="24"/>
        </w:rPr>
        <w:t>e.g</w:t>
      </w:r>
      <w:r w:rsidR="000C1B4D">
        <w:rPr>
          <w:rFonts w:eastAsia="MS Mincho"/>
          <w:szCs w:val="24"/>
        </w:rPr>
        <w:t xml:space="preserve">., what happens if SG2 agrees </w:t>
      </w:r>
      <w:r w:rsidR="000C1B4D">
        <w:rPr>
          <w:rFonts w:eastAsia="MS Mincho"/>
          <w:szCs w:val="24"/>
        </w:rPr>
        <w:lastRenderedPageBreak/>
        <w:t>and SG3 does not, or vice versa?), which would undermine the collaborative goal of the proposal.</w:t>
      </w:r>
      <w:r w:rsidR="00A71D3C">
        <w:rPr>
          <w:rFonts w:eastAsia="MS Mincho"/>
          <w:szCs w:val="24"/>
        </w:rPr>
        <w:t xml:space="preserve"> </w:t>
      </w:r>
    </w:p>
    <w:p w14:paraId="0D1C6D80" w14:textId="22CF0678" w:rsidR="006472A1" w:rsidRPr="00D60BAA" w:rsidRDefault="006472A1" w:rsidP="00F8395D">
      <w:pPr>
        <w:pStyle w:val="ListParagraph"/>
        <w:numPr>
          <w:ilvl w:val="0"/>
          <w:numId w:val="17"/>
        </w:numPr>
        <w:ind w:left="900" w:hanging="900"/>
        <w:contextualSpacing w:val="0"/>
        <w:rPr>
          <w:rFonts w:eastAsia="MS Mincho"/>
          <w:szCs w:val="24"/>
        </w:rPr>
      </w:pPr>
      <w:r w:rsidRPr="00B226E7">
        <w:rPr>
          <w:rFonts w:eastAsia="MS Mincho"/>
          <w:szCs w:val="24"/>
        </w:rPr>
        <w:t xml:space="preserve">Regarding the </w:t>
      </w:r>
      <w:r w:rsidR="00AE04ED" w:rsidRPr="00B226E7">
        <w:rPr>
          <w:rFonts w:eastAsia="MS Mincho"/>
          <w:szCs w:val="24"/>
        </w:rPr>
        <w:t xml:space="preserve">proposed </w:t>
      </w:r>
      <w:r w:rsidRPr="00B226E7">
        <w:rPr>
          <w:rFonts w:eastAsia="MS Mincho"/>
          <w:szCs w:val="24"/>
        </w:rPr>
        <w:t xml:space="preserve">time limit, </w:t>
      </w:r>
      <w:r w:rsidR="00A621CB">
        <w:rPr>
          <w:rFonts w:eastAsia="MS Mincho"/>
          <w:szCs w:val="24"/>
        </w:rPr>
        <w:t>it would be impossible for a</w:t>
      </w:r>
      <w:r w:rsidR="005B4C58">
        <w:rPr>
          <w:rFonts w:eastAsia="MS Mincho"/>
          <w:szCs w:val="24"/>
        </w:rPr>
        <w:t xml:space="preserve"> JWP to c</w:t>
      </w:r>
      <w:r w:rsidR="00A621CB">
        <w:rPr>
          <w:rFonts w:eastAsia="MS Mincho"/>
          <w:szCs w:val="24"/>
        </w:rPr>
        <w:t xml:space="preserve">onclude its work by December 2025, </w:t>
      </w:r>
      <w:r w:rsidR="007E62A9">
        <w:rPr>
          <w:rFonts w:eastAsia="MS Mincho"/>
          <w:szCs w:val="24"/>
        </w:rPr>
        <w:t>given the timing of anticipated upcoming SG2 and SG3 meetings.</w:t>
      </w:r>
      <w:r w:rsidR="00B060B1">
        <w:rPr>
          <w:rFonts w:eastAsia="MS Mincho"/>
          <w:szCs w:val="24"/>
        </w:rPr>
        <w:t xml:space="preserve">  </w:t>
      </w:r>
      <w:r w:rsidR="000D28BF">
        <w:rPr>
          <w:rFonts w:eastAsia="MS Mincho"/>
          <w:szCs w:val="24"/>
        </w:rPr>
        <w:t>To</w:t>
      </w:r>
      <w:r w:rsidR="000139A3">
        <w:rPr>
          <w:rFonts w:eastAsia="MS Mincho"/>
          <w:szCs w:val="24"/>
        </w:rPr>
        <w:t> </w:t>
      </w:r>
      <w:r w:rsidR="000D28BF">
        <w:rPr>
          <w:rFonts w:eastAsia="MS Mincho"/>
          <w:szCs w:val="24"/>
        </w:rPr>
        <w:t>this point, we note</w:t>
      </w:r>
      <w:r w:rsidR="00B060B1">
        <w:rPr>
          <w:rFonts w:eastAsia="MS Mincho"/>
          <w:szCs w:val="24"/>
        </w:rPr>
        <w:t xml:space="preserve"> th</w:t>
      </w:r>
      <w:r w:rsidR="006E4548">
        <w:rPr>
          <w:rFonts w:eastAsia="MS Mincho"/>
          <w:szCs w:val="24"/>
        </w:rPr>
        <w:t xml:space="preserve">at </w:t>
      </w:r>
      <w:r w:rsidR="009F662E">
        <w:rPr>
          <w:rFonts w:eastAsia="MS Mincho"/>
          <w:szCs w:val="24"/>
        </w:rPr>
        <w:t>seven months have already passed</w:t>
      </w:r>
      <w:r w:rsidR="000D28BF">
        <w:rPr>
          <w:rFonts w:eastAsia="MS Mincho"/>
          <w:szCs w:val="24"/>
        </w:rPr>
        <w:t xml:space="preserve"> since</w:t>
      </w:r>
      <w:r w:rsidR="00936483">
        <w:rPr>
          <w:rFonts w:eastAsia="MS Mincho"/>
          <w:szCs w:val="24"/>
        </w:rPr>
        <w:t xml:space="preserve"> SG3 made its original proposal. </w:t>
      </w:r>
      <w:r w:rsidR="00F56D71">
        <w:rPr>
          <w:rFonts w:eastAsia="MS Mincho"/>
          <w:szCs w:val="24"/>
        </w:rPr>
        <w:t xml:space="preserve"> </w:t>
      </w:r>
      <w:r w:rsidR="00402C62">
        <w:rPr>
          <w:rFonts w:eastAsia="MS Mincho"/>
          <w:szCs w:val="24"/>
        </w:rPr>
        <w:t>Given the cadence of ITU-T Study Group meetings, it would likely take quite some time to jointly finalize the procedural</w:t>
      </w:r>
      <w:r w:rsidR="00D60BAA">
        <w:rPr>
          <w:rFonts w:eastAsia="MS Mincho"/>
          <w:szCs w:val="24"/>
        </w:rPr>
        <w:t>/</w:t>
      </w:r>
      <w:r w:rsidR="00402C62">
        <w:rPr>
          <w:rFonts w:eastAsia="MS Mincho"/>
          <w:szCs w:val="24"/>
        </w:rPr>
        <w:t>bureaucratic details of any proposed JWP</w:t>
      </w:r>
      <w:r w:rsidR="00D60BAA">
        <w:rPr>
          <w:rFonts w:eastAsia="MS Mincho"/>
          <w:szCs w:val="24"/>
        </w:rPr>
        <w:t xml:space="preserve">, </w:t>
      </w:r>
      <w:r w:rsidR="00402C62" w:rsidRPr="00D60BAA">
        <w:rPr>
          <w:rFonts w:eastAsia="MS Mincho"/>
          <w:szCs w:val="24"/>
        </w:rPr>
        <w:t>time that could be better spent on discussing the issues at hand (</w:t>
      </w:r>
      <w:r w:rsidR="00402C62" w:rsidRPr="00D60BAA">
        <w:rPr>
          <w:rFonts w:eastAsia="MS Mincho"/>
          <w:i/>
          <w:iCs/>
          <w:szCs w:val="24"/>
        </w:rPr>
        <w:t>e.g</w:t>
      </w:r>
      <w:r w:rsidR="00402C62" w:rsidRPr="00D60BAA">
        <w:rPr>
          <w:rFonts w:eastAsia="MS Mincho"/>
          <w:szCs w:val="24"/>
        </w:rPr>
        <w:t xml:space="preserve">., </w:t>
      </w:r>
      <w:r w:rsidR="00D60BAA" w:rsidRPr="00D60BAA">
        <w:rPr>
          <w:rFonts w:eastAsia="MS Mincho"/>
          <w:szCs w:val="24"/>
        </w:rPr>
        <w:t xml:space="preserve">by </w:t>
      </w:r>
      <w:r w:rsidR="00D60BAA">
        <w:rPr>
          <w:rFonts w:eastAsia="MS Mincho"/>
          <w:szCs w:val="24"/>
        </w:rPr>
        <w:t>attending each other’s existing meetings).</w:t>
      </w:r>
    </w:p>
    <w:p w14:paraId="65674347" w14:textId="7F4F040E" w:rsidR="00735180" w:rsidRPr="00B226E7" w:rsidRDefault="00735180" w:rsidP="00F8395D">
      <w:pPr>
        <w:pStyle w:val="ListParagraph"/>
        <w:numPr>
          <w:ilvl w:val="0"/>
          <w:numId w:val="17"/>
        </w:numPr>
        <w:ind w:left="900" w:hanging="900"/>
        <w:contextualSpacing w:val="0"/>
        <w:rPr>
          <w:rFonts w:eastAsia="MS Mincho"/>
          <w:szCs w:val="24"/>
        </w:rPr>
      </w:pPr>
      <w:r w:rsidRPr="00B226E7">
        <w:rPr>
          <w:rFonts w:eastAsia="MS Mincho"/>
          <w:szCs w:val="24"/>
        </w:rPr>
        <w:t xml:space="preserve">Regarding the </w:t>
      </w:r>
      <w:r w:rsidR="00AE04ED" w:rsidRPr="00B226E7">
        <w:rPr>
          <w:rFonts w:eastAsia="MS Mincho"/>
          <w:szCs w:val="24"/>
        </w:rPr>
        <w:t xml:space="preserve">proposed </w:t>
      </w:r>
      <w:r w:rsidRPr="00B226E7">
        <w:rPr>
          <w:rFonts w:eastAsia="MS Mincho"/>
          <w:szCs w:val="24"/>
        </w:rPr>
        <w:t>composition,</w:t>
      </w:r>
      <w:r w:rsidR="00A74FF1" w:rsidRPr="00B226E7">
        <w:rPr>
          <w:rFonts w:eastAsia="MS Mincho"/>
          <w:szCs w:val="24"/>
        </w:rPr>
        <w:t xml:space="preserve"> clause 2.1.5 of ITU-T Rec. A.1 </w:t>
      </w:r>
      <w:r w:rsidR="00C43BC7">
        <w:rPr>
          <w:rFonts w:eastAsia="MS Mincho"/>
          <w:szCs w:val="24"/>
        </w:rPr>
        <w:t>maintains</w:t>
      </w:r>
      <w:r w:rsidR="002A249B" w:rsidRPr="00B226E7">
        <w:rPr>
          <w:rFonts w:eastAsia="MS Mincho"/>
          <w:szCs w:val="24"/>
        </w:rPr>
        <w:t>: “</w:t>
      </w:r>
      <w:r w:rsidR="002A249B" w:rsidRPr="00B226E7">
        <w:rPr>
          <w:rFonts w:eastAsiaTheme="minorEastAsia"/>
          <w:szCs w:val="24"/>
          <w:lang w:val="en-US" w:eastAsia="zh-CN"/>
        </w:rPr>
        <w:t>The contributions used as a basis for discussion in the joint working party shall be sent exclusively to those registered in the joint working party.”</w:t>
      </w:r>
      <w:r w:rsidR="00620A80" w:rsidRPr="00B226E7">
        <w:rPr>
          <w:rFonts w:eastAsiaTheme="minorEastAsia"/>
          <w:szCs w:val="24"/>
          <w:lang w:val="en-US" w:eastAsia="zh-CN"/>
        </w:rPr>
        <w:t xml:space="preserve">  </w:t>
      </w:r>
      <w:r w:rsidR="000243F2">
        <w:rPr>
          <w:rFonts w:eastAsiaTheme="minorEastAsia"/>
          <w:szCs w:val="24"/>
          <w:lang w:val="en-US" w:eastAsia="zh-CN"/>
        </w:rPr>
        <w:t xml:space="preserve">Therefore, </w:t>
      </w:r>
      <w:r w:rsidR="007C0832">
        <w:rPr>
          <w:rFonts w:eastAsiaTheme="minorEastAsia"/>
          <w:szCs w:val="24"/>
          <w:lang w:val="en-US" w:eastAsia="zh-CN"/>
        </w:rPr>
        <w:t xml:space="preserve">a JWP </w:t>
      </w:r>
      <w:r w:rsidR="006907C9">
        <w:rPr>
          <w:rFonts w:eastAsiaTheme="minorEastAsia"/>
          <w:szCs w:val="24"/>
          <w:lang w:val="en-US" w:eastAsia="zh-CN"/>
        </w:rPr>
        <w:t>could have unintended negative consequences</w:t>
      </w:r>
      <w:r w:rsidR="00620572">
        <w:rPr>
          <w:rFonts w:eastAsiaTheme="minorEastAsia"/>
          <w:szCs w:val="24"/>
          <w:lang w:val="en-US" w:eastAsia="zh-CN"/>
        </w:rPr>
        <w:t xml:space="preserve">, in that it </w:t>
      </w:r>
      <w:r w:rsidR="006907C9">
        <w:rPr>
          <w:rFonts w:eastAsiaTheme="minorEastAsia"/>
          <w:szCs w:val="24"/>
          <w:lang w:val="en-US" w:eastAsia="zh-CN"/>
        </w:rPr>
        <w:t>may inadvertently limit</w:t>
      </w:r>
      <w:r w:rsidR="00252112">
        <w:rPr>
          <w:rFonts w:eastAsiaTheme="minorEastAsia"/>
          <w:szCs w:val="24"/>
          <w:lang w:val="en-US" w:eastAsia="zh-CN"/>
        </w:rPr>
        <w:t xml:space="preserve"> </w:t>
      </w:r>
      <w:r w:rsidR="00C43BC7">
        <w:rPr>
          <w:rFonts w:eastAsiaTheme="minorEastAsia"/>
          <w:szCs w:val="24"/>
          <w:lang w:val="en-US" w:eastAsia="zh-CN"/>
        </w:rPr>
        <w:t xml:space="preserve">the </w:t>
      </w:r>
      <w:r w:rsidR="00620572">
        <w:rPr>
          <w:rFonts w:eastAsiaTheme="minorEastAsia"/>
          <w:szCs w:val="24"/>
          <w:lang w:val="en-US" w:eastAsia="zh-CN"/>
        </w:rPr>
        <w:t>participation of a broad range of SG2 and SG3 experts, contrary to the goals of the proposal.</w:t>
      </w:r>
    </w:p>
    <w:p w14:paraId="55C83607" w14:textId="4AE68D96" w:rsidR="00C97690" w:rsidRPr="00B226E7" w:rsidRDefault="00C97690" w:rsidP="0066460E">
      <w:pPr>
        <w:rPr>
          <w:rFonts w:eastAsia="MS Mincho"/>
          <w:szCs w:val="24"/>
        </w:rPr>
      </w:pPr>
      <w:r w:rsidRPr="00B226E7">
        <w:rPr>
          <w:rFonts w:eastAsia="MS Mincho"/>
          <w:szCs w:val="24"/>
        </w:rPr>
        <w:t>In line with</w:t>
      </w:r>
      <w:r w:rsidR="00A66F00" w:rsidRPr="00B226E7">
        <w:rPr>
          <w:rFonts w:eastAsia="MS Mincho"/>
          <w:szCs w:val="24"/>
        </w:rPr>
        <w:t xml:space="preserve"> </w:t>
      </w:r>
      <w:r w:rsidR="004F1F86">
        <w:rPr>
          <w:rFonts w:eastAsia="MS Mincho"/>
          <w:szCs w:val="24"/>
        </w:rPr>
        <w:t xml:space="preserve">the spirit of the proposal, however, </w:t>
      </w:r>
      <w:r w:rsidR="00A66F00" w:rsidRPr="00B226E7">
        <w:rPr>
          <w:rFonts w:eastAsia="MS Mincho"/>
          <w:szCs w:val="24"/>
        </w:rPr>
        <w:t>clause 2.1.5 of ITU-T Rec. A.1</w:t>
      </w:r>
      <w:r w:rsidRPr="00B226E7">
        <w:rPr>
          <w:rFonts w:eastAsia="MS Mincho"/>
          <w:szCs w:val="24"/>
        </w:rPr>
        <w:t xml:space="preserve"> </w:t>
      </w:r>
      <w:r w:rsidR="00A66F00" w:rsidRPr="00B226E7">
        <w:rPr>
          <w:rFonts w:eastAsia="MS Mincho"/>
          <w:szCs w:val="24"/>
        </w:rPr>
        <w:t>recognizes that “</w:t>
      </w:r>
      <w:r w:rsidR="00A66F00" w:rsidRPr="00B226E7">
        <w:rPr>
          <w:rFonts w:eastAsiaTheme="minorEastAsia"/>
          <w:szCs w:val="24"/>
          <w:lang w:val="en-US" w:eastAsia="zh-CN"/>
        </w:rPr>
        <w:t xml:space="preserve">two or more study groups may decide to progress work on topics of common interest through joint meetings of their rapporteur groups.” </w:t>
      </w:r>
    </w:p>
    <w:p w14:paraId="1A4A0ACD" w14:textId="3D99534D" w:rsidR="001B090D" w:rsidRPr="00610C7A" w:rsidRDefault="00610C7A" w:rsidP="0066460E">
      <w:pPr>
        <w:ind w:right="-187"/>
        <w:rPr>
          <w:rFonts w:asciiTheme="majorBidi" w:hAnsiTheme="majorBidi" w:cstheme="majorBidi"/>
          <w:szCs w:val="24"/>
        </w:rPr>
      </w:pPr>
      <w:r>
        <w:rPr>
          <w:rFonts w:eastAsia="MS Mincho"/>
          <w:szCs w:val="24"/>
        </w:rPr>
        <w:t xml:space="preserve">Therefore, </w:t>
      </w:r>
      <w:r w:rsidRPr="00D95210">
        <w:rPr>
          <w:rFonts w:eastAsia="MS Mincho"/>
          <w:b/>
          <w:bCs/>
          <w:szCs w:val="24"/>
        </w:rPr>
        <w:t>i</w:t>
      </w:r>
      <w:r w:rsidR="001B090D" w:rsidRPr="00D95210">
        <w:rPr>
          <w:rFonts w:eastAsia="MS Mincho"/>
          <w:b/>
          <w:bCs/>
          <w:szCs w:val="24"/>
        </w:rPr>
        <w:t xml:space="preserve">nstead of a JWP, SG2 proposes </w:t>
      </w:r>
      <w:r w:rsidR="001B090D" w:rsidRPr="00D95210">
        <w:rPr>
          <w:rFonts w:asciiTheme="majorBidi" w:hAnsiTheme="majorBidi" w:cstheme="majorBidi"/>
          <w:b/>
          <w:bCs/>
          <w:szCs w:val="24"/>
        </w:rPr>
        <w:t>a</w:t>
      </w:r>
      <w:r w:rsidR="00987B0A" w:rsidRPr="00D95210">
        <w:rPr>
          <w:rFonts w:asciiTheme="majorBidi" w:hAnsiTheme="majorBidi" w:cstheme="majorBidi"/>
          <w:b/>
          <w:bCs/>
          <w:szCs w:val="24"/>
        </w:rPr>
        <w:t xml:space="preserve"> virtual</w:t>
      </w:r>
      <w:r w:rsidR="001B090D" w:rsidRPr="00D95210">
        <w:rPr>
          <w:rFonts w:asciiTheme="majorBidi" w:hAnsiTheme="majorBidi" w:cstheme="majorBidi"/>
          <w:b/>
          <w:bCs/>
          <w:szCs w:val="24"/>
        </w:rPr>
        <w:t xml:space="preserve"> joint meeting between Q3/2 and Q9/3</w:t>
      </w:r>
      <w:r w:rsidR="00335BFC">
        <w:rPr>
          <w:rFonts w:asciiTheme="majorBidi" w:hAnsiTheme="majorBidi" w:cstheme="majorBidi"/>
          <w:b/>
          <w:bCs/>
          <w:szCs w:val="24"/>
        </w:rPr>
        <w:t xml:space="preserve"> </w:t>
      </w:r>
      <w:r w:rsidR="00335BFC" w:rsidRPr="00335BFC">
        <w:rPr>
          <w:rFonts w:asciiTheme="majorBidi" w:hAnsiTheme="majorBidi" w:cstheme="majorBidi"/>
          <w:szCs w:val="24"/>
        </w:rPr>
        <w:t>(the relevant Questions)</w:t>
      </w:r>
      <w:r w:rsidR="001B090D">
        <w:rPr>
          <w:rFonts w:asciiTheme="majorBidi" w:hAnsiTheme="majorBidi" w:cstheme="majorBidi"/>
          <w:szCs w:val="24"/>
        </w:rPr>
        <w:t xml:space="preserve">, which can more efficiently and effectively achieve the same underlying goals motivating the original proposal.  </w:t>
      </w:r>
    </w:p>
    <w:p w14:paraId="6D63C0D2" w14:textId="33DC5C3C" w:rsidR="002E5E8B" w:rsidRDefault="002E5E8B" w:rsidP="0066460E">
      <w:pPr>
        <w:rPr>
          <w:rFonts w:eastAsia="MS Mincho"/>
          <w:szCs w:val="24"/>
        </w:rPr>
      </w:pPr>
      <w:r w:rsidRPr="00B226E7">
        <w:rPr>
          <w:rFonts w:eastAsia="MS Mincho"/>
          <w:szCs w:val="24"/>
        </w:rPr>
        <w:t xml:space="preserve">Should </w:t>
      </w:r>
      <w:r w:rsidR="008762FA" w:rsidRPr="00B226E7">
        <w:rPr>
          <w:rFonts w:eastAsia="MS Mincho"/>
          <w:szCs w:val="24"/>
        </w:rPr>
        <w:t>SG3 agree to this alternative approach</w:t>
      </w:r>
      <w:r w:rsidR="0074007E" w:rsidRPr="00B226E7">
        <w:rPr>
          <w:rFonts w:eastAsia="MS Mincho"/>
          <w:szCs w:val="24"/>
        </w:rPr>
        <w:t xml:space="preserve"> at its </w:t>
      </w:r>
      <w:r w:rsidR="00A8395B">
        <w:rPr>
          <w:rFonts w:eastAsia="MS Mincho"/>
          <w:szCs w:val="24"/>
        </w:rPr>
        <w:t>next meeting</w:t>
      </w:r>
      <w:r w:rsidR="00987B0A">
        <w:rPr>
          <w:rFonts w:eastAsia="MS Mincho"/>
          <w:szCs w:val="24"/>
        </w:rPr>
        <w:t xml:space="preserve"> (8-17 April 2025)</w:t>
      </w:r>
      <w:r w:rsidR="0074007E" w:rsidRPr="00B226E7">
        <w:rPr>
          <w:rFonts w:eastAsia="MS Mincho"/>
          <w:szCs w:val="24"/>
        </w:rPr>
        <w:t xml:space="preserve">, </w:t>
      </w:r>
      <w:r w:rsidR="00A8395B">
        <w:rPr>
          <w:rFonts w:eastAsia="MS Mincho"/>
          <w:szCs w:val="24"/>
        </w:rPr>
        <w:t xml:space="preserve">the SG Chairs, </w:t>
      </w:r>
      <w:r w:rsidR="0074007E" w:rsidRPr="00B226E7">
        <w:rPr>
          <w:rFonts w:eastAsia="MS Mincho"/>
          <w:szCs w:val="24"/>
        </w:rPr>
        <w:t>in consultation with their respective management teams</w:t>
      </w:r>
      <w:r w:rsidR="00694833" w:rsidRPr="00B226E7">
        <w:rPr>
          <w:rFonts w:eastAsia="MS Mincho"/>
          <w:szCs w:val="24"/>
        </w:rPr>
        <w:t xml:space="preserve"> and TSB Secretariats,</w:t>
      </w:r>
      <w:r w:rsidR="0074007E" w:rsidRPr="00B226E7">
        <w:rPr>
          <w:rFonts w:eastAsia="MS Mincho"/>
          <w:szCs w:val="24"/>
        </w:rPr>
        <w:t xml:space="preserve"> </w:t>
      </w:r>
      <w:r w:rsidR="00A8395B">
        <w:rPr>
          <w:rFonts w:eastAsia="MS Mincho"/>
          <w:szCs w:val="24"/>
        </w:rPr>
        <w:t>could coordinate to</w:t>
      </w:r>
      <w:r w:rsidR="0074007E" w:rsidRPr="00B226E7">
        <w:rPr>
          <w:rFonts w:eastAsia="MS Mincho"/>
          <w:szCs w:val="24"/>
        </w:rPr>
        <w:t xml:space="preserve"> identify a mutually agreeable dat</w:t>
      </w:r>
      <w:r w:rsidR="00A8395B">
        <w:rPr>
          <w:rFonts w:eastAsia="MS Mincho"/>
          <w:szCs w:val="24"/>
        </w:rPr>
        <w:t xml:space="preserve">e, which could then be announced via </w:t>
      </w:r>
      <w:r w:rsidR="002448CD" w:rsidRPr="00B226E7">
        <w:rPr>
          <w:rFonts w:eastAsia="MS Mincho"/>
          <w:szCs w:val="24"/>
        </w:rPr>
        <w:t xml:space="preserve">the SG2 and SG3 mailing lists. </w:t>
      </w:r>
    </w:p>
    <w:p w14:paraId="1519BA39" w14:textId="16FDE68C" w:rsidR="009B5FEB" w:rsidRDefault="009B5FEB" w:rsidP="0066460E">
      <w:pPr>
        <w:rPr>
          <w:rFonts w:eastAsia="MS Mincho"/>
          <w:szCs w:val="24"/>
        </w:rPr>
      </w:pPr>
      <w:r>
        <w:rPr>
          <w:rFonts w:eastAsia="MS Mincho"/>
          <w:szCs w:val="24"/>
        </w:rPr>
        <w:t xml:space="preserve">This initial joint meeting could provide SG2 and SG3 experts the opportunity to exchange information on relevant work items within each Study Group, identify areas of common interest, and discuss ways </w:t>
      </w:r>
      <w:r w:rsidR="00655C97">
        <w:rPr>
          <w:rFonts w:eastAsia="MS Mincho"/>
          <w:szCs w:val="24"/>
        </w:rPr>
        <w:t>to strengthen collaboration moving forward</w:t>
      </w:r>
      <w:r w:rsidR="00981772">
        <w:rPr>
          <w:rFonts w:eastAsia="MS Mincho"/>
          <w:szCs w:val="24"/>
        </w:rPr>
        <w:t xml:space="preserve"> (</w:t>
      </w:r>
      <w:r w:rsidR="00981772" w:rsidRPr="00981772">
        <w:rPr>
          <w:rFonts w:eastAsia="MS Mincho"/>
          <w:i/>
          <w:iCs/>
          <w:szCs w:val="24"/>
        </w:rPr>
        <w:t>e.g.</w:t>
      </w:r>
      <w:r w:rsidR="00981772">
        <w:rPr>
          <w:rFonts w:eastAsia="MS Mincho"/>
          <w:szCs w:val="24"/>
        </w:rPr>
        <w:t>, possible additional joint meetings, if needed).</w:t>
      </w:r>
    </w:p>
    <w:p w14:paraId="10D81052" w14:textId="0C6C656E" w:rsidR="006544F6" w:rsidRDefault="006544F6" w:rsidP="0066460E">
      <w:pPr>
        <w:rPr>
          <w:rFonts w:eastAsia="MS Mincho"/>
          <w:szCs w:val="24"/>
        </w:rPr>
      </w:pPr>
      <w:r>
        <w:rPr>
          <w:rFonts w:eastAsia="MS Mincho"/>
          <w:szCs w:val="24"/>
        </w:rPr>
        <w:t xml:space="preserve">On a related point, we note that Q3/2 has agreed a new work item </w:t>
      </w:r>
      <w:r w:rsidRPr="00BA604D">
        <w:rPr>
          <w:noProof/>
          <w:lang w:val="en-US"/>
        </w:rPr>
        <w:t xml:space="preserve">to revise Rec. </w:t>
      </w:r>
      <w:r w:rsidRPr="00BA604D">
        <w:rPr>
          <w:noProof/>
        </w:rPr>
        <w:t xml:space="preserve">ITU-T </w:t>
      </w:r>
      <w:r w:rsidRPr="00BA604D">
        <w:rPr>
          <w:noProof/>
          <w:lang w:val="en-US"/>
        </w:rPr>
        <w:t>E.100 on terms and definitions</w:t>
      </w:r>
      <w:r w:rsidR="008265E8">
        <w:rPr>
          <w:noProof/>
          <w:lang w:val="en-US"/>
        </w:rPr>
        <w:t xml:space="preserve"> (please refer to SG2-LS1)</w:t>
      </w:r>
      <w:r>
        <w:rPr>
          <w:noProof/>
          <w:lang w:val="en-US"/>
        </w:rPr>
        <w:t>, to include OTT service definition.  We trust that this new work item</w:t>
      </w:r>
      <w:r w:rsidRPr="00BA604D">
        <w:rPr>
          <w:noProof/>
          <w:lang w:val="en-US"/>
        </w:rPr>
        <w:t xml:space="preserve"> will provide further assurance to </w:t>
      </w:r>
      <w:r>
        <w:rPr>
          <w:noProof/>
          <w:lang w:val="en-US"/>
        </w:rPr>
        <w:t xml:space="preserve">SG3 of SG2’s commitment to advancing </w:t>
      </w:r>
      <w:r>
        <w:rPr>
          <w:noProof/>
        </w:rPr>
        <w:t>work in this area.</w:t>
      </w:r>
    </w:p>
    <w:p w14:paraId="517CAC26" w14:textId="1634F32D" w:rsidR="005A508E" w:rsidRDefault="005A508E" w:rsidP="0066460E">
      <w:pPr>
        <w:rPr>
          <w:rFonts w:eastAsia="MS Mincho"/>
          <w:szCs w:val="24"/>
        </w:rPr>
      </w:pPr>
      <w:r>
        <w:rPr>
          <w:rFonts w:eastAsia="MS Mincho"/>
          <w:szCs w:val="24"/>
        </w:rPr>
        <w:t>We look forward to your positive reply, and to</w:t>
      </w:r>
      <w:r w:rsidR="00BF19FD">
        <w:rPr>
          <w:rFonts w:eastAsia="MS Mincho"/>
          <w:szCs w:val="24"/>
        </w:rPr>
        <w:t xml:space="preserve"> continued</w:t>
      </w:r>
      <w:r>
        <w:rPr>
          <w:rFonts w:eastAsia="MS Mincho"/>
          <w:szCs w:val="24"/>
        </w:rPr>
        <w:t xml:space="preserve"> cooperation and coordination throughout the 2025-2028 Study Period.</w:t>
      </w:r>
    </w:p>
    <w:p w14:paraId="3A48E98A" w14:textId="77777777" w:rsidR="0066460E" w:rsidRPr="00B226E7" w:rsidRDefault="0066460E" w:rsidP="0066460E">
      <w:pPr>
        <w:rPr>
          <w:rFonts w:eastAsia="MS Mincho"/>
          <w:szCs w:val="24"/>
        </w:rPr>
      </w:pPr>
    </w:p>
    <w:p w14:paraId="69EF5DC0" w14:textId="102CB5A3" w:rsidR="00B04118" w:rsidRPr="001C0444" w:rsidRDefault="001F34F9" w:rsidP="0066460E">
      <w:pPr>
        <w:jc w:val="center"/>
        <w:rPr>
          <w:rFonts w:asciiTheme="majorBidi" w:eastAsia="SimSun" w:hAnsiTheme="majorBidi" w:cstheme="majorBidi"/>
          <w:szCs w:val="24"/>
        </w:rPr>
      </w:pPr>
      <w:r>
        <w:t>___________________</w:t>
      </w:r>
    </w:p>
    <w:sectPr w:rsidR="00B04118" w:rsidRPr="001C0444" w:rsidSect="00B4465D">
      <w:headerReference w:type="default" r:id="rId14"/>
      <w:pgSz w:w="11909" w:h="16834"/>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775A" w14:textId="77777777" w:rsidR="00E2367A" w:rsidRDefault="00E2367A" w:rsidP="00BF3F95">
      <w:pPr>
        <w:spacing w:before="0"/>
      </w:pPr>
      <w:r>
        <w:separator/>
      </w:r>
    </w:p>
  </w:endnote>
  <w:endnote w:type="continuationSeparator" w:id="0">
    <w:p w14:paraId="0BA33B44" w14:textId="77777777" w:rsidR="00E2367A" w:rsidRDefault="00E2367A" w:rsidP="00BF3F95">
      <w:pPr>
        <w:spacing w:before="0"/>
      </w:pPr>
      <w:r>
        <w:continuationSeparator/>
      </w:r>
    </w:p>
  </w:endnote>
  <w:endnote w:type="continuationNotice" w:id="1">
    <w:p w14:paraId="0495AAA2" w14:textId="77777777" w:rsidR="00E2367A" w:rsidRDefault="00E236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8DAF" w14:textId="77777777" w:rsidR="00E2367A" w:rsidRDefault="00E2367A" w:rsidP="00BF3F95">
      <w:pPr>
        <w:spacing w:before="0"/>
      </w:pPr>
      <w:r>
        <w:separator/>
      </w:r>
    </w:p>
  </w:footnote>
  <w:footnote w:type="continuationSeparator" w:id="0">
    <w:p w14:paraId="44308500" w14:textId="77777777" w:rsidR="00E2367A" w:rsidRDefault="00E2367A" w:rsidP="00BF3F95">
      <w:pPr>
        <w:spacing w:before="0"/>
      </w:pPr>
      <w:r>
        <w:continuationSeparator/>
      </w:r>
    </w:p>
  </w:footnote>
  <w:footnote w:type="continuationNotice" w:id="1">
    <w:p w14:paraId="6FF81906" w14:textId="77777777" w:rsidR="00E2367A" w:rsidRDefault="00E236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5F51" w14:textId="77777777" w:rsidR="00B4465D" w:rsidRPr="00B4465D" w:rsidRDefault="00B4465D" w:rsidP="00B4465D">
    <w:pPr>
      <w:pStyle w:val="Header"/>
      <w:jc w:val="center"/>
      <w:rPr>
        <w:sz w:val="18"/>
      </w:rPr>
    </w:pPr>
    <w:r w:rsidRPr="00B4465D">
      <w:rPr>
        <w:sz w:val="18"/>
      </w:rPr>
      <w:t xml:space="preserve">- </w:t>
    </w:r>
    <w:r w:rsidRPr="00B4465D">
      <w:rPr>
        <w:sz w:val="18"/>
      </w:rPr>
      <w:fldChar w:fldCharType="begin"/>
    </w:r>
    <w:r w:rsidRPr="00B4465D">
      <w:rPr>
        <w:sz w:val="18"/>
      </w:rPr>
      <w:instrText xml:space="preserve"> PAGE  \* MERGEFORMAT </w:instrText>
    </w:r>
    <w:r w:rsidRPr="00B4465D">
      <w:rPr>
        <w:sz w:val="18"/>
      </w:rPr>
      <w:fldChar w:fldCharType="separate"/>
    </w:r>
    <w:r w:rsidRPr="00B4465D">
      <w:rPr>
        <w:noProof/>
        <w:sz w:val="18"/>
      </w:rPr>
      <w:t>1</w:t>
    </w:r>
    <w:r w:rsidRPr="00B4465D">
      <w:rPr>
        <w:sz w:val="18"/>
      </w:rPr>
      <w:fldChar w:fldCharType="end"/>
    </w:r>
    <w:r w:rsidRPr="00B4465D">
      <w:rPr>
        <w:sz w:val="18"/>
      </w:rPr>
      <w:t xml:space="preserve"> -</w:t>
    </w:r>
  </w:p>
  <w:p w14:paraId="19063641" w14:textId="13809FD6" w:rsidR="003D4D20" w:rsidRPr="00B4465D" w:rsidRDefault="00B4465D" w:rsidP="00B4465D">
    <w:pPr>
      <w:pStyle w:val="Header"/>
      <w:spacing w:after="240"/>
      <w:jc w:val="center"/>
      <w:rPr>
        <w:sz w:val="18"/>
      </w:rPr>
    </w:pPr>
    <w:r w:rsidRPr="00B4465D">
      <w:rPr>
        <w:sz w:val="18"/>
      </w:rPr>
      <w:fldChar w:fldCharType="begin"/>
    </w:r>
    <w:r w:rsidRPr="00B4465D">
      <w:rPr>
        <w:sz w:val="18"/>
      </w:rPr>
      <w:instrText xml:space="preserve"> STYLEREF  Docnumber  </w:instrText>
    </w:r>
    <w:r>
      <w:rPr>
        <w:sz w:val="18"/>
      </w:rPr>
      <w:fldChar w:fldCharType="separate"/>
    </w:r>
    <w:r>
      <w:rPr>
        <w:noProof/>
        <w:sz w:val="18"/>
      </w:rPr>
      <w:t>TSAG-TD61</w:t>
    </w:r>
    <w:r w:rsidRPr="00B4465D">
      <w:rPr>
        <w:sz w:val="18"/>
      </w:rPr>
      <w:fldChar w:fldCharType="end"/>
    </w:r>
    <w:r w:rsidR="00717C39" w:rsidRPr="00B4465D">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8F6"/>
    <w:multiLevelType w:val="hybridMultilevel"/>
    <w:tmpl w:val="7F1019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0395B"/>
    <w:multiLevelType w:val="hybridMultilevel"/>
    <w:tmpl w:val="AABEE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505"/>
    <w:multiLevelType w:val="hybridMultilevel"/>
    <w:tmpl w:val="0612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4694"/>
    <w:multiLevelType w:val="hybridMultilevel"/>
    <w:tmpl w:val="71A06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1EE4"/>
    <w:multiLevelType w:val="hybridMultilevel"/>
    <w:tmpl w:val="2DF8EE1C"/>
    <w:lvl w:ilvl="0" w:tplc="08090003">
      <w:start w:val="1"/>
      <w:numFmt w:val="bullet"/>
      <w:lvlText w:val="o"/>
      <w:lvlJc w:val="left"/>
      <w:pPr>
        <w:ind w:left="1090" w:hanging="360"/>
      </w:pPr>
      <w:rPr>
        <w:rFonts w:ascii="Courier New" w:hAnsi="Courier New" w:cs="Courier New"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5" w15:restartNumberingAfterBreak="0">
    <w:nsid w:val="31CB03D6"/>
    <w:multiLevelType w:val="hybridMultilevel"/>
    <w:tmpl w:val="D000373E"/>
    <w:lvl w:ilvl="0" w:tplc="04090001">
      <w:start w:val="1"/>
      <w:numFmt w:val="bullet"/>
      <w:lvlText w:val=""/>
      <w:lvlJc w:val="left"/>
      <w:pPr>
        <w:ind w:left="720" w:hanging="360"/>
      </w:pPr>
      <w:rPr>
        <w:rFonts w:ascii="Symbol" w:hAnsi="Symbol" w:hint="default"/>
      </w:rPr>
    </w:lvl>
    <w:lvl w:ilvl="1" w:tplc="C2E67C06">
      <w:numFmt w:val="bullet"/>
      <w:lvlText w:val="-"/>
      <w:lvlJc w:val="left"/>
      <w:pPr>
        <w:ind w:left="1872" w:hanging="792"/>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11E4A"/>
    <w:multiLevelType w:val="hybridMultilevel"/>
    <w:tmpl w:val="6C927C34"/>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7" w15:restartNumberingAfterBreak="0">
    <w:nsid w:val="463F1AFE"/>
    <w:multiLevelType w:val="hybridMultilevel"/>
    <w:tmpl w:val="859E5F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A470D82"/>
    <w:multiLevelType w:val="hybridMultilevel"/>
    <w:tmpl w:val="3DD21B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5C1F61D6"/>
    <w:multiLevelType w:val="hybridMultilevel"/>
    <w:tmpl w:val="42B6C4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415508E"/>
    <w:multiLevelType w:val="hybridMultilevel"/>
    <w:tmpl w:val="8AE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0C09"/>
    <w:multiLevelType w:val="hybridMultilevel"/>
    <w:tmpl w:val="EA52F26E"/>
    <w:lvl w:ilvl="0" w:tplc="08090001">
      <w:start w:val="1"/>
      <w:numFmt w:val="bullet"/>
      <w:lvlText w:val=""/>
      <w:lvlJc w:val="left"/>
      <w:pPr>
        <w:ind w:left="1154" w:hanging="360"/>
      </w:pPr>
      <w:rPr>
        <w:rFonts w:ascii="Symbol" w:hAnsi="Symbol" w:cs="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cs="Wingdings" w:hint="default"/>
      </w:rPr>
    </w:lvl>
    <w:lvl w:ilvl="3" w:tplc="08090001" w:tentative="1">
      <w:start w:val="1"/>
      <w:numFmt w:val="bullet"/>
      <w:lvlText w:val=""/>
      <w:lvlJc w:val="left"/>
      <w:pPr>
        <w:ind w:left="3314" w:hanging="360"/>
      </w:pPr>
      <w:rPr>
        <w:rFonts w:ascii="Symbol" w:hAnsi="Symbol" w:cs="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cs="Wingdings" w:hint="default"/>
      </w:rPr>
    </w:lvl>
    <w:lvl w:ilvl="6" w:tplc="08090001" w:tentative="1">
      <w:start w:val="1"/>
      <w:numFmt w:val="bullet"/>
      <w:lvlText w:val=""/>
      <w:lvlJc w:val="left"/>
      <w:pPr>
        <w:ind w:left="5474" w:hanging="360"/>
      </w:pPr>
      <w:rPr>
        <w:rFonts w:ascii="Symbol" w:hAnsi="Symbol" w:cs="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cs="Wingdings" w:hint="default"/>
      </w:rPr>
    </w:lvl>
  </w:abstractNum>
  <w:abstractNum w:abstractNumId="12" w15:restartNumberingAfterBreak="0">
    <w:nsid w:val="6A50415F"/>
    <w:multiLevelType w:val="hybridMultilevel"/>
    <w:tmpl w:val="66F2AB70"/>
    <w:lvl w:ilvl="0" w:tplc="76365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56E70"/>
    <w:multiLevelType w:val="hybridMultilevel"/>
    <w:tmpl w:val="1AB4CFDC"/>
    <w:lvl w:ilvl="0" w:tplc="3A287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67B08"/>
    <w:multiLevelType w:val="hybridMultilevel"/>
    <w:tmpl w:val="1F14B088"/>
    <w:lvl w:ilvl="0" w:tplc="C7E67B34">
      <w:start w:val="1"/>
      <w:numFmt w:val="lowerLetter"/>
      <w:lvlText w:val="%1)"/>
      <w:lvlJc w:val="left"/>
      <w:pPr>
        <w:ind w:left="1417" w:hanging="623"/>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5" w15:restartNumberingAfterBreak="0">
    <w:nsid w:val="7CE81325"/>
    <w:multiLevelType w:val="hybridMultilevel"/>
    <w:tmpl w:val="558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350CC"/>
    <w:multiLevelType w:val="hybridMultilevel"/>
    <w:tmpl w:val="D3A027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24670082">
    <w:abstractNumId w:val="0"/>
  </w:num>
  <w:num w:numId="2" w16cid:durableId="750006623">
    <w:abstractNumId w:val="11"/>
  </w:num>
  <w:num w:numId="3" w16cid:durableId="1335106614">
    <w:abstractNumId w:val="14"/>
  </w:num>
  <w:num w:numId="4" w16cid:durableId="549616395">
    <w:abstractNumId w:val="9"/>
  </w:num>
  <w:num w:numId="5" w16cid:durableId="2042708436">
    <w:abstractNumId w:val="4"/>
  </w:num>
  <w:num w:numId="6" w16cid:durableId="278145626">
    <w:abstractNumId w:val="15"/>
  </w:num>
  <w:num w:numId="7" w16cid:durableId="1018507228">
    <w:abstractNumId w:val="6"/>
  </w:num>
  <w:num w:numId="8" w16cid:durableId="1027560994">
    <w:abstractNumId w:val="2"/>
  </w:num>
  <w:num w:numId="9" w16cid:durableId="1542326533">
    <w:abstractNumId w:val="3"/>
  </w:num>
  <w:num w:numId="10" w16cid:durableId="1806655546">
    <w:abstractNumId w:val="8"/>
  </w:num>
  <w:num w:numId="11" w16cid:durableId="624314779">
    <w:abstractNumId w:val="16"/>
  </w:num>
  <w:num w:numId="12" w16cid:durableId="2022127361">
    <w:abstractNumId w:val="1"/>
  </w:num>
  <w:num w:numId="13" w16cid:durableId="727799608">
    <w:abstractNumId w:val="7"/>
  </w:num>
  <w:num w:numId="14" w16cid:durableId="268245167">
    <w:abstractNumId w:val="13"/>
  </w:num>
  <w:num w:numId="15" w16cid:durableId="2082483684">
    <w:abstractNumId w:val="12"/>
  </w:num>
  <w:num w:numId="16" w16cid:durableId="1375808145">
    <w:abstractNumId w:val="5"/>
  </w:num>
  <w:num w:numId="17" w16cid:durableId="524288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0B"/>
    <w:rsid w:val="00000A99"/>
    <w:rsid w:val="00000AAB"/>
    <w:rsid w:val="0001040D"/>
    <w:rsid w:val="000108D8"/>
    <w:rsid w:val="00012206"/>
    <w:rsid w:val="000139A3"/>
    <w:rsid w:val="00017110"/>
    <w:rsid w:val="0002087D"/>
    <w:rsid w:val="000233AC"/>
    <w:rsid w:val="000243F2"/>
    <w:rsid w:val="000245F3"/>
    <w:rsid w:val="000300A1"/>
    <w:rsid w:val="0003172E"/>
    <w:rsid w:val="00043A8F"/>
    <w:rsid w:val="00043E3B"/>
    <w:rsid w:val="000458D1"/>
    <w:rsid w:val="00045BD3"/>
    <w:rsid w:val="0004699A"/>
    <w:rsid w:val="00046D64"/>
    <w:rsid w:val="00047660"/>
    <w:rsid w:val="00047B79"/>
    <w:rsid w:val="0005203B"/>
    <w:rsid w:val="0006073F"/>
    <w:rsid w:val="00061677"/>
    <w:rsid w:val="00063322"/>
    <w:rsid w:val="00070BDF"/>
    <w:rsid w:val="00070E41"/>
    <w:rsid w:val="00070FEF"/>
    <w:rsid w:val="000817A0"/>
    <w:rsid w:val="00082E83"/>
    <w:rsid w:val="000905CF"/>
    <w:rsid w:val="0009193F"/>
    <w:rsid w:val="00092115"/>
    <w:rsid w:val="000961FA"/>
    <w:rsid w:val="00096D86"/>
    <w:rsid w:val="000A26D2"/>
    <w:rsid w:val="000A274C"/>
    <w:rsid w:val="000A2E61"/>
    <w:rsid w:val="000A4C57"/>
    <w:rsid w:val="000A588C"/>
    <w:rsid w:val="000A6649"/>
    <w:rsid w:val="000B008A"/>
    <w:rsid w:val="000B1298"/>
    <w:rsid w:val="000B7949"/>
    <w:rsid w:val="000C1B4D"/>
    <w:rsid w:val="000C20BD"/>
    <w:rsid w:val="000C253D"/>
    <w:rsid w:val="000C60D4"/>
    <w:rsid w:val="000D000A"/>
    <w:rsid w:val="000D0847"/>
    <w:rsid w:val="000D28BF"/>
    <w:rsid w:val="000D4A72"/>
    <w:rsid w:val="000F5F66"/>
    <w:rsid w:val="000F76C1"/>
    <w:rsid w:val="000F7EB4"/>
    <w:rsid w:val="001008FD"/>
    <w:rsid w:val="00101A0D"/>
    <w:rsid w:val="00102B6A"/>
    <w:rsid w:val="00102C36"/>
    <w:rsid w:val="0010544E"/>
    <w:rsid w:val="00107537"/>
    <w:rsid w:val="00110C07"/>
    <w:rsid w:val="00111638"/>
    <w:rsid w:val="00111AFC"/>
    <w:rsid w:val="00117FAC"/>
    <w:rsid w:val="001201B4"/>
    <w:rsid w:val="00124BFB"/>
    <w:rsid w:val="00125604"/>
    <w:rsid w:val="001317D2"/>
    <w:rsid w:val="0013345C"/>
    <w:rsid w:val="0013446A"/>
    <w:rsid w:val="00135E10"/>
    <w:rsid w:val="00136915"/>
    <w:rsid w:val="00137611"/>
    <w:rsid w:val="00137B96"/>
    <w:rsid w:val="0014119E"/>
    <w:rsid w:val="00143F19"/>
    <w:rsid w:val="00151C43"/>
    <w:rsid w:val="00153800"/>
    <w:rsid w:val="00153F42"/>
    <w:rsid w:val="0016489E"/>
    <w:rsid w:val="00165163"/>
    <w:rsid w:val="0016561A"/>
    <w:rsid w:val="00165BC5"/>
    <w:rsid w:val="001665C7"/>
    <w:rsid w:val="00167EA3"/>
    <w:rsid w:val="00175924"/>
    <w:rsid w:val="00175B1B"/>
    <w:rsid w:val="00185EE8"/>
    <w:rsid w:val="0018667C"/>
    <w:rsid w:val="00191DF7"/>
    <w:rsid w:val="00196066"/>
    <w:rsid w:val="00196391"/>
    <w:rsid w:val="001A1FE0"/>
    <w:rsid w:val="001A312C"/>
    <w:rsid w:val="001A571A"/>
    <w:rsid w:val="001A64B0"/>
    <w:rsid w:val="001A7E85"/>
    <w:rsid w:val="001B090D"/>
    <w:rsid w:val="001B2DBC"/>
    <w:rsid w:val="001C0444"/>
    <w:rsid w:val="001C1E32"/>
    <w:rsid w:val="001C5093"/>
    <w:rsid w:val="001D22F9"/>
    <w:rsid w:val="001D3A9A"/>
    <w:rsid w:val="001D5F27"/>
    <w:rsid w:val="001D6688"/>
    <w:rsid w:val="001D7F61"/>
    <w:rsid w:val="001E1ABA"/>
    <w:rsid w:val="001E76D7"/>
    <w:rsid w:val="001F34F9"/>
    <w:rsid w:val="001F5550"/>
    <w:rsid w:val="0020006E"/>
    <w:rsid w:val="00202B2B"/>
    <w:rsid w:val="00203ACA"/>
    <w:rsid w:val="00213F2B"/>
    <w:rsid w:val="0021495E"/>
    <w:rsid w:val="00216AFB"/>
    <w:rsid w:val="00224323"/>
    <w:rsid w:val="00231D41"/>
    <w:rsid w:val="00242113"/>
    <w:rsid w:val="00242556"/>
    <w:rsid w:val="002448CD"/>
    <w:rsid w:val="0025094B"/>
    <w:rsid w:val="00250B40"/>
    <w:rsid w:val="0025149B"/>
    <w:rsid w:val="00252112"/>
    <w:rsid w:val="0025261C"/>
    <w:rsid w:val="002537F9"/>
    <w:rsid w:val="00255C4E"/>
    <w:rsid w:val="00256175"/>
    <w:rsid w:val="0026016E"/>
    <w:rsid w:val="00263934"/>
    <w:rsid w:val="002639C5"/>
    <w:rsid w:val="00265723"/>
    <w:rsid w:val="00271FA1"/>
    <w:rsid w:val="00287225"/>
    <w:rsid w:val="00287410"/>
    <w:rsid w:val="00291998"/>
    <w:rsid w:val="00292CEC"/>
    <w:rsid w:val="00292E47"/>
    <w:rsid w:val="00294DAA"/>
    <w:rsid w:val="00295970"/>
    <w:rsid w:val="002964A5"/>
    <w:rsid w:val="002A12DB"/>
    <w:rsid w:val="002A1C80"/>
    <w:rsid w:val="002A1DAE"/>
    <w:rsid w:val="002A249B"/>
    <w:rsid w:val="002A48D2"/>
    <w:rsid w:val="002A54AD"/>
    <w:rsid w:val="002A7670"/>
    <w:rsid w:val="002B0414"/>
    <w:rsid w:val="002B0C82"/>
    <w:rsid w:val="002B2672"/>
    <w:rsid w:val="002B2774"/>
    <w:rsid w:val="002B31B5"/>
    <w:rsid w:val="002B4AC1"/>
    <w:rsid w:val="002C0A67"/>
    <w:rsid w:val="002C1756"/>
    <w:rsid w:val="002D1475"/>
    <w:rsid w:val="002D28E6"/>
    <w:rsid w:val="002D40C3"/>
    <w:rsid w:val="002D47D8"/>
    <w:rsid w:val="002D7ECA"/>
    <w:rsid w:val="002E19BA"/>
    <w:rsid w:val="002E3B89"/>
    <w:rsid w:val="002E5E8B"/>
    <w:rsid w:val="002F1B85"/>
    <w:rsid w:val="002F617A"/>
    <w:rsid w:val="00304771"/>
    <w:rsid w:val="00304B10"/>
    <w:rsid w:val="00304F31"/>
    <w:rsid w:val="00306CE5"/>
    <w:rsid w:val="003210D0"/>
    <w:rsid w:val="00321747"/>
    <w:rsid w:val="003333F3"/>
    <w:rsid w:val="00335BFC"/>
    <w:rsid w:val="0033679C"/>
    <w:rsid w:val="00337B2F"/>
    <w:rsid w:val="00337C5C"/>
    <w:rsid w:val="00337F1A"/>
    <w:rsid w:val="00341762"/>
    <w:rsid w:val="00341976"/>
    <w:rsid w:val="003421FB"/>
    <w:rsid w:val="0034735E"/>
    <w:rsid w:val="00352B24"/>
    <w:rsid w:val="00357731"/>
    <w:rsid w:val="003614C5"/>
    <w:rsid w:val="00361B06"/>
    <w:rsid w:val="003628C4"/>
    <w:rsid w:val="00362AAD"/>
    <w:rsid w:val="003651EF"/>
    <w:rsid w:val="00366B95"/>
    <w:rsid w:val="003705CB"/>
    <w:rsid w:val="0037169E"/>
    <w:rsid w:val="003720FD"/>
    <w:rsid w:val="00377FA7"/>
    <w:rsid w:val="00381CE0"/>
    <w:rsid w:val="00383163"/>
    <w:rsid w:val="00384B4B"/>
    <w:rsid w:val="00384F29"/>
    <w:rsid w:val="00387B21"/>
    <w:rsid w:val="00390B6F"/>
    <w:rsid w:val="003929F7"/>
    <w:rsid w:val="00392F13"/>
    <w:rsid w:val="00394A77"/>
    <w:rsid w:val="0039597A"/>
    <w:rsid w:val="00395BD4"/>
    <w:rsid w:val="003A02B9"/>
    <w:rsid w:val="003B2386"/>
    <w:rsid w:val="003B3F2E"/>
    <w:rsid w:val="003B436F"/>
    <w:rsid w:val="003C004B"/>
    <w:rsid w:val="003C08A5"/>
    <w:rsid w:val="003C47E3"/>
    <w:rsid w:val="003C594C"/>
    <w:rsid w:val="003C5B6F"/>
    <w:rsid w:val="003C5D26"/>
    <w:rsid w:val="003C71E8"/>
    <w:rsid w:val="003C7745"/>
    <w:rsid w:val="003D0319"/>
    <w:rsid w:val="003D0B41"/>
    <w:rsid w:val="003D2AFF"/>
    <w:rsid w:val="003D4D20"/>
    <w:rsid w:val="003D58F9"/>
    <w:rsid w:val="003D7412"/>
    <w:rsid w:val="003D7C99"/>
    <w:rsid w:val="003E0898"/>
    <w:rsid w:val="003E4E1A"/>
    <w:rsid w:val="003F0EF2"/>
    <w:rsid w:val="003F4AF6"/>
    <w:rsid w:val="003F7F56"/>
    <w:rsid w:val="003F7F89"/>
    <w:rsid w:val="00402C62"/>
    <w:rsid w:val="00403B66"/>
    <w:rsid w:val="00413820"/>
    <w:rsid w:val="00416C5F"/>
    <w:rsid w:val="00424321"/>
    <w:rsid w:val="004243AD"/>
    <w:rsid w:val="00424475"/>
    <w:rsid w:val="004336B5"/>
    <w:rsid w:val="00436FFA"/>
    <w:rsid w:val="0043702C"/>
    <w:rsid w:val="004375C0"/>
    <w:rsid w:val="00437A8A"/>
    <w:rsid w:val="00442D75"/>
    <w:rsid w:val="00446B8E"/>
    <w:rsid w:val="00450AC2"/>
    <w:rsid w:val="004539CA"/>
    <w:rsid w:val="0045500F"/>
    <w:rsid w:val="00457A4B"/>
    <w:rsid w:val="00464520"/>
    <w:rsid w:val="00464FC8"/>
    <w:rsid w:val="00466297"/>
    <w:rsid w:val="00471C22"/>
    <w:rsid w:val="004743C7"/>
    <w:rsid w:val="00480380"/>
    <w:rsid w:val="00487438"/>
    <w:rsid w:val="0049084F"/>
    <w:rsid w:val="00490B5A"/>
    <w:rsid w:val="00491467"/>
    <w:rsid w:val="00495301"/>
    <w:rsid w:val="004A0B94"/>
    <w:rsid w:val="004A3F91"/>
    <w:rsid w:val="004A7753"/>
    <w:rsid w:val="004B2B8E"/>
    <w:rsid w:val="004B3831"/>
    <w:rsid w:val="004B5AB5"/>
    <w:rsid w:val="004C3BF2"/>
    <w:rsid w:val="004C4A1C"/>
    <w:rsid w:val="004D06D7"/>
    <w:rsid w:val="004D0C84"/>
    <w:rsid w:val="004D31D5"/>
    <w:rsid w:val="004D60E6"/>
    <w:rsid w:val="004E1005"/>
    <w:rsid w:val="004E1200"/>
    <w:rsid w:val="004E2A4E"/>
    <w:rsid w:val="004F143F"/>
    <w:rsid w:val="004F1F86"/>
    <w:rsid w:val="004F2246"/>
    <w:rsid w:val="004F64DB"/>
    <w:rsid w:val="00501BFC"/>
    <w:rsid w:val="005020DE"/>
    <w:rsid w:val="005067D2"/>
    <w:rsid w:val="0051430C"/>
    <w:rsid w:val="00516074"/>
    <w:rsid w:val="005236C5"/>
    <w:rsid w:val="00525618"/>
    <w:rsid w:val="0052597E"/>
    <w:rsid w:val="00527576"/>
    <w:rsid w:val="00533001"/>
    <w:rsid w:val="005339F7"/>
    <w:rsid w:val="00533D88"/>
    <w:rsid w:val="00536429"/>
    <w:rsid w:val="00541328"/>
    <w:rsid w:val="00542313"/>
    <w:rsid w:val="00542920"/>
    <w:rsid w:val="0054465F"/>
    <w:rsid w:val="005465E1"/>
    <w:rsid w:val="00554061"/>
    <w:rsid w:val="00554D79"/>
    <w:rsid w:val="00555415"/>
    <w:rsid w:val="00557994"/>
    <w:rsid w:val="00560C72"/>
    <w:rsid w:val="00561D15"/>
    <w:rsid w:val="0056250D"/>
    <w:rsid w:val="00573AD2"/>
    <w:rsid w:val="00575597"/>
    <w:rsid w:val="00584217"/>
    <w:rsid w:val="00593123"/>
    <w:rsid w:val="00595944"/>
    <w:rsid w:val="005964E4"/>
    <w:rsid w:val="005A3B88"/>
    <w:rsid w:val="005A4266"/>
    <w:rsid w:val="005A4B55"/>
    <w:rsid w:val="005A508E"/>
    <w:rsid w:val="005A675A"/>
    <w:rsid w:val="005A6CE3"/>
    <w:rsid w:val="005B1775"/>
    <w:rsid w:val="005B3FD5"/>
    <w:rsid w:val="005B4C58"/>
    <w:rsid w:val="005B700F"/>
    <w:rsid w:val="005D0644"/>
    <w:rsid w:val="005D468E"/>
    <w:rsid w:val="005D6866"/>
    <w:rsid w:val="005E0582"/>
    <w:rsid w:val="005E0F8D"/>
    <w:rsid w:val="005E5EC0"/>
    <w:rsid w:val="005F096E"/>
    <w:rsid w:val="005F29C0"/>
    <w:rsid w:val="005F2E49"/>
    <w:rsid w:val="005F7ACA"/>
    <w:rsid w:val="00600C44"/>
    <w:rsid w:val="0060135C"/>
    <w:rsid w:val="00601776"/>
    <w:rsid w:val="00601B81"/>
    <w:rsid w:val="0060494C"/>
    <w:rsid w:val="00604F94"/>
    <w:rsid w:val="00605F95"/>
    <w:rsid w:val="00607BAA"/>
    <w:rsid w:val="00610138"/>
    <w:rsid w:val="006104A1"/>
    <w:rsid w:val="00610C7A"/>
    <w:rsid w:val="006126FD"/>
    <w:rsid w:val="006139C2"/>
    <w:rsid w:val="00616F85"/>
    <w:rsid w:val="00620572"/>
    <w:rsid w:val="00620A80"/>
    <w:rsid w:val="006235CC"/>
    <w:rsid w:val="006240E8"/>
    <w:rsid w:val="0062552E"/>
    <w:rsid w:val="00630083"/>
    <w:rsid w:val="00630A10"/>
    <w:rsid w:val="00630A73"/>
    <w:rsid w:val="00630F76"/>
    <w:rsid w:val="0063163D"/>
    <w:rsid w:val="00643558"/>
    <w:rsid w:val="00644508"/>
    <w:rsid w:val="006470D6"/>
    <w:rsid w:val="006472A1"/>
    <w:rsid w:val="006504C4"/>
    <w:rsid w:val="00652F9C"/>
    <w:rsid w:val="00653C9E"/>
    <w:rsid w:val="006544F6"/>
    <w:rsid w:val="00655C97"/>
    <w:rsid w:val="00660D71"/>
    <w:rsid w:val="00662C2C"/>
    <w:rsid w:val="0066460E"/>
    <w:rsid w:val="00666C57"/>
    <w:rsid w:val="006673ED"/>
    <w:rsid w:val="00673865"/>
    <w:rsid w:val="00676BE5"/>
    <w:rsid w:val="00687462"/>
    <w:rsid w:val="0069044F"/>
    <w:rsid w:val="006907C9"/>
    <w:rsid w:val="00691652"/>
    <w:rsid w:val="0069180B"/>
    <w:rsid w:val="006932C3"/>
    <w:rsid w:val="00693AFA"/>
    <w:rsid w:val="00693E40"/>
    <w:rsid w:val="00694833"/>
    <w:rsid w:val="00695B13"/>
    <w:rsid w:val="006A0641"/>
    <w:rsid w:val="006A2A17"/>
    <w:rsid w:val="006A58FB"/>
    <w:rsid w:val="006A6F24"/>
    <w:rsid w:val="006A756E"/>
    <w:rsid w:val="006A7C18"/>
    <w:rsid w:val="006B208D"/>
    <w:rsid w:val="006C16F2"/>
    <w:rsid w:val="006C17A5"/>
    <w:rsid w:val="006C2E0A"/>
    <w:rsid w:val="006C3F4D"/>
    <w:rsid w:val="006C40E9"/>
    <w:rsid w:val="006C7F79"/>
    <w:rsid w:val="006D2A7D"/>
    <w:rsid w:val="006D39B0"/>
    <w:rsid w:val="006D4765"/>
    <w:rsid w:val="006D49B7"/>
    <w:rsid w:val="006D4A64"/>
    <w:rsid w:val="006D66F8"/>
    <w:rsid w:val="006E146B"/>
    <w:rsid w:val="006E4548"/>
    <w:rsid w:val="006F22CB"/>
    <w:rsid w:val="006F61A8"/>
    <w:rsid w:val="0070366C"/>
    <w:rsid w:val="00703974"/>
    <w:rsid w:val="007052EB"/>
    <w:rsid w:val="0070619F"/>
    <w:rsid w:val="00707D77"/>
    <w:rsid w:val="00710C98"/>
    <w:rsid w:val="00712576"/>
    <w:rsid w:val="0071714C"/>
    <w:rsid w:val="00717C39"/>
    <w:rsid w:val="007232C3"/>
    <w:rsid w:val="00723F5A"/>
    <w:rsid w:val="007313CA"/>
    <w:rsid w:val="00732298"/>
    <w:rsid w:val="00735180"/>
    <w:rsid w:val="007363B0"/>
    <w:rsid w:val="0074007E"/>
    <w:rsid w:val="007405D5"/>
    <w:rsid w:val="00740ADC"/>
    <w:rsid w:val="00740F11"/>
    <w:rsid w:val="00741DF9"/>
    <w:rsid w:val="007459A7"/>
    <w:rsid w:val="00746C91"/>
    <w:rsid w:val="00747A0D"/>
    <w:rsid w:val="0075178F"/>
    <w:rsid w:val="00753FA4"/>
    <w:rsid w:val="00760005"/>
    <w:rsid w:val="007620D2"/>
    <w:rsid w:val="007626DD"/>
    <w:rsid w:val="00773026"/>
    <w:rsid w:val="007737E9"/>
    <w:rsid w:val="00774A27"/>
    <w:rsid w:val="00784F62"/>
    <w:rsid w:val="00785305"/>
    <w:rsid w:val="00792845"/>
    <w:rsid w:val="00797EBD"/>
    <w:rsid w:val="007A7719"/>
    <w:rsid w:val="007B06B4"/>
    <w:rsid w:val="007B3DA7"/>
    <w:rsid w:val="007B6A8E"/>
    <w:rsid w:val="007B6C54"/>
    <w:rsid w:val="007C019A"/>
    <w:rsid w:val="007C02F9"/>
    <w:rsid w:val="007C0832"/>
    <w:rsid w:val="007C1DD3"/>
    <w:rsid w:val="007C259B"/>
    <w:rsid w:val="007C374E"/>
    <w:rsid w:val="007D2808"/>
    <w:rsid w:val="007D3845"/>
    <w:rsid w:val="007D4C50"/>
    <w:rsid w:val="007E49A0"/>
    <w:rsid w:val="007E55DF"/>
    <w:rsid w:val="007E62A9"/>
    <w:rsid w:val="007F16F2"/>
    <w:rsid w:val="007F18AD"/>
    <w:rsid w:val="007F1A2E"/>
    <w:rsid w:val="007F1F59"/>
    <w:rsid w:val="007F4A47"/>
    <w:rsid w:val="007F4EA0"/>
    <w:rsid w:val="007F5BD8"/>
    <w:rsid w:val="007F648A"/>
    <w:rsid w:val="007F6ED3"/>
    <w:rsid w:val="00801605"/>
    <w:rsid w:val="00801CC6"/>
    <w:rsid w:val="0080512B"/>
    <w:rsid w:val="008058DB"/>
    <w:rsid w:val="008106C6"/>
    <w:rsid w:val="00822891"/>
    <w:rsid w:val="008265E8"/>
    <w:rsid w:val="008278C4"/>
    <w:rsid w:val="00827CE6"/>
    <w:rsid w:val="00827E07"/>
    <w:rsid w:val="00832E74"/>
    <w:rsid w:val="0083363D"/>
    <w:rsid w:val="00836028"/>
    <w:rsid w:val="008361CF"/>
    <w:rsid w:val="00840CB7"/>
    <w:rsid w:val="00843077"/>
    <w:rsid w:val="00844A22"/>
    <w:rsid w:val="00850502"/>
    <w:rsid w:val="00856941"/>
    <w:rsid w:val="00856959"/>
    <w:rsid w:val="00861A3B"/>
    <w:rsid w:val="00861D9B"/>
    <w:rsid w:val="0086769C"/>
    <w:rsid w:val="00867C38"/>
    <w:rsid w:val="00867E84"/>
    <w:rsid w:val="00870E48"/>
    <w:rsid w:val="00873894"/>
    <w:rsid w:val="00873990"/>
    <w:rsid w:val="008762FA"/>
    <w:rsid w:val="00881450"/>
    <w:rsid w:val="00881BAD"/>
    <w:rsid w:val="008907BB"/>
    <w:rsid w:val="008937F7"/>
    <w:rsid w:val="008955C5"/>
    <w:rsid w:val="008967BD"/>
    <w:rsid w:val="008A09E9"/>
    <w:rsid w:val="008A2AEC"/>
    <w:rsid w:val="008B0296"/>
    <w:rsid w:val="008B211D"/>
    <w:rsid w:val="008B478B"/>
    <w:rsid w:val="008C03DF"/>
    <w:rsid w:val="008C26C8"/>
    <w:rsid w:val="008C4791"/>
    <w:rsid w:val="008C5B15"/>
    <w:rsid w:val="008D0A9C"/>
    <w:rsid w:val="008D19C6"/>
    <w:rsid w:val="008D1DCA"/>
    <w:rsid w:val="008D3D39"/>
    <w:rsid w:val="008D43EF"/>
    <w:rsid w:val="008E1136"/>
    <w:rsid w:val="008E1F71"/>
    <w:rsid w:val="008E3BB5"/>
    <w:rsid w:val="008F2486"/>
    <w:rsid w:val="008F28EC"/>
    <w:rsid w:val="008F40A9"/>
    <w:rsid w:val="008F4CD7"/>
    <w:rsid w:val="008F5B76"/>
    <w:rsid w:val="008F7961"/>
    <w:rsid w:val="00900995"/>
    <w:rsid w:val="00901A25"/>
    <w:rsid w:val="00906CDE"/>
    <w:rsid w:val="00912646"/>
    <w:rsid w:val="009169A5"/>
    <w:rsid w:val="00924469"/>
    <w:rsid w:val="009258D9"/>
    <w:rsid w:val="00925D49"/>
    <w:rsid w:val="00927D54"/>
    <w:rsid w:val="009306C8"/>
    <w:rsid w:val="00936483"/>
    <w:rsid w:val="00941642"/>
    <w:rsid w:val="009432E4"/>
    <w:rsid w:val="00946CF9"/>
    <w:rsid w:val="009477C2"/>
    <w:rsid w:val="009506DA"/>
    <w:rsid w:val="009578BF"/>
    <w:rsid w:val="00972381"/>
    <w:rsid w:val="00975DFA"/>
    <w:rsid w:val="0097794E"/>
    <w:rsid w:val="00977EE9"/>
    <w:rsid w:val="009810FF"/>
    <w:rsid w:val="009815F9"/>
    <w:rsid w:val="00981772"/>
    <w:rsid w:val="00987B0A"/>
    <w:rsid w:val="00996FE8"/>
    <w:rsid w:val="00997DCC"/>
    <w:rsid w:val="009A2017"/>
    <w:rsid w:val="009A2FFB"/>
    <w:rsid w:val="009A730B"/>
    <w:rsid w:val="009A79FB"/>
    <w:rsid w:val="009B0148"/>
    <w:rsid w:val="009B21C0"/>
    <w:rsid w:val="009B4D53"/>
    <w:rsid w:val="009B5FEB"/>
    <w:rsid w:val="009C3517"/>
    <w:rsid w:val="009C3B06"/>
    <w:rsid w:val="009C674D"/>
    <w:rsid w:val="009D0A1D"/>
    <w:rsid w:val="009D2219"/>
    <w:rsid w:val="009D2255"/>
    <w:rsid w:val="009D3FE5"/>
    <w:rsid w:val="009D7022"/>
    <w:rsid w:val="009F240A"/>
    <w:rsid w:val="009F612C"/>
    <w:rsid w:val="009F662E"/>
    <w:rsid w:val="009F7052"/>
    <w:rsid w:val="00A01B21"/>
    <w:rsid w:val="00A01CD3"/>
    <w:rsid w:val="00A07051"/>
    <w:rsid w:val="00A10BFC"/>
    <w:rsid w:val="00A121CE"/>
    <w:rsid w:val="00A20B11"/>
    <w:rsid w:val="00A236D8"/>
    <w:rsid w:val="00A253BC"/>
    <w:rsid w:val="00A3358B"/>
    <w:rsid w:val="00A34D8D"/>
    <w:rsid w:val="00A34EA5"/>
    <w:rsid w:val="00A3743E"/>
    <w:rsid w:val="00A401D5"/>
    <w:rsid w:val="00A428FD"/>
    <w:rsid w:val="00A45DD1"/>
    <w:rsid w:val="00A504C5"/>
    <w:rsid w:val="00A51149"/>
    <w:rsid w:val="00A539EA"/>
    <w:rsid w:val="00A61222"/>
    <w:rsid w:val="00A621CB"/>
    <w:rsid w:val="00A6250E"/>
    <w:rsid w:val="00A62899"/>
    <w:rsid w:val="00A66330"/>
    <w:rsid w:val="00A66F00"/>
    <w:rsid w:val="00A67CEA"/>
    <w:rsid w:val="00A71D3C"/>
    <w:rsid w:val="00A73CB9"/>
    <w:rsid w:val="00A74FF1"/>
    <w:rsid w:val="00A764FD"/>
    <w:rsid w:val="00A8395B"/>
    <w:rsid w:val="00A84A46"/>
    <w:rsid w:val="00A902A1"/>
    <w:rsid w:val="00A926F9"/>
    <w:rsid w:val="00A92A69"/>
    <w:rsid w:val="00A95BE6"/>
    <w:rsid w:val="00AA154E"/>
    <w:rsid w:val="00AA2A33"/>
    <w:rsid w:val="00AA2FB3"/>
    <w:rsid w:val="00AA3833"/>
    <w:rsid w:val="00AA5214"/>
    <w:rsid w:val="00AA6E1F"/>
    <w:rsid w:val="00AA6FE9"/>
    <w:rsid w:val="00AA7478"/>
    <w:rsid w:val="00AB35D3"/>
    <w:rsid w:val="00AB3759"/>
    <w:rsid w:val="00AB3D2D"/>
    <w:rsid w:val="00AB5B54"/>
    <w:rsid w:val="00AC0C0F"/>
    <w:rsid w:val="00AC40C5"/>
    <w:rsid w:val="00AC4ED1"/>
    <w:rsid w:val="00AD2025"/>
    <w:rsid w:val="00AD65FB"/>
    <w:rsid w:val="00AE04ED"/>
    <w:rsid w:val="00AE1799"/>
    <w:rsid w:val="00AE382A"/>
    <w:rsid w:val="00AF1405"/>
    <w:rsid w:val="00AF71A4"/>
    <w:rsid w:val="00B019A2"/>
    <w:rsid w:val="00B04118"/>
    <w:rsid w:val="00B060B1"/>
    <w:rsid w:val="00B0727C"/>
    <w:rsid w:val="00B1595A"/>
    <w:rsid w:val="00B159A9"/>
    <w:rsid w:val="00B216D2"/>
    <w:rsid w:val="00B226E7"/>
    <w:rsid w:val="00B259CE"/>
    <w:rsid w:val="00B270EB"/>
    <w:rsid w:val="00B4465D"/>
    <w:rsid w:val="00B46E6D"/>
    <w:rsid w:val="00B47A5E"/>
    <w:rsid w:val="00B50844"/>
    <w:rsid w:val="00B51295"/>
    <w:rsid w:val="00B5150A"/>
    <w:rsid w:val="00B561F9"/>
    <w:rsid w:val="00B60291"/>
    <w:rsid w:val="00B60C06"/>
    <w:rsid w:val="00B61DBB"/>
    <w:rsid w:val="00B6276D"/>
    <w:rsid w:val="00B6373E"/>
    <w:rsid w:val="00B65118"/>
    <w:rsid w:val="00B70E10"/>
    <w:rsid w:val="00B73718"/>
    <w:rsid w:val="00B73A37"/>
    <w:rsid w:val="00B802BB"/>
    <w:rsid w:val="00B809D6"/>
    <w:rsid w:val="00B91388"/>
    <w:rsid w:val="00B92323"/>
    <w:rsid w:val="00B94E62"/>
    <w:rsid w:val="00BA2F15"/>
    <w:rsid w:val="00BA350F"/>
    <w:rsid w:val="00BA3A63"/>
    <w:rsid w:val="00BB5369"/>
    <w:rsid w:val="00BC627D"/>
    <w:rsid w:val="00BD25FC"/>
    <w:rsid w:val="00BD3B63"/>
    <w:rsid w:val="00BD6FE5"/>
    <w:rsid w:val="00BF0E18"/>
    <w:rsid w:val="00BF14F7"/>
    <w:rsid w:val="00BF19FD"/>
    <w:rsid w:val="00BF3F95"/>
    <w:rsid w:val="00C050EF"/>
    <w:rsid w:val="00C05217"/>
    <w:rsid w:val="00C06E0B"/>
    <w:rsid w:val="00C12DA8"/>
    <w:rsid w:val="00C23643"/>
    <w:rsid w:val="00C25368"/>
    <w:rsid w:val="00C257EA"/>
    <w:rsid w:val="00C3010E"/>
    <w:rsid w:val="00C357A1"/>
    <w:rsid w:val="00C35ECF"/>
    <w:rsid w:val="00C42A4D"/>
    <w:rsid w:val="00C43494"/>
    <w:rsid w:val="00C43BC7"/>
    <w:rsid w:val="00C4424F"/>
    <w:rsid w:val="00C460F0"/>
    <w:rsid w:val="00C52D58"/>
    <w:rsid w:val="00C565D0"/>
    <w:rsid w:val="00C5703A"/>
    <w:rsid w:val="00C57FCD"/>
    <w:rsid w:val="00C650BA"/>
    <w:rsid w:val="00C70B64"/>
    <w:rsid w:val="00C76B2D"/>
    <w:rsid w:val="00C77B96"/>
    <w:rsid w:val="00C80323"/>
    <w:rsid w:val="00C80B5E"/>
    <w:rsid w:val="00C918F6"/>
    <w:rsid w:val="00C97690"/>
    <w:rsid w:val="00CA39C6"/>
    <w:rsid w:val="00CA52CC"/>
    <w:rsid w:val="00CB08B7"/>
    <w:rsid w:val="00CB233C"/>
    <w:rsid w:val="00CB25C7"/>
    <w:rsid w:val="00CB37BF"/>
    <w:rsid w:val="00CB6205"/>
    <w:rsid w:val="00CC04C6"/>
    <w:rsid w:val="00CC0F41"/>
    <w:rsid w:val="00CD002A"/>
    <w:rsid w:val="00CD22AB"/>
    <w:rsid w:val="00CD3108"/>
    <w:rsid w:val="00CD754B"/>
    <w:rsid w:val="00CE094F"/>
    <w:rsid w:val="00CE21FC"/>
    <w:rsid w:val="00CE32F9"/>
    <w:rsid w:val="00CE38E0"/>
    <w:rsid w:val="00CE4715"/>
    <w:rsid w:val="00CE56F9"/>
    <w:rsid w:val="00CE62FC"/>
    <w:rsid w:val="00CE7429"/>
    <w:rsid w:val="00CE749C"/>
    <w:rsid w:val="00CF0978"/>
    <w:rsid w:val="00CF220E"/>
    <w:rsid w:val="00CF2456"/>
    <w:rsid w:val="00CF52C3"/>
    <w:rsid w:val="00D01547"/>
    <w:rsid w:val="00D01965"/>
    <w:rsid w:val="00D152E3"/>
    <w:rsid w:val="00D17D7C"/>
    <w:rsid w:val="00D20428"/>
    <w:rsid w:val="00D2487A"/>
    <w:rsid w:val="00D248C1"/>
    <w:rsid w:val="00D25ADF"/>
    <w:rsid w:val="00D26608"/>
    <w:rsid w:val="00D272FD"/>
    <w:rsid w:val="00D32E05"/>
    <w:rsid w:val="00D356BB"/>
    <w:rsid w:val="00D4236F"/>
    <w:rsid w:val="00D527A8"/>
    <w:rsid w:val="00D529C5"/>
    <w:rsid w:val="00D53CF1"/>
    <w:rsid w:val="00D546F5"/>
    <w:rsid w:val="00D557B5"/>
    <w:rsid w:val="00D55FB9"/>
    <w:rsid w:val="00D60BAA"/>
    <w:rsid w:val="00D632BD"/>
    <w:rsid w:val="00D67391"/>
    <w:rsid w:val="00D6798A"/>
    <w:rsid w:val="00D80BF0"/>
    <w:rsid w:val="00D81461"/>
    <w:rsid w:val="00D81EC7"/>
    <w:rsid w:val="00D8447D"/>
    <w:rsid w:val="00D85279"/>
    <w:rsid w:val="00D90433"/>
    <w:rsid w:val="00D92A99"/>
    <w:rsid w:val="00D943A5"/>
    <w:rsid w:val="00D95210"/>
    <w:rsid w:val="00D97A90"/>
    <w:rsid w:val="00DA03E0"/>
    <w:rsid w:val="00DA10CA"/>
    <w:rsid w:val="00DA1724"/>
    <w:rsid w:val="00DA1EC2"/>
    <w:rsid w:val="00DA2F8D"/>
    <w:rsid w:val="00DA4D3E"/>
    <w:rsid w:val="00DB573C"/>
    <w:rsid w:val="00DB5EF8"/>
    <w:rsid w:val="00DC0B4B"/>
    <w:rsid w:val="00DC33A1"/>
    <w:rsid w:val="00DC4205"/>
    <w:rsid w:val="00DC4851"/>
    <w:rsid w:val="00DC4D44"/>
    <w:rsid w:val="00DD1C20"/>
    <w:rsid w:val="00DD24A6"/>
    <w:rsid w:val="00DE4474"/>
    <w:rsid w:val="00DF0432"/>
    <w:rsid w:val="00DF3E89"/>
    <w:rsid w:val="00DF50DE"/>
    <w:rsid w:val="00DF540B"/>
    <w:rsid w:val="00E05438"/>
    <w:rsid w:val="00E11B29"/>
    <w:rsid w:val="00E2367A"/>
    <w:rsid w:val="00E25951"/>
    <w:rsid w:val="00E31422"/>
    <w:rsid w:val="00E3260B"/>
    <w:rsid w:val="00E35AE3"/>
    <w:rsid w:val="00E35E2B"/>
    <w:rsid w:val="00E434DB"/>
    <w:rsid w:val="00E43B32"/>
    <w:rsid w:val="00E44FF1"/>
    <w:rsid w:val="00E56773"/>
    <w:rsid w:val="00E57027"/>
    <w:rsid w:val="00E625ED"/>
    <w:rsid w:val="00E62B7F"/>
    <w:rsid w:val="00E65263"/>
    <w:rsid w:val="00E65AC3"/>
    <w:rsid w:val="00E66D6B"/>
    <w:rsid w:val="00E66DD0"/>
    <w:rsid w:val="00E675CC"/>
    <w:rsid w:val="00E72AAD"/>
    <w:rsid w:val="00E74DAA"/>
    <w:rsid w:val="00E829DF"/>
    <w:rsid w:val="00E82ADB"/>
    <w:rsid w:val="00E86745"/>
    <w:rsid w:val="00E86B82"/>
    <w:rsid w:val="00E929D2"/>
    <w:rsid w:val="00EA1AD5"/>
    <w:rsid w:val="00EA35FD"/>
    <w:rsid w:val="00EB57A6"/>
    <w:rsid w:val="00EC00D4"/>
    <w:rsid w:val="00EC3003"/>
    <w:rsid w:val="00EC6D40"/>
    <w:rsid w:val="00EC701F"/>
    <w:rsid w:val="00ED0BE7"/>
    <w:rsid w:val="00ED15BD"/>
    <w:rsid w:val="00ED2284"/>
    <w:rsid w:val="00ED285F"/>
    <w:rsid w:val="00ED54A9"/>
    <w:rsid w:val="00ED6E12"/>
    <w:rsid w:val="00EE290B"/>
    <w:rsid w:val="00EE47F3"/>
    <w:rsid w:val="00EE4A8C"/>
    <w:rsid w:val="00EE4C43"/>
    <w:rsid w:val="00EF3CC1"/>
    <w:rsid w:val="00EF5D37"/>
    <w:rsid w:val="00EF60EA"/>
    <w:rsid w:val="00F01884"/>
    <w:rsid w:val="00F025D0"/>
    <w:rsid w:val="00F03F93"/>
    <w:rsid w:val="00F055EC"/>
    <w:rsid w:val="00F055EE"/>
    <w:rsid w:val="00F056CE"/>
    <w:rsid w:val="00F061E5"/>
    <w:rsid w:val="00F064A0"/>
    <w:rsid w:val="00F06F4B"/>
    <w:rsid w:val="00F074CF"/>
    <w:rsid w:val="00F13930"/>
    <w:rsid w:val="00F15CED"/>
    <w:rsid w:val="00F260E1"/>
    <w:rsid w:val="00F266EB"/>
    <w:rsid w:val="00F27BC6"/>
    <w:rsid w:val="00F30B57"/>
    <w:rsid w:val="00F32892"/>
    <w:rsid w:val="00F403A0"/>
    <w:rsid w:val="00F50FAB"/>
    <w:rsid w:val="00F515FF"/>
    <w:rsid w:val="00F5173F"/>
    <w:rsid w:val="00F543BF"/>
    <w:rsid w:val="00F545AC"/>
    <w:rsid w:val="00F56D71"/>
    <w:rsid w:val="00F60132"/>
    <w:rsid w:val="00F60739"/>
    <w:rsid w:val="00F642C2"/>
    <w:rsid w:val="00F647E8"/>
    <w:rsid w:val="00F65F11"/>
    <w:rsid w:val="00F675CC"/>
    <w:rsid w:val="00F71554"/>
    <w:rsid w:val="00F74E01"/>
    <w:rsid w:val="00F75B7D"/>
    <w:rsid w:val="00F76C34"/>
    <w:rsid w:val="00F810B6"/>
    <w:rsid w:val="00F8395D"/>
    <w:rsid w:val="00FA08B5"/>
    <w:rsid w:val="00FA319C"/>
    <w:rsid w:val="00FA3915"/>
    <w:rsid w:val="00FB1E34"/>
    <w:rsid w:val="00FB29D2"/>
    <w:rsid w:val="00FB5C89"/>
    <w:rsid w:val="00FC0C0F"/>
    <w:rsid w:val="00FC4F9B"/>
    <w:rsid w:val="00FC5424"/>
    <w:rsid w:val="00FE1EF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51FB"/>
  <w15:chartTrackingRefBased/>
  <w15:docId w15:val="{1DB63E27-85C8-464F-9380-E077D00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D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Style 58,超????,하이퍼링크2,超?级链,CEO_Hyperlink,超链接1,하이퍼링크21,超??级链Ú,fL????,fL?级,超??级链,超?级链Ú,’´?级链,’´????,’´??级链Ú,’´??级"/>
    <w:basedOn w:val="DefaultParagraphFont"/>
    <w:uiPriority w:val="99"/>
    <w:qFormat/>
    <w:rsid w:val="009A2017"/>
    <w:rPr>
      <w:color w:val="0000FF"/>
      <w:u w:val="single"/>
    </w:rPr>
  </w:style>
  <w:style w:type="paragraph" w:customStyle="1" w:styleId="Docnumber">
    <w:name w:val="Docnumber"/>
    <w:basedOn w:val="Normal"/>
    <w:link w:val="DocnumberChar"/>
    <w:qFormat/>
    <w:rsid w:val="009A2017"/>
    <w:pPr>
      <w:tabs>
        <w:tab w:val="clear" w:pos="1134"/>
        <w:tab w:val="clear" w:pos="1871"/>
        <w:tab w:val="clear" w:pos="2268"/>
        <w:tab w:val="left" w:pos="794"/>
        <w:tab w:val="left" w:pos="1191"/>
        <w:tab w:val="left" w:pos="1588"/>
        <w:tab w:val="left" w:pos="1985"/>
      </w:tabs>
      <w:jc w:val="right"/>
    </w:pPr>
    <w:rPr>
      <w:b/>
      <w:bCs/>
      <w:sz w:val="40"/>
    </w:rPr>
  </w:style>
  <w:style w:type="character" w:customStyle="1" w:styleId="DocnumberChar">
    <w:name w:val="Docnumber Char"/>
    <w:basedOn w:val="DefaultParagraphFont"/>
    <w:link w:val="Docnumber"/>
    <w:qFormat/>
    <w:rsid w:val="009A2017"/>
    <w:rPr>
      <w:rFonts w:ascii="Times New Roman" w:eastAsia="Times New Roman" w:hAnsi="Times New Roman" w:cs="Times New Roman"/>
      <w:b/>
      <w:bCs/>
      <w:sz w:val="40"/>
      <w:szCs w:val="20"/>
      <w:lang w:val="en-GB" w:eastAsia="en-US"/>
    </w:rPr>
  </w:style>
  <w:style w:type="character" w:styleId="PlaceholderText">
    <w:name w:val="Placeholder Text"/>
    <w:basedOn w:val="DefaultParagraphFont"/>
    <w:uiPriority w:val="99"/>
    <w:semiHidden/>
    <w:rsid w:val="009A2017"/>
    <w:rPr>
      <w:rFonts w:ascii="Times New Roman" w:hAnsi="Times New Roman"/>
      <w:color w:val="808080"/>
    </w:rPr>
  </w:style>
  <w:style w:type="paragraph" w:styleId="Header">
    <w:name w:val="header"/>
    <w:basedOn w:val="Normal"/>
    <w:link w:val="HeaderChar"/>
    <w:uiPriority w:val="99"/>
    <w:unhideWhenUsed/>
    <w:rsid w:val="00BF3F95"/>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F3F95"/>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F3F95"/>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F3F95"/>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487438"/>
    <w:rPr>
      <w:color w:val="954F72" w:themeColor="followedHyperlink"/>
      <w:u w:val="single"/>
    </w:rPr>
  </w:style>
  <w:style w:type="paragraph" w:styleId="ListParagraph">
    <w:name w:val="List Paragraph"/>
    <w:basedOn w:val="Normal"/>
    <w:uiPriority w:val="34"/>
    <w:qFormat/>
    <w:rsid w:val="006A2A17"/>
    <w:pPr>
      <w:ind w:left="720"/>
      <w:contextualSpacing/>
    </w:pPr>
  </w:style>
  <w:style w:type="paragraph" w:styleId="BalloonText">
    <w:name w:val="Balloon Text"/>
    <w:basedOn w:val="Normal"/>
    <w:link w:val="BalloonTextChar"/>
    <w:uiPriority w:val="99"/>
    <w:semiHidden/>
    <w:unhideWhenUsed/>
    <w:rsid w:val="006126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FD"/>
    <w:rPr>
      <w:rFonts w:ascii="Segoe UI" w:eastAsia="Times New Roman" w:hAnsi="Segoe UI" w:cs="Segoe UI"/>
      <w:sz w:val="18"/>
      <w:szCs w:val="18"/>
      <w:lang w:val="en-GB" w:eastAsia="en-US"/>
    </w:rPr>
  </w:style>
  <w:style w:type="paragraph" w:customStyle="1" w:styleId="AnnexNo">
    <w:name w:val="Annex_No"/>
    <w:basedOn w:val="Normal"/>
    <w:next w:val="Normal"/>
    <w:rsid w:val="00F13930"/>
    <w:pPr>
      <w:keepNext/>
      <w:keepLines/>
      <w:tabs>
        <w:tab w:val="clear" w:pos="1134"/>
        <w:tab w:val="clear" w:pos="1871"/>
        <w:tab w:val="clear" w:pos="2268"/>
        <w:tab w:val="left" w:pos="794"/>
        <w:tab w:val="left" w:pos="1191"/>
        <w:tab w:val="left" w:pos="1588"/>
        <w:tab w:val="left" w:pos="1985"/>
      </w:tabs>
      <w:spacing w:before="480" w:after="80"/>
      <w:jc w:val="center"/>
    </w:pPr>
    <w:rPr>
      <w:rFonts w:asciiTheme="minorHAnsi" w:hAnsiTheme="minorHAnsi"/>
      <w:bCs/>
      <w:sz w:val="28"/>
    </w:rPr>
  </w:style>
  <w:style w:type="character" w:styleId="UnresolvedMention">
    <w:name w:val="Unresolved Mention"/>
    <w:basedOn w:val="DefaultParagraphFont"/>
    <w:uiPriority w:val="99"/>
    <w:semiHidden/>
    <w:unhideWhenUsed/>
    <w:rsid w:val="0003172E"/>
    <w:rPr>
      <w:color w:val="605E5C"/>
      <w:shd w:val="clear" w:color="auto" w:fill="E1DFDD"/>
    </w:rPr>
  </w:style>
  <w:style w:type="table" w:styleId="TableGrid">
    <w:name w:val="Table Grid"/>
    <w:basedOn w:val="TableNormal"/>
    <w:uiPriority w:val="39"/>
    <w:rsid w:val="001A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446A"/>
    <w:pPr>
      <w:spacing w:after="0" w:line="240" w:lineRule="auto"/>
    </w:pPr>
    <w:rPr>
      <w:rFonts w:ascii="Times New Roman" w:eastAsia="Times New Roman" w:hAnsi="Times New Roman" w:cs="Times New Roman"/>
      <w:sz w:val="24"/>
      <w:szCs w:val="20"/>
      <w:lang w:val="en-GB" w:eastAsia="en-US"/>
    </w:rPr>
  </w:style>
  <w:style w:type="paragraph" w:customStyle="1" w:styleId="TSBHeaderQuestion">
    <w:name w:val="TSBHeaderQuestion"/>
    <w:basedOn w:val="Normal"/>
    <w:qFormat/>
    <w:rsid w:val="004336B5"/>
    <w:pPr>
      <w:tabs>
        <w:tab w:val="clear" w:pos="1134"/>
        <w:tab w:val="clear" w:pos="1871"/>
        <w:tab w:val="clear" w:pos="2268"/>
        <w:tab w:val="left" w:pos="794"/>
        <w:tab w:val="left" w:pos="1191"/>
        <w:tab w:val="left" w:pos="1588"/>
        <w:tab w:val="left" w:pos="1985"/>
      </w:tabs>
    </w:pPr>
    <w:rPr>
      <w:szCs w:val="24"/>
    </w:rPr>
  </w:style>
  <w:style w:type="paragraph" w:customStyle="1" w:styleId="TSBHeaderSource">
    <w:name w:val="TSBHeaderSource"/>
    <w:basedOn w:val="Normal"/>
    <w:qFormat/>
    <w:rsid w:val="004336B5"/>
    <w:pPr>
      <w:tabs>
        <w:tab w:val="clear" w:pos="1134"/>
        <w:tab w:val="clear" w:pos="1871"/>
        <w:tab w:val="clear" w:pos="2268"/>
        <w:tab w:val="left" w:pos="794"/>
        <w:tab w:val="left" w:pos="1191"/>
        <w:tab w:val="left" w:pos="1588"/>
        <w:tab w:val="left" w:pos="1985"/>
      </w:tabs>
    </w:pPr>
    <w:rPr>
      <w:szCs w:val="24"/>
    </w:rPr>
  </w:style>
  <w:style w:type="paragraph" w:customStyle="1" w:styleId="TSBHeaderTitle">
    <w:name w:val="TSBHeaderTitle"/>
    <w:basedOn w:val="Normal"/>
    <w:qFormat/>
    <w:rsid w:val="004336B5"/>
    <w:pPr>
      <w:tabs>
        <w:tab w:val="clear" w:pos="1134"/>
        <w:tab w:val="clear" w:pos="1871"/>
        <w:tab w:val="clear" w:pos="2268"/>
        <w:tab w:val="left" w:pos="794"/>
        <w:tab w:val="left" w:pos="1191"/>
        <w:tab w:val="left" w:pos="1588"/>
        <w:tab w:val="left" w:pos="1985"/>
      </w:tabs>
    </w:pPr>
    <w:rPr>
      <w:szCs w:val="24"/>
    </w:rPr>
  </w:style>
  <w:style w:type="paragraph" w:customStyle="1" w:styleId="TSBHeaderRight14">
    <w:name w:val="TSBHeaderRight14"/>
    <w:basedOn w:val="Normal"/>
    <w:qFormat/>
    <w:rsid w:val="004336B5"/>
    <w:pPr>
      <w:tabs>
        <w:tab w:val="clear" w:pos="1134"/>
        <w:tab w:val="clear" w:pos="1871"/>
        <w:tab w:val="clear" w:pos="2268"/>
        <w:tab w:val="left" w:pos="794"/>
        <w:tab w:val="left" w:pos="1191"/>
        <w:tab w:val="left" w:pos="1588"/>
        <w:tab w:val="left" w:pos="1985"/>
      </w:tabs>
      <w:jc w:val="right"/>
    </w:pPr>
    <w:rPr>
      <w:b/>
      <w:bCs/>
      <w:sz w:val="28"/>
      <w:szCs w:val="28"/>
    </w:rPr>
  </w:style>
  <w:style w:type="paragraph" w:customStyle="1" w:styleId="VenueDate">
    <w:name w:val="VenueDate"/>
    <w:basedOn w:val="Normal"/>
    <w:qFormat/>
    <w:rsid w:val="004336B5"/>
    <w:pPr>
      <w:tabs>
        <w:tab w:val="clear" w:pos="1134"/>
        <w:tab w:val="clear" w:pos="1871"/>
        <w:tab w:val="clear" w:pos="2268"/>
        <w:tab w:val="left" w:pos="794"/>
        <w:tab w:val="left" w:pos="1191"/>
        <w:tab w:val="left" w:pos="1588"/>
        <w:tab w:val="left" w:pos="1985"/>
      </w:tabs>
      <w:jc w:val="right"/>
    </w:pPr>
    <w:rPr>
      <w:szCs w:val="24"/>
    </w:rPr>
  </w:style>
  <w:style w:type="character" w:styleId="CommentReference">
    <w:name w:val="annotation reference"/>
    <w:basedOn w:val="DefaultParagraphFont"/>
    <w:uiPriority w:val="99"/>
    <w:semiHidden/>
    <w:unhideWhenUsed/>
    <w:rsid w:val="00366B95"/>
    <w:rPr>
      <w:sz w:val="16"/>
      <w:szCs w:val="16"/>
    </w:rPr>
  </w:style>
  <w:style w:type="paragraph" w:styleId="CommentText">
    <w:name w:val="annotation text"/>
    <w:basedOn w:val="Normal"/>
    <w:link w:val="CommentTextChar"/>
    <w:uiPriority w:val="99"/>
    <w:unhideWhenUsed/>
    <w:rsid w:val="00366B95"/>
    <w:rPr>
      <w:sz w:val="20"/>
    </w:rPr>
  </w:style>
  <w:style w:type="character" w:customStyle="1" w:styleId="CommentTextChar">
    <w:name w:val="Comment Text Char"/>
    <w:basedOn w:val="DefaultParagraphFont"/>
    <w:link w:val="CommentText"/>
    <w:uiPriority w:val="99"/>
    <w:rsid w:val="00366B95"/>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66B95"/>
    <w:rPr>
      <w:b/>
      <w:bCs/>
    </w:rPr>
  </w:style>
  <w:style w:type="character" w:customStyle="1" w:styleId="CommentSubjectChar">
    <w:name w:val="Comment Subject Char"/>
    <w:basedOn w:val="CommentTextChar"/>
    <w:link w:val="CommentSubject"/>
    <w:uiPriority w:val="99"/>
    <w:semiHidden/>
    <w:rsid w:val="00366B95"/>
    <w:rPr>
      <w:rFonts w:ascii="Times New Roman" w:eastAsia="Times New Roman" w:hAnsi="Times New Roman" w:cs="Times New Roman"/>
      <w:b/>
      <w:bCs/>
      <w:sz w:val="20"/>
      <w:szCs w:val="20"/>
      <w:lang w:val="en-GB" w:eastAsia="en-US"/>
    </w:rPr>
  </w:style>
  <w:style w:type="character" w:customStyle="1" w:styleId="enumlev1Char">
    <w:name w:val="enumlev1 Char"/>
    <w:link w:val="enumlev1"/>
    <w:locked/>
    <w:rsid w:val="00AC40C5"/>
    <w:rPr>
      <w:rFonts w:ascii="Times New Roman" w:eastAsia="Times New Roman" w:hAnsi="Times New Roman" w:cs="Times New Roman"/>
      <w:sz w:val="24"/>
      <w:szCs w:val="20"/>
      <w:lang w:val="en-GB" w:eastAsia="en-US"/>
    </w:rPr>
  </w:style>
  <w:style w:type="paragraph" w:customStyle="1" w:styleId="enumlev1">
    <w:name w:val="enumlev1"/>
    <w:basedOn w:val="Normal"/>
    <w:link w:val="enumlev1Char"/>
    <w:qFormat/>
    <w:rsid w:val="00AC40C5"/>
    <w:pPr>
      <w:tabs>
        <w:tab w:val="clear" w:pos="1134"/>
        <w:tab w:val="clear" w:pos="1871"/>
        <w:tab w:val="clear" w:pos="2268"/>
        <w:tab w:val="left" w:pos="794"/>
        <w:tab w:val="left" w:pos="1191"/>
        <w:tab w:val="left" w:pos="1588"/>
        <w:tab w:val="left" w:pos="1985"/>
      </w:tabs>
      <w:spacing w:before="80"/>
      <w:ind w:left="794" w:hanging="794"/>
      <w:textAlignment w:val="auto"/>
    </w:pPr>
  </w:style>
  <w:style w:type="paragraph" w:customStyle="1" w:styleId="LSDeadline">
    <w:name w:val="LSDeadline"/>
    <w:basedOn w:val="LSForAction"/>
    <w:next w:val="Normal"/>
    <w:qFormat/>
    <w:rsid w:val="001F34F9"/>
    <w:rPr>
      <w:bCs w:val="0"/>
    </w:rPr>
  </w:style>
  <w:style w:type="paragraph" w:customStyle="1" w:styleId="LSForAction">
    <w:name w:val="LSForAction"/>
    <w:basedOn w:val="Normal"/>
    <w:qFormat/>
    <w:rsid w:val="001F34F9"/>
    <w:pPr>
      <w:tabs>
        <w:tab w:val="clear" w:pos="1134"/>
        <w:tab w:val="clear" w:pos="1871"/>
        <w:tab w:val="clear" w:pos="2268"/>
        <w:tab w:val="left" w:pos="794"/>
        <w:tab w:val="left" w:pos="1191"/>
        <w:tab w:val="left" w:pos="1588"/>
        <w:tab w:val="left" w:pos="1985"/>
      </w:tabs>
    </w:pPr>
    <w:rPr>
      <w:bCs/>
    </w:rPr>
  </w:style>
  <w:style w:type="paragraph" w:customStyle="1" w:styleId="LSForInfo">
    <w:name w:val="LSForInfo"/>
    <w:basedOn w:val="LSForAction"/>
    <w:next w:val="Normal"/>
    <w:qFormat/>
    <w:rsid w:val="001F34F9"/>
  </w:style>
  <w:style w:type="paragraph" w:styleId="FootnoteText">
    <w:name w:val="footnote text"/>
    <w:basedOn w:val="Normal"/>
    <w:link w:val="FootnoteTextChar"/>
    <w:uiPriority w:val="99"/>
    <w:semiHidden/>
    <w:unhideWhenUsed/>
    <w:rsid w:val="001E1ABA"/>
    <w:pPr>
      <w:spacing w:before="0"/>
    </w:pPr>
    <w:rPr>
      <w:sz w:val="20"/>
    </w:rPr>
  </w:style>
  <w:style w:type="character" w:customStyle="1" w:styleId="FootnoteTextChar">
    <w:name w:val="Footnote Text Char"/>
    <w:basedOn w:val="DefaultParagraphFont"/>
    <w:link w:val="FootnoteText"/>
    <w:uiPriority w:val="99"/>
    <w:semiHidden/>
    <w:rsid w:val="001E1ABA"/>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06817">
      <w:bodyDiv w:val="1"/>
      <w:marLeft w:val="0"/>
      <w:marRight w:val="0"/>
      <w:marTop w:val="0"/>
      <w:marBottom w:val="0"/>
      <w:divBdr>
        <w:top w:val="none" w:sz="0" w:space="0" w:color="auto"/>
        <w:left w:val="none" w:sz="0" w:space="0" w:color="auto"/>
        <w:bottom w:val="none" w:sz="0" w:space="0" w:color="auto"/>
        <w:right w:val="none" w:sz="0" w:space="0" w:color="auto"/>
      </w:divBdr>
    </w:div>
    <w:div w:id="671681838">
      <w:bodyDiv w:val="1"/>
      <w:marLeft w:val="0"/>
      <w:marRight w:val="0"/>
      <w:marTop w:val="0"/>
      <w:marBottom w:val="0"/>
      <w:divBdr>
        <w:top w:val="none" w:sz="0" w:space="0" w:color="auto"/>
        <w:left w:val="none" w:sz="0" w:space="0" w:color="auto"/>
        <w:bottom w:val="none" w:sz="0" w:space="0" w:color="auto"/>
        <w:right w:val="none" w:sz="0" w:space="0" w:color="auto"/>
      </w:divBdr>
    </w:div>
    <w:div w:id="672341998">
      <w:bodyDiv w:val="1"/>
      <w:marLeft w:val="0"/>
      <w:marRight w:val="0"/>
      <w:marTop w:val="0"/>
      <w:marBottom w:val="0"/>
      <w:divBdr>
        <w:top w:val="none" w:sz="0" w:space="0" w:color="auto"/>
        <w:left w:val="none" w:sz="0" w:space="0" w:color="auto"/>
        <w:bottom w:val="none" w:sz="0" w:space="0" w:color="auto"/>
        <w:right w:val="none" w:sz="0" w:space="0" w:color="auto"/>
      </w:divBdr>
    </w:div>
    <w:div w:id="802969258">
      <w:bodyDiv w:val="1"/>
      <w:marLeft w:val="0"/>
      <w:marRight w:val="0"/>
      <w:marTop w:val="0"/>
      <w:marBottom w:val="0"/>
      <w:divBdr>
        <w:top w:val="none" w:sz="0" w:space="0" w:color="auto"/>
        <w:left w:val="none" w:sz="0" w:space="0" w:color="auto"/>
        <w:bottom w:val="none" w:sz="0" w:space="0" w:color="auto"/>
        <w:right w:val="none" w:sz="0" w:space="0" w:color="auto"/>
      </w:divBdr>
      <w:divsChild>
        <w:div w:id="1364673722">
          <w:marLeft w:val="0"/>
          <w:marRight w:val="0"/>
          <w:marTop w:val="0"/>
          <w:marBottom w:val="0"/>
          <w:divBdr>
            <w:top w:val="none" w:sz="0" w:space="0" w:color="auto"/>
            <w:left w:val="none" w:sz="0" w:space="0" w:color="auto"/>
            <w:bottom w:val="none" w:sz="0" w:space="0" w:color="auto"/>
            <w:right w:val="none" w:sz="0" w:space="0" w:color="auto"/>
          </w:divBdr>
        </w:div>
      </w:divsChild>
    </w:div>
    <w:div w:id="1185096780">
      <w:bodyDiv w:val="1"/>
      <w:marLeft w:val="0"/>
      <w:marRight w:val="0"/>
      <w:marTop w:val="0"/>
      <w:marBottom w:val="0"/>
      <w:divBdr>
        <w:top w:val="none" w:sz="0" w:space="0" w:color="auto"/>
        <w:left w:val="none" w:sz="0" w:space="0" w:color="auto"/>
        <w:bottom w:val="none" w:sz="0" w:space="0" w:color="auto"/>
        <w:right w:val="none" w:sz="0" w:space="0" w:color="auto"/>
      </w:divBdr>
    </w:div>
    <w:div w:id="1212499096">
      <w:bodyDiv w:val="1"/>
      <w:marLeft w:val="0"/>
      <w:marRight w:val="0"/>
      <w:marTop w:val="0"/>
      <w:marBottom w:val="0"/>
      <w:divBdr>
        <w:top w:val="none" w:sz="0" w:space="0" w:color="auto"/>
        <w:left w:val="none" w:sz="0" w:space="0" w:color="auto"/>
        <w:bottom w:val="none" w:sz="0" w:space="0" w:color="auto"/>
        <w:right w:val="none" w:sz="0" w:space="0" w:color="auto"/>
      </w:divBdr>
    </w:div>
    <w:div w:id="1316495229">
      <w:bodyDiv w:val="1"/>
      <w:marLeft w:val="0"/>
      <w:marRight w:val="0"/>
      <w:marTop w:val="0"/>
      <w:marBottom w:val="0"/>
      <w:divBdr>
        <w:top w:val="none" w:sz="0" w:space="0" w:color="auto"/>
        <w:left w:val="none" w:sz="0" w:space="0" w:color="auto"/>
        <w:bottom w:val="none" w:sz="0" w:space="0" w:color="auto"/>
        <w:right w:val="none" w:sz="0" w:space="0" w:color="auto"/>
      </w:divBdr>
    </w:div>
    <w:div w:id="1346203770">
      <w:bodyDiv w:val="1"/>
      <w:marLeft w:val="0"/>
      <w:marRight w:val="0"/>
      <w:marTop w:val="0"/>
      <w:marBottom w:val="0"/>
      <w:divBdr>
        <w:top w:val="none" w:sz="0" w:space="0" w:color="auto"/>
        <w:left w:val="none" w:sz="0" w:space="0" w:color="auto"/>
        <w:bottom w:val="none" w:sz="0" w:space="0" w:color="auto"/>
        <w:right w:val="none" w:sz="0" w:space="0" w:color="auto"/>
      </w:divBdr>
    </w:div>
    <w:div w:id="1734505545">
      <w:bodyDiv w:val="1"/>
      <w:marLeft w:val="0"/>
      <w:marRight w:val="0"/>
      <w:marTop w:val="0"/>
      <w:marBottom w:val="0"/>
      <w:divBdr>
        <w:top w:val="none" w:sz="0" w:space="0" w:color="auto"/>
        <w:left w:val="none" w:sz="0" w:space="0" w:color="auto"/>
        <w:bottom w:val="none" w:sz="0" w:space="0" w:color="auto"/>
        <w:right w:val="none" w:sz="0" w:space="0" w:color="auto"/>
      </w:divBdr>
    </w:div>
    <w:div w:id="1768237079">
      <w:bodyDiv w:val="1"/>
      <w:marLeft w:val="0"/>
      <w:marRight w:val="0"/>
      <w:marTop w:val="0"/>
      <w:marBottom w:val="0"/>
      <w:divBdr>
        <w:top w:val="none" w:sz="0" w:space="0" w:color="auto"/>
        <w:left w:val="none" w:sz="0" w:space="0" w:color="auto"/>
        <w:bottom w:val="none" w:sz="0" w:space="0" w:color="auto"/>
        <w:right w:val="none" w:sz="0" w:space="0" w:color="auto"/>
      </w:divBdr>
    </w:div>
    <w:div w:id="1869566600">
      <w:bodyDiv w:val="1"/>
      <w:marLeft w:val="0"/>
      <w:marRight w:val="0"/>
      <w:marTop w:val="0"/>
      <w:marBottom w:val="0"/>
      <w:divBdr>
        <w:top w:val="none" w:sz="0" w:space="0" w:color="auto"/>
        <w:left w:val="none" w:sz="0" w:space="0" w:color="auto"/>
        <w:bottom w:val="none" w:sz="0" w:space="0" w:color="auto"/>
        <w:right w:val="none" w:sz="0" w:space="0" w:color="auto"/>
      </w:divBdr>
    </w:div>
    <w:div w:id="1884823148">
      <w:bodyDiv w:val="1"/>
      <w:marLeft w:val="0"/>
      <w:marRight w:val="0"/>
      <w:marTop w:val="0"/>
      <w:marBottom w:val="0"/>
      <w:divBdr>
        <w:top w:val="none" w:sz="0" w:space="0" w:color="auto"/>
        <w:left w:val="none" w:sz="0" w:space="0" w:color="auto"/>
        <w:bottom w:val="none" w:sz="0" w:space="0" w:color="auto"/>
        <w:right w:val="none" w:sz="0" w:space="0" w:color="auto"/>
      </w:divBdr>
    </w:div>
    <w:div w:id="1897663365">
      <w:bodyDiv w:val="1"/>
      <w:marLeft w:val="0"/>
      <w:marRight w:val="0"/>
      <w:marTop w:val="0"/>
      <w:marBottom w:val="0"/>
      <w:divBdr>
        <w:top w:val="none" w:sz="0" w:space="0" w:color="auto"/>
        <w:left w:val="none" w:sz="0" w:space="0" w:color="auto"/>
        <w:bottom w:val="none" w:sz="0" w:space="0" w:color="auto"/>
        <w:right w:val="none" w:sz="0" w:space="0" w:color="auto"/>
      </w:divBdr>
    </w:div>
    <w:div w:id="1988046362">
      <w:bodyDiv w:val="1"/>
      <w:marLeft w:val="0"/>
      <w:marRight w:val="0"/>
      <w:marTop w:val="0"/>
      <w:marBottom w:val="0"/>
      <w:divBdr>
        <w:top w:val="none" w:sz="0" w:space="0" w:color="auto"/>
        <w:left w:val="none" w:sz="0" w:space="0" w:color="auto"/>
        <w:bottom w:val="none" w:sz="0" w:space="0" w:color="auto"/>
        <w:right w:val="none" w:sz="0" w:space="0" w:color="auto"/>
      </w:divBdr>
    </w:div>
    <w:div w:id="20152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kanicE@stat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fa/t/2025/ls/sg2/sp18-sg2-oLS-00003.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B4BF8AF2B94504BF6B52EF757A5C9E"/>
        <w:category>
          <w:name w:val="General"/>
          <w:gallery w:val="placeholder"/>
        </w:category>
        <w:types>
          <w:type w:val="bbPlcHdr"/>
        </w:types>
        <w:behaviors>
          <w:behavior w:val="content"/>
        </w:behaviors>
        <w:guid w:val="{6FB10081-54EA-4BC1-8EF9-0326E4291D56}"/>
      </w:docPartPr>
      <w:docPartBody>
        <w:p w:rsidR="00852419" w:rsidRDefault="00852419" w:rsidP="00852419">
          <w:pPr>
            <w:pStyle w:val="86B4BF8AF2B94504BF6B52EF757A5C9E"/>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19"/>
    <w:rsid w:val="0006611D"/>
    <w:rsid w:val="00395BD4"/>
    <w:rsid w:val="004C3BF2"/>
    <w:rsid w:val="00554061"/>
    <w:rsid w:val="006673ED"/>
    <w:rsid w:val="0070619F"/>
    <w:rsid w:val="00852419"/>
    <w:rsid w:val="00E11B29"/>
    <w:rsid w:val="00E5008E"/>
    <w:rsid w:val="00F061E5"/>
    <w:rsid w:val="00FA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852419"/>
    <w:rPr>
      <w:rFonts w:ascii="Times New Roman" w:hAnsi="Times New Roman"/>
      <w:color w:val="808080"/>
    </w:rPr>
  </w:style>
  <w:style w:type="paragraph" w:customStyle="1" w:styleId="86B4BF8AF2B94504BF6B52EF757A5C9E">
    <w:name w:val="86B4BF8AF2B94504BF6B52EF757A5C9E"/>
    <w:rsid w:val="00852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01D6-C98C-4BAE-B479-04D756F3CFF9}"/>
</file>

<file path=customXml/itemProps2.xml><?xml version="1.0" encoding="utf-8"?>
<ds:datastoreItem xmlns:ds="http://schemas.openxmlformats.org/officeDocument/2006/customXml" ds:itemID="{6299B786-DBD8-41AD-B2E3-9416F24D2F38}">
  <ds:schemaRefs>
    <ds:schemaRef ds:uri="http://schemas.openxmlformats.org/officeDocument/2006/bibliography"/>
  </ds:schemaRefs>
</ds:datastoreItem>
</file>

<file path=customXml/itemProps3.xml><?xml version="1.0" encoding="utf-8"?>
<ds:datastoreItem xmlns:ds="http://schemas.openxmlformats.org/officeDocument/2006/customXml" ds:itemID="{F23B4244-6F56-4162-81DF-A749644EC73F}">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2EDA3C5F-6606-4F63-AD19-F65FA136E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4402</Characters>
  <Application>Microsoft Office Word</Application>
  <DocSecurity>0</DocSecurity>
  <Lines>102</Lines>
  <Paragraphs>50</Paragraphs>
  <ScaleCrop>false</ScaleCrop>
  <HeadingPairs>
    <vt:vector size="2" baseType="variant">
      <vt:variant>
        <vt:lpstr>Title</vt:lpstr>
      </vt:variant>
      <vt:variant>
        <vt:i4>1</vt:i4>
      </vt:variant>
    </vt:vector>
  </HeadingPairs>
  <TitlesOfParts>
    <vt:vector size="1" baseType="lpstr">
      <vt:lpstr>Draft agenda - ITU-T Study Group 2 meeting (Geneva, 19-28 June 2024)</vt:lpstr>
    </vt:vector>
  </TitlesOfParts>
  <Manager>ITU-T</Manager>
  <Company>International Telecommunication Union (ITU)</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Proposal for a Joint Working Party on OTT Definitions (reply to SG3-LS35)</dc:title>
  <dc:subject/>
  <dc:creator>ITU-T Study Group 2</dc:creator>
  <cp:keywords>SG2; draft agenda.</cp:keywords>
  <dc:description>TSAG-TD61  For: Geneva, 26-30 May 2025_x000d_Document date: _x000d_Saved by ITU51017913 at 3:12:17 PM on 2/24/2025</dc:description>
  <cp:lastModifiedBy>TSB - JB</cp:lastModifiedBy>
  <cp:revision>3</cp:revision>
  <cp:lastPrinted>2019-12-13T12:42:00Z</cp:lastPrinted>
  <dcterms:created xsi:type="dcterms:W3CDTF">2025-02-24T14:12:00Z</dcterms:created>
  <dcterms:modified xsi:type="dcterms:W3CDTF">2025-02-24T14:13:00Z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TSAG-TD61</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Geneva, 26-30 May 2025</vt:lpwstr>
  </property>
  <property fmtid="{D5CDD505-2E9C-101B-9397-08002B2CF9AE}" pid="7" name="Docauthor">
    <vt:lpwstr>ITU-T Study Group 2</vt:lpwstr>
  </property>
  <property fmtid="{D5CDD505-2E9C-101B-9397-08002B2CF9AE}" pid="8" name="MSIP_Label_1665d9ee-429a-4d5f-97cc-cfb56e044a6e_Enabled">
    <vt:lpwstr>true</vt:lpwstr>
  </property>
  <property fmtid="{D5CDD505-2E9C-101B-9397-08002B2CF9AE}" pid="9" name="MSIP_Label_1665d9ee-429a-4d5f-97cc-cfb56e044a6e_SetDate">
    <vt:lpwstr>2025-01-14T14:43:22Z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c440d81a-4f0b-4af9-b76f-e74412c140b6</vt:lpwstr>
  </property>
  <property fmtid="{D5CDD505-2E9C-101B-9397-08002B2CF9AE}" pid="14" name="MSIP_Label_1665d9ee-429a-4d5f-97cc-cfb56e044a6e_ContentBits">
    <vt:lpwstr>0</vt:lpwstr>
  </property>
  <property fmtid="{D5CDD505-2E9C-101B-9397-08002B2CF9AE}" pid="15" name="ContentTypeId">
    <vt:lpwstr>0x010100A77651819BF4BD4A99FFF36FD7E4E96D</vt:lpwstr>
  </property>
  <property fmtid="{D5CDD505-2E9C-101B-9397-08002B2CF9AE}" pid="16" name="MediaServiceImageTags">
    <vt:lpwstr/>
  </property>
</Properties>
</file>