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19"/>
        <w:gridCol w:w="520"/>
        <w:gridCol w:w="3454"/>
        <w:gridCol w:w="33"/>
        <w:gridCol w:w="4026"/>
      </w:tblGrid>
      <w:tr w:rsidR="00BE4B34" w:rsidRPr="00BE4B34" w14:paraId="221C4589" w14:textId="77777777" w:rsidTr="00BE4B34">
        <w:trPr>
          <w:cantSplit/>
        </w:trPr>
        <w:tc>
          <w:tcPr>
            <w:tcW w:w="1132" w:type="dxa"/>
            <w:vMerge w:val="restart"/>
            <w:vAlign w:val="center"/>
          </w:tcPr>
          <w:p w14:paraId="67E2D521" w14:textId="77777777" w:rsidR="00BE4B34" w:rsidRPr="00BE4B34" w:rsidRDefault="00BE4B34" w:rsidP="00BE4B34">
            <w:pPr>
              <w:spacing w:before="0"/>
              <w:jc w:val="center"/>
              <w:rPr>
                <w:sz w:val="20"/>
                <w:szCs w:val="20"/>
              </w:rPr>
            </w:pPr>
            <w:bookmarkStart w:id="0" w:name="dnum" w:colFirst="2" w:colLast="2"/>
            <w:bookmarkStart w:id="1" w:name="dtableau"/>
            <w:r w:rsidRPr="00BE4B34">
              <w:rPr>
                <w:noProof/>
              </w:rPr>
              <w:drawing>
                <wp:inline distT="0" distB="0" distL="0" distR="0" wp14:anchorId="5A058385" wp14:editId="2093729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417482E" w14:textId="77777777" w:rsidR="00BE4B34" w:rsidRPr="00BE4B34" w:rsidRDefault="00BE4B34" w:rsidP="00BE4B34">
            <w:pPr>
              <w:rPr>
                <w:sz w:val="16"/>
                <w:szCs w:val="16"/>
              </w:rPr>
            </w:pPr>
            <w:r w:rsidRPr="00BE4B34">
              <w:rPr>
                <w:sz w:val="16"/>
                <w:szCs w:val="16"/>
              </w:rPr>
              <w:t>INTERNATIONAL TELECOMMUNICATION UNION</w:t>
            </w:r>
          </w:p>
          <w:p w14:paraId="0C38C37D" w14:textId="77777777" w:rsidR="00BE4B34" w:rsidRPr="00BE4B34" w:rsidRDefault="00BE4B34" w:rsidP="00BE4B34">
            <w:pPr>
              <w:rPr>
                <w:b/>
                <w:bCs/>
                <w:sz w:val="26"/>
                <w:szCs w:val="26"/>
              </w:rPr>
            </w:pPr>
            <w:r w:rsidRPr="00BE4B34">
              <w:rPr>
                <w:b/>
                <w:bCs/>
                <w:sz w:val="26"/>
                <w:szCs w:val="26"/>
              </w:rPr>
              <w:t>TELECOMMUNICATION</w:t>
            </w:r>
            <w:r w:rsidRPr="00BE4B34">
              <w:rPr>
                <w:b/>
                <w:bCs/>
                <w:sz w:val="26"/>
                <w:szCs w:val="26"/>
              </w:rPr>
              <w:br/>
              <w:t>STANDARDIZATION SECTOR</w:t>
            </w:r>
          </w:p>
          <w:p w14:paraId="78B03D6A" w14:textId="19E79DB9" w:rsidR="00BE4B34" w:rsidRPr="00BE4B34" w:rsidRDefault="00BE4B34" w:rsidP="00BE4B34">
            <w:pPr>
              <w:rPr>
                <w:sz w:val="20"/>
                <w:szCs w:val="20"/>
              </w:rPr>
            </w:pPr>
            <w:r w:rsidRPr="00BE4B34">
              <w:rPr>
                <w:sz w:val="20"/>
                <w:szCs w:val="20"/>
              </w:rPr>
              <w:t xml:space="preserve">STUDY PERIOD </w:t>
            </w:r>
            <w:r>
              <w:rPr>
                <w:sz w:val="20"/>
              </w:rPr>
              <w:t>2025-2028</w:t>
            </w:r>
          </w:p>
        </w:tc>
        <w:tc>
          <w:tcPr>
            <w:tcW w:w="4026" w:type="dxa"/>
            <w:vAlign w:val="center"/>
          </w:tcPr>
          <w:p w14:paraId="1C3115C1" w14:textId="2E2A5894" w:rsidR="00BE4B34" w:rsidRPr="00BE4B34" w:rsidRDefault="00BE4B34" w:rsidP="00BE4B34">
            <w:pPr>
              <w:pStyle w:val="Docnumber"/>
            </w:pPr>
            <w:r>
              <w:t>TSAG-TD</w:t>
            </w:r>
            <w:r w:rsidR="0054270E">
              <w:t>42</w:t>
            </w:r>
          </w:p>
        </w:tc>
      </w:tr>
      <w:tr w:rsidR="00BE4B34" w:rsidRPr="00BE4B34" w14:paraId="13395155" w14:textId="77777777" w:rsidTr="00BE4B34">
        <w:trPr>
          <w:cantSplit/>
        </w:trPr>
        <w:tc>
          <w:tcPr>
            <w:tcW w:w="1132" w:type="dxa"/>
            <w:vMerge/>
          </w:tcPr>
          <w:p w14:paraId="31A469FE" w14:textId="77777777" w:rsidR="00BE4B34" w:rsidRPr="00BE4B34" w:rsidRDefault="00BE4B34" w:rsidP="00BE4B34">
            <w:pPr>
              <w:rPr>
                <w:smallCaps/>
                <w:sz w:val="20"/>
              </w:rPr>
            </w:pPr>
            <w:bookmarkStart w:id="2" w:name="dsg" w:colFirst="2" w:colLast="2"/>
            <w:bookmarkEnd w:id="0"/>
          </w:p>
        </w:tc>
        <w:tc>
          <w:tcPr>
            <w:tcW w:w="4481" w:type="dxa"/>
            <w:gridSpan w:val="5"/>
            <w:vMerge/>
          </w:tcPr>
          <w:p w14:paraId="0B830B38" w14:textId="77777777" w:rsidR="00BE4B34" w:rsidRPr="00BE4B34" w:rsidRDefault="00BE4B34" w:rsidP="00BE4B34">
            <w:pPr>
              <w:rPr>
                <w:smallCaps/>
                <w:sz w:val="20"/>
              </w:rPr>
            </w:pPr>
          </w:p>
        </w:tc>
        <w:tc>
          <w:tcPr>
            <w:tcW w:w="4026" w:type="dxa"/>
          </w:tcPr>
          <w:p w14:paraId="3D5223EF" w14:textId="78463660" w:rsidR="00BE4B34" w:rsidRPr="00BE4B34" w:rsidRDefault="00BE4B34" w:rsidP="00BE4B34">
            <w:pPr>
              <w:pStyle w:val="TSBHeaderRight14"/>
              <w:rPr>
                <w:smallCaps/>
              </w:rPr>
            </w:pPr>
            <w:r>
              <w:rPr>
                <w:smallCaps/>
              </w:rPr>
              <w:t>TSAG</w:t>
            </w:r>
          </w:p>
        </w:tc>
      </w:tr>
      <w:bookmarkEnd w:id="2"/>
      <w:tr w:rsidR="00BE4B34" w:rsidRPr="00BE4B34" w14:paraId="3DC10A0C" w14:textId="77777777" w:rsidTr="00BE4B34">
        <w:trPr>
          <w:cantSplit/>
        </w:trPr>
        <w:tc>
          <w:tcPr>
            <w:tcW w:w="1132" w:type="dxa"/>
            <w:vMerge/>
            <w:tcBorders>
              <w:bottom w:val="single" w:sz="12" w:space="0" w:color="auto"/>
            </w:tcBorders>
          </w:tcPr>
          <w:p w14:paraId="18F1E4A0" w14:textId="77777777" w:rsidR="00BE4B34" w:rsidRPr="00BE4B34" w:rsidRDefault="00BE4B34" w:rsidP="00BE4B34">
            <w:pPr>
              <w:rPr>
                <w:b/>
                <w:bCs/>
                <w:sz w:val="26"/>
              </w:rPr>
            </w:pPr>
          </w:p>
        </w:tc>
        <w:tc>
          <w:tcPr>
            <w:tcW w:w="4481" w:type="dxa"/>
            <w:gridSpan w:val="5"/>
            <w:vMerge/>
            <w:tcBorders>
              <w:bottom w:val="single" w:sz="12" w:space="0" w:color="auto"/>
            </w:tcBorders>
          </w:tcPr>
          <w:p w14:paraId="12DC9130" w14:textId="77777777" w:rsidR="00BE4B34" w:rsidRPr="00BE4B34" w:rsidRDefault="00BE4B34" w:rsidP="00BE4B34">
            <w:pPr>
              <w:rPr>
                <w:b/>
                <w:bCs/>
                <w:sz w:val="26"/>
              </w:rPr>
            </w:pPr>
          </w:p>
        </w:tc>
        <w:tc>
          <w:tcPr>
            <w:tcW w:w="4026" w:type="dxa"/>
            <w:tcBorders>
              <w:bottom w:val="single" w:sz="12" w:space="0" w:color="auto"/>
            </w:tcBorders>
            <w:vAlign w:val="center"/>
          </w:tcPr>
          <w:p w14:paraId="32BAA7B8" w14:textId="77777777" w:rsidR="00BE4B34" w:rsidRPr="00BE4B34" w:rsidRDefault="00BE4B34" w:rsidP="00BE4B34">
            <w:pPr>
              <w:pStyle w:val="TSBHeaderRight14"/>
            </w:pPr>
            <w:r w:rsidRPr="00BE4B34">
              <w:t>Original: English</w:t>
            </w:r>
          </w:p>
        </w:tc>
      </w:tr>
      <w:tr w:rsidR="00BE4B34" w:rsidRPr="00BE4B34" w14:paraId="3A86F06A" w14:textId="77777777" w:rsidTr="00BE4B34">
        <w:trPr>
          <w:cantSplit/>
        </w:trPr>
        <w:tc>
          <w:tcPr>
            <w:tcW w:w="1587" w:type="dxa"/>
            <w:gridSpan w:val="2"/>
          </w:tcPr>
          <w:p w14:paraId="31AB3DC9" w14:textId="0DEF8099" w:rsidR="00BE4B34" w:rsidRPr="00BE4B34" w:rsidRDefault="00BE4B34" w:rsidP="00BE4B34">
            <w:pPr>
              <w:rPr>
                <w:b/>
                <w:bCs/>
              </w:rPr>
            </w:pPr>
            <w:bookmarkStart w:id="3" w:name="dbluepink" w:colFirst="1" w:colLast="1"/>
            <w:bookmarkStart w:id="4" w:name="dmeeting" w:colFirst="2" w:colLast="2"/>
          </w:p>
        </w:tc>
        <w:tc>
          <w:tcPr>
            <w:tcW w:w="4026" w:type="dxa"/>
            <w:gridSpan w:val="4"/>
          </w:tcPr>
          <w:p w14:paraId="116E102E" w14:textId="2D256063" w:rsidR="00BE4B34" w:rsidRPr="00BE4B34" w:rsidRDefault="00BE4B34" w:rsidP="00BE4B34">
            <w:pPr>
              <w:pStyle w:val="TSBHeaderQuestion"/>
            </w:pPr>
          </w:p>
        </w:tc>
        <w:tc>
          <w:tcPr>
            <w:tcW w:w="4026" w:type="dxa"/>
          </w:tcPr>
          <w:p w14:paraId="466F651D" w14:textId="35E65204" w:rsidR="00BE4B34" w:rsidRPr="00BE4B34" w:rsidRDefault="00BE4B34" w:rsidP="00BE4B34">
            <w:pPr>
              <w:pStyle w:val="VenueDate"/>
            </w:pPr>
            <w:r w:rsidRPr="00BE4B34">
              <w:t>Geneva, 26-30 May 2025</w:t>
            </w:r>
          </w:p>
        </w:tc>
      </w:tr>
      <w:tr w:rsidR="00BE4B34" w:rsidRPr="0054270E" w14:paraId="5816EC39" w14:textId="77777777" w:rsidTr="00BE4B34">
        <w:trPr>
          <w:cantSplit/>
        </w:trPr>
        <w:tc>
          <w:tcPr>
            <w:tcW w:w="9639" w:type="dxa"/>
            <w:gridSpan w:val="7"/>
          </w:tcPr>
          <w:p w14:paraId="65C1D50B" w14:textId="408B70FA" w:rsidR="00BE4B34" w:rsidRPr="0054270E" w:rsidRDefault="00BE4B34" w:rsidP="0054270E">
            <w:pPr>
              <w:jc w:val="center"/>
              <w:rPr>
                <w:b/>
                <w:bCs/>
                <w:lang w:val="fr-CH"/>
              </w:rPr>
            </w:pPr>
            <w:bookmarkStart w:id="5" w:name="ddoctype"/>
            <w:bookmarkEnd w:id="3"/>
            <w:bookmarkEnd w:id="4"/>
            <w:r w:rsidRPr="0054270E">
              <w:rPr>
                <w:b/>
                <w:bCs/>
                <w:lang w:val="fr-CH"/>
              </w:rPr>
              <w:t>TD</w:t>
            </w:r>
            <w:r w:rsidRPr="0054270E">
              <w:rPr>
                <w:b/>
                <w:bCs/>
                <w:lang w:val="fr-CH"/>
              </w:rPr>
              <w:br/>
              <w:t xml:space="preserve">(Ref.: </w:t>
            </w:r>
            <w:hyperlink r:id="rId12" w:history="1">
              <w:r w:rsidR="0054270E" w:rsidRPr="0054270E">
                <w:rPr>
                  <w:rStyle w:val="Hyperlink"/>
                  <w:b/>
                  <w:bCs/>
                  <w:lang w:val="fr-CH"/>
                </w:rPr>
                <w:t>3GPP TSG SA-241935-LS33</w:t>
              </w:r>
            </w:hyperlink>
            <w:hyperlink r:id="rId13" w:history="1">
              <w:r w:rsidRPr="0054270E">
                <w:rPr>
                  <w:b/>
                  <w:bCs/>
                  <w:lang w:val="fr-CH"/>
                </w:rPr>
                <w:t>)</w:t>
              </w:r>
            </w:hyperlink>
          </w:p>
        </w:tc>
      </w:tr>
      <w:tr w:rsidR="00BE4B34" w:rsidRPr="00BE4B34" w14:paraId="3BF86E9A" w14:textId="77777777" w:rsidTr="00BE4B34">
        <w:trPr>
          <w:cantSplit/>
        </w:trPr>
        <w:tc>
          <w:tcPr>
            <w:tcW w:w="1587" w:type="dxa"/>
            <w:gridSpan w:val="2"/>
          </w:tcPr>
          <w:p w14:paraId="02712FC3" w14:textId="77777777" w:rsidR="00BE4B34" w:rsidRPr="00BE4B34" w:rsidRDefault="00BE4B34" w:rsidP="00BE4B34">
            <w:pPr>
              <w:rPr>
                <w:b/>
                <w:bCs/>
              </w:rPr>
            </w:pPr>
            <w:bookmarkStart w:id="6" w:name="dsource" w:colFirst="1" w:colLast="1"/>
            <w:bookmarkEnd w:id="5"/>
            <w:r w:rsidRPr="00BE4B34">
              <w:rPr>
                <w:b/>
                <w:bCs/>
              </w:rPr>
              <w:t>Source:</w:t>
            </w:r>
          </w:p>
        </w:tc>
        <w:tc>
          <w:tcPr>
            <w:tcW w:w="8052" w:type="dxa"/>
            <w:gridSpan w:val="5"/>
          </w:tcPr>
          <w:p w14:paraId="4B41F247" w14:textId="7ECC3FEC" w:rsidR="00BE4B34" w:rsidRPr="00BE4B34" w:rsidRDefault="0054270E" w:rsidP="00BE4B34">
            <w:pPr>
              <w:pStyle w:val="TSBHeaderSource"/>
            </w:pPr>
            <w:r>
              <w:t>3GPP TSG SA</w:t>
            </w:r>
          </w:p>
        </w:tc>
      </w:tr>
      <w:tr w:rsidR="00BE4B34" w:rsidRPr="00BE4B34" w14:paraId="06ADF10F" w14:textId="77777777" w:rsidTr="00BE4B34">
        <w:trPr>
          <w:cantSplit/>
        </w:trPr>
        <w:tc>
          <w:tcPr>
            <w:tcW w:w="1587" w:type="dxa"/>
            <w:gridSpan w:val="2"/>
            <w:tcBorders>
              <w:bottom w:val="single" w:sz="8" w:space="0" w:color="auto"/>
            </w:tcBorders>
          </w:tcPr>
          <w:p w14:paraId="44B7EE80" w14:textId="77777777" w:rsidR="00BE4B34" w:rsidRPr="00BE4B34" w:rsidRDefault="00BE4B34" w:rsidP="00BE4B34">
            <w:pPr>
              <w:rPr>
                <w:b/>
                <w:bCs/>
              </w:rPr>
            </w:pPr>
            <w:bookmarkStart w:id="7" w:name="dtitle1" w:colFirst="1" w:colLast="1"/>
            <w:bookmarkEnd w:id="6"/>
            <w:r w:rsidRPr="00BE4B34">
              <w:rPr>
                <w:b/>
                <w:bCs/>
              </w:rPr>
              <w:t>Title:</w:t>
            </w:r>
          </w:p>
        </w:tc>
        <w:tc>
          <w:tcPr>
            <w:tcW w:w="8052" w:type="dxa"/>
            <w:gridSpan w:val="5"/>
            <w:tcBorders>
              <w:bottom w:val="single" w:sz="8" w:space="0" w:color="auto"/>
            </w:tcBorders>
          </w:tcPr>
          <w:p w14:paraId="5F457532" w14:textId="5682B2E8" w:rsidR="00BE4B34" w:rsidRPr="00BE4B34" w:rsidRDefault="00BE4B34" w:rsidP="009A7724">
            <w:pPr>
              <w:pStyle w:val="TSBHeaderTitle"/>
            </w:pPr>
            <w:r w:rsidRPr="00BE4B34">
              <w:t>LS/</w:t>
            </w:r>
            <w:r w:rsidR="00396E45">
              <w:t>i</w:t>
            </w:r>
            <w:r w:rsidRPr="00BE4B34">
              <w:t xml:space="preserve"> on </w:t>
            </w:r>
            <w:r w:rsidR="009A7724" w:rsidRPr="009A7724">
              <w:t>Metaverse application enablement</w:t>
            </w:r>
            <w:r w:rsidR="009A7724" w:rsidRPr="009A7724">
              <w:t xml:space="preserve"> </w:t>
            </w:r>
            <w:r w:rsidR="00396E45">
              <w:t xml:space="preserve">[from </w:t>
            </w:r>
            <w:r w:rsidR="009A7724">
              <w:t>3GPP TSG SA</w:t>
            </w:r>
            <w:r w:rsidR="00396E45">
              <w:t>]</w:t>
            </w:r>
          </w:p>
        </w:tc>
      </w:tr>
      <w:bookmarkEnd w:id="1"/>
      <w:bookmarkEnd w:id="7"/>
      <w:tr w:rsidR="00BE4B34" w:rsidRPr="00333209" w14:paraId="2A80A85B" w14:textId="77777777" w:rsidTr="00BE4B34">
        <w:tblPrEx>
          <w:tblLook w:val="04A0" w:firstRow="1" w:lastRow="0" w:firstColumn="1" w:lastColumn="0" w:noHBand="0" w:noVBand="1"/>
        </w:tblPrEx>
        <w:trPr>
          <w:cantSplit/>
          <w:trHeight w:val="357"/>
        </w:trPr>
        <w:tc>
          <w:tcPr>
            <w:tcW w:w="9639" w:type="dxa"/>
            <w:gridSpan w:val="7"/>
            <w:tcBorders>
              <w:top w:val="single" w:sz="12" w:space="0" w:color="auto"/>
            </w:tcBorders>
          </w:tcPr>
          <w:p w14:paraId="6C6CF1AF" w14:textId="77777777" w:rsidR="00BE4B34" w:rsidRPr="00333209" w:rsidRDefault="00BE4B34" w:rsidP="00DD43AB">
            <w:pPr>
              <w:jc w:val="center"/>
              <w:rPr>
                <w:b/>
              </w:rPr>
            </w:pPr>
            <w:r w:rsidRPr="00333209">
              <w:rPr>
                <w:b/>
              </w:rPr>
              <w:t>LIAISON STATEMENT</w:t>
            </w:r>
          </w:p>
        </w:tc>
      </w:tr>
      <w:tr w:rsidR="00BE4B34" w:rsidRPr="009F1CEF" w14:paraId="2340CD0E" w14:textId="77777777" w:rsidTr="00BE4B34">
        <w:tblPrEx>
          <w:tblLook w:val="04A0" w:firstRow="1" w:lastRow="0" w:firstColumn="1" w:lastColumn="0" w:noHBand="0" w:noVBand="1"/>
        </w:tblPrEx>
        <w:trPr>
          <w:cantSplit/>
          <w:trHeight w:val="357"/>
        </w:trPr>
        <w:tc>
          <w:tcPr>
            <w:tcW w:w="2126" w:type="dxa"/>
            <w:gridSpan w:val="4"/>
          </w:tcPr>
          <w:p w14:paraId="24C7868C" w14:textId="77777777" w:rsidR="00BE4B34" w:rsidRPr="00333209" w:rsidRDefault="00BE4B34" w:rsidP="00DD43AB">
            <w:pPr>
              <w:rPr>
                <w:b/>
                <w:bCs/>
              </w:rPr>
            </w:pPr>
            <w:r w:rsidRPr="00333209">
              <w:rPr>
                <w:b/>
                <w:bCs/>
              </w:rPr>
              <w:t>For action to:</w:t>
            </w:r>
          </w:p>
        </w:tc>
        <w:tc>
          <w:tcPr>
            <w:tcW w:w="7513" w:type="dxa"/>
            <w:gridSpan w:val="3"/>
          </w:tcPr>
          <w:p w14:paraId="15817A62" w14:textId="7DBDD117" w:rsidR="00BE4B34" w:rsidRPr="009F1CEF" w:rsidRDefault="00396E45" w:rsidP="00DD43AB">
            <w:pPr>
              <w:pStyle w:val="LSForAction"/>
              <w:rPr>
                <w:rFonts w:eastAsiaTheme="minorEastAsia"/>
                <w:lang w:eastAsia="zh-CN"/>
              </w:rPr>
            </w:pPr>
            <w:r>
              <w:t>TSAG</w:t>
            </w:r>
            <w:r w:rsidR="00E529A0">
              <w:t>, MSF</w:t>
            </w:r>
          </w:p>
        </w:tc>
      </w:tr>
      <w:tr w:rsidR="00BE4B34" w:rsidRPr="00333209" w14:paraId="62C8A5E0" w14:textId="77777777" w:rsidTr="00BE4B34">
        <w:tblPrEx>
          <w:tblLook w:val="04A0" w:firstRow="1" w:lastRow="0" w:firstColumn="1" w:lastColumn="0" w:noHBand="0" w:noVBand="1"/>
        </w:tblPrEx>
        <w:trPr>
          <w:cantSplit/>
          <w:trHeight w:val="357"/>
        </w:trPr>
        <w:tc>
          <w:tcPr>
            <w:tcW w:w="2126" w:type="dxa"/>
            <w:gridSpan w:val="4"/>
          </w:tcPr>
          <w:p w14:paraId="0807688F" w14:textId="77777777" w:rsidR="00BE4B34" w:rsidRPr="00333209" w:rsidRDefault="00BE4B34" w:rsidP="00DD43AB">
            <w:pPr>
              <w:rPr>
                <w:b/>
                <w:bCs/>
              </w:rPr>
            </w:pPr>
            <w:r w:rsidRPr="00333209">
              <w:rPr>
                <w:b/>
                <w:bCs/>
              </w:rPr>
              <w:t>For information to:</w:t>
            </w:r>
          </w:p>
        </w:tc>
        <w:tc>
          <w:tcPr>
            <w:tcW w:w="7513" w:type="dxa"/>
            <w:gridSpan w:val="3"/>
          </w:tcPr>
          <w:p w14:paraId="1F42DA97" w14:textId="2BD429C5" w:rsidR="00BE4B34" w:rsidRPr="00333209" w:rsidRDefault="00396E45" w:rsidP="00DD43AB">
            <w:pPr>
              <w:pStyle w:val="LSForInfo"/>
              <w:rPr>
                <w:rFonts w:eastAsiaTheme="minorEastAsia"/>
                <w:lang w:eastAsia="zh-CN"/>
              </w:rPr>
            </w:pPr>
            <w:r>
              <w:rPr>
                <w:rFonts w:eastAsiaTheme="minorEastAsia"/>
                <w:lang w:eastAsia="zh-CN"/>
              </w:rPr>
              <w:t>-</w:t>
            </w:r>
          </w:p>
        </w:tc>
      </w:tr>
      <w:tr w:rsidR="00BE4B34" w:rsidRPr="00333209" w14:paraId="0D9928A1" w14:textId="77777777" w:rsidTr="00BE4B34">
        <w:tblPrEx>
          <w:tblLook w:val="04A0" w:firstRow="1" w:lastRow="0" w:firstColumn="1" w:lastColumn="0" w:noHBand="0" w:noVBand="1"/>
        </w:tblPrEx>
        <w:trPr>
          <w:cantSplit/>
          <w:trHeight w:val="357"/>
        </w:trPr>
        <w:tc>
          <w:tcPr>
            <w:tcW w:w="2126" w:type="dxa"/>
            <w:gridSpan w:val="4"/>
          </w:tcPr>
          <w:p w14:paraId="4690661B" w14:textId="77777777" w:rsidR="00BE4B34" w:rsidRPr="00333209" w:rsidRDefault="00BE4B34" w:rsidP="00DD43AB">
            <w:pPr>
              <w:rPr>
                <w:b/>
                <w:bCs/>
              </w:rPr>
            </w:pPr>
            <w:r w:rsidRPr="00333209">
              <w:rPr>
                <w:b/>
                <w:bCs/>
              </w:rPr>
              <w:t>Approval:</w:t>
            </w:r>
          </w:p>
        </w:tc>
        <w:tc>
          <w:tcPr>
            <w:tcW w:w="7513" w:type="dxa"/>
            <w:gridSpan w:val="3"/>
          </w:tcPr>
          <w:p w14:paraId="2CA9EA95" w14:textId="0CD84E49" w:rsidR="00BE4B34" w:rsidRPr="00333209" w:rsidRDefault="00B42C5A" w:rsidP="00DD43AB">
            <w:r w:rsidRPr="00B42C5A">
              <w:t xml:space="preserve">TSG SA </w:t>
            </w:r>
            <w:r w:rsidR="00972C64">
              <w:t>Meeting (</w:t>
            </w:r>
            <w:r w:rsidR="00E66AE7">
              <w:t>Madrid, 13</w:t>
            </w:r>
            <w:r w:rsidR="00972C64">
              <w:t xml:space="preserve"> </w:t>
            </w:r>
            <w:r w:rsidR="00363723">
              <w:t>December</w:t>
            </w:r>
            <w:r w:rsidR="00972C64">
              <w:t xml:space="preserve"> 2024)</w:t>
            </w:r>
          </w:p>
        </w:tc>
      </w:tr>
      <w:tr w:rsidR="00BE4B34" w:rsidRPr="00333209" w14:paraId="2DD63793" w14:textId="77777777" w:rsidTr="00BE4B34">
        <w:tblPrEx>
          <w:tblLook w:val="04A0" w:firstRow="1" w:lastRow="0" w:firstColumn="1" w:lastColumn="0" w:noHBand="0" w:noVBand="1"/>
        </w:tblPrEx>
        <w:trPr>
          <w:cantSplit/>
          <w:trHeight w:val="357"/>
        </w:trPr>
        <w:tc>
          <w:tcPr>
            <w:tcW w:w="2126" w:type="dxa"/>
            <w:gridSpan w:val="4"/>
            <w:tcBorders>
              <w:bottom w:val="single" w:sz="12" w:space="0" w:color="auto"/>
            </w:tcBorders>
          </w:tcPr>
          <w:p w14:paraId="47B85B70" w14:textId="77777777" w:rsidR="00BE4B34" w:rsidRPr="00333209" w:rsidRDefault="00BE4B34" w:rsidP="00DD43AB">
            <w:pPr>
              <w:rPr>
                <w:b/>
                <w:bCs/>
              </w:rPr>
            </w:pPr>
            <w:r w:rsidRPr="00333209">
              <w:rPr>
                <w:b/>
                <w:bCs/>
              </w:rPr>
              <w:t>Deadline:</w:t>
            </w:r>
          </w:p>
        </w:tc>
        <w:tc>
          <w:tcPr>
            <w:tcW w:w="7513" w:type="dxa"/>
            <w:gridSpan w:val="3"/>
            <w:tcBorders>
              <w:bottom w:val="single" w:sz="12" w:space="0" w:color="auto"/>
            </w:tcBorders>
          </w:tcPr>
          <w:p w14:paraId="0698C550" w14:textId="47794581" w:rsidR="00BE4B34" w:rsidRPr="00333209" w:rsidRDefault="00BE4B34" w:rsidP="00DD43AB">
            <w:pPr>
              <w:pStyle w:val="LSDeadline"/>
            </w:pPr>
            <w:r>
              <w:t>-</w:t>
            </w:r>
          </w:p>
        </w:tc>
      </w:tr>
      <w:tr w:rsidR="00BE4B34" w:rsidRPr="00FC476C" w14:paraId="5FCD091A" w14:textId="77777777" w:rsidTr="00363723">
        <w:trPr>
          <w:cantSplit/>
        </w:trPr>
        <w:tc>
          <w:tcPr>
            <w:tcW w:w="1606" w:type="dxa"/>
            <w:gridSpan w:val="3"/>
            <w:tcBorders>
              <w:top w:val="single" w:sz="8" w:space="0" w:color="auto"/>
              <w:bottom w:val="single" w:sz="8" w:space="0" w:color="auto"/>
            </w:tcBorders>
          </w:tcPr>
          <w:p w14:paraId="1D833735" w14:textId="77777777" w:rsidR="00BE4B34" w:rsidRPr="00BE4B34" w:rsidRDefault="00BE4B34" w:rsidP="00DD43AB">
            <w:pPr>
              <w:rPr>
                <w:b/>
                <w:bCs/>
              </w:rPr>
            </w:pPr>
            <w:r w:rsidRPr="00BE4B34">
              <w:rPr>
                <w:b/>
                <w:bCs/>
              </w:rPr>
              <w:t>Contact:</w:t>
            </w:r>
          </w:p>
        </w:tc>
        <w:tc>
          <w:tcPr>
            <w:tcW w:w="3974" w:type="dxa"/>
            <w:gridSpan w:val="2"/>
            <w:tcBorders>
              <w:top w:val="single" w:sz="8" w:space="0" w:color="auto"/>
              <w:bottom w:val="single" w:sz="8" w:space="0" w:color="auto"/>
            </w:tcBorders>
          </w:tcPr>
          <w:p w14:paraId="4DE9BA2E" w14:textId="4900AFF5" w:rsidR="00BE4B34" w:rsidRPr="00474011" w:rsidRDefault="0004587A" w:rsidP="0004587A">
            <w:pPr>
              <w:rPr>
                <w:lang w:val="fr-FR"/>
              </w:rPr>
            </w:pPr>
            <w:r w:rsidRPr="0004587A">
              <w:rPr>
                <w:lang w:val="fr-FR"/>
              </w:rPr>
              <w:t>Sapan Shah</w:t>
            </w:r>
          </w:p>
        </w:tc>
        <w:tc>
          <w:tcPr>
            <w:tcW w:w="4059" w:type="dxa"/>
            <w:gridSpan w:val="2"/>
            <w:tcBorders>
              <w:top w:val="single" w:sz="8" w:space="0" w:color="auto"/>
              <w:bottom w:val="single" w:sz="8" w:space="0" w:color="auto"/>
            </w:tcBorders>
          </w:tcPr>
          <w:p w14:paraId="1A984CF5" w14:textId="38BE89B5" w:rsidR="00BE4B34" w:rsidRPr="00BE4B34" w:rsidRDefault="00BE4B34" w:rsidP="00DD43AB">
            <w:pPr>
              <w:rPr>
                <w:lang w:val="fr-CH"/>
              </w:rPr>
            </w:pPr>
            <w:r w:rsidRPr="00BE4B34">
              <w:rPr>
                <w:lang w:val="de-AT"/>
              </w:rPr>
              <w:t>E-mail:</w:t>
            </w:r>
            <w:r w:rsidRPr="00363723">
              <w:rPr>
                <w:rFonts w:asciiTheme="majorBidi" w:hAnsiTheme="majorBidi" w:cstheme="majorBidi"/>
                <w:lang w:val="de-AT"/>
              </w:rPr>
              <w:t xml:space="preserve"> </w:t>
            </w:r>
            <w:hyperlink r:id="rId14" w:history="1">
              <w:r w:rsidR="00363723" w:rsidRPr="00363723">
                <w:rPr>
                  <w:rStyle w:val="Hyperlink"/>
                  <w:rFonts w:asciiTheme="majorBidi" w:hAnsiTheme="majorBidi" w:cstheme="majorBidi"/>
                  <w:lang w:val="fr-CH"/>
                </w:rPr>
                <w:t>sapan.shah@samsung.com</w:t>
              </w:r>
            </w:hyperlink>
          </w:p>
        </w:tc>
      </w:tr>
    </w:tbl>
    <w:p w14:paraId="7BE2AAAF" w14:textId="77777777" w:rsidR="00932746" w:rsidRPr="00BE4B34" w:rsidRDefault="00932746" w:rsidP="00932746">
      <w:pPr>
        <w:rPr>
          <w:lang w:val="de-AT"/>
        </w:rPr>
      </w:pPr>
    </w:p>
    <w:p w14:paraId="184DEF45" w14:textId="3945283C" w:rsidR="00932746" w:rsidRDefault="00BE4B34" w:rsidP="00932746">
      <w:r>
        <w:t>Please see below.</w:t>
      </w:r>
    </w:p>
    <w:p w14:paraId="00E0F393" w14:textId="77777777" w:rsidR="00932746" w:rsidRDefault="00932746" w:rsidP="00932746">
      <w:pPr>
        <w:spacing w:before="0"/>
        <w:jc w:val="center"/>
      </w:pPr>
    </w:p>
    <w:p w14:paraId="1F369468" w14:textId="77777777" w:rsidR="00932746" w:rsidRDefault="00932746">
      <w:r>
        <w:br w:type="page"/>
      </w:r>
    </w:p>
    <w:p w14:paraId="6DF6999D" w14:textId="77777777" w:rsidR="008C3F2A" w:rsidRPr="00562851" w:rsidRDefault="008C3F2A" w:rsidP="008C3F2A">
      <w:pPr>
        <w:pStyle w:val="CRCoverPage"/>
        <w:tabs>
          <w:tab w:val="right" w:pos="9638"/>
        </w:tabs>
        <w:spacing w:after="0"/>
        <w:rPr>
          <w:rFonts w:cs="Arial"/>
          <w:b/>
          <w:noProof/>
          <w:sz w:val="24"/>
          <w:lang w:val="nb-NO"/>
        </w:rPr>
      </w:pPr>
      <w:r w:rsidRPr="00562851">
        <w:rPr>
          <w:rFonts w:cs="Arial"/>
          <w:b/>
          <w:noProof/>
          <w:sz w:val="24"/>
          <w:lang w:val="nb-NO"/>
        </w:rPr>
        <w:lastRenderedPageBreak/>
        <w:t>TSG SA Meeting #SP-106</w:t>
      </w:r>
      <w:r w:rsidRPr="00562851">
        <w:rPr>
          <w:rFonts w:cs="Arial"/>
          <w:b/>
          <w:noProof/>
          <w:sz w:val="24"/>
          <w:lang w:val="nb-NO"/>
        </w:rPr>
        <w:tab/>
        <w:t>SP-241</w:t>
      </w:r>
      <w:r>
        <w:rPr>
          <w:rFonts w:cs="Arial"/>
          <w:b/>
          <w:noProof/>
          <w:sz w:val="24"/>
          <w:lang w:val="nb-NO"/>
        </w:rPr>
        <w:t>935</w:t>
      </w:r>
    </w:p>
    <w:p w14:paraId="287001B7" w14:textId="77777777" w:rsidR="008C3F2A" w:rsidRDefault="008C3F2A" w:rsidP="008C3F2A">
      <w:pPr>
        <w:pStyle w:val="CRCoverPage"/>
        <w:pBdr>
          <w:bottom w:val="single" w:sz="6" w:space="0" w:color="auto"/>
        </w:pBdr>
        <w:tabs>
          <w:tab w:val="right" w:pos="9638"/>
        </w:tabs>
        <w:spacing w:after="0"/>
        <w:rPr>
          <w:rFonts w:cs="Arial"/>
          <w:b/>
          <w:noProof/>
          <w:sz w:val="24"/>
        </w:rPr>
      </w:pPr>
      <w:r>
        <w:rPr>
          <w:rFonts w:cs="Arial"/>
          <w:b/>
          <w:noProof/>
          <w:sz w:val="24"/>
        </w:rPr>
        <w:t>10 - 13 December 2024, Madrid, Spain</w:t>
      </w:r>
    </w:p>
    <w:p w14:paraId="6BFE8FB0" w14:textId="77777777" w:rsidR="008C3F2A" w:rsidRDefault="008C3F2A" w:rsidP="008C3F2A">
      <w:pPr>
        <w:rPr>
          <w:rFonts w:ascii="Arial" w:hAnsi="Arial" w:cs="Arial"/>
        </w:rPr>
      </w:pPr>
    </w:p>
    <w:p w14:paraId="1FDB3459" w14:textId="77777777" w:rsidR="008C3F2A" w:rsidRPr="004E3939" w:rsidRDefault="008C3F2A" w:rsidP="008C3F2A">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Pr>
          <w:rFonts w:ascii="Arial" w:hAnsi="Arial" w:cs="Arial"/>
          <w:b/>
          <w:sz w:val="22"/>
          <w:szCs w:val="22"/>
        </w:rPr>
        <w:t>Metaverse application enablement</w:t>
      </w:r>
    </w:p>
    <w:p w14:paraId="3773F2E7" w14:textId="77777777" w:rsidR="008C3F2A" w:rsidRPr="00B97703" w:rsidRDefault="008C3F2A" w:rsidP="008C3F2A">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w:t>
      </w:r>
      <w:r>
        <w:rPr>
          <w:rFonts w:ascii="Arial" w:hAnsi="Arial" w:cs="Arial"/>
          <w:b/>
          <w:sz w:val="22"/>
          <w:szCs w:val="22"/>
        </w:rPr>
        <w:t xml:space="preserve"> to</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None</w:t>
      </w:r>
    </w:p>
    <w:p w14:paraId="763A6713" w14:textId="77777777" w:rsidR="008C3F2A" w:rsidRPr="004E3939" w:rsidRDefault="008C3F2A" w:rsidP="008C3F2A">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Rel-19</w:t>
      </w:r>
    </w:p>
    <w:bookmarkEnd w:id="10"/>
    <w:bookmarkEnd w:id="11"/>
    <w:bookmarkEnd w:id="12"/>
    <w:p w14:paraId="399137F8" w14:textId="77777777" w:rsidR="008C3F2A" w:rsidRPr="00B97703" w:rsidRDefault="008C3F2A" w:rsidP="008C3F2A">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Metaverse_App</w:t>
      </w:r>
    </w:p>
    <w:p w14:paraId="131CE682" w14:textId="77777777" w:rsidR="008C3F2A" w:rsidRPr="004E3939" w:rsidRDefault="008C3F2A" w:rsidP="008C3F2A">
      <w:pPr>
        <w:spacing w:after="60"/>
        <w:ind w:left="1985" w:hanging="1985"/>
        <w:rPr>
          <w:rFonts w:ascii="Arial" w:hAnsi="Arial" w:cs="Arial"/>
          <w:b/>
          <w:sz w:val="22"/>
          <w:szCs w:val="22"/>
        </w:rPr>
      </w:pPr>
    </w:p>
    <w:p w14:paraId="56C3D2A8" w14:textId="77777777" w:rsidR="008C3F2A" w:rsidRPr="00520E2D" w:rsidRDefault="008C3F2A" w:rsidP="008C3F2A">
      <w:pPr>
        <w:spacing w:after="60"/>
        <w:ind w:left="1985" w:hanging="1985"/>
        <w:rPr>
          <w:rFonts w:ascii="Arial" w:hAnsi="Arial" w:cs="Arial"/>
          <w:b/>
          <w:sz w:val="22"/>
          <w:szCs w:val="22"/>
        </w:rPr>
      </w:pPr>
      <w:r w:rsidRPr="00520E2D">
        <w:rPr>
          <w:rFonts w:ascii="Arial" w:hAnsi="Arial" w:cs="Arial"/>
          <w:b/>
          <w:sz w:val="22"/>
          <w:szCs w:val="22"/>
        </w:rPr>
        <w:t>Source:</w:t>
      </w:r>
      <w:r w:rsidRPr="00520E2D">
        <w:rPr>
          <w:rFonts w:ascii="Arial" w:hAnsi="Arial" w:cs="Arial"/>
          <w:b/>
          <w:sz w:val="22"/>
          <w:szCs w:val="22"/>
        </w:rPr>
        <w:tab/>
      </w:r>
      <w:bookmarkStart w:id="13" w:name="OLE_LINK12"/>
      <w:bookmarkStart w:id="14" w:name="OLE_LINK13"/>
      <w:bookmarkStart w:id="15" w:name="OLE_LINK14"/>
      <w:r w:rsidRPr="00520E2D">
        <w:rPr>
          <w:rFonts w:ascii="Arial" w:hAnsi="Arial" w:cs="Arial"/>
          <w:b/>
          <w:sz w:val="22"/>
          <w:szCs w:val="22"/>
        </w:rPr>
        <w:t>3GPP TSG SA</w:t>
      </w:r>
      <w:bookmarkEnd w:id="13"/>
      <w:bookmarkEnd w:id="14"/>
      <w:bookmarkEnd w:id="15"/>
    </w:p>
    <w:p w14:paraId="3175512C" w14:textId="77777777" w:rsidR="008C3F2A" w:rsidRPr="00E938E9" w:rsidRDefault="008C3F2A" w:rsidP="008C3F2A">
      <w:pPr>
        <w:spacing w:after="60"/>
        <w:ind w:left="1985" w:hanging="1985"/>
        <w:rPr>
          <w:rFonts w:ascii="Arial" w:hAnsi="Arial" w:cs="Arial"/>
          <w:b/>
          <w:sz w:val="22"/>
          <w:szCs w:val="22"/>
          <w:lang w:val="en-US"/>
        </w:rPr>
      </w:pPr>
      <w:r w:rsidRPr="00E938E9">
        <w:rPr>
          <w:rFonts w:ascii="Arial" w:hAnsi="Arial" w:cs="Arial"/>
          <w:b/>
          <w:sz w:val="22"/>
          <w:szCs w:val="22"/>
          <w:lang w:val="en-US"/>
        </w:rPr>
        <w:t>To:</w:t>
      </w:r>
      <w:r w:rsidRPr="00E938E9">
        <w:rPr>
          <w:rFonts w:ascii="Arial" w:hAnsi="Arial" w:cs="Arial"/>
          <w:b/>
          <w:sz w:val="22"/>
          <w:szCs w:val="22"/>
          <w:lang w:val="en-US"/>
        </w:rPr>
        <w:tab/>
        <w:t>ITU-T TSAG, MSF DAM-WG</w:t>
      </w:r>
    </w:p>
    <w:p w14:paraId="7CB7CC2A" w14:textId="77777777" w:rsidR="008C3F2A" w:rsidRPr="00520E2D" w:rsidRDefault="008C3F2A" w:rsidP="008C3F2A">
      <w:pPr>
        <w:spacing w:after="60"/>
        <w:ind w:left="1985" w:hanging="1985"/>
        <w:rPr>
          <w:rFonts w:ascii="Arial" w:hAnsi="Arial" w:cs="Arial"/>
          <w:b/>
          <w:sz w:val="22"/>
          <w:szCs w:val="22"/>
          <w:lang w:val="nb-NO"/>
        </w:rPr>
      </w:pPr>
      <w:bookmarkStart w:id="16" w:name="OLE_LINK45"/>
      <w:bookmarkStart w:id="17" w:name="OLE_LINK46"/>
      <w:r w:rsidRPr="00520E2D">
        <w:rPr>
          <w:rFonts w:ascii="Arial" w:hAnsi="Arial" w:cs="Arial"/>
          <w:b/>
          <w:sz w:val="22"/>
          <w:szCs w:val="22"/>
          <w:lang w:val="nb-NO"/>
        </w:rPr>
        <w:t>Cc:</w:t>
      </w:r>
      <w:r w:rsidRPr="00520E2D">
        <w:rPr>
          <w:rFonts w:ascii="Arial" w:hAnsi="Arial" w:cs="Arial"/>
          <w:b/>
          <w:sz w:val="22"/>
          <w:szCs w:val="22"/>
          <w:lang w:val="nb-NO"/>
        </w:rPr>
        <w:tab/>
        <w:t>ITU-T SG21, 3GPP T</w:t>
      </w:r>
      <w:r>
        <w:rPr>
          <w:rFonts w:ascii="Arial" w:hAnsi="Arial" w:cs="Arial"/>
          <w:b/>
          <w:sz w:val="22"/>
          <w:szCs w:val="22"/>
          <w:lang w:val="nb-NO"/>
        </w:rPr>
        <w:t>S</w:t>
      </w:r>
      <w:r w:rsidRPr="00520E2D">
        <w:rPr>
          <w:rFonts w:ascii="Arial" w:hAnsi="Arial" w:cs="Arial"/>
          <w:b/>
          <w:sz w:val="22"/>
          <w:szCs w:val="22"/>
          <w:lang w:val="nb-NO"/>
        </w:rPr>
        <w:t>G SA</w:t>
      </w:r>
      <w:r>
        <w:rPr>
          <w:rFonts w:ascii="Arial" w:hAnsi="Arial" w:cs="Arial"/>
          <w:b/>
          <w:sz w:val="22"/>
          <w:szCs w:val="22"/>
          <w:lang w:val="nb-NO"/>
        </w:rPr>
        <w:t xml:space="preserve"> WG</w:t>
      </w:r>
      <w:r w:rsidRPr="00520E2D">
        <w:rPr>
          <w:rFonts w:ascii="Arial" w:hAnsi="Arial" w:cs="Arial"/>
          <w:b/>
          <w:sz w:val="22"/>
          <w:szCs w:val="22"/>
          <w:lang w:val="nb-NO"/>
        </w:rPr>
        <w:t>4</w:t>
      </w:r>
      <w:r>
        <w:rPr>
          <w:rFonts w:ascii="Arial" w:hAnsi="Arial" w:cs="Arial"/>
          <w:b/>
          <w:sz w:val="22"/>
          <w:szCs w:val="22"/>
          <w:lang w:val="nb-NO"/>
        </w:rPr>
        <w:t xml:space="preserve">, </w:t>
      </w:r>
      <w:r w:rsidRPr="00520E2D">
        <w:rPr>
          <w:rFonts w:ascii="Arial" w:hAnsi="Arial" w:cs="Arial"/>
          <w:b/>
          <w:sz w:val="22"/>
          <w:szCs w:val="22"/>
          <w:lang w:val="nb-NO"/>
        </w:rPr>
        <w:t>3GPP T</w:t>
      </w:r>
      <w:r>
        <w:rPr>
          <w:rFonts w:ascii="Arial" w:hAnsi="Arial" w:cs="Arial"/>
          <w:b/>
          <w:sz w:val="22"/>
          <w:szCs w:val="22"/>
          <w:lang w:val="nb-NO"/>
        </w:rPr>
        <w:t>S</w:t>
      </w:r>
      <w:r w:rsidRPr="00520E2D">
        <w:rPr>
          <w:rFonts w:ascii="Arial" w:hAnsi="Arial" w:cs="Arial"/>
          <w:b/>
          <w:sz w:val="22"/>
          <w:szCs w:val="22"/>
          <w:lang w:val="nb-NO"/>
        </w:rPr>
        <w:t>G SA</w:t>
      </w:r>
      <w:r>
        <w:rPr>
          <w:rFonts w:ascii="Arial" w:hAnsi="Arial" w:cs="Arial"/>
          <w:b/>
          <w:sz w:val="22"/>
          <w:szCs w:val="22"/>
          <w:lang w:val="nb-NO"/>
        </w:rPr>
        <w:t xml:space="preserve"> WG6</w:t>
      </w:r>
    </w:p>
    <w:bookmarkEnd w:id="16"/>
    <w:bookmarkEnd w:id="17"/>
    <w:p w14:paraId="32205687" w14:textId="77777777" w:rsidR="008C3F2A" w:rsidRPr="00520E2D" w:rsidRDefault="008C3F2A" w:rsidP="008C3F2A">
      <w:pPr>
        <w:spacing w:after="60"/>
        <w:ind w:left="1985" w:hanging="1985"/>
        <w:rPr>
          <w:rFonts w:ascii="Arial" w:hAnsi="Arial" w:cs="Arial"/>
          <w:bCs/>
          <w:lang w:val="nb-NO"/>
        </w:rPr>
      </w:pPr>
    </w:p>
    <w:p w14:paraId="1DA448D8" w14:textId="77777777" w:rsidR="008C3F2A" w:rsidRDefault="008C3F2A" w:rsidP="008C3F2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Sapan Shah (</w:t>
      </w:r>
      <w:hyperlink r:id="rId15" w:history="1">
        <w:r w:rsidRPr="00275FAE">
          <w:rPr>
            <w:rStyle w:val="Hyperlink"/>
            <w:rFonts w:ascii="Arial" w:hAnsi="Arial" w:cs="Arial"/>
            <w:b/>
            <w:bCs/>
            <w:sz w:val="22"/>
            <w:szCs w:val="22"/>
          </w:rPr>
          <w:t>sapan.shah@samsung.com</w:t>
        </w:r>
      </w:hyperlink>
      <w:r>
        <w:rPr>
          <w:rFonts w:ascii="Arial" w:hAnsi="Arial" w:cs="Arial"/>
          <w:b/>
          <w:bCs/>
          <w:sz w:val="22"/>
          <w:szCs w:val="22"/>
        </w:rPr>
        <w:t>)</w:t>
      </w:r>
    </w:p>
    <w:p w14:paraId="428B4B1A" w14:textId="77777777" w:rsidR="008C3F2A" w:rsidRPr="004E3939" w:rsidRDefault="008C3F2A" w:rsidP="008C3F2A">
      <w:pPr>
        <w:spacing w:after="60"/>
        <w:ind w:left="1985" w:hanging="1985"/>
        <w:rPr>
          <w:rFonts w:ascii="Arial" w:hAnsi="Arial" w:cs="Arial"/>
          <w:b/>
          <w:bCs/>
          <w:sz w:val="22"/>
          <w:szCs w:val="22"/>
        </w:rPr>
      </w:pPr>
    </w:p>
    <w:p w14:paraId="74CD0CF8" w14:textId="77777777" w:rsidR="008C3F2A" w:rsidRPr="00383545" w:rsidRDefault="008C3F2A" w:rsidP="008C3F2A">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6" w:history="1">
        <w:r w:rsidRPr="00383545">
          <w:rPr>
            <w:rStyle w:val="Hyperlink"/>
            <w:rFonts w:ascii="Arial" w:hAnsi="Arial" w:cs="Arial"/>
            <w:b/>
            <w:sz w:val="22"/>
            <w:szCs w:val="22"/>
          </w:rPr>
          <w:t>mailto:3GPPLiaison@etsi.org</w:t>
        </w:r>
      </w:hyperlink>
    </w:p>
    <w:p w14:paraId="79776ED7" w14:textId="77777777" w:rsidR="008C3F2A" w:rsidRDefault="008C3F2A" w:rsidP="008C3F2A">
      <w:pPr>
        <w:spacing w:after="60"/>
        <w:ind w:left="1985" w:hanging="1985"/>
        <w:rPr>
          <w:rFonts w:ascii="Arial" w:hAnsi="Arial" w:cs="Arial"/>
          <w:b/>
        </w:rPr>
      </w:pPr>
    </w:p>
    <w:p w14:paraId="75E42BE8" w14:textId="77777777" w:rsidR="008C3F2A" w:rsidRPr="00101054" w:rsidRDefault="008C3F2A" w:rsidP="008C3F2A">
      <w:pPr>
        <w:spacing w:after="60"/>
        <w:ind w:left="1985" w:hanging="1985"/>
        <w:rPr>
          <w:rFonts w:ascii="Arial" w:hAnsi="Arial" w:cs="Arial"/>
          <w:b/>
          <w:bCs/>
          <w:sz w:val="22"/>
          <w:szCs w:val="22"/>
        </w:rPr>
      </w:pPr>
      <w:r>
        <w:rPr>
          <w:rFonts w:ascii="Arial" w:hAnsi="Arial" w:cs="Arial"/>
          <w:b/>
        </w:rPr>
        <w:t>Attachments:</w:t>
      </w:r>
      <w:r>
        <w:rPr>
          <w:rFonts w:ascii="Arial" w:hAnsi="Arial" w:cs="Arial"/>
          <w:bCs/>
        </w:rPr>
        <w:tab/>
      </w:r>
      <w:r w:rsidRPr="00101054">
        <w:rPr>
          <w:rFonts w:ascii="Arial" w:hAnsi="Arial" w:cs="Arial"/>
          <w:b/>
          <w:bCs/>
          <w:sz w:val="22"/>
          <w:szCs w:val="22"/>
        </w:rPr>
        <w:t>None</w:t>
      </w:r>
    </w:p>
    <w:p w14:paraId="4D756295" w14:textId="77777777" w:rsidR="008C3F2A" w:rsidRDefault="008C3F2A" w:rsidP="008C3F2A">
      <w:pPr>
        <w:rPr>
          <w:rFonts w:ascii="Arial" w:hAnsi="Arial" w:cs="Arial"/>
        </w:rPr>
      </w:pPr>
    </w:p>
    <w:p w14:paraId="2B53DF59" w14:textId="77777777" w:rsidR="008C3F2A" w:rsidRDefault="008C3F2A" w:rsidP="008C3F2A">
      <w:pPr>
        <w:pStyle w:val="Heading1"/>
      </w:pPr>
      <w:r>
        <w:t>1</w:t>
      </w:r>
      <w:r>
        <w:tab/>
        <w:t>Overall description</w:t>
      </w:r>
    </w:p>
    <w:p w14:paraId="4BAC1E6A" w14:textId="77777777" w:rsidR="008C3F2A" w:rsidRDefault="008C3F2A" w:rsidP="008C3F2A">
      <w:r>
        <w:t>3GPP SA6 is currently working on providing application enablement for metaverse applications. As part of this work, 3GPP SA6 has specified spatial anchors and spatial map services in 3GPP TS 23.437, and digital asset service in 3GPP TS 23.438 as part of the overall Service Enabler Architecture Layer (SEAL) services specified in 3GPP TS 23.434.</w:t>
      </w:r>
    </w:p>
    <w:p w14:paraId="2517B47B" w14:textId="77777777" w:rsidR="008C3F2A" w:rsidRDefault="008C3F2A" w:rsidP="008C3F2A">
      <w:r>
        <w:t>Particularly for the digital asset service, in Rel-19, 3GPP has considered an Avatar of a human as a digital asset and provided a service to enable metaverse applications and their users to manage (i.e. to create, update, get, delete and discover) digital assets.</w:t>
      </w:r>
    </w:p>
    <w:p w14:paraId="1973A2B6" w14:textId="77777777" w:rsidR="008C3F2A" w:rsidRDefault="008C3F2A" w:rsidP="008C3F2A">
      <w:r>
        <w:t>3GPP SA6 believes that their digital asset service, as defined in 3GPP </w:t>
      </w:r>
      <w:r w:rsidRPr="00520E2D">
        <w:t>TS</w:t>
      </w:r>
      <w:r>
        <w:t> </w:t>
      </w:r>
      <w:r w:rsidRPr="00520E2D">
        <w:t>23</w:t>
      </w:r>
      <w:r>
        <w:t>.438, also fulfils many of the requirements from FGMV as specified in clause 8.2 and clause 8.3 of FGMV-19 (</w:t>
      </w:r>
      <w:hyperlink r:id="rId17" w:history="1">
        <w:r w:rsidRPr="00275FAE">
          <w:rPr>
            <w:rStyle w:val="Hyperlink"/>
          </w:rPr>
          <w:t>https://www.itu.int/en/ITU-T/focusgroups/mv/Documents/List%20of%20FG-MV%20deliverables/FGMV-19.pdf</w:t>
        </w:r>
      </w:hyperlink>
      <w:r>
        <w:t>). 3GPP SA6 also believes that the use cases considered in Metaverse Standard Forum Digital Asset Management Working Group can also be implemented using the digital asset service as provided in 3GPP TS 23.438.</w:t>
      </w:r>
    </w:p>
    <w:p w14:paraId="0435D34C" w14:textId="77777777" w:rsidR="008C3F2A" w:rsidRDefault="008C3F2A" w:rsidP="008C3F2A">
      <w:r>
        <w:t>3GPP SA6 kindly asks</w:t>
      </w:r>
      <w:r w:rsidRPr="00D912FD">
        <w:t xml:space="preserve"> </w:t>
      </w:r>
      <w:r w:rsidRPr="00A257D8">
        <w:t>ITU-T TSAG</w:t>
      </w:r>
      <w:r>
        <w:t xml:space="preserve"> and</w:t>
      </w:r>
      <w:r w:rsidRPr="00D912FD">
        <w:t xml:space="preserve"> MSF DAM-WG</w:t>
      </w:r>
      <w:r>
        <w:t xml:space="preserve"> to review the specifications for metaverse application enablement, and also provide any other application enablement requirements to consider for application enablement in the future releases of their specifications.</w:t>
      </w:r>
    </w:p>
    <w:p w14:paraId="1FF7C069" w14:textId="77777777" w:rsidR="008C3F2A" w:rsidRDefault="008C3F2A" w:rsidP="008C3F2A">
      <w:r>
        <w:t>Furthermore, 3GPP SA6 is looking forward to having additional collaboration on topics of mutual interests.</w:t>
      </w:r>
    </w:p>
    <w:p w14:paraId="7E9D3FA7" w14:textId="77777777" w:rsidR="008C3F2A" w:rsidRDefault="008C3F2A" w:rsidP="008C3F2A">
      <w:r>
        <w:t>For further information, please find below additional details about activities in 3GPP SA6:</w:t>
      </w:r>
    </w:p>
    <w:p w14:paraId="719FDCC1" w14:textId="77777777" w:rsidR="008C3F2A" w:rsidRDefault="008C3F2A" w:rsidP="008C3F2A">
      <w:r w:rsidRPr="00E938E9">
        <w:t>3GPP</w:t>
      </w:r>
      <w:r>
        <w:t> </w:t>
      </w:r>
      <w:r w:rsidRPr="00E938E9">
        <w:t>SA6</w:t>
      </w:r>
      <w:r>
        <w:t xml:space="preserve"> have specified application enablement standards including, service frameworks (CAPIF, EDGEAPP, SEAL services including NSCE, ADAE, SEALDD) and vertical application enabler </w:t>
      </w:r>
      <w:r>
        <w:lastRenderedPageBreak/>
        <w:t>architectures (V2XAPP, UASAPP, 5GMARCH, PINAPP), to enable various industry vertical applications over 3GPP networks.</w:t>
      </w:r>
    </w:p>
    <w:p w14:paraId="1CE4D851" w14:textId="77777777" w:rsidR="008C3F2A" w:rsidRDefault="008C3F2A" w:rsidP="008C3F2A">
      <w:r>
        <w:t xml:space="preserve">For a quick overview, </w:t>
      </w:r>
      <w:hyperlink r:id="rId18" w:history="1">
        <w:r>
          <w:rPr>
            <w:rStyle w:val="Hyperlink"/>
          </w:rPr>
          <w:t>Application Enablement Standards in 3GPP</w:t>
        </w:r>
      </w:hyperlink>
      <w:r>
        <w:t xml:space="preserve">, and </w:t>
      </w:r>
      <w:hyperlink r:id="rId19" w:anchor="flipbook-flip8/15/" w:history="1">
        <w:r>
          <w:rPr>
            <w:rStyle w:val="Hyperlink"/>
          </w:rPr>
          <w:t>3GPP SA6 R18 – 5G Critical Communications and Application Enablement Standards</w:t>
        </w:r>
      </w:hyperlink>
      <w:r>
        <w:rPr>
          <w:rStyle w:val="Hyperlink"/>
        </w:rPr>
        <w:t xml:space="preserve"> can be referred to</w:t>
      </w:r>
      <w:r>
        <w:t xml:space="preserve">. Additional background information can be found on the </w:t>
      </w:r>
      <w:hyperlink r:id="rId20" w:history="1">
        <w:r>
          <w:rPr>
            <w:rStyle w:val="Hyperlink"/>
          </w:rPr>
          <w:t>3GPP SA6 web-page</w:t>
        </w:r>
      </w:hyperlink>
      <w:r>
        <w:t>.</w:t>
      </w:r>
    </w:p>
    <w:p w14:paraId="124B6D2D" w14:textId="77777777" w:rsidR="008C3F2A" w:rsidRDefault="008C3F2A" w:rsidP="008C3F2A">
      <w:r>
        <w:t xml:space="preserve">This is can be summarised through the figure below (endorsed in document </w:t>
      </w:r>
      <w:hyperlink r:id="rId21" w:history="1">
        <w:r>
          <w:rPr>
            <w:rStyle w:val="Hyperlink"/>
          </w:rPr>
          <w:t>S6-233</w:t>
        </w:r>
        <w:r w:rsidRPr="008C6568">
          <w:rPr>
            <w:rStyle w:val="Hyperlink"/>
          </w:rPr>
          <w:t>819</w:t>
        </w:r>
      </w:hyperlink>
      <w:r>
        <w:t>). This highlights how 3GPP SA6 has defined an application enablement layer that serves as an application middleware. Specifically, a set of application enablement APIs have been designed to hide the complexity of underlying the 5G core capabilities, and enable interactions between the Application Developers/Service Providers (ASPs) and the 3GPP Network Layer, across both user equipment (UE) and the core network.</w:t>
      </w:r>
    </w:p>
    <w:p w14:paraId="72A81157" w14:textId="77777777" w:rsidR="008C3F2A" w:rsidRDefault="008C3F2A" w:rsidP="008C3F2A">
      <w:r>
        <w:rPr>
          <w:noProof/>
          <w:lang w:val="en-IN" w:eastAsia="en-IN"/>
        </w:rPr>
        <w:drawing>
          <wp:inline distT="0" distB="0" distL="0" distR="0" wp14:anchorId="303DCB7D" wp14:editId="4DB43EF8">
            <wp:extent cx="5981700" cy="3143250"/>
            <wp:effectExtent l="0" t="0" r="0" b="0"/>
            <wp:docPr id="1" name="图片 1" descr="A screenshot of a compu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screenshot of a computer&#10;&#10;Description automatically generated"/>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1700" cy="3143250"/>
                    </a:xfrm>
                    <a:prstGeom prst="rect">
                      <a:avLst/>
                    </a:prstGeom>
                    <a:noFill/>
                    <a:ln>
                      <a:noFill/>
                    </a:ln>
                  </pic:spPr>
                </pic:pic>
              </a:graphicData>
            </a:graphic>
          </wp:inline>
        </w:drawing>
      </w:r>
    </w:p>
    <w:p w14:paraId="34AE2713" w14:textId="77777777" w:rsidR="008C3F2A" w:rsidRDefault="008C3F2A" w:rsidP="008C3F2A">
      <w:r>
        <w:t>As part of the overall SA6 application enablement framework, the spatial anchors and spatial map service (as defined in 3GPP TS 23.437) and digital asset service (as specified in 3GPP TS 23.438) have been specified as part of SEAL services.</w:t>
      </w:r>
    </w:p>
    <w:p w14:paraId="181DD01B" w14:textId="77777777" w:rsidR="008C3F2A" w:rsidRDefault="008C3F2A" w:rsidP="008C3F2A">
      <w:r>
        <w:t>In summary, SA6 provides the following set of enablers:</w:t>
      </w:r>
    </w:p>
    <w:p w14:paraId="4AC56B3B" w14:textId="77777777" w:rsidR="008C3F2A" w:rsidRDefault="008C3F2A" w:rsidP="008C3F2A">
      <w:pPr>
        <w:numPr>
          <w:ilvl w:val="0"/>
          <w:numId w:val="13"/>
        </w:numPr>
        <w:overflowPunct w:val="0"/>
        <w:autoSpaceDE w:val="0"/>
        <w:autoSpaceDN w:val="0"/>
        <w:adjustRightInd w:val="0"/>
        <w:spacing w:before="0" w:after="180"/>
        <w:textAlignment w:val="baseline"/>
      </w:pPr>
      <w:r>
        <w:t>Vertical application enablers: SA6 has defined application enabler for verticals, such as V2XAPP (for V2X services), UASAPP (for UAS services) and 5GMARCH (for messaging over 5G).</w:t>
      </w:r>
    </w:p>
    <w:p w14:paraId="12AFA4F5" w14:textId="77777777" w:rsidR="008C3F2A" w:rsidRDefault="008C3F2A" w:rsidP="008C3F2A">
      <w:pPr>
        <w:numPr>
          <w:ilvl w:val="0"/>
          <w:numId w:val="13"/>
        </w:numPr>
        <w:overflowPunct w:val="0"/>
        <w:autoSpaceDE w:val="0"/>
        <w:autoSpaceDN w:val="0"/>
        <w:adjustRightInd w:val="0"/>
        <w:spacing w:before="0" w:after="180"/>
        <w:textAlignment w:val="baseline"/>
      </w:pPr>
      <w:r>
        <w:t>Services Framework</w:t>
      </w:r>
    </w:p>
    <w:p w14:paraId="7757FB68" w14:textId="77777777" w:rsidR="008C3F2A" w:rsidRDefault="008C3F2A" w:rsidP="008C3F2A">
      <w:pPr>
        <w:numPr>
          <w:ilvl w:val="1"/>
          <w:numId w:val="13"/>
        </w:numPr>
        <w:overflowPunct w:val="0"/>
        <w:autoSpaceDE w:val="0"/>
        <w:autoSpaceDN w:val="0"/>
        <w:adjustRightInd w:val="0"/>
        <w:spacing w:before="0" w:after="180"/>
        <w:textAlignment w:val="baseline"/>
      </w:pPr>
      <w:r>
        <w:t>Service Enabler Architecture Layer (SEAL) Services: This framework s</w:t>
      </w:r>
      <w:r w:rsidRPr="00315121">
        <w:t>pecifies application plane and signalling plane entities for application-enabling services (e.g. group management, configuration management, location management, identity/key management, network resource management</w:t>
      </w:r>
      <w:r>
        <w:t>, data delivery, application data analytics enablement, AIML enablement, metaverse application services</w:t>
      </w:r>
      <w:r w:rsidRPr="00315121">
        <w:t>); that can be reused across</w:t>
      </w:r>
      <w:r>
        <w:t xml:space="preserve"> multiple</w:t>
      </w:r>
      <w:r w:rsidRPr="00315121">
        <w:t xml:space="preserve"> vertical applications</w:t>
      </w:r>
      <w:r>
        <w:t>.</w:t>
      </w:r>
    </w:p>
    <w:p w14:paraId="0554ABA9" w14:textId="77777777" w:rsidR="008C3F2A" w:rsidRDefault="008C3F2A" w:rsidP="008C3F2A">
      <w:pPr>
        <w:numPr>
          <w:ilvl w:val="1"/>
          <w:numId w:val="13"/>
        </w:numPr>
        <w:overflowPunct w:val="0"/>
        <w:autoSpaceDE w:val="0"/>
        <w:autoSpaceDN w:val="0"/>
        <w:adjustRightInd w:val="0"/>
        <w:spacing w:before="0" w:after="180"/>
        <w:textAlignment w:val="baseline"/>
      </w:pPr>
      <w:r>
        <w:t xml:space="preserve">Common API Framework (CAPIF): </w:t>
      </w:r>
      <w:r w:rsidRPr="00315121">
        <w:t>a unified Northbound API framework across network/application functions to facilitate a harmonized approach for API development within 3GPP</w:t>
      </w:r>
      <w:r>
        <w:t>.</w:t>
      </w:r>
    </w:p>
    <w:p w14:paraId="1C4A3502" w14:textId="77777777" w:rsidR="008C3F2A" w:rsidRPr="0061592D" w:rsidRDefault="008C3F2A" w:rsidP="008C3F2A">
      <w:pPr>
        <w:numPr>
          <w:ilvl w:val="1"/>
          <w:numId w:val="13"/>
        </w:numPr>
        <w:overflowPunct w:val="0"/>
        <w:autoSpaceDE w:val="0"/>
        <w:autoSpaceDN w:val="0"/>
        <w:adjustRightInd w:val="0"/>
        <w:spacing w:before="0" w:after="180"/>
        <w:textAlignment w:val="baseline"/>
      </w:pPr>
      <w:r w:rsidRPr="00315121">
        <w:lastRenderedPageBreak/>
        <w:t>Edge Application Enablement (EDGEAPP)</w:t>
      </w:r>
      <w:r>
        <w:t>: P</w:t>
      </w:r>
      <w:r w:rsidRPr="00315121">
        <w:t>rovides an edge enabling layer and application architecture for enabling Edge Applications on the Edge Data Network, including the exposure of northbound APIs towards Edge Application</w:t>
      </w:r>
      <w:r>
        <w:t>s.</w:t>
      </w:r>
    </w:p>
    <w:p w14:paraId="65E0538F" w14:textId="77777777" w:rsidR="008C3F2A" w:rsidRDefault="008C3F2A" w:rsidP="008C3F2A">
      <w:pPr>
        <w:pStyle w:val="Heading1"/>
      </w:pPr>
      <w:r>
        <w:t>2</w:t>
      </w:r>
      <w:r>
        <w:tab/>
        <w:t>Actions</w:t>
      </w:r>
    </w:p>
    <w:p w14:paraId="69F279E0" w14:textId="77777777" w:rsidR="008C3F2A" w:rsidRPr="006751D1" w:rsidRDefault="008C3F2A" w:rsidP="008C3F2A">
      <w:pPr>
        <w:spacing w:after="120"/>
        <w:ind w:left="1985" w:hanging="1985"/>
        <w:rPr>
          <w:rFonts w:ascii="Arial" w:hAnsi="Arial" w:cs="Arial"/>
          <w:b/>
        </w:rPr>
      </w:pPr>
      <w:r w:rsidRPr="006751D1">
        <w:rPr>
          <w:rFonts w:ascii="Arial" w:hAnsi="Arial" w:cs="Arial"/>
          <w:b/>
        </w:rPr>
        <w:t>To ITU-T TSAG</w:t>
      </w:r>
      <w:r>
        <w:rPr>
          <w:rFonts w:ascii="Arial" w:hAnsi="Arial" w:cs="Arial"/>
          <w:b/>
        </w:rPr>
        <w:t>,</w:t>
      </w:r>
      <w:r w:rsidRPr="006751D1">
        <w:rPr>
          <w:rFonts w:ascii="Arial" w:hAnsi="Arial" w:cs="Arial"/>
          <w:b/>
        </w:rPr>
        <w:t xml:space="preserve"> MSF DAM-W WG</w:t>
      </w:r>
    </w:p>
    <w:p w14:paraId="163A79EB" w14:textId="77777777" w:rsidR="008C3F2A" w:rsidRPr="00C42A3F" w:rsidRDefault="008C3F2A" w:rsidP="008C3F2A">
      <w:pPr>
        <w:spacing w:after="120"/>
        <w:ind w:left="993" w:hanging="993"/>
      </w:pPr>
      <w:r>
        <w:rPr>
          <w:rFonts w:ascii="Arial" w:hAnsi="Arial" w:cs="Arial"/>
          <w:b/>
        </w:rPr>
        <w:t xml:space="preserve">ACTION: </w:t>
      </w:r>
      <w:r w:rsidRPr="000F6242">
        <w:rPr>
          <w:rFonts w:ascii="Arial" w:hAnsi="Arial" w:cs="Arial"/>
          <w:b/>
          <w:color w:val="0070C0"/>
        </w:rPr>
        <w:tab/>
      </w:r>
      <w:r w:rsidRPr="00D912FD">
        <w:t>3GPP</w:t>
      </w:r>
      <w:r>
        <w:t> TSG </w:t>
      </w:r>
      <w:r w:rsidRPr="00D912FD">
        <w:t xml:space="preserve">SA </w:t>
      </w:r>
      <w:r>
        <w:t xml:space="preserve">kindly </w:t>
      </w:r>
      <w:r w:rsidRPr="00D912FD">
        <w:t xml:space="preserve">asks </w:t>
      </w:r>
      <w:r w:rsidRPr="00A257D8">
        <w:t>ITU-T</w:t>
      </w:r>
      <w:r>
        <w:t> </w:t>
      </w:r>
      <w:r w:rsidRPr="00A257D8">
        <w:t>TSAG</w:t>
      </w:r>
      <w:r>
        <w:t xml:space="preserve"> and</w:t>
      </w:r>
      <w:r w:rsidRPr="00D912FD">
        <w:t xml:space="preserve"> MSF</w:t>
      </w:r>
      <w:r>
        <w:t> </w:t>
      </w:r>
      <w:r w:rsidRPr="00D912FD">
        <w:t>DAM-W</w:t>
      </w:r>
      <w:r>
        <w:t> </w:t>
      </w:r>
      <w:r w:rsidRPr="00D912FD">
        <w:t xml:space="preserve">WG </w:t>
      </w:r>
      <w:r>
        <w:t>to review the specifications indicated above and provide feedback if any. Feedback can be provided directly to TSG SA WG6, but kindly keep TSG SA informed.</w:t>
      </w:r>
    </w:p>
    <w:p w14:paraId="5C63E34B" w14:textId="77777777" w:rsidR="008C3F2A" w:rsidRDefault="008C3F2A" w:rsidP="008C3F2A">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TSG</w:t>
      </w:r>
      <w:r>
        <w:rPr>
          <w:rFonts w:cs="Arial"/>
          <w:bCs/>
          <w:szCs w:val="36"/>
        </w:rPr>
        <w:t> </w:t>
      </w:r>
      <w:r>
        <w:rPr>
          <w:rFonts w:cs="Arial"/>
          <w:szCs w:val="36"/>
        </w:rPr>
        <w:t>SA</w:t>
      </w:r>
      <w:r w:rsidRPr="000F6242">
        <w:rPr>
          <w:rFonts w:cs="Arial"/>
          <w:bCs/>
          <w:szCs w:val="36"/>
        </w:rPr>
        <w:t xml:space="preserve"> </w:t>
      </w:r>
      <w:r>
        <w:rPr>
          <w:rFonts w:cs="Arial"/>
          <w:bCs/>
          <w:szCs w:val="36"/>
        </w:rPr>
        <w:t>and TSG SA </w:t>
      </w:r>
      <w:r w:rsidRPr="000F6242">
        <w:rPr>
          <w:rFonts w:cs="Arial"/>
          <w:bCs/>
          <w:szCs w:val="36"/>
        </w:rPr>
        <w:t>WG</w:t>
      </w:r>
      <w:r>
        <w:rPr>
          <w:rFonts w:cs="Arial"/>
          <w:bCs/>
          <w:szCs w:val="36"/>
        </w:rPr>
        <w:t>6</w:t>
      </w:r>
      <w:r>
        <w:rPr>
          <w:szCs w:val="36"/>
        </w:rPr>
        <w:t xml:space="preserve"> m</w:t>
      </w:r>
      <w:r w:rsidRPr="000F6242">
        <w:rPr>
          <w:szCs w:val="36"/>
        </w:rPr>
        <w:t>eetings</w:t>
      </w:r>
    </w:p>
    <w:p w14:paraId="7F13938D" w14:textId="77777777" w:rsidR="008C3F2A" w:rsidRPr="00E57325" w:rsidRDefault="008C3F2A" w:rsidP="008C3F2A">
      <w:pPr>
        <w:rPr>
          <w:rFonts w:ascii="Arial" w:hAnsi="Arial" w:cs="Arial"/>
          <w:bCs/>
        </w:rPr>
      </w:pPr>
      <w:r>
        <w:rPr>
          <w:rFonts w:ascii="Arial" w:hAnsi="Arial" w:cs="Arial"/>
          <w:bCs/>
        </w:rPr>
        <w:t>TSG </w:t>
      </w:r>
      <w:r>
        <w:rPr>
          <w:rFonts w:ascii="Arial" w:eastAsia="DengXian" w:hAnsi="Arial" w:cs="Arial" w:hint="eastAsia"/>
          <w:bCs/>
          <w:lang w:eastAsia="zh-CN"/>
        </w:rPr>
        <w:t>SA</w:t>
      </w:r>
      <w:r>
        <w:rPr>
          <w:rFonts w:ascii="Arial" w:eastAsia="DengXian" w:hAnsi="Arial" w:cs="Arial"/>
          <w:bCs/>
          <w:lang w:eastAsia="zh-CN"/>
        </w:rPr>
        <w:t> WG6</w:t>
      </w:r>
      <w:r>
        <w:rPr>
          <w:rFonts w:ascii="Arial" w:hAnsi="Arial" w:cs="Arial"/>
          <w:bCs/>
        </w:rPr>
        <w:t>#</w:t>
      </w:r>
      <w:r>
        <w:rPr>
          <w:rFonts w:ascii="Arial" w:eastAsia="DengXian" w:hAnsi="Arial" w:cs="Arial"/>
          <w:bCs/>
          <w:lang w:eastAsia="zh-CN"/>
        </w:rPr>
        <w:t>65</w:t>
      </w:r>
      <w:r>
        <w:rPr>
          <w:rFonts w:ascii="Arial" w:hAnsi="Arial" w:cs="Arial"/>
          <w:bCs/>
        </w:rPr>
        <w:tab/>
      </w:r>
      <w:r>
        <w:rPr>
          <w:rFonts w:ascii="Arial" w:eastAsia="SimSun" w:hAnsi="Arial" w:cs="Arial" w:hint="eastAsia"/>
          <w:bCs/>
          <w:lang w:val="en-US" w:eastAsia="zh-CN"/>
        </w:rPr>
        <w:tab/>
      </w:r>
      <w:r>
        <w:rPr>
          <w:rFonts w:ascii="Arial" w:hAnsi="Arial" w:cs="Arial"/>
          <w:bCs/>
        </w:rPr>
        <w:t>17</w:t>
      </w:r>
      <w:r w:rsidRPr="00A90373">
        <w:rPr>
          <w:rFonts w:ascii="Arial" w:hAnsi="Arial" w:cs="Arial"/>
          <w:bCs/>
          <w:vertAlign w:val="superscript"/>
        </w:rPr>
        <w:t>th</w:t>
      </w:r>
      <w:r>
        <w:rPr>
          <w:rFonts w:ascii="Arial" w:hAnsi="Arial" w:cs="Arial"/>
          <w:bCs/>
        </w:rPr>
        <w:t xml:space="preserve"> </w:t>
      </w:r>
      <w:r w:rsidRPr="002D5115">
        <w:rPr>
          <w:rFonts w:ascii="Arial" w:hAnsi="Arial" w:cs="Arial"/>
          <w:bCs/>
        </w:rPr>
        <w:t xml:space="preserve">– </w:t>
      </w:r>
      <w:r>
        <w:rPr>
          <w:rFonts w:ascii="Arial" w:hAnsi="Arial" w:cs="Arial"/>
          <w:bCs/>
        </w:rPr>
        <w:t>21</w:t>
      </w:r>
      <w:r w:rsidRPr="006B5245">
        <w:rPr>
          <w:rFonts w:ascii="Arial" w:hAnsi="Arial" w:cs="Arial"/>
          <w:bCs/>
          <w:vertAlign w:val="superscript"/>
        </w:rPr>
        <w:t>st</w:t>
      </w:r>
      <w:r>
        <w:rPr>
          <w:rFonts w:ascii="Arial" w:hAnsi="Arial" w:cs="Arial"/>
          <w:bCs/>
        </w:rPr>
        <w:t xml:space="preserve"> February </w:t>
      </w:r>
      <w:r w:rsidRPr="002D5115">
        <w:rPr>
          <w:rFonts w:ascii="Arial" w:hAnsi="Arial" w:cs="Arial"/>
          <w:bCs/>
        </w:rPr>
        <w:t>202</w:t>
      </w:r>
      <w:r>
        <w:rPr>
          <w:rFonts w:ascii="Arial" w:hAnsi="Arial" w:cs="Arial"/>
          <w:bCs/>
        </w:rPr>
        <w:t>5</w:t>
      </w:r>
      <w:r>
        <w:rPr>
          <w:rFonts w:ascii="Arial" w:hAnsi="Arial" w:cs="Arial"/>
          <w:bCs/>
        </w:rPr>
        <w:tab/>
        <w:t>Athens, GR</w:t>
      </w:r>
    </w:p>
    <w:p w14:paraId="2D108A3A" w14:textId="77777777" w:rsidR="008C3F2A" w:rsidRDefault="008C3F2A" w:rsidP="008C3F2A">
      <w:pPr>
        <w:rPr>
          <w:rFonts w:ascii="Arial" w:eastAsia="DengXian" w:hAnsi="Arial" w:cs="Arial"/>
          <w:bCs/>
          <w:lang w:val="en-US" w:eastAsia="zh-CN"/>
        </w:rPr>
      </w:pPr>
      <w:r>
        <w:rPr>
          <w:rFonts w:ascii="Arial" w:hAnsi="Arial" w:cs="Arial"/>
          <w:bCs/>
        </w:rPr>
        <w:t>TSG </w:t>
      </w:r>
      <w:r>
        <w:rPr>
          <w:rFonts w:ascii="Arial" w:eastAsia="DengXian" w:hAnsi="Arial" w:cs="Arial" w:hint="eastAsia"/>
          <w:bCs/>
          <w:lang w:eastAsia="zh-CN"/>
        </w:rPr>
        <w:t>SA</w:t>
      </w:r>
      <w:r>
        <w:rPr>
          <w:rFonts w:ascii="Arial" w:hAnsi="Arial" w:cs="Arial"/>
          <w:bCs/>
        </w:rPr>
        <w:t>#</w:t>
      </w:r>
      <w:r>
        <w:rPr>
          <w:rFonts w:ascii="Arial" w:eastAsia="DengXian" w:hAnsi="Arial" w:cs="Arial" w:hint="eastAsia"/>
          <w:bCs/>
          <w:lang w:eastAsia="zh-CN"/>
        </w:rPr>
        <w:t>1</w:t>
      </w:r>
      <w:r>
        <w:rPr>
          <w:rFonts w:ascii="Arial" w:eastAsia="DengXian" w:hAnsi="Arial" w:cs="Arial"/>
          <w:bCs/>
          <w:lang w:eastAsia="zh-CN"/>
        </w:rPr>
        <w:t>07</w:t>
      </w:r>
      <w:r>
        <w:rPr>
          <w:rFonts w:ascii="Arial" w:hAnsi="Arial" w:cs="Arial"/>
          <w:bCs/>
        </w:rPr>
        <w:tab/>
      </w:r>
      <w:r>
        <w:rPr>
          <w:rFonts w:ascii="Arial" w:hAnsi="Arial" w:cs="Arial"/>
          <w:bCs/>
        </w:rPr>
        <w:tab/>
      </w:r>
      <w:r>
        <w:rPr>
          <w:rFonts w:ascii="Arial" w:hAnsi="Arial" w:cs="Arial"/>
          <w:bCs/>
        </w:rPr>
        <w:tab/>
      </w:r>
      <w:r>
        <w:rPr>
          <w:rFonts w:ascii="Arial" w:eastAsia="SimSun" w:hAnsi="Arial" w:cs="Arial"/>
          <w:bCs/>
          <w:lang w:val="en-US" w:eastAsia="zh-CN"/>
        </w:rPr>
        <w:t>12</w:t>
      </w:r>
      <w:r>
        <w:rPr>
          <w:rFonts w:ascii="Arial" w:eastAsia="SimSun" w:hAnsi="Arial" w:cs="Arial"/>
          <w:bCs/>
          <w:vertAlign w:val="superscript"/>
          <w:lang w:val="en-US" w:eastAsia="zh-CN"/>
        </w:rPr>
        <w:t>th</w:t>
      </w:r>
      <w:r>
        <w:rPr>
          <w:rFonts w:ascii="Arial" w:eastAsia="SimSun" w:hAnsi="Arial" w:cs="Arial"/>
          <w:bCs/>
          <w:lang w:val="en-US" w:eastAsia="zh-CN"/>
        </w:rPr>
        <w:t xml:space="preserve"> </w:t>
      </w:r>
      <w:r w:rsidRPr="002D5115">
        <w:rPr>
          <w:rFonts w:ascii="Arial" w:hAnsi="Arial" w:cs="Arial"/>
          <w:bCs/>
        </w:rPr>
        <w:t xml:space="preserve">– </w:t>
      </w:r>
      <w:r>
        <w:rPr>
          <w:rFonts w:ascii="Arial" w:eastAsia="SimSun" w:hAnsi="Arial" w:cs="Arial"/>
          <w:bCs/>
          <w:lang w:val="en-US" w:eastAsia="zh-CN"/>
        </w:rPr>
        <w:t>14</w:t>
      </w:r>
      <w:r>
        <w:rPr>
          <w:rFonts w:ascii="Arial" w:eastAsia="SimSun" w:hAnsi="Arial" w:cs="Arial" w:hint="eastAsia"/>
          <w:bCs/>
          <w:lang w:val="en-US" w:eastAsia="zh-CN"/>
        </w:rPr>
        <w:t>th</w:t>
      </w:r>
      <w:r>
        <w:rPr>
          <w:rFonts w:ascii="Arial" w:hAnsi="Arial" w:cs="Arial"/>
          <w:bCs/>
        </w:rPr>
        <w:t xml:space="preserve"> March 202</w:t>
      </w:r>
      <w:r>
        <w:rPr>
          <w:rFonts w:ascii="Arial" w:eastAsia="SimSun" w:hAnsi="Arial" w:cs="Arial" w:hint="eastAsia"/>
          <w:bCs/>
          <w:lang w:val="en-US" w:eastAsia="zh-CN"/>
        </w:rPr>
        <w:t>5</w:t>
      </w:r>
      <w:r>
        <w:rPr>
          <w:rFonts w:ascii="Arial" w:eastAsia="DengXian" w:hAnsi="Arial" w:cs="Arial" w:hint="eastAsia"/>
          <w:bCs/>
          <w:lang w:eastAsia="zh-CN"/>
        </w:rPr>
        <w:tab/>
      </w:r>
      <w:r>
        <w:rPr>
          <w:rFonts w:ascii="Arial" w:eastAsia="DengXian" w:hAnsi="Arial" w:cs="Arial" w:hint="eastAsia"/>
          <w:bCs/>
          <w:lang w:val="en-US" w:eastAsia="zh-CN"/>
        </w:rPr>
        <w:tab/>
      </w:r>
      <w:r>
        <w:rPr>
          <w:rFonts w:ascii="Arial" w:eastAsia="DengXian" w:hAnsi="Arial" w:cs="Arial"/>
          <w:bCs/>
          <w:lang w:val="en-US" w:eastAsia="zh-CN"/>
        </w:rPr>
        <w:t>Incheon, KR</w:t>
      </w:r>
    </w:p>
    <w:p w14:paraId="6E938C3D" w14:textId="77777777" w:rsidR="008C3F2A" w:rsidRDefault="008C3F2A" w:rsidP="008C3F2A">
      <w:pPr>
        <w:rPr>
          <w:rFonts w:ascii="Arial" w:eastAsia="DengXian" w:hAnsi="Arial" w:cs="Arial"/>
          <w:bCs/>
          <w:lang w:val="en-US" w:eastAsia="zh-CN"/>
        </w:rPr>
      </w:pPr>
      <w:r>
        <w:rPr>
          <w:rFonts w:ascii="Arial" w:eastAsia="DengXian" w:hAnsi="Arial" w:cs="Arial"/>
          <w:bCs/>
          <w:lang w:eastAsia="zh-CN"/>
        </w:rPr>
        <w:t>TSG </w:t>
      </w:r>
      <w:r>
        <w:rPr>
          <w:rFonts w:ascii="Arial" w:eastAsia="DengXian" w:hAnsi="Arial" w:cs="Arial" w:hint="eastAsia"/>
          <w:bCs/>
          <w:lang w:eastAsia="zh-CN"/>
        </w:rPr>
        <w:t>SA</w:t>
      </w:r>
      <w:r>
        <w:rPr>
          <w:rFonts w:ascii="Arial" w:eastAsia="DengXian" w:hAnsi="Arial" w:cs="Arial"/>
          <w:bCs/>
          <w:lang w:eastAsia="zh-CN"/>
        </w:rPr>
        <w:t> WG6</w:t>
      </w:r>
      <w:r>
        <w:rPr>
          <w:rFonts w:ascii="Arial" w:hAnsi="Arial" w:cs="Arial"/>
          <w:bCs/>
        </w:rPr>
        <w:t>#</w:t>
      </w:r>
      <w:r>
        <w:rPr>
          <w:rFonts w:ascii="Arial" w:eastAsia="DengXian" w:hAnsi="Arial" w:cs="Arial"/>
          <w:bCs/>
          <w:lang w:eastAsia="zh-CN"/>
        </w:rPr>
        <w:t>66</w:t>
      </w:r>
      <w:r>
        <w:rPr>
          <w:rFonts w:ascii="Arial" w:hAnsi="Arial" w:cs="Arial"/>
          <w:bCs/>
        </w:rPr>
        <w:tab/>
      </w:r>
      <w:r>
        <w:rPr>
          <w:rFonts w:ascii="Arial" w:eastAsia="SimSun" w:hAnsi="Arial" w:cs="Arial" w:hint="eastAsia"/>
          <w:bCs/>
          <w:lang w:val="en-US" w:eastAsia="zh-CN"/>
        </w:rPr>
        <w:tab/>
      </w:r>
      <w:r>
        <w:rPr>
          <w:rFonts w:ascii="Arial" w:hAnsi="Arial" w:cs="Arial"/>
          <w:bCs/>
        </w:rPr>
        <w:t>7</w:t>
      </w:r>
      <w:r w:rsidRPr="00A90373">
        <w:rPr>
          <w:rFonts w:ascii="Arial" w:hAnsi="Arial" w:cs="Arial"/>
          <w:bCs/>
          <w:vertAlign w:val="superscript"/>
        </w:rPr>
        <w:t>th</w:t>
      </w:r>
      <w:r>
        <w:rPr>
          <w:rFonts w:ascii="Arial" w:hAnsi="Arial" w:cs="Arial"/>
          <w:bCs/>
        </w:rPr>
        <w:t xml:space="preserve"> </w:t>
      </w:r>
      <w:r w:rsidRPr="002D5115">
        <w:rPr>
          <w:rFonts w:ascii="Arial" w:hAnsi="Arial" w:cs="Arial"/>
          <w:bCs/>
        </w:rPr>
        <w:t xml:space="preserve">– </w:t>
      </w:r>
      <w:r>
        <w:rPr>
          <w:rFonts w:ascii="Arial" w:hAnsi="Arial" w:cs="Arial"/>
          <w:bCs/>
        </w:rPr>
        <w:t>11</w:t>
      </w:r>
      <w:r w:rsidRPr="00105674">
        <w:rPr>
          <w:rFonts w:ascii="Arial" w:hAnsi="Arial" w:cs="Arial"/>
          <w:bCs/>
          <w:vertAlign w:val="superscript"/>
        </w:rPr>
        <w:t>th</w:t>
      </w:r>
      <w:r>
        <w:rPr>
          <w:rFonts w:ascii="Arial" w:hAnsi="Arial" w:cs="Arial"/>
          <w:bCs/>
        </w:rPr>
        <w:t xml:space="preserve"> April </w:t>
      </w:r>
      <w:r w:rsidRPr="002D5115">
        <w:rPr>
          <w:rFonts w:ascii="Arial" w:hAnsi="Arial" w:cs="Arial"/>
          <w:bCs/>
        </w:rPr>
        <w:t>202</w:t>
      </w:r>
      <w:r>
        <w:rPr>
          <w:rFonts w:ascii="Arial" w:hAnsi="Arial" w:cs="Arial"/>
          <w:bCs/>
        </w:rPr>
        <w:t>5</w:t>
      </w:r>
      <w:r>
        <w:rPr>
          <w:rFonts w:ascii="Arial" w:hAnsi="Arial" w:cs="Arial"/>
          <w:bCs/>
        </w:rPr>
        <w:tab/>
      </w:r>
      <w:r>
        <w:rPr>
          <w:rFonts w:ascii="Arial" w:hAnsi="Arial" w:cs="Arial"/>
          <w:bCs/>
        </w:rPr>
        <w:tab/>
        <w:t>Gothenburg, SE</w:t>
      </w:r>
    </w:p>
    <w:p w14:paraId="2D77F0B4" w14:textId="77777777" w:rsidR="008C3F2A" w:rsidRDefault="008C3F2A" w:rsidP="008C3F2A">
      <w:pPr>
        <w:rPr>
          <w:rFonts w:ascii="Arial" w:eastAsia="DengXian" w:hAnsi="Arial" w:cs="Arial"/>
          <w:bCs/>
          <w:lang w:val="en-US" w:eastAsia="zh-CN"/>
        </w:rPr>
      </w:pPr>
      <w:r>
        <w:rPr>
          <w:rFonts w:ascii="Arial" w:eastAsia="DengXian" w:hAnsi="Arial" w:cs="Arial"/>
          <w:bCs/>
          <w:lang w:eastAsia="zh-CN"/>
        </w:rPr>
        <w:t>TSG </w:t>
      </w:r>
      <w:r>
        <w:rPr>
          <w:rFonts w:ascii="Arial" w:eastAsia="DengXian" w:hAnsi="Arial" w:cs="Arial" w:hint="eastAsia"/>
          <w:bCs/>
          <w:lang w:eastAsia="zh-CN"/>
        </w:rPr>
        <w:t>SA</w:t>
      </w:r>
      <w:r>
        <w:rPr>
          <w:rFonts w:ascii="Arial" w:eastAsia="DengXian" w:hAnsi="Arial" w:cs="Arial"/>
          <w:bCs/>
          <w:lang w:eastAsia="zh-CN"/>
        </w:rPr>
        <w:t> WG6</w:t>
      </w:r>
      <w:r>
        <w:rPr>
          <w:rFonts w:ascii="Arial" w:hAnsi="Arial" w:cs="Arial"/>
          <w:bCs/>
        </w:rPr>
        <w:t>#</w:t>
      </w:r>
      <w:r>
        <w:rPr>
          <w:rFonts w:ascii="Arial" w:eastAsia="DengXian" w:hAnsi="Arial" w:cs="Arial"/>
          <w:bCs/>
          <w:lang w:eastAsia="zh-CN"/>
        </w:rPr>
        <w:t>67</w:t>
      </w:r>
      <w:r>
        <w:rPr>
          <w:rFonts w:ascii="Arial" w:hAnsi="Arial" w:cs="Arial"/>
          <w:bCs/>
        </w:rPr>
        <w:tab/>
      </w:r>
      <w:r>
        <w:rPr>
          <w:rFonts w:ascii="Arial" w:eastAsia="SimSun" w:hAnsi="Arial" w:cs="Arial" w:hint="eastAsia"/>
          <w:bCs/>
          <w:lang w:val="en-US" w:eastAsia="zh-CN"/>
        </w:rPr>
        <w:tab/>
      </w:r>
      <w:r>
        <w:rPr>
          <w:rFonts w:ascii="Arial" w:eastAsia="SimSun" w:hAnsi="Arial" w:cs="Arial"/>
          <w:bCs/>
          <w:lang w:val="en-US" w:eastAsia="zh-CN"/>
        </w:rPr>
        <w:t>19</w:t>
      </w:r>
      <w:r w:rsidRPr="00055C87">
        <w:rPr>
          <w:rFonts w:ascii="Arial" w:eastAsia="SimSun" w:hAnsi="Arial" w:cs="Arial"/>
          <w:bCs/>
          <w:vertAlign w:val="superscript"/>
          <w:lang w:val="en-US" w:eastAsia="zh-CN"/>
        </w:rPr>
        <w:t>th</w:t>
      </w:r>
      <w:r>
        <w:rPr>
          <w:rFonts w:ascii="Arial" w:hAnsi="Arial" w:cs="Arial"/>
          <w:bCs/>
        </w:rPr>
        <w:t xml:space="preserve"> </w:t>
      </w:r>
      <w:r w:rsidRPr="002D5115">
        <w:rPr>
          <w:rFonts w:ascii="Arial" w:hAnsi="Arial" w:cs="Arial"/>
          <w:bCs/>
        </w:rPr>
        <w:t xml:space="preserve">– </w:t>
      </w:r>
      <w:r>
        <w:rPr>
          <w:rFonts w:ascii="Arial" w:hAnsi="Arial" w:cs="Arial"/>
          <w:bCs/>
        </w:rPr>
        <w:t>23</w:t>
      </w:r>
      <w:r w:rsidRPr="00055C87">
        <w:rPr>
          <w:rFonts w:ascii="Arial" w:hAnsi="Arial" w:cs="Arial"/>
          <w:bCs/>
          <w:vertAlign w:val="superscript"/>
        </w:rPr>
        <w:t>rd</w:t>
      </w:r>
      <w:r>
        <w:rPr>
          <w:rFonts w:ascii="Arial" w:hAnsi="Arial" w:cs="Arial"/>
          <w:bCs/>
        </w:rPr>
        <w:t xml:space="preserve"> May </w:t>
      </w:r>
      <w:r w:rsidRPr="002D5115">
        <w:rPr>
          <w:rFonts w:ascii="Arial" w:hAnsi="Arial" w:cs="Arial"/>
          <w:bCs/>
        </w:rPr>
        <w:t>202</w:t>
      </w:r>
      <w:r>
        <w:rPr>
          <w:rFonts w:ascii="Arial" w:hAnsi="Arial" w:cs="Arial"/>
          <w:bCs/>
        </w:rPr>
        <w:t>5</w:t>
      </w:r>
      <w:r>
        <w:rPr>
          <w:rFonts w:ascii="Arial" w:hAnsi="Arial" w:cs="Arial"/>
          <w:bCs/>
        </w:rPr>
        <w:tab/>
      </w:r>
      <w:r>
        <w:rPr>
          <w:rFonts w:ascii="Arial" w:hAnsi="Arial" w:cs="Arial"/>
          <w:bCs/>
        </w:rPr>
        <w:tab/>
        <w:t>Fukuoka, JP</w:t>
      </w:r>
    </w:p>
    <w:p w14:paraId="6D59FCA2" w14:textId="77777777" w:rsidR="008C3F2A" w:rsidRPr="00E57325" w:rsidRDefault="008C3F2A" w:rsidP="008C3F2A">
      <w:pPr>
        <w:rPr>
          <w:rFonts w:ascii="Arial" w:eastAsia="DengXian" w:hAnsi="Arial" w:cs="Arial"/>
          <w:bCs/>
          <w:lang w:val="en-US" w:eastAsia="zh-CN"/>
        </w:rPr>
      </w:pPr>
      <w:r>
        <w:rPr>
          <w:rFonts w:ascii="Arial" w:hAnsi="Arial" w:cs="Arial"/>
          <w:bCs/>
        </w:rPr>
        <w:t>TSG </w:t>
      </w:r>
      <w:r>
        <w:rPr>
          <w:rFonts w:ascii="Arial" w:eastAsia="DengXian" w:hAnsi="Arial" w:cs="Arial" w:hint="eastAsia"/>
          <w:bCs/>
          <w:lang w:eastAsia="zh-CN"/>
        </w:rPr>
        <w:t>SA</w:t>
      </w:r>
      <w:r>
        <w:rPr>
          <w:rFonts w:ascii="Arial" w:hAnsi="Arial" w:cs="Arial"/>
          <w:bCs/>
        </w:rPr>
        <w:t>#</w:t>
      </w:r>
      <w:r>
        <w:rPr>
          <w:rFonts w:ascii="Arial" w:eastAsia="DengXian" w:hAnsi="Arial" w:cs="Arial" w:hint="eastAsia"/>
          <w:bCs/>
          <w:lang w:eastAsia="zh-CN"/>
        </w:rPr>
        <w:t>1</w:t>
      </w:r>
      <w:r>
        <w:rPr>
          <w:rFonts w:ascii="Arial" w:eastAsia="DengXian" w:hAnsi="Arial" w:cs="Arial"/>
          <w:bCs/>
          <w:lang w:eastAsia="zh-CN"/>
        </w:rPr>
        <w:t>08</w:t>
      </w:r>
      <w:r>
        <w:rPr>
          <w:rFonts w:ascii="Arial" w:hAnsi="Arial" w:cs="Arial"/>
          <w:bCs/>
        </w:rPr>
        <w:tab/>
      </w:r>
      <w:r>
        <w:rPr>
          <w:rFonts w:ascii="Arial" w:eastAsia="SimSun" w:hAnsi="Arial" w:cs="Arial" w:hint="eastAsia"/>
          <w:bCs/>
          <w:lang w:val="en-US" w:eastAsia="zh-CN"/>
        </w:rPr>
        <w:tab/>
      </w:r>
      <w:r>
        <w:rPr>
          <w:rFonts w:ascii="Arial" w:eastAsia="SimSun" w:hAnsi="Arial" w:cs="Arial"/>
          <w:bCs/>
          <w:lang w:val="en-US" w:eastAsia="zh-CN"/>
        </w:rPr>
        <w:tab/>
        <w:t>10</w:t>
      </w:r>
      <w:r w:rsidRPr="00E57325">
        <w:rPr>
          <w:rFonts w:ascii="Arial" w:eastAsia="SimSun" w:hAnsi="Arial" w:cs="Arial"/>
          <w:bCs/>
          <w:vertAlign w:val="superscript"/>
          <w:lang w:val="en-US" w:eastAsia="zh-CN"/>
        </w:rPr>
        <w:t>th</w:t>
      </w:r>
      <w:r>
        <w:rPr>
          <w:rFonts w:ascii="Arial" w:hAnsi="Arial" w:cs="Arial"/>
          <w:bCs/>
        </w:rPr>
        <w:t xml:space="preserve"> </w:t>
      </w:r>
      <w:r w:rsidRPr="002D5115">
        <w:rPr>
          <w:rFonts w:ascii="Arial" w:hAnsi="Arial" w:cs="Arial"/>
          <w:bCs/>
        </w:rPr>
        <w:t xml:space="preserve">– </w:t>
      </w:r>
      <w:r>
        <w:rPr>
          <w:rFonts w:ascii="Arial" w:hAnsi="Arial" w:cs="Arial"/>
          <w:bCs/>
        </w:rPr>
        <w:t>13</w:t>
      </w:r>
      <w:r w:rsidRPr="00E57325">
        <w:rPr>
          <w:rFonts w:ascii="Arial" w:hAnsi="Arial" w:cs="Arial"/>
          <w:bCs/>
          <w:vertAlign w:val="superscript"/>
        </w:rPr>
        <w:t>th</w:t>
      </w:r>
      <w:r>
        <w:rPr>
          <w:rFonts w:ascii="Arial" w:hAnsi="Arial" w:cs="Arial"/>
          <w:bCs/>
        </w:rPr>
        <w:t xml:space="preserve"> June 202</w:t>
      </w:r>
      <w:r>
        <w:rPr>
          <w:rFonts w:ascii="Arial" w:eastAsia="SimSun" w:hAnsi="Arial" w:cs="Arial" w:hint="eastAsia"/>
          <w:bCs/>
          <w:lang w:val="en-US" w:eastAsia="zh-CN"/>
        </w:rPr>
        <w:t>5</w:t>
      </w:r>
      <w:r>
        <w:rPr>
          <w:rFonts w:ascii="Arial" w:eastAsia="DengXian" w:hAnsi="Arial" w:cs="Arial" w:hint="eastAsia"/>
          <w:bCs/>
          <w:lang w:eastAsia="zh-CN"/>
        </w:rPr>
        <w:tab/>
      </w:r>
      <w:r>
        <w:rPr>
          <w:rFonts w:ascii="Arial" w:eastAsia="DengXian" w:hAnsi="Arial" w:cs="Arial" w:hint="eastAsia"/>
          <w:bCs/>
          <w:lang w:val="en-US" w:eastAsia="zh-CN"/>
        </w:rPr>
        <w:tab/>
      </w:r>
      <w:r>
        <w:rPr>
          <w:rFonts w:ascii="Arial" w:eastAsia="DengXian" w:hAnsi="Arial" w:cs="Arial"/>
          <w:bCs/>
          <w:lang w:val="en-US" w:eastAsia="zh-CN"/>
        </w:rPr>
        <w:t>Prague</w:t>
      </w:r>
      <w:r>
        <w:rPr>
          <w:rFonts w:ascii="Arial" w:eastAsia="DengXian" w:hAnsi="Arial" w:cs="Arial" w:hint="eastAsia"/>
          <w:bCs/>
          <w:lang w:val="en-US" w:eastAsia="zh-CN"/>
        </w:rPr>
        <w:t xml:space="preserve">, </w:t>
      </w:r>
      <w:r>
        <w:rPr>
          <w:rFonts w:ascii="Arial" w:eastAsia="DengXian" w:hAnsi="Arial" w:cs="Arial"/>
          <w:bCs/>
          <w:lang w:val="en-US" w:eastAsia="zh-CN"/>
        </w:rPr>
        <w:t>CZ</w:t>
      </w:r>
    </w:p>
    <w:p w14:paraId="08169D57" w14:textId="77777777" w:rsidR="00BE4B34" w:rsidRDefault="00BE4B34" w:rsidP="00BE4B34">
      <w:pPr>
        <w:rPr>
          <w:lang w:val="en-US"/>
        </w:rPr>
      </w:pPr>
    </w:p>
    <w:p w14:paraId="7EB66E6A" w14:textId="3103601D" w:rsidR="0078121E" w:rsidRPr="008C3F2A" w:rsidRDefault="0078121E" w:rsidP="0078121E">
      <w:pPr>
        <w:jc w:val="center"/>
        <w:rPr>
          <w:lang w:val="en-US"/>
        </w:rPr>
      </w:pPr>
      <w:r>
        <w:rPr>
          <w:lang w:val="en-US"/>
        </w:rPr>
        <w:t>_____________________</w:t>
      </w:r>
    </w:p>
    <w:sectPr w:rsidR="0078121E" w:rsidRPr="008C3F2A" w:rsidSect="008C3F2A">
      <w:headerReference w:type="default" r:id="rId23"/>
      <w:pgSz w:w="11907" w:h="16840"/>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BA4E" w14:textId="77777777" w:rsidR="003957BB" w:rsidRDefault="003957BB">
      <w:pPr>
        <w:spacing w:before="0"/>
      </w:pPr>
      <w:r>
        <w:separator/>
      </w:r>
    </w:p>
  </w:endnote>
  <w:endnote w:type="continuationSeparator" w:id="0">
    <w:p w14:paraId="5145304F" w14:textId="77777777" w:rsidR="003957BB" w:rsidRDefault="003957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A0C5" w14:textId="77777777" w:rsidR="003957BB" w:rsidRDefault="003957BB">
      <w:pPr>
        <w:spacing w:before="0"/>
      </w:pPr>
      <w:r>
        <w:separator/>
      </w:r>
    </w:p>
  </w:footnote>
  <w:footnote w:type="continuationSeparator" w:id="0">
    <w:p w14:paraId="0D96CAC6" w14:textId="77777777" w:rsidR="003957BB" w:rsidRDefault="003957B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5377" w14:textId="7B3F0D3E" w:rsidR="00C96F13" w:rsidRPr="00BE4B34" w:rsidRDefault="00BE4B34" w:rsidP="00BE4B34">
    <w:pPr>
      <w:pStyle w:val="Header"/>
    </w:pPr>
    <w:r w:rsidRPr="00BE4B34">
      <w:t xml:space="preserve">- </w:t>
    </w:r>
    <w:r w:rsidRPr="00BE4B34">
      <w:fldChar w:fldCharType="begin"/>
    </w:r>
    <w:r w:rsidRPr="00BE4B34">
      <w:instrText xml:space="preserve"> PAGE  \* MERGEFORMAT </w:instrText>
    </w:r>
    <w:r w:rsidRPr="00BE4B34">
      <w:fldChar w:fldCharType="separate"/>
    </w:r>
    <w:r w:rsidRPr="00BE4B34">
      <w:rPr>
        <w:noProof/>
      </w:rPr>
      <w:t>1</w:t>
    </w:r>
    <w:r w:rsidRPr="00BE4B34">
      <w:fldChar w:fldCharType="end"/>
    </w:r>
    <w:r w:rsidRPr="00BE4B34">
      <w:t xml:space="preserve"> -</w:t>
    </w:r>
  </w:p>
  <w:p w14:paraId="431EA1EC" w14:textId="55202A1A" w:rsidR="00BE4B34" w:rsidRPr="00BE4B34" w:rsidRDefault="00BE4B34" w:rsidP="00BE4B34">
    <w:pPr>
      <w:pStyle w:val="Header"/>
      <w:spacing w:after="240"/>
    </w:pPr>
    <w:r w:rsidRPr="00BE4B34">
      <w:fldChar w:fldCharType="begin"/>
    </w:r>
    <w:r w:rsidRPr="00BE4B34">
      <w:instrText xml:space="preserve"> STYLEREF  Docnumber  </w:instrText>
    </w:r>
    <w:r w:rsidRPr="00BE4B34">
      <w:fldChar w:fldCharType="separate"/>
    </w:r>
    <w:r w:rsidR="00E529A0">
      <w:rPr>
        <w:noProof/>
      </w:rPr>
      <w:t>TSAG-TD42</w:t>
    </w:r>
    <w:r w:rsidRPr="00BE4B3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1A80528"/>
    <w:multiLevelType w:val="hybridMultilevel"/>
    <w:tmpl w:val="72827F5E"/>
    <w:lvl w:ilvl="0" w:tplc="1000000F">
      <w:start w:val="1"/>
      <w:numFmt w:val="decimal"/>
      <w:lvlText w:val="%1."/>
      <w:lvlJc w:val="left"/>
      <w:pPr>
        <w:ind w:left="360" w:hanging="360"/>
      </w:pPr>
    </w:lvl>
    <w:lvl w:ilvl="1" w:tplc="10000001">
      <w:start w:val="1"/>
      <w:numFmt w:val="bullet"/>
      <w:lvlText w:val=""/>
      <w:lvlJc w:val="left"/>
      <w:pPr>
        <w:ind w:left="1080" w:hanging="360"/>
      </w:pPr>
      <w:rPr>
        <w:rFonts w:ascii="Symbol" w:hAnsi="Symbol" w:hint="default"/>
      </w:r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5024F"/>
    <w:multiLevelType w:val="hybridMultilevel"/>
    <w:tmpl w:val="791456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1952559">
    <w:abstractNumId w:val="3"/>
  </w:num>
  <w:num w:numId="2" w16cid:durableId="1776094839">
    <w:abstractNumId w:val="5"/>
  </w:num>
  <w:num w:numId="3" w16cid:durableId="629243166">
    <w:abstractNumId w:val="8"/>
  </w:num>
  <w:num w:numId="4" w16cid:durableId="1951278267">
    <w:abstractNumId w:val="9"/>
  </w:num>
  <w:num w:numId="5" w16cid:durableId="1983382669">
    <w:abstractNumId w:val="6"/>
  </w:num>
  <w:num w:numId="6" w16cid:durableId="1143472275">
    <w:abstractNumId w:val="2"/>
  </w:num>
  <w:num w:numId="7" w16cid:durableId="456140055">
    <w:abstractNumId w:val="7"/>
  </w:num>
  <w:num w:numId="8" w16cid:durableId="682585529">
    <w:abstractNumId w:val="4"/>
  </w:num>
  <w:num w:numId="9" w16cid:durableId="922682426">
    <w:abstractNumId w:val="1"/>
  </w:num>
  <w:num w:numId="10" w16cid:durableId="95291119">
    <w:abstractNumId w:val="0"/>
  </w:num>
  <w:num w:numId="11" w16cid:durableId="795565399">
    <w:abstractNumId w:val="10"/>
  </w:num>
  <w:num w:numId="12" w16cid:durableId="609438050">
    <w:abstractNumId w:val="11"/>
  </w:num>
  <w:num w:numId="13" w16cid:durableId="1072311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13125"/>
    <w:rsid w:val="00014F69"/>
    <w:rsid w:val="000171DB"/>
    <w:rsid w:val="00023D9A"/>
    <w:rsid w:val="00027FED"/>
    <w:rsid w:val="00031C9B"/>
    <w:rsid w:val="0003247A"/>
    <w:rsid w:val="0003582E"/>
    <w:rsid w:val="00043D75"/>
    <w:rsid w:val="0004587A"/>
    <w:rsid w:val="00057000"/>
    <w:rsid w:val="00061268"/>
    <w:rsid w:val="0006224D"/>
    <w:rsid w:val="000640E0"/>
    <w:rsid w:val="000920CE"/>
    <w:rsid w:val="000966A8"/>
    <w:rsid w:val="000A5CA2"/>
    <w:rsid w:val="000B22C6"/>
    <w:rsid w:val="000B739D"/>
    <w:rsid w:val="000C397B"/>
    <w:rsid w:val="000E303F"/>
    <w:rsid w:val="000E6125"/>
    <w:rsid w:val="00113DBE"/>
    <w:rsid w:val="001200A6"/>
    <w:rsid w:val="00124A40"/>
    <w:rsid w:val="001251DA"/>
    <w:rsid w:val="00125432"/>
    <w:rsid w:val="001257C9"/>
    <w:rsid w:val="00136A04"/>
    <w:rsid w:val="00136DDD"/>
    <w:rsid w:val="00137F40"/>
    <w:rsid w:val="001410FD"/>
    <w:rsid w:val="00144BDF"/>
    <w:rsid w:val="00155DDC"/>
    <w:rsid w:val="00161830"/>
    <w:rsid w:val="00186213"/>
    <w:rsid w:val="001871EC"/>
    <w:rsid w:val="00190928"/>
    <w:rsid w:val="001A20C3"/>
    <w:rsid w:val="001A670F"/>
    <w:rsid w:val="001B3A24"/>
    <w:rsid w:val="001B6A45"/>
    <w:rsid w:val="001C3F48"/>
    <w:rsid w:val="001C62B8"/>
    <w:rsid w:val="001D22D8"/>
    <w:rsid w:val="001D4296"/>
    <w:rsid w:val="001E01F8"/>
    <w:rsid w:val="001E7B0E"/>
    <w:rsid w:val="001F141D"/>
    <w:rsid w:val="00200310"/>
    <w:rsid w:val="00200A06"/>
    <w:rsid w:val="00200A98"/>
    <w:rsid w:val="00201AFA"/>
    <w:rsid w:val="002229F1"/>
    <w:rsid w:val="00233F75"/>
    <w:rsid w:val="0023590C"/>
    <w:rsid w:val="00236F3D"/>
    <w:rsid w:val="00253DBE"/>
    <w:rsid w:val="00253DC6"/>
    <w:rsid w:val="0025489C"/>
    <w:rsid w:val="002622FA"/>
    <w:rsid w:val="00263518"/>
    <w:rsid w:val="00263B33"/>
    <w:rsid w:val="002759E7"/>
    <w:rsid w:val="002760EE"/>
    <w:rsid w:val="00277326"/>
    <w:rsid w:val="002A11C4"/>
    <w:rsid w:val="002A399B"/>
    <w:rsid w:val="002B3243"/>
    <w:rsid w:val="002C26C0"/>
    <w:rsid w:val="002C2BC5"/>
    <w:rsid w:val="002C502A"/>
    <w:rsid w:val="002C5CC0"/>
    <w:rsid w:val="002C71BB"/>
    <w:rsid w:val="002D6447"/>
    <w:rsid w:val="002E0407"/>
    <w:rsid w:val="002E3C52"/>
    <w:rsid w:val="002E4F1D"/>
    <w:rsid w:val="002E79CB"/>
    <w:rsid w:val="002F4181"/>
    <w:rsid w:val="002F5070"/>
    <w:rsid w:val="002F7F55"/>
    <w:rsid w:val="003039D6"/>
    <w:rsid w:val="0030745F"/>
    <w:rsid w:val="00314630"/>
    <w:rsid w:val="0032090A"/>
    <w:rsid w:val="00321CDE"/>
    <w:rsid w:val="00331A1D"/>
    <w:rsid w:val="00333E15"/>
    <w:rsid w:val="003449F4"/>
    <w:rsid w:val="00345378"/>
    <w:rsid w:val="0034538A"/>
    <w:rsid w:val="003571BC"/>
    <w:rsid w:val="0036090C"/>
    <w:rsid w:val="00361116"/>
    <w:rsid w:val="00362562"/>
    <w:rsid w:val="00363723"/>
    <w:rsid w:val="00372666"/>
    <w:rsid w:val="0037663C"/>
    <w:rsid w:val="00385FB5"/>
    <w:rsid w:val="0038715D"/>
    <w:rsid w:val="00394DBF"/>
    <w:rsid w:val="003957A6"/>
    <w:rsid w:val="003957BB"/>
    <w:rsid w:val="00396E45"/>
    <w:rsid w:val="003A05AE"/>
    <w:rsid w:val="003A43EF"/>
    <w:rsid w:val="003B4CF8"/>
    <w:rsid w:val="003C7445"/>
    <w:rsid w:val="003D0336"/>
    <w:rsid w:val="003E1F8C"/>
    <w:rsid w:val="003E39A2"/>
    <w:rsid w:val="003E57AB"/>
    <w:rsid w:val="003E7207"/>
    <w:rsid w:val="003F2BED"/>
    <w:rsid w:val="003F5531"/>
    <w:rsid w:val="00400B49"/>
    <w:rsid w:val="00414B7D"/>
    <w:rsid w:val="00433B03"/>
    <w:rsid w:val="00443878"/>
    <w:rsid w:val="00450E01"/>
    <w:rsid w:val="004539A8"/>
    <w:rsid w:val="004712CA"/>
    <w:rsid w:val="00473782"/>
    <w:rsid w:val="00474011"/>
    <w:rsid w:val="0047422E"/>
    <w:rsid w:val="0049090D"/>
    <w:rsid w:val="00490BA8"/>
    <w:rsid w:val="00492656"/>
    <w:rsid w:val="0049674B"/>
    <w:rsid w:val="004B7C02"/>
    <w:rsid w:val="004C024C"/>
    <w:rsid w:val="004C0673"/>
    <w:rsid w:val="004C3904"/>
    <w:rsid w:val="004C4E4E"/>
    <w:rsid w:val="004E22AB"/>
    <w:rsid w:val="004F23BA"/>
    <w:rsid w:val="004F3816"/>
    <w:rsid w:val="0050586A"/>
    <w:rsid w:val="00520DBF"/>
    <w:rsid w:val="0053731C"/>
    <w:rsid w:val="0054270E"/>
    <w:rsid w:val="00543D41"/>
    <w:rsid w:val="00556A5B"/>
    <w:rsid w:val="00562F95"/>
    <w:rsid w:val="00566EDA"/>
    <w:rsid w:val="0057081A"/>
    <w:rsid w:val="00572654"/>
    <w:rsid w:val="00574D74"/>
    <w:rsid w:val="005976A1"/>
    <w:rsid w:val="005A2A1A"/>
    <w:rsid w:val="005A580D"/>
    <w:rsid w:val="005B4C77"/>
    <w:rsid w:val="005B5629"/>
    <w:rsid w:val="005B6B78"/>
    <w:rsid w:val="005C0300"/>
    <w:rsid w:val="005C27A2"/>
    <w:rsid w:val="005D4FEB"/>
    <w:rsid w:val="005F4B6A"/>
    <w:rsid w:val="006010F3"/>
    <w:rsid w:val="0060304A"/>
    <w:rsid w:val="00606DB6"/>
    <w:rsid w:val="00615A0A"/>
    <w:rsid w:val="00626673"/>
    <w:rsid w:val="006333D4"/>
    <w:rsid w:val="006369B2"/>
    <w:rsid w:val="0063718D"/>
    <w:rsid w:val="00637800"/>
    <w:rsid w:val="00647525"/>
    <w:rsid w:val="00647A71"/>
    <w:rsid w:val="00652D9F"/>
    <w:rsid w:val="006570B0"/>
    <w:rsid w:val="0066022F"/>
    <w:rsid w:val="006813BC"/>
    <w:rsid w:val="00681513"/>
    <w:rsid w:val="006823F3"/>
    <w:rsid w:val="0069210B"/>
    <w:rsid w:val="00692AB1"/>
    <w:rsid w:val="00695A8E"/>
    <w:rsid w:val="00695DD7"/>
    <w:rsid w:val="00695FC2"/>
    <w:rsid w:val="006A4055"/>
    <w:rsid w:val="006A6DA0"/>
    <w:rsid w:val="006A7C27"/>
    <w:rsid w:val="006B2FE4"/>
    <w:rsid w:val="006B37B0"/>
    <w:rsid w:val="006C5641"/>
    <w:rsid w:val="006D1089"/>
    <w:rsid w:val="006D1B86"/>
    <w:rsid w:val="006D3F6B"/>
    <w:rsid w:val="006D7355"/>
    <w:rsid w:val="006E44F2"/>
    <w:rsid w:val="006F7DEE"/>
    <w:rsid w:val="00715551"/>
    <w:rsid w:val="00715CA6"/>
    <w:rsid w:val="007277EB"/>
    <w:rsid w:val="00731135"/>
    <w:rsid w:val="007324AF"/>
    <w:rsid w:val="00737C09"/>
    <w:rsid w:val="00740128"/>
    <w:rsid w:val="007409B4"/>
    <w:rsid w:val="00741974"/>
    <w:rsid w:val="00747D50"/>
    <w:rsid w:val="00754192"/>
    <w:rsid w:val="0075525E"/>
    <w:rsid w:val="00756D3D"/>
    <w:rsid w:val="00761CF5"/>
    <w:rsid w:val="007806C2"/>
    <w:rsid w:val="0078121E"/>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6C6D"/>
    <w:rsid w:val="00837203"/>
    <w:rsid w:val="00842137"/>
    <w:rsid w:val="00853F5F"/>
    <w:rsid w:val="008623ED"/>
    <w:rsid w:val="00864B5A"/>
    <w:rsid w:val="00872559"/>
    <w:rsid w:val="00874AA3"/>
    <w:rsid w:val="00875AA6"/>
    <w:rsid w:val="00880944"/>
    <w:rsid w:val="0089088E"/>
    <w:rsid w:val="00892297"/>
    <w:rsid w:val="008964D6"/>
    <w:rsid w:val="00897A59"/>
    <w:rsid w:val="008A58E2"/>
    <w:rsid w:val="008B067C"/>
    <w:rsid w:val="008B5123"/>
    <w:rsid w:val="008B72EF"/>
    <w:rsid w:val="008C3F2A"/>
    <w:rsid w:val="008D098D"/>
    <w:rsid w:val="008E0172"/>
    <w:rsid w:val="008E22DA"/>
    <w:rsid w:val="008F23BF"/>
    <w:rsid w:val="008F737B"/>
    <w:rsid w:val="00900EF1"/>
    <w:rsid w:val="009010AF"/>
    <w:rsid w:val="009025BF"/>
    <w:rsid w:val="00906CD2"/>
    <w:rsid w:val="00921732"/>
    <w:rsid w:val="009302DE"/>
    <w:rsid w:val="00930A63"/>
    <w:rsid w:val="00932746"/>
    <w:rsid w:val="00934F5D"/>
    <w:rsid w:val="00936852"/>
    <w:rsid w:val="0094045D"/>
    <w:rsid w:val="009406B5"/>
    <w:rsid w:val="00946166"/>
    <w:rsid w:val="009507EC"/>
    <w:rsid w:val="009608A3"/>
    <w:rsid w:val="00972C64"/>
    <w:rsid w:val="00983164"/>
    <w:rsid w:val="00991626"/>
    <w:rsid w:val="009972EF"/>
    <w:rsid w:val="009A7724"/>
    <w:rsid w:val="009B5035"/>
    <w:rsid w:val="009C3160"/>
    <w:rsid w:val="009D5DDD"/>
    <w:rsid w:val="009E09A8"/>
    <w:rsid w:val="009E766E"/>
    <w:rsid w:val="009F1960"/>
    <w:rsid w:val="009F2C64"/>
    <w:rsid w:val="009F715E"/>
    <w:rsid w:val="00A016C1"/>
    <w:rsid w:val="00A10DBB"/>
    <w:rsid w:val="00A11720"/>
    <w:rsid w:val="00A21247"/>
    <w:rsid w:val="00A31D47"/>
    <w:rsid w:val="00A4013E"/>
    <w:rsid w:val="00A4045F"/>
    <w:rsid w:val="00A409D9"/>
    <w:rsid w:val="00A427CD"/>
    <w:rsid w:val="00A45FEE"/>
    <w:rsid w:val="00A4600B"/>
    <w:rsid w:val="00A50506"/>
    <w:rsid w:val="00A50557"/>
    <w:rsid w:val="00A51EF0"/>
    <w:rsid w:val="00A67A81"/>
    <w:rsid w:val="00A730A6"/>
    <w:rsid w:val="00A757B9"/>
    <w:rsid w:val="00A84724"/>
    <w:rsid w:val="00A971A0"/>
    <w:rsid w:val="00AA1F22"/>
    <w:rsid w:val="00AE1232"/>
    <w:rsid w:val="00AF5A57"/>
    <w:rsid w:val="00AF735D"/>
    <w:rsid w:val="00B024D7"/>
    <w:rsid w:val="00B05821"/>
    <w:rsid w:val="00B07B2F"/>
    <w:rsid w:val="00B100D6"/>
    <w:rsid w:val="00B164C9"/>
    <w:rsid w:val="00B26C28"/>
    <w:rsid w:val="00B30F21"/>
    <w:rsid w:val="00B376D2"/>
    <w:rsid w:val="00B4174C"/>
    <w:rsid w:val="00B42C5A"/>
    <w:rsid w:val="00B453F5"/>
    <w:rsid w:val="00B532CE"/>
    <w:rsid w:val="00B61624"/>
    <w:rsid w:val="00B66481"/>
    <w:rsid w:val="00B7189C"/>
    <w:rsid w:val="00B718A5"/>
    <w:rsid w:val="00B80CE8"/>
    <w:rsid w:val="00B90AD6"/>
    <w:rsid w:val="00B9283E"/>
    <w:rsid w:val="00BA788A"/>
    <w:rsid w:val="00BB4983"/>
    <w:rsid w:val="00BB7597"/>
    <w:rsid w:val="00BC2AAB"/>
    <w:rsid w:val="00BC62E2"/>
    <w:rsid w:val="00BD3504"/>
    <w:rsid w:val="00BE09D5"/>
    <w:rsid w:val="00BE4B34"/>
    <w:rsid w:val="00BF02DC"/>
    <w:rsid w:val="00BF03D0"/>
    <w:rsid w:val="00BF1C1D"/>
    <w:rsid w:val="00C1532F"/>
    <w:rsid w:val="00C37820"/>
    <w:rsid w:val="00C42125"/>
    <w:rsid w:val="00C62814"/>
    <w:rsid w:val="00C62BE6"/>
    <w:rsid w:val="00C67770"/>
    <w:rsid w:val="00C67B25"/>
    <w:rsid w:val="00C748F7"/>
    <w:rsid w:val="00C74937"/>
    <w:rsid w:val="00C91535"/>
    <w:rsid w:val="00C96F13"/>
    <w:rsid w:val="00CA51E3"/>
    <w:rsid w:val="00CA6409"/>
    <w:rsid w:val="00CB2599"/>
    <w:rsid w:val="00CD2139"/>
    <w:rsid w:val="00CD2497"/>
    <w:rsid w:val="00CD6848"/>
    <w:rsid w:val="00CE1E6E"/>
    <w:rsid w:val="00CE5986"/>
    <w:rsid w:val="00CF34C4"/>
    <w:rsid w:val="00D02972"/>
    <w:rsid w:val="00D11885"/>
    <w:rsid w:val="00D134EA"/>
    <w:rsid w:val="00D45D31"/>
    <w:rsid w:val="00D647EF"/>
    <w:rsid w:val="00D73137"/>
    <w:rsid w:val="00D745B2"/>
    <w:rsid w:val="00D80DD9"/>
    <w:rsid w:val="00D900AE"/>
    <w:rsid w:val="00D9232D"/>
    <w:rsid w:val="00D954E1"/>
    <w:rsid w:val="00D977A2"/>
    <w:rsid w:val="00DA1D47"/>
    <w:rsid w:val="00DA2F4F"/>
    <w:rsid w:val="00DC5BCD"/>
    <w:rsid w:val="00DC7592"/>
    <w:rsid w:val="00DC774A"/>
    <w:rsid w:val="00DD50DE"/>
    <w:rsid w:val="00DE3062"/>
    <w:rsid w:val="00DE729D"/>
    <w:rsid w:val="00E04C24"/>
    <w:rsid w:val="00E0581D"/>
    <w:rsid w:val="00E204DD"/>
    <w:rsid w:val="00E30A80"/>
    <w:rsid w:val="00E353EC"/>
    <w:rsid w:val="00E51323"/>
    <w:rsid w:val="00E51F61"/>
    <w:rsid w:val="00E529A0"/>
    <w:rsid w:val="00E53C24"/>
    <w:rsid w:val="00E56E77"/>
    <w:rsid w:val="00E66AE7"/>
    <w:rsid w:val="00E71046"/>
    <w:rsid w:val="00E72E36"/>
    <w:rsid w:val="00E86152"/>
    <w:rsid w:val="00E87795"/>
    <w:rsid w:val="00EB2601"/>
    <w:rsid w:val="00EB4145"/>
    <w:rsid w:val="00EB444D"/>
    <w:rsid w:val="00ED5B66"/>
    <w:rsid w:val="00EE0348"/>
    <w:rsid w:val="00EE5C0D"/>
    <w:rsid w:val="00EF4792"/>
    <w:rsid w:val="00F02294"/>
    <w:rsid w:val="00F30DE7"/>
    <w:rsid w:val="00F35A91"/>
    <w:rsid w:val="00F35F57"/>
    <w:rsid w:val="00F376EC"/>
    <w:rsid w:val="00F44D3D"/>
    <w:rsid w:val="00F50467"/>
    <w:rsid w:val="00F562A0"/>
    <w:rsid w:val="00F57FA4"/>
    <w:rsid w:val="00F61BE4"/>
    <w:rsid w:val="00F732C6"/>
    <w:rsid w:val="00F876AA"/>
    <w:rsid w:val="00F906D1"/>
    <w:rsid w:val="00FA02CB"/>
    <w:rsid w:val="00FA2177"/>
    <w:rsid w:val="00FB0783"/>
    <w:rsid w:val="00FB7A8B"/>
    <w:rsid w:val="00FC476C"/>
    <w:rsid w:val="00FD439E"/>
    <w:rsid w:val="00FD6601"/>
    <w:rsid w:val="00FD76CB"/>
    <w:rsid w:val="00FE152B"/>
    <w:rsid w:val="00FE239E"/>
    <w:rsid w:val="00FE3437"/>
    <w:rsid w:val="00FF2096"/>
    <w:rsid w:val="00FF4546"/>
    <w:rsid w:val="00FF5094"/>
    <w:rsid w:val="00FF538F"/>
    <w:rsid w:val="02997088"/>
    <w:rsid w:val="03724D93"/>
    <w:rsid w:val="03C721E8"/>
    <w:rsid w:val="03D21514"/>
    <w:rsid w:val="04CD61FB"/>
    <w:rsid w:val="0BFB2491"/>
    <w:rsid w:val="0D22036D"/>
    <w:rsid w:val="0F361881"/>
    <w:rsid w:val="11F8418B"/>
    <w:rsid w:val="123D5196"/>
    <w:rsid w:val="17826121"/>
    <w:rsid w:val="17A675DA"/>
    <w:rsid w:val="1B26565D"/>
    <w:rsid w:val="1FCF25FA"/>
    <w:rsid w:val="22DD33C3"/>
    <w:rsid w:val="24C10D89"/>
    <w:rsid w:val="28EE24EE"/>
    <w:rsid w:val="2D017143"/>
    <w:rsid w:val="31E55EBE"/>
    <w:rsid w:val="376B04C3"/>
    <w:rsid w:val="3B7EA76E"/>
    <w:rsid w:val="3E487F05"/>
    <w:rsid w:val="3FBB41BD"/>
    <w:rsid w:val="3FF872C0"/>
    <w:rsid w:val="40F02491"/>
    <w:rsid w:val="485A4042"/>
    <w:rsid w:val="4A610CF0"/>
    <w:rsid w:val="4CB23A4E"/>
    <w:rsid w:val="4D1E49E7"/>
    <w:rsid w:val="4D381312"/>
    <w:rsid w:val="4DCF7936"/>
    <w:rsid w:val="4EED759E"/>
    <w:rsid w:val="54F77777"/>
    <w:rsid w:val="56523200"/>
    <w:rsid w:val="56C553EB"/>
    <w:rsid w:val="57453348"/>
    <w:rsid w:val="579A0B55"/>
    <w:rsid w:val="5AE74005"/>
    <w:rsid w:val="5EAE36E1"/>
    <w:rsid w:val="6005622D"/>
    <w:rsid w:val="63A65991"/>
    <w:rsid w:val="69B33DF8"/>
    <w:rsid w:val="6AFA635B"/>
    <w:rsid w:val="6D25309C"/>
    <w:rsid w:val="6F793947"/>
    <w:rsid w:val="79386064"/>
    <w:rsid w:val="7C483B7B"/>
    <w:rsid w:val="7F65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270F9"/>
  <w15:docId w15:val="{93A66236-D9F5-414A-AE68-1E5469A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Times New Roman"/>
      <w:lang w:val="en-GB"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semiHidden/>
    <w:unhideWhenUsed/>
    <w:qFormat/>
    <w:pPr>
      <w:spacing w:after="100"/>
      <w:ind w:left="1440"/>
    </w:pPr>
  </w:style>
  <w:style w:type="paragraph" w:styleId="ListNumber2">
    <w:name w:val="List Number 2"/>
    <w:basedOn w:val="Normal"/>
    <w:uiPriority w:val="99"/>
    <w:semiHidden/>
    <w:unhideWhenUsed/>
    <w:qFormat/>
    <w:pPr>
      <w:numPr>
        <w:numId w:val="1"/>
      </w:numPr>
      <w:tabs>
        <w:tab w:val="clear" w:pos="643"/>
        <w:tab w:val="num" w:pos="360"/>
      </w:tabs>
      <w:ind w:left="0" w:firstLine="0"/>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tabs>
        <w:tab w:val="clear" w:pos="1209"/>
        <w:tab w:val="num" w:pos="360"/>
      </w:tabs>
      <w:ind w:left="0" w:firstLine="0"/>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tabs>
        <w:tab w:val="num" w:pos="360"/>
      </w:tabs>
      <w:ind w:left="0" w:firstLine="0"/>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qFormat/>
    <w:rPr>
      <w:sz w:val="20"/>
      <w:szCs w:val="20"/>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Normal"/>
    <w:next w:val="Normal"/>
    <w:uiPriority w:val="39"/>
    <w:semiHidden/>
    <w:unhideWhenUsed/>
    <w:qFormat/>
    <w:pPr>
      <w:spacing w:after="100"/>
      <w:ind w:left="960"/>
    </w:pPr>
  </w:style>
  <w:style w:type="paragraph" w:styleId="TOC3">
    <w:name w:val="toc 3"/>
    <w:basedOn w:val="TOC2"/>
    <w:next w:val="Normal"/>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680"/>
    </w:pPr>
  </w:style>
  <w:style w:type="paragraph" w:styleId="Index3">
    <w:name w:val="index 3"/>
    <w:basedOn w:val="Normal"/>
    <w:next w:val="Normal"/>
    <w:uiPriority w:val="99"/>
    <w:semiHidden/>
    <w:unhideWhenUsed/>
    <w:qFormat/>
    <w:pPr>
      <w:spacing w:before="0"/>
      <w:ind w:left="720" w:hanging="24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szCs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szCs w:val="20"/>
    </w:rPr>
  </w:style>
  <w:style w:type="paragraph" w:styleId="Header">
    <w:name w:val="header"/>
    <w:basedOn w:val="Normal"/>
    <w:link w:val="HeaderChar"/>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Normal"/>
    <w:next w:val="Normal"/>
    <w:uiPriority w:val="39"/>
    <w:semiHidden/>
    <w:unhideWhenUsed/>
    <w:qFormat/>
    <w:pPr>
      <w:spacing w:after="100"/>
      <w:ind w:left="72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spacing w:before="0"/>
      <w:ind w:left="240" w:hanging="240"/>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before="0"/>
    </w:pPr>
    <w:rPr>
      <w:sz w:val="20"/>
      <w:szCs w:val="20"/>
    </w:rPr>
  </w:style>
  <w:style w:type="paragraph" w:styleId="TOC6">
    <w:name w:val="toc 6"/>
    <w:basedOn w:val="Normal"/>
    <w:next w:val="Normal"/>
    <w:uiPriority w:val="39"/>
    <w:semiHidden/>
    <w:unhideWhenUsed/>
    <w:qFormat/>
    <w:pPr>
      <w:spacing w:after="100"/>
      <w:ind w:left="1200"/>
    </w:pPr>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Normal"/>
    <w:next w:val="Normal"/>
    <w:uiPriority w:val="39"/>
    <w:semiHidden/>
    <w:unhideWhenUsed/>
    <w:qFormat/>
    <w:pPr>
      <w:spacing w:after="100"/>
      <w:ind w:left="192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szCs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uiPriority w:val="99"/>
    <w:semiHidden/>
    <w:unhideWhenUsed/>
    <w:qFormat/>
    <w:pPr>
      <w:spacing w:before="0"/>
      <w:ind w:left="480" w:hanging="240"/>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spacing w:after="0"/>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LSDeadline">
    <w:name w:val="LSDeadline"/>
    <w:basedOn w:val="LSTitle"/>
    <w:next w:val="Normal"/>
    <w:qFormat/>
    <w:rPr>
      <w:bCs w:val="0"/>
    </w:rPr>
  </w:style>
  <w:style w:type="paragraph" w:customStyle="1" w:styleId="LSTitle">
    <w:name w:val="LSTitle"/>
    <w:basedOn w:val="Normal"/>
    <w:next w:val="Normal"/>
    <w:qFormat/>
    <w:rPr>
      <w:rFonts w:eastAsiaTheme="minorHAnsi"/>
      <w:bCs/>
    </w:rPr>
  </w:style>
  <w:style w:type="paragraph" w:customStyle="1" w:styleId="LSForAction">
    <w:name w:val="LSForAction"/>
    <w:basedOn w:val="LSTitle"/>
    <w:next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qFormat/>
  </w:style>
  <w:style w:type="paragraph" w:customStyle="1" w:styleId="LSForComment">
    <w:name w:val="LSForComment"/>
    <w:basedOn w:val="LSTitle"/>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Title"/>
    <w:next w:val="Normal"/>
    <w:qFormat/>
    <w:rPr>
      <w:bCs w:val="0"/>
    </w:rPr>
  </w:style>
  <w:style w:type="paragraph" w:customStyle="1" w:styleId="Revision1">
    <w:name w:val="Revision1"/>
    <w:hidden/>
    <w:uiPriority w:val="99"/>
    <w:semiHidden/>
    <w:qFormat/>
    <w:rPr>
      <w:rFonts w:ascii="Times New Roman" w:hAnsi="Times New Roman" w:cs="Times New Roman"/>
      <w:sz w:val="24"/>
      <w:szCs w:val="24"/>
      <w:lang w:val="en-GB" w:eastAsia="ja-JP"/>
    </w:rPr>
  </w:style>
  <w:style w:type="paragraph" w:customStyle="1" w:styleId="VenueDate">
    <w:name w:val="VenueDate"/>
    <w:basedOn w:val="Normal"/>
    <w:qFormat/>
    <w:pPr>
      <w:overflowPunct w:val="0"/>
      <w:autoSpaceDE w:val="0"/>
      <w:autoSpaceDN w:val="0"/>
      <w:adjustRightInd w:val="0"/>
      <w:jc w:val="right"/>
      <w:textAlignment w:val="baseline"/>
    </w:pPr>
    <w:rPr>
      <w:rFonts w:eastAsia="Times New Roman"/>
      <w:szCs w:val="20"/>
      <w:lang w:eastAsia="en-US"/>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ReftextArial9pt">
    <w:name w:val="Ref_text Arial 9 pt"/>
    <w:qFormat/>
    <w:rPr>
      <w:rFonts w:ascii="Arial" w:hAnsi="Arial" w:cs="Arial"/>
      <w:sz w:val="18"/>
      <w:szCs w:val="18"/>
    </w:rPr>
  </w:style>
  <w:style w:type="paragraph" w:customStyle="1" w:styleId="Title4">
    <w:name w:val="Title 4"/>
    <w:basedOn w:val="Normal"/>
    <w:next w:val="Heading1"/>
    <w:qFormat/>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qFormat/>
    <w:rPr>
      <w:rFonts w:ascii="Times New Roman" w:hAnsi="Times New Roman" w:cs="Times New Roman"/>
      <w:sz w:val="20"/>
      <w:szCs w:val="20"/>
      <w:lang w:val="en-GB"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99"/>
    <w:semiHidden/>
    <w:qFormat/>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aliases w:val="Recommendation,List Paragraph11,O5,Para_sk,Resume Title,- Bullets"/>
    <w:basedOn w:val="Normal"/>
    <w:link w:val="ListParagraphChar"/>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LSApproval">
    <w:name w:val="LSApproval"/>
    <w:basedOn w:val="Normal"/>
    <w:qFormat/>
    <w:rPr>
      <w:b/>
      <w:bCs/>
    </w:rPr>
  </w:style>
  <w:style w:type="paragraph" w:customStyle="1" w:styleId="TSBHeaderRight14">
    <w:name w:val="TSBHeaderRight14"/>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imes New Roman" w:hAnsi="Times New Roman" w:cs="Times New Roman"/>
      <w:sz w:val="24"/>
      <w:szCs w:val="24"/>
      <w:lang w:val="en-GB" w:eastAsia="ja-JP"/>
    </w:rPr>
  </w:style>
  <w:style w:type="paragraph" w:styleId="Revision">
    <w:name w:val="Revision"/>
    <w:hidden/>
    <w:uiPriority w:val="99"/>
    <w:unhideWhenUsed/>
    <w:rsid w:val="00637800"/>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921732"/>
    <w:rPr>
      <w:color w:val="605E5C"/>
      <w:shd w:val="clear" w:color="auto" w:fill="E1DFDD"/>
    </w:rPr>
  </w:style>
  <w:style w:type="paragraph" w:customStyle="1" w:styleId="FirstFooter">
    <w:name w:val="FirstFooter"/>
    <w:basedOn w:val="Footer"/>
    <w:qFormat/>
    <w:rsid w:val="00BE4B34"/>
    <w:pPr>
      <w:tabs>
        <w:tab w:val="clear" w:pos="4680"/>
        <w:tab w:val="clear" w:pos="9360"/>
        <w:tab w:val="left" w:pos="1871"/>
      </w:tabs>
      <w:spacing w:before="40"/>
    </w:pPr>
    <w:rPr>
      <w:rFonts w:asciiTheme="minorHAnsi" w:eastAsia="Times New Roman" w:hAnsiTheme="minorHAnsi"/>
      <w:sz w:val="16"/>
      <w:szCs w:val="20"/>
      <w:lang w:eastAsia="en-US"/>
    </w:rPr>
  </w:style>
  <w:style w:type="paragraph" w:customStyle="1" w:styleId="Source">
    <w:name w:val="Source"/>
    <w:basedOn w:val="Normal"/>
    <w:next w:val="Normal"/>
    <w:link w:val="SourceChar"/>
    <w:qFormat/>
    <w:rsid w:val="00BE4B34"/>
    <w:pPr>
      <w:tabs>
        <w:tab w:val="left" w:pos="1134"/>
        <w:tab w:val="left" w:pos="1871"/>
        <w:tab w:val="left" w:pos="2268"/>
      </w:tabs>
      <w:overflowPunct w:val="0"/>
      <w:autoSpaceDE w:val="0"/>
      <w:autoSpaceDN w:val="0"/>
      <w:adjustRightInd w:val="0"/>
      <w:spacing w:before="840"/>
      <w:jc w:val="center"/>
      <w:textAlignment w:val="baseline"/>
    </w:pPr>
    <w:rPr>
      <w:rFonts w:asciiTheme="minorHAnsi" w:eastAsia="Times New Roman" w:hAnsiTheme="minorHAnsi"/>
      <w:b/>
      <w:sz w:val="28"/>
      <w:szCs w:val="20"/>
      <w:lang w:eastAsia="en-US"/>
    </w:rPr>
  </w:style>
  <w:style w:type="paragraph" w:customStyle="1" w:styleId="Title1">
    <w:name w:val="Title 1"/>
    <w:basedOn w:val="Source"/>
    <w:next w:val="Normal"/>
    <w:link w:val="Title1Char"/>
    <w:qFormat/>
    <w:rsid w:val="00BE4B34"/>
    <w:pPr>
      <w:spacing w:before="240"/>
    </w:pPr>
    <w:rPr>
      <w:b w:val="0"/>
      <w:caps/>
    </w:rPr>
  </w:style>
  <w:style w:type="paragraph" w:customStyle="1" w:styleId="Committee">
    <w:name w:val="Committee"/>
    <w:basedOn w:val="Normal"/>
    <w:uiPriority w:val="99"/>
    <w:qFormat/>
    <w:rsid w:val="00BE4B34"/>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Theme="minorHAnsi" w:eastAsia="Times New Roman" w:hAnsiTheme="minorHAnsi" w:cstheme="minorHAnsi"/>
      <w:b/>
      <w:lang w:eastAsia="en-US"/>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E4B34"/>
    <w:rPr>
      <w:rFonts w:ascii="Times New Roman" w:hAnsi="Times New Roman" w:cs="Times New Roman"/>
      <w:sz w:val="24"/>
      <w:szCs w:val="24"/>
      <w:lang w:val="en-GB" w:eastAsia="ja-JP"/>
    </w:rPr>
  </w:style>
  <w:style w:type="character" w:customStyle="1" w:styleId="ms-rtethemeforecolor-2-0">
    <w:name w:val="ms-rtethemeforecolor-2-0"/>
    <w:basedOn w:val="DefaultParagraphFont"/>
    <w:rsid w:val="00BE4B34"/>
  </w:style>
  <w:style w:type="character" w:customStyle="1" w:styleId="SourceChar">
    <w:name w:val="Source Char"/>
    <w:link w:val="Source"/>
    <w:locked/>
    <w:rsid w:val="00BE4B34"/>
    <w:rPr>
      <w:rFonts w:eastAsia="Times New Roman" w:cs="Times New Roman"/>
      <w:b/>
      <w:sz w:val="28"/>
      <w:lang w:val="en-GB" w:eastAsia="en-US"/>
    </w:rPr>
  </w:style>
  <w:style w:type="character" w:customStyle="1" w:styleId="Title1Char">
    <w:name w:val="Title 1 Char"/>
    <w:link w:val="Title1"/>
    <w:locked/>
    <w:rsid w:val="00BE4B34"/>
    <w:rPr>
      <w:rFonts w:eastAsia="Times New Roman" w:cs="Times New Roman"/>
      <w:caps/>
      <w:sz w:val="28"/>
      <w:lang w:val="en-GB" w:eastAsia="en-US"/>
    </w:rPr>
  </w:style>
  <w:style w:type="paragraph" w:customStyle="1" w:styleId="CRCoverPage">
    <w:name w:val="CR Cover Page"/>
    <w:rsid w:val="008C3F2A"/>
    <w:pPr>
      <w:spacing w:after="120"/>
    </w:pPr>
    <w:rPr>
      <w:rFonts w:ascii="Arial" w:eastAsia="Times New Roma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fa/t/2025/ls/itu-dtdag/sp18-itu-dtdag-iLS-00006.docx" TargetMode="External"/><Relationship Id="rId18" Type="http://schemas.openxmlformats.org/officeDocument/2006/relationships/hyperlink" Target="https://www.3gpp.org/technologies/sa6-app-enable" TargetMode="External"/><Relationship Id="rId3" Type="http://schemas.openxmlformats.org/officeDocument/2006/relationships/customXml" Target="../customXml/item3.xml"/><Relationship Id="rId21" Type="http://schemas.openxmlformats.org/officeDocument/2006/relationships/hyperlink" Target="https://www.3gpp.org/ftp/tsg_sa/WG6_MissionCritical/TSGS6_058_Chicago/Docs/S6-233819.zip" TargetMode="External"/><Relationship Id="rId7" Type="http://schemas.openxmlformats.org/officeDocument/2006/relationships/settings" Target="settings.xml"/><Relationship Id="rId12" Type="http://schemas.openxmlformats.org/officeDocument/2006/relationships/hyperlink" Target="https://www.itu.int/ifa/t/2025/ls/3gpptsgsa/sp18-3gpptsgsa-iLS-00033.docx" TargetMode="External"/><Relationship Id="rId17" Type="http://schemas.openxmlformats.org/officeDocument/2006/relationships/hyperlink" Target="https://www.itu.int/en/ITU-T/focusgroups/mv/Documents/List%20of%20FG-MV%20deliverables/FGMV-1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yperlink" Target="https://www.3gpp.org/3gpp-groups/service-system-aspects-sa/sa-wg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pan.shah@samsung.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newsletter-issue-07-nov-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pan.shah@samsung.com" TargetMode="Externa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e02a22a5-1858-4a26-a36b-fd26cb37ee25" origin="userSelected"/>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3CC89B59-73DC-4331-A8A4-697A803248D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6E7B8E5-C65F-487A-8761-E84D773A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6</TotalTime>
  <Pages>4</Pages>
  <Words>785</Words>
  <Characters>5446</Characters>
  <Application>Microsoft Office Word</Application>
  <DocSecurity>0</DocSecurity>
  <Lines>165</Lines>
  <Paragraphs>94</Paragraphs>
  <ScaleCrop>false</ScaleCrop>
  <HeadingPairs>
    <vt:vector size="2" baseType="variant">
      <vt:variant>
        <vt:lpstr>Title</vt:lpstr>
      </vt:variant>
      <vt:variant>
        <vt:i4>1</vt:i4>
      </vt:variant>
    </vt:vector>
  </HeadingPairs>
  <TitlesOfParts>
    <vt:vector size="1" baseType="lpstr">
      <vt:lpstr>Draft LS/o/r on utilisation of tools to produce Recommendations (reply to SG17-LS108) [to TSAG and all ITU-T SGs] (answers TD1286)</vt:lpstr>
    </vt:vector>
  </TitlesOfParts>
  <Manager>ITU-T</Manager>
  <Company>International Telecommunication Union (ITU)</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the Council Working Group for Strategic and Financial Plans 2028-2031</dc:title>
  <dc:creator>ITU-T Study Group 20</dc:creator>
  <dc:description>TSAG-TD35  For: Geneva, 26-30 May 2025_x000d_Document date: _x000d_Saved by ITU51017913 at 4:20:45 PM on 1/14/2025</dc:description>
  <cp:lastModifiedBy>TSB - JB</cp:lastModifiedBy>
  <cp:revision>11</cp:revision>
  <cp:lastPrinted>2016-12-23T12:52:00Z</cp:lastPrinted>
  <dcterms:created xsi:type="dcterms:W3CDTF">2025-01-16T13:03:00Z</dcterms:created>
  <dcterms:modified xsi:type="dcterms:W3CDTF">2025-01-16T13:07:00Z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TSAG-TD35</vt:lpwstr>
  </property>
  <property fmtid="{D5CDD505-2E9C-101B-9397-08002B2CF9AE}" pid="4" name="Docdate">
    <vt:lpwstr/>
  </property>
  <property fmtid="{D5CDD505-2E9C-101B-9397-08002B2CF9AE}" pid="5" name="Docorlang">
    <vt:lpwstr/>
  </property>
  <property fmtid="{D5CDD505-2E9C-101B-9397-08002B2CF9AE}" pid="6" name="Docbluepink">
    <vt:lpwstr>6/20</vt:lpwstr>
  </property>
  <property fmtid="{D5CDD505-2E9C-101B-9397-08002B2CF9AE}" pid="7" name="Docdest">
    <vt:lpwstr>Geneva, 26-30 May 2025</vt:lpwstr>
  </property>
  <property fmtid="{D5CDD505-2E9C-101B-9397-08002B2CF9AE}" pid="8" name="Docauthor">
    <vt:lpwstr>ITU-T Study Group 20</vt:lpwstr>
  </property>
  <property fmtid="{D5CDD505-2E9C-101B-9397-08002B2CF9AE}" pid="9" name="docIndexRef">
    <vt:lpwstr>60ae584b-06a9-4786-be77-7ef1721f58ac</vt:lpwstr>
  </property>
  <property fmtid="{D5CDD505-2E9C-101B-9397-08002B2CF9AE}" pid="10" name="bjSaver">
    <vt:lpwstr>ly9WlAKhAbxEOXKc6PBqFPyovCs4/Snf</vt:lpwstr>
  </property>
  <property fmtid="{D5CDD505-2E9C-101B-9397-08002B2CF9AE}" pid="11" name="bjDocumentSecurityLabel">
    <vt:lpwstr>This item has no classification</vt:lpwstr>
  </property>
  <property fmtid="{D5CDD505-2E9C-101B-9397-08002B2CF9AE}" pid="12" name="bjClsUserRVM">
    <vt:lpwstr>[]</vt:lpwstr>
  </property>
  <property fmtid="{D5CDD505-2E9C-101B-9397-08002B2CF9AE}" pid="13" name="KSOProductBuildVer">
    <vt:lpwstr>2052-11.8.2.12085</vt:lpwstr>
  </property>
  <property fmtid="{D5CDD505-2E9C-101B-9397-08002B2CF9AE}" pid="14" name="ICV">
    <vt:lpwstr>9DEA891716A741FE88121E7999EC3794</vt:lpwstr>
  </property>
  <property fmtid="{D5CDD505-2E9C-101B-9397-08002B2CF9AE}" pid="15" name="GrammarlyDocumentId">
    <vt:lpwstr>bf6d0ebeb1caea78e62634c32cd817d6e79d06d9590dc7705a31155d55b5e2d0</vt:lpwstr>
  </property>
</Properties>
</file>