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28"/>
        <w:gridCol w:w="27"/>
        <w:gridCol w:w="3091"/>
        <w:gridCol w:w="935"/>
        <w:gridCol w:w="4026"/>
      </w:tblGrid>
      <w:tr w:rsidR="00CC2843" w:rsidRPr="00CC2843" w14:paraId="614D8734" w14:textId="77777777" w:rsidTr="00CC2843">
        <w:trPr>
          <w:cantSplit/>
        </w:trPr>
        <w:tc>
          <w:tcPr>
            <w:tcW w:w="1132" w:type="dxa"/>
            <w:vMerge w:val="restart"/>
            <w:vAlign w:val="center"/>
          </w:tcPr>
          <w:p w14:paraId="08C0A540" w14:textId="77777777" w:rsidR="00CC2843" w:rsidRPr="00CC2843" w:rsidRDefault="00CC2843" w:rsidP="00CC2843">
            <w:pPr>
              <w:spacing w:before="0"/>
              <w:jc w:val="center"/>
              <w:rPr>
                <w:sz w:val="20"/>
                <w:szCs w:val="20"/>
              </w:rPr>
            </w:pPr>
            <w:bookmarkStart w:id="0" w:name="dnum" w:colFirst="2" w:colLast="2"/>
            <w:bookmarkStart w:id="1" w:name="dtableau"/>
            <w:r w:rsidRPr="00CC2843">
              <w:rPr>
                <w:noProof/>
              </w:rPr>
              <w:drawing>
                <wp:inline distT="0" distB="0" distL="0" distR="0" wp14:anchorId="1D4BE2C3" wp14:editId="034701F0">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61904265" w14:textId="77777777" w:rsidR="00CC2843" w:rsidRPr="00CC2843" w:rsidRDefault="00CC2843" w:rsidP="00CC2843">
            <w:pPr>
              <w:rPr>
                <w:sz w:val="16"/>
                <w:szCs w:val="16"/>
              </w:rPr>
            </w:pPr>
            <w:r w:rsidRPr="00CC2843">
              <w:rPr>
                <w:sz w:val="16"/>
                <w:szCs w:val="16"/>
              </w:rPr>
              <w:t>INTERNATIONAL TELECOMMUNICATION UNION</w:t>
            </w:r>
          </w:p>
          <w:p w14:paraId="764FF4BB" w14:textId="77777777" w:rsidR="00CC2843" w:rsidRPr="00CC2843" w:rsidRDefault="00CC2843" w:rsidP="00CC2843">
            <w:pPr>
              <w:rPr>
                <w:b/>
                <w:bCs/>
                <w:sz w:val="26"/>
                <w:szCs w:val="26"/>
              </w:rPr>
            </w:pPr>
            <w:r w:rsidRPr="00CC2843">
              <w:rPr>
                <w:b/>
                <w:bCs/>
                <w:sz w:val="26"/>
                <w:szCs w:val="26"/>
              </w:rPr>
              <w:t>TELECOMMUNICATION</w:t>
            </w:r>
            <w:r w:rsidRPr="00CC2843">
              <w:rPr>
                <w:b/>
                <w:bCs/>
                <w:sz w:val="26"/>
                <w:szCs w:val="26"/>
              </w:rPr>
              <w:br/>
              <w:t>STANDARDIZATION SECTOR</w:t>
            </w:r>
          </w:p>
          <w:p w14:paraId="746C942E" w14:textId="5CD2C1AF" w:rsidR="00CC2843" w:rsidRPr="00CC2843" w:rsidRDefault="00CC2843" w:rsidP="00CC2843">
            <w:pPr>
              <w:rPr>
                <w:sz w:val="20"/>
                <w:szCs w:val="20"/>
              </w:rPr>
            </w:pPr>
            <w:r w:rsidRPr="00CC2843">
              <w:rPr>
                <w:sz w:val="20"/>
                <w:szCs w:val="20"/>
              </w:rPr>
              <w:t xml:space="preserve">STUDY PERIOD </w:t>
            </w:r>
            <w:r>
              <w:rPr>
                <w:sz w:val="20"/>
              </w:rPr>
              <w:t>2025-2028</w:t>
            </w:r>
          </w:p>
        </w:tc>
        <w:tc>
          <w:tcPr>
            <w:tcW w:w="4026" w:type="dxa"/>
            <w:vAlign w:val="center"/>
          </w:tcPr>
          <w:p w14:paraId="047D986F" w14:textId="7B0FEA86" w:rsidR="00CC2843" w:rsidRPr="00CC2843" w:rsidRDefault="00CC2843" w:rsidP="00CC2843">
            <w:pPr>
              <w:pStyle w:val="Docnumber"/>
            </w:pPr>
            <w:r>
              <w:t>TSAG-TD24</w:t>
            </w:r>
          </w:p>
        </w:tc>
      </w:tr>
      <w:tr w:rsidR="00CC2843" w:rsidRPr="00CC2843" w14:paraId="558B6576" w14:textId="77777777" w:rsidTr="00CC2843">
        <w:trPr>
          <w:cantSplit/>
        </w:trPr>
        <w:tc>
          <w:tcPr>
            <w:tcW w:w="1132" w:type="dxa"/>
            <w:vMerge/>
          </w:tcPr>
          <w:p w14:paraId="7648CE86" w14:textId="77777777" w:rsidR="00CC2843" w:rsidRPr="00CC2843" w:rsidRDefault="00CC2843" w:rsidP="00CC2843">
            <w:pPr>
              <w:rPr>
                <w:smallCaps/>
                <w:sz w:val="20"/>
              </w:rPr>
            </w:pPr>
            <w:bookmarkStart w:id="2" w:name="dsg" w:colFirst="2" w:colLast="2"/>
            <w:bookmarkEnd w:id="0"/>
          </w:p>
        </w:tc>
        <w:tc>
          <w:tcPr>
            <w:tcW w:w="4481" w:type="dxa"/>
            <w:gridSpan w:val="4"/>
            <w:vMerge/>
          </w:tcPr>
          <w:p w14:paraId="6227D573" w14:textId="77777777" w:rsidR="00CC2843" w:rsidRPr="00CC2843" w:rsidRDefault="00CC2843" w:rsidP="00CC2843">
            <w:pPr>
              <w:rPr>
                <w:smallCaps/>
                <w:sz w:val="20"/>
              </w:rPr>
            </w:pPr>
          </w:p>
        </w:tc>
        <w:tc>
          <w:tcPr>
            <w:tcW w:w="4026" w:type="dxa"/>
          </w:tcPr>
          <w:p w14:paraId="2D3496D6" w14:textId="0265162A" w:rsidR="00CC2843" w:rsidRPr="00CC2843" w:rsidRDefault="00CC2843" w:rsidP="00CC2843">
            <w:pPr>
              <w:pStyle w:val="TSBHeaderRight14"/>
              <w:rPr>
                <w:smallCaps/>
              </w:rPr>
            </w:pPr>
            <w:r>
              <w:rPr>
                <w:smallCaps/>
              </w:rPr>
              <w:t>TSAG</w:t>
            </w:r>
          </w:p>
        </w:tc>
      </w:tr>
      <w:bookmarkEnd w:id="2"/>
      <w:tr w:rsidR="00CC2843" w:rsidRPr="00CC2843" w14:paraId="17322F20" w14:textId="77777777" w:rsidTr="00CC2843">
        <w:trPr>
          <w:cantSplit/>
        </w:trPr>
        <w:tc>
          <w:tcPr>
            <w:tcW w:w="1132" w:type="dxa"/>
            <w:vMerge/>
            <w:tcBorders>
              <w:bottom w:val="single" w:sz="12" w:space="0" w:color="auto"/>
            </w:tcBorders>
          </w:tcPr>
          <w:p w14:paraId="5FC031E9" w14:textId="77777777" w:rsidR="00CC2843" w:rsidRPr="00CC2843" w:rsidRDefault="00CC2843" w:rsidP="00CC2843">
            <w:pPr>
              <w:rPr>
                <w:b/>
                <w:bCs/>
                <w:sz w:val="26"/>
              </w:rPr>
            </w:pPr>
          </w:p>
        </w:tc>
        <w:tc>
          <w:tcPr>
            <w:tcW w:w="4481" w:type="dxa"/>
            <w:gridSpan w:val="4"/>
            <w:vMerge/>
            <w:tcBorders>
              <w:bottom w:val="single" w:sz="12" w:space="0" w:color="auto"/>
            </w:tcBorders>
          </w:tcPr>
          <w:p w14:paraId="6B47B3E0" w14:textId="77777777" w:rsidR="00CC2843" w:rsidRPr="00CC2843" w:rsidRDefault="00CC2843" w:rsidP="00CC2843">
            <w:pPr>
              <w:rPr>
                <w:b/>
                <w:bCs/>
                <w:sz w:val="26"/>
              </w:rPr>
            </w:pPr>
          </w:p>
        </w:tc>
        <w:tc>
          <w:tcPr>
            <w:tcW w:w="4026" w:type="dxa"/>
            <w:tcBorders>
              <w:bottom w:val="single" w:sz="12" w:space="0" w:color="auto"/>
            </w:tcBorders>
            <w:vAlign w:val="center"/>
          </w:tcPr>
          <w:p w14:paraId="38CC785C" w14:textId="77777777" w:rsidR="00CC2843" w:rsidRPr="00CC2843" w:rsidRDefault="00CC2843" w:rsidP="00CC2843">
            <w:pPr>
              <w:pStyle w:val="TSBHeaderRight14"/>
            </w:pPr>
            <w:r w:rsidRPr="00CC2843">
              <w:t>Original: English</w:t>
            </w:r>
          </w:p>
        </w:tc>
      </w:tr>
      <w:tr w:rsidR="00CC2843" w:rsidRPr="00CC2843" w14:paraId="66493B7D" w14:textId="77777777" w:rsidTr="00CC2843">
        <w:trPr>
          <w:cantSplit/>
        </w:trPr>
        <w:tc>
          <w:tcPr>
            <w:tcW w:w="1587" w:type="dxa"/>
            <w:gridSpan w:val="3"/>
          </w:tcPr>
          <w:p w14:paraId="7B469FF6" w14:textId="679D21E8" w:rsidR="00CC2843" w:rsidRPr="00CC2843" w:rsidRDefault="00CC2843" w:rsidP="00CC2843">
            <w:pPr>
              <w:rPr>
                <w:b/>
                <w:bCs/>
              </w:rPr>
            </w:pPr>
            <w:bookmarkStart w:id="3" w:name="dbluepink" w:colFirst="1" w:colLast="1"/>
            <w:bookmarkStart w:id="4" w:name="dmeeting" w:colFirst="2" w:colLast="2"/>
          </w:p>
        </w:tc>
        <w:tc>
          <w:tcPr>
            <w:tcW w:w="4026" w:type="dxa"/>
            <w:gridSpan w:val="2"/>
          </w:tcPr>
          <w:p w14:paraId="5F738931" w14:textId="44901C5E" w:rsidR="00CC2843" w:rsidRPr="00CC2843" w:rsidRDefault="00CC2843" w:rsidP="00CC2843">
            <w:pPr>
              <w:pStyle w:val="TSBHeaderQuestion"/>
            </w:pPr>
          </w:p>
        </w:tc>
        <w:tc>
          <w:tcPr>
            <w:tcW w:w="4026" w:type="dxa"/>
          </w:tcPr>
          <w:p w14:paraId="6E62FB22" w14:textId="1055D5F4" w:rsidR="00CC2843" w:rsidRPr="00CC2843" w:rsidRDefault="00CC2843" w:rsidP="00CC2843">
            <w:pPr>
              <w:pStyle w:val="VenueDate"/>
            </w:pPr>
            <w:r w:rsidRPr="00CC2843">
              <w:t>Geneva, 26-30 May 2025</w:t>
            </w:r>
          </w:p>
        </w:tc>
      </w:tr>
      <w:tr w:rsidR="00CC2843" w:rsidRPr="00CC2843" w14:paraId="0DE0B8B7" w14:textId="77777777" w:rsidTr="005F7827">
        <w:trPr>
          <w:cantSplit/>
        </w:trPr>
        <w:tc>
          <w:tcPr>
            <w:tcW w:w="9639" w:type="dxa"/>
            <w:gridSpan w:val="6"/>
          </w:tcPr>
          <w:p w14:paraId="227C193B" w14:textId="2E8B9195" w:rsidR="00CC2843" w:rsidRPr="00CC2843" w:rsidRDefault="00CC2843" w:rsidP="00CC2843">
            <w:pPr>
              <w:jc w:val="center"/>
              <w:rPr>
                <w:b/>
                <w:bCs/>
              </w:rPr>
            </w:pPr>
            <w:bookmarkStart w:id="5" w:name="ddoctype"/>
            <w:bookmarkEnd w:id="3"/>
            <w:bookmarkEnd w:id="4"/>
            <w:r w:rsidRPr="00CC2843">
              <w:rPr>
                <w:b/>
                <w:bCs/>
              </w:rPr>
              <w:t>TD</w:t>
            </w:r>
          </w:p>
        </w:tc>
      </w:tr>
      <w:tr w:rsidR="00CC2843" w:rsidRPr="00CC2843" w14:paraId="15351645" w14:textId="77777777" w:rsidTr="00CC2843">
        <w:trPr>
          <w:cantSplit/>
        </w:trPr>
        <w:tc>
          <w:tcPr>
            <w:tcW w:w="1587" w:type="dxa"/>
            <w:gridSpan w:val="3"/>
          </w:tcPr>
          <w:p w14:paraId="011AF484" w14:textId="77777777" w:rsidR="00CC2843" w:rsidRPr="00CC2843" w:rsidRDefault="00CC2843" w:rsidP="00CC2843">
            <w:pPr>
              <w:rPr>
                <w:b/>
                <w:bCs/>
              </w:rPr>
            </w:pPr>
            <w:bookmarkStart w:id="6" w:name="dsource" w:colFirst="1" w:colLast="1"/>
            <w:bookmarkEnd w:id="5"/>
            <w:r w:rsidRPr="00CC2843">
              <w:rPr>
                <w:b/>
                <w:bCs/>
              </w:rPr>
              <w:t>Source:</w:t>
            </w:r>
          </w:p>
        </w:tc>
        <w:tc>
          <w:tcPr>
            <w:tcW w:w="8052" w:type="dxa"/>
            <w:gridSpan w:val="3"/>
          </w:tcPr>
          <w:p w14:paraId="022309A1" w14:textId="6DFF04CA" w:rsidR="00CC2843" w:rsidRPr="00CC2843" w:rsidRDefault="00CC2843" w:rsidP="00CC2843">
            <w:pPr>
              <w:pStyle w:val="TSBHeaderSource"/>
            </w:pPr>
            <w:r w:rsidRPr="00CC2843">
              <w:t>Chair, ITU-T SG12</w:t>
            </w:r>
          </w:p>
        </w:tc>
      </w:tr>
      <w:tr w:rsidR="00CC2843" w:rsidRPr="00CC2843" w14:paraId="08576F0C" w14:textId="77777777" w:rsidTr="00CC2843">
        <w:trPr>
          <w:cantSplit/>
        </w:trPr>
        <w:tc>
          <w:tcPr>
            <w:tcW w:w="1587" w:type="dxa"/>
            <w:gridSpan w:val="3"/>
            <w:tcBorders>
              <w:bottom w:val="single" w:sz="8" w:space="0" w:color="auto"/>
            </w:tcBorders>
          </w:tcPr>
          <w:p w14:paraId="30A41D8F" w14:textId="77777777" w:rsidR="00CC2843" w:rsidRPr="00CC2843" w:rsidRDefault="00CC2843" w:rsidP="00CC2843">
            <w:pPr>
              <w:rPr>
                <w:b/>
                <w:bCs/>
              </w:rPr>
            </w:pPr>
            <w:bookmarkStart w:id="7" w:name="dtitle1" w:colFirst="1" w:colLast="1"/>
            <w:bookmarkEnd w:id="6"/>
            <w:r w:rsidRPr="00CC2843">
              <w:rPr>
                <w:b/>
                <w:bCs/>
              </w:rPr>
              <w:t>Title:</w:t>
            </w:r>
          </w:p>
        </w:tc>
        <w:tc>
          <w:tcPr>
            <w:tcW w:w="8052" w:type="dxa"/>
            <w:gridSpan w:val="3"/>
            <w:tcBorders>
              <w:bottom w:val="single" w:sz="8" w:space="0" w:color="auto"/>
            </w:tcBorders>
          </w:tcPr>
          <w:p w14:paraId="230EC2E4" w14:textId="78655F54" w:rsidR="00CC2843" w:rsidRPr="00CC2843" w:rsidRDefault="00CC2843" w:rsidP="00CC2843">
            <w:pPr>
              <w:pStyle w:val="TSBHeaderTitle"/>
            </w:pPr>
            <w:r w:rsidRPr="00CC2843">
              <w:t>ITU-T SG12 Lead Study Group Report</w:t>
            </w:r>
          </w:p>
        </w:tc>
      </w:tr>
      <w:tr w:rsidR="001C4B91" w:rsidRPr="00CC2843" w14:paraId="44575018" w14:textId="77777777" w:rsidTr="008A6115">
        <w:trPr>
          <w:cantSplit/>
        </w:trPr>
        <w:tc>
          <w:tcPr>
            <w:tcW w:w="1560" w:type="dxa"/>
            <w:gridSpan w:val="2"/>
            <w:tcBorders>
              <w:top w:val="single" w:sz="8" w:space="0" w:color="auto"/>
              <w:bottom w:val="single" w:sz="8" w:space="0" w:color="auto"/>
            </w:tcBorders>
          </w:tcPr>
          <w:p w14:paraId="571BDB03" w14:textId="77777777" w:rsidR="001C4B91" w:rsidRPr="003C28E0" w:rsidRDefault="001C4B91">
            <w:pPr>
              <w:rPr>
                <w:b/>
                <w:bCs/>
              </w:rPr>
            </w:pPr>
            <w:bookmarkStart w:id="8" w:name="dcontact"/>
            <w:bookmarkStart w:id="9" w:name="dcontact1"/>
            <w:bookmarkStart w:id="10" w:name="dcontent1" w:colFirst="1" w:colLast="1"/>
            <w:bookmarkStart w:id="11" w:name="_Hlk98768222"/>
            <w:bookmarkEnd w:id="1"/>
            <w:bookmarkEnd w:id="7"/>
            <w:r w:rsidRPr="003C28E0">
              <w:rPr>
                <w:b/>
                <w:bCs/>
              </w:rPr>
              <w:t>Contact:</w:t>
            </w:r>
          </w:p>
        </w:tc>
        <w:tc>
          <w:tcPr>
            <w:tcW w:w="3118" w:type="dxa"/>
            <w:gridSpan w:val="2"/>
            <w:tcBorders>
              <w:top w:val="single" w:sz="8" w:space="0" w:color="auto"/>
              <w:bottom w:val="single" w:sz="8" w:space="0" w:color="auto"/>
            </w:tcBorders>
          </w:tcPr>
          <w:p w14:paraId="62ADEF8F" w14:textId="2D32D1FD" w:rsidR="001C4B91" w:rsidRPr="003C28E0" w:rsidRDefault="00CC2843">
            <w:sdt>
              <w:sdtPr>
                <w:alias w:val="ContactNameOrgCountry"/>
                <w:tag w:val="ContactNameOrgCountry"/>
                <w:id w:val="-130639986"/>
                <w:placeholder>
                  <w:docPart w:val="A62F930091BE46B3B0E2754971D8C08F"/>
                </w:placeholder>
                <w:text w:multiLine="1"/>
              </w:sdtPr>
              <w:sdtEndPr/>
              <w:sdtContent>
                <w:r w:rsidR="00623C5B" w:rsidRPr="003C28E0">
                  <w:t xml:space="preserve">Tania Villa </w:t>
                </w:r>
                <w:proofErr w:type="spellStart"/>
                <w:r w:rsidR="00702087" w:rsidRPr="003C28E0">
                  <w:t>Trapala</w:t>
                </w:r>
                <w:proofErr w:type="spellEnd"/>
                <w:r w:rsidR="00623C5B" w:rsidRPr="003C28E0">
                  <w:br/>
                  <w:t>Mexico</w:t>
                </w:r>
              </w:sdtContent>
            </w:sdt>
          </w:p>
        </w:tc>
        <w:tc>
          <w:tcPr>
            <w:tcW w:w="4961" w:type="dxa"/>
            <w:gridSpan w:val="2"/>
            <w:tcBorders>
              <w:top w:val="single" w:sz="8" w:space="0" w:color="auto"/>
              <w:bottom w:val="single" w:sz="8" w:space="0" w:color="auto"/>
            </w:tcBorders>
          </w:tcPr>
          <w:p w14:paraId="45CC2940" w14:textId="30B1DBE3" w:rsidR="001C4B91" w:rsidRPr="00CB4DD8" w:rsidRDefault="00623C5B" w:rsidP="00B86602">
            <w:pPr>
              <w:tabs>
                <w:tab w:val="left" w:pos="794"/>
              </w:tabs>
              <w:rPr>
                <w:lang w:val="fr-FR"/>
              </w:rPr>
            </w:pPr>
            <w:proofErr w:type="gramStart"/>
            <w:r w:rsidRPr="00CB4DD8">
              <w:rPr>
                <w:lang w:val="fr-FR"/>
              </w:rPr>
              <w:t>Tel:</w:t>
            </w:r>
            <w:proofErr w:type="gramEnd"/>
            <w:r w:rsidRPr="00CB4DD8">
              <w:rPr>
                <w:lang w:val="fr-FR"/>
              </w:rPr>
              <w:t xml:space="preserve"> </w:t>
            </w:r>
            <w:r w:rsidRPr="00CB4DD8">
              <w:rPr>
                <w:lang w:val="fr-FR"/>
              </w:rPr>
              <w:tab/>
              <w:t>+52 55 50154146</w:t>
            </w:r>
            <w:r w:rsidRPr="00CB4DD8">
              <w:rPr>
                <w:lang w:val="fr-FR"/>
              </w:rPr>
              <w:br/>
            </w:r>
            <w:proofErr w:type="gramStart"/>
            <w:r w:rsidRPr="00CB4DD8">
              <w:rPr>
                <w:lang w:val="fr-FR"/>
              </w:rPr>
              <w:t>E-mail:</w:t>
            </w:r>
            <w:proofErr w:type="gramEnd"/>
            <w:r w:rsidR="008A6115" w:rsidRPr="00CB4DD8">
              <w:rPr>
                <w:lang w:val="fr-FR"/>
              </w:rPr>
              <w:t xml:space="preserve"> </w:t>
            </w:r>
            <w:hyperlink r:id="rId12" w:history="1">
              <w:r w:rsidR="008A6115" w:rsidRPr="00CB4DD8">
                <w:rPr>
                  <w:rStyle w:val="Hyperlink"/>
                  <w:lang w:val="fr-FR"/>
                </w:rPr>
                <w:t>tania.villa@transformaciondigital.gob.mx</w:t>
              </w:r>
            </w:hyperlink>
            <w:r w:rsidR="008A6115" w:rsidRPr="00CB4DD8">
              <w:rPr>
                <w:lang w:val="fr-FR"/>
              </w:rPr>
              <w:t xml:space="preserve"> </w:t>
            </w:r>
          </w:p>
        </w:tc>
      </w:tr>
      <w:tr w:rsidR="008A6115" w:rsidRPr="00CC2843" w14:paraId="27BD9D2B" w14:textId="77777777" w:rsidTr="008A6115">
        <w:tblPrEx>
          <w:jc w:val="center"/>
        </w:tblPrEx>
        <w:trPr>
          <w:cantSplit/>
          <w:trHeight w:val="647"/>
          <w:jc w:val="center"/>
        </w:trPr>
        <w:tc>
          <w:tcPr>
            <w:tcW w:w="1560" w:type="dxa"/>
            <w:gridSpan w:val="2"/>
            <w:tcBorders>
              <w:top w:val="single" w:sz="8" w:space="0" w:color="auto"/>
              <w:bottom w:val="single" w:sz="8" w:space="0" w:color="auto"/>
            </w:tcBorders>
          </w:tcPr>
          <w:p w14:paraId="213DB51B" w14:textId="77777777" w:rsidR="008A6115" w:rsidRPr="003C28E0" w:rsidRDefault="008A6115" w:rsidP="00942795">
            <w:pPr>
              <w:rPr>
                <w:rFonts w:asciiTheme="majorBidi" w:hAnsiTheme="majorBidi" w:cstheme="majorBidi"/>
                <w:b/>
                <w:bCs/>
              </w:rPr>
            </w:pPr>
            <w:r w:rsidRPr="003C28E0">
              <w:rPr>
                <w:rFonts w:asciiTheme="majorBidi" w:hAnsiTheme="majorBidi" w:cstheme="majorBidi"/>
                <w:b/>
                <w:bCs/>
              </w:rPr>
              <w:t>Contact:</w:t>
            </w:r>
          </w:p>
        </w:tc>
        <w:tc>
          <w:tcPr>
            <w:tcW w:w="3118" w:type="dxa"/>
            <w:gridSpan w:val="2"/>
            <w:tcBorders>
              <w:top w:val="single" w:sz="8" w:space="0" w:color="auto"/>
              <w:bottom w:val="single" w:sz="8" w:space="0" w:color="auto"/>
            </w:tcBorders>
          </w:tcPr>
          <w:p w14:paraId="5759921E" w14:textId="63628D98" w:rsidR="008A6115" w:rsidRPr="003C28E0" w:rsidRDefault="008A6115" w:rsidP="00942795">
            <w:pPr>
              <w:rPr>
                <w:rFonts w:asciiTheme="majorBidi" w:hAnsiTheme="majorBidi" w:cstheme="majorBidi"/>
              </w:rPr>
            </w:pPr>
            <w:r w:rsidRPr="003C28E0">
              <w:rPr>
                <w:rFonts w:asciiTheme="majorBidi" w:hAnsiTheme="majorBidi" w:cstheme="majorBidi"/>
              </w:rPr>
              <w:t>Martin Adolph</w:t>
            </w:r>
            <w:r w:rsidRPr="003C28E0">
              <w:rPr>
                <w:rFonts w:asciiTheme="majorBidi" w:hAnsiTheme="majorBidi" w:cstheme="majorBidi"/>
              </w:rPr>
              <w:br/>
              <w:t>TSB; ITU-T SG12 Counsellor</w:t>
            </w:r>
          </w:p>
        </w:tc>
        <w:tc>
          <w:tcPr>
            <w:tcW w:w="4961" w:type="dxa"/>
            <w:gridSpan w:val="2"/>
            <w:tcBorders>
              <w:top w:val="single" w:sz="8" w:space="0" w:color="auto"/>
              <w:bottom w:val="single" w:sz="8" w:space="0" w:color="auto"/>
            </w:tcBorders>
          </w:tcPr>
          <w:p w14:paraId="2247636A" w14:textId="77777777" w:rsidR="008A6115" w:rsidRPr="00CB4DD8" w:rsidRDefault="008A6115" w:rsidP="00942795">
            <w:pPr>
              <w:tabs>
                <w:tab w:val="left" w:pos="794"/>
              </w:tabs>
              <w:rPr>
                <w:lang w:val="fr-FR"/>
              </w:rPr>
            </w:pPr>
            <w:proofErr w:type="gramStart"/>
            <w:r w:rsidRPr="00CB4DD8">
              <w:rPr>
                <w:rFonts w:asciiTheme="majorBidi" w:hAnsiTheme="majorBidi" w:cstheme="majorBidi"/>
                <w:lang w:val="fr-FR"/>
              </w:rPr>
              <w:t>E-mail:</w:t>
            </w:r>
            <w:proofErr w:type="gramEnd"/>
            <w:r w:rsidRPr="00CB4DD8">
              <w:rPr>
                <w:rFonts w:asciiTheme="majorBidi" w:hAnsiTheme="majorBidi" w:cstheme="majorBidi"/>
                <w:lang w:val="fr-FR"/>
              </w:rPr>
              <w:t xml:space="preserve"> </w:t>
            </w:r>
            <w:hyperlink r:id="rId13" w:history="1">
              <w:r w:rsidRPr="00CB4DD8">
                <w:rPr>
                  <w:rStyle w:val="Hyperlink"/>
                  <w:lang w:val="fr-FR"/>
                </w:rPr>
                <w:t>martin.adolph@itu.int</w:t>
              </w:r>
            </w:hyperlink>
            <w:r w:rsidRPr="00CB4DD8">
              <w:rPr>
                <w:lang w:val="fr-FR"/>
              </w:rPr>
              <w:t xml:space="preserve"> </w:t>
            </w:r>
          </w:p>
        </w:tc>
      </w:tr>
      <w:bookmarkEnd w:id="8"/>
      <w:bookmarkEnd w:id="9"/>
      <w:bookmarkEnd w:id="10"/>
    </w:tbl>
    <w:p w14:paraId="001CA3C9" w14:textId="77777777" w:rsidR="00DB0706" w:rsidRPr="00CB4DD8" w:rsidRDefault="00DB0706" w:rsidP="0089088E">
      <w:pPr>
        <w:rPr>
          <w:lang w:val="fr-FR"/>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3C28E0" w14:paraId="101F633C" w14:textId="77777777" w:rsidTr="004646F1">
        <w:trPr>
          <w:cantSplit/>
        </w:trPr>
        <w:tc>
          <w:tcPr>
            <w:tcW w:w="1588" w:type="dxa"/>
          </w:tcPr>
          <w:p w14:paraId="65C41448" w14:textId="77777777" w:rsidR="0089088E" w:rsidRPr="003C28E0" w:rsidRDefault="0089088E" w:rsidP="005976A1">
            <w:pPr>
              <w:rPr>
                <w:b/>
                <w:bCs/>
              </w:rPr>
            </w:pPr>
            <w:r w:rsidRPr="003C28E0">
              <w:rPr>
                <w:b/>
                <w:bCs/>
              </w:rPr>
              <w:t>Abstract:</w:t>
            </w:r>
          </w:p>
        </w:tc>
        <w:tc>
          <w:tcPr>
            <w:tcW w:w="8051" w:type="dxa"/>
          </w:tcPr>
          <w:p w14:paraId="2E4B0C30" w14:textId="327B217D" w:rsidR="0089088E" w:rsidRPr="003C28E0" w:rsidRDefault="00623C5B" w:rsidP="00397713">
            <w:pPr>
              <w:pStyle w:val="TSBHeaderSummary"/>
              <w:rPr>
                <w:highlight w:val="yellow"/>
              </w:rPr>
            </w:pPr>
            <w:r w:rsidRPr="003C28E0">
              <w:t>In line with WTSA Resolution 1, this report provides updates about the SG12 lead study group activities.</w:t>
            </w:r>
          </w:p>
        </w:tc>
      </w:tr>
    </w:tbl>
    <w:p w14:paraId="5C4F201C" w14:textId="606F71DD" w:rsidR="008A6115" w:rsidRPr="003C28E0" w:rsidRDefault="00405E60" w:rsidP="007648B5">
      <w:bookmarkStart w:id="12" w:name="_Hlk98415917"/>
      <w:bookmarkEnd w:id="11"/>
      <w:r w:rsidRPr="003C28E0">
        <w:t xml:space="preserve">In the reporting period, </w:t>
      </w:r>
      <w:r w:rsidR="00623C5B" w:rsidRPr="003C28E0">
        <w:t xml:space="preserve">SG12 held one study group </w:t>
      </w:r>
      <w:r w:rsidR="008A6115" w:rsidRPr="003C28E0">
        <w:t>meeting,</w:t>
      </w:r>
      <w:r w:rsidR="00623C5B" w:rsidRPr="003C28E0">
        <w:t xml:space="preserve"> </w:t>
      </w:r>
      <w:r w:rsidR="008A6115" w:rsidRPr="003C28E0">
        <w:t xml:space="preserve">and </w:t>
      </w:r>
      <w:r w:rsidR="00CB4DD8">
        <w:t>one</w:t>
      </w:r>
      <w:r w:rsidR="008A6115" w:rsidRPr="003C28E0">
        <w:t xml:space="preserve"> </w:t>
      </w:r>
      <w:r w:rsidR="008A6115" w:rsidRPr="00CC2843">
        <w:t>Working Party</w:t>
      </w:r>
      <w:r w:rsidR="008A6115" w:rsidRPr="003C28E0">
        <w:t xml:space="preserve"> plenar</w:t>
      </w:r>
      <w:r w:rsidR="00CB4DD8">
        <w:t>y</w:t>
      </w:r>
      <w:r w:rsidR="008A6115" w:rsidRPr="003C28E0">
        <w:t xml:space="preserve"> as follows:</w:t>
      </w:r>
    </w:p>
    <w:p w14:paraId="145680BC" w14:textId="25E650C6" w:rsidR="008A6115" w:rsidRPr="003C28E0" w:rsidRDefault="008A6115" w:rsidP="008A6115">
      <w:pPr>
        <w:ind w:left="720" w:hanging="720"/>
      </w:pPr>
      <w:r w:rsidRPr="003C28E0">
        <w:t>–</w:t>
      </w:r>
      <w:r w:rsidRPr="003C28E0">
        <w:tab/>
        <w:t>SG12 meeting: Geneva, 14-23 January 2025</w:t>
      </w:r>
      <w:r w:rsidRPr="003C28E0">
        <w:br/>
        <w:t>Attended by 162 participants from 54 countries</w:t>
      </w:r>
      <w:r w:rsidRPr="003C28E0">
        <w:br/>
        <w:t xml:space="preserve">Executive summary: </w:t>
      </w:r>
      <w:hyperlink r:id="rId14" w:history="1">
        <w:r w:rsidRPr="003C28E0">
          <w:rPr>
            <w:rStyle w:val="Hyperlink"/>
          </w:rPr>
          <w:t>https://www.itu.int/en/ITU-T/studygroups/2025-2028/12/Pages/2501-summary.aspx</w:t>
        </w:r>
      </w:hyperlink>
      <w:r w:rsidRPr="003C28E0">
        <w:t xml:space="preserve"> </w:t>
      </w:r>
    </w:p>
    <w:p w14:paraId="7F4D95D0" w14:textId="4DDE5756" w:rsidR="008A6115" w:rsidRPr="003C28E0" w:rsidRDefault="008A6115" w:rsidP="008A6115">
      <w:pPr>
        <w:ind w:left="720" w:hanging="720"/>
      </w:pPr>
      <w:r w:rsidRPr="003C28E0">
        <w:t>–</w:t>
      </w:r>
      <w:r w:rsidRPr="003C28E0">
        <w:tab/>
        <w:t>WP1/12 “</w:t>
      </w:r>
      <w:r w:rsidRPr="003C28E0">
        <w:rPr>
          <w:i/>
          <w:iCs/>
        </w:rPr>
        <w:t>Terminals and multimedia subjective assessment</w:t>
      </w:r>
      <w:r w:rsidRPr="003C28E0">
        <w:t>”: E-meeting, 25 March 2025</w:t>
      </w:r>
      <w:r w:rsidRPr="003C28E0">
        <w:br/>
        <w:t xml:space="preserve">Attended by 13 participants from 5 countries </w:t>
      </w:r>
      <w:r w:rsidRPr="003C28E0">
        <w:br/>
        <w:t xml:space="preserve">Executive summary: </w:t>
      </w:r>
      <w:hyperlink r:id="rId15" w:history="1">
        <w:r w:rsidRPr="003C28E0">
          <w:rPr>
            <w:rStyle w:val="Hyperlink"/>
          </w:rPr>
          <w:t>https://www.itu.int/en/ITU-T/studygroups/2025-2028/12/Pages/2503-summary.aspx</w:t>
        </w:r>
      </w:hyperlink>
      <w:r w:rsidRPr="003C28E0">
        <w:t xml:space="preserve"> </w:t>
      </w:r>
    </w:p>
    <w:p w14:paraId="0786FA52" w14:textId="77777777" w:rsidR="00623C5B" w:rsidRPr="003C28E0" w:rsidRDefault="00623C5B" w:rsidP="00623C5B">
      <w:pPr>
        <w:pStyle w:val="Heading2"/>
      </w:pPr>
      <w:r w:rsidRPr="003C28E0">
        <w:t>Lead study group on quality of service and quality of experience</w:t>
      </w:r>
    </w:p>
    <w:bookmarkEnd w:id="12"/>
    <w:p w14:paraId="087151EE" w14:textId="0A30B296" w:rsidR="005A6164" w:rsidRPr="003C28E0" w:rsidRDefault="00AE35C8" w:rsidP="00F0781E">
      <w:pPr>
        <w:jc w:val="both"/>
      </w:pPr>
      <w:r w:rsidRPr="003C28E0">
        <w:t>T</w:t>
      </w:r>
      <w:r w:rsidR="00F161FC" w:rsidRPr="003C28E0">
        <w:t>he SG12 work programme</w:t>
      </w:r>
      <w:r w:rsidRPr="003C28E0">
        <w:t xml:space="preserve"> was updated</w:t>
      </w:r>
      <w:r w:rsidR="00F161FC" w:rsidRPr="003C28E0">
        <w:t xml:space="preserve"> </w:t>
      </w:r>
      <w:r w:rsidR="00F8179E" w:rsidRPr="003C28E0">
        <w:t>with the addition of</w:t>
      </w:r>
      <w:r w:rsidR="00F161FC" w:rsidRPr="003C28E0">
        <w:t xml:space="preserve"> </w:t>
      </w:r>
      <w:r w:rsidR="00780DB5" w:rsidRPr="003C28E0">
        <w:t>three</w:t>
      </w:r>
      <w:r w:rsidR="005A6164" w:rsidRPr="003C28E0">
        <w:t xml:space="preserve"> </w:t>
      </w:r>
      <w:r w:rsidR="00F161FC" w:rsidRPr="003C28E0">
        <w:t>new work items</w:t>
      </w:r>
      <w:r w:rsidRPr="003C28E0">
        <w:t xml:space="preserve">: </w:t>
      </w:r>
      <w:r w:rsidR="00BE505A" w:rsidRPr="003C28E0">
        <w:t>one</w:t>
      </w:r>
      <w:r w:rsidRPr="003C28E0">
        <w:t xml:space="preserve"> new</w:t>
      </w:r>
      <w:r w:rsidR="005A6164" w:rsidRPr="003C28E0">
        <w:t xml:space="preserve"> </w:t>
      </w:r>
      <w:r w:rsidR="00BE4084" w:rsidRPr="003C28E0">
        <w:t>project</w:t>
      </w:r>
      <w:r w:rsidR="00780DB5" w:rsidRPr="003C28E0">
        <w:t xml:space="preserve"> </w:t>
      </w:r>
      <w:r w:rsidR="007955D9" w:rsidRPr="003C28E0">
        <w:t xml:space="preserve">related to </w:t>
      </w:r>
      <w:r w:rsidR="00BE4084" w:rsidRPr="003C28E0">
        <w:t>telecommunication service quality regulation</w:t>
      </w:r>
      <w:r w:rsidR="007955D9" w:rsidRPr="003C28E0">
        <w:t xml:space="preserve"> </w:t>
      </w:r>
      <w:r w:rsidR="00780DB5" w:rsidRPr="003C28E0">
        <w:t xml:space="preserve">and </w:t>
      </w:r>
      <w:r w:rsidR="00BE505A" w:rsidRPr="003C28E0">
        <w:t>two</w:t>
      </w:r>
      <w:r w:rsidR="005A6164" w:rsidRPr="003C28E0">
        <w:t xml:space="preserve"> </w:t>
      </w:r>
      <w:r w:rsidRPr="003C28E0">
        <w:t xml:space="preserve">draft </w:t>
      </w:r>
      <w:r w:rsidR="005A6164" w:rsidRPr="003C28E0">
        <w:t>new Recommendation</w:t>
      </w:r>
      <w:r w:rsidR="00780DB5" w:rsidRPr="003C28E0">
        <w:t>s</w:t>
      </w:r>
      <w:r w:rsidR="007955D9" w:rsidRPr="003C28E0">
        <w:t xml:space="preserve"> on </w:t>
      </w:r>
      <w:r w:rsidR="00BE4084" w:rsidRPr="003C28E0">
        <w:t>video</w:t>
      </w:r>
      <w:r w:rsidR="007955D9" w:rsidRPr="003C28E0">
        <w:t xml:space="preserve"> quality </w:t>
      </w:r>
      <w:r w:rsidR="00BE4084" w:rsidRPr="003C28E0">
        <w:t>assessment</w:t>
      </w:r>
      <w:r w:rsidR="00F0781E" w:rsidRPr="003C28E0">
        <w:t xml:space="preserve">. The </w:t>
      </w:r>
      <w:r w:rsidR="00BE505A" w:rsidRPr="003C28E0">
        <w:t>status of</w:t>
      </w:r>
      <w:r w:rsidR="00F0781E" w:rsidRPr="003C28E0">
        <w:t xml:space="preserve"> </w:t>
      </w:r>
      <w:r w:rsidR="00F8179E" w:rsidRPr="003C28E0">
        <w:t>work items</w:t>
      </w:r>
      <w:r w:rsidR="00F0781E" w:rsidRPr="003C28E0">
        <w:t xml:space="preserve"> </w:t>
      </w:r>
      <w:r w:rsidR="00BE505A" w:rsidRPr="003C28E0">
        <w:t>identified as</w:t>
      </w:r>
      <w:r w:rsidR="00F0781E" w:rsidRPr="003C28E0">
        <w:t xml:space="preserve"> stale was also reviewed</w:t>
      </w:r>
      <w:r w:rsidR="00BE505A" w:rsidRPr="003C28E0">
        <w:t>, resulting in the discontinuation of</w:t>
      </w:r>
      <w:r w:rsidR="00F0781E" w:rsidRPr="003C28E0">
        <w:t xml:space="preserve"> </w:t>
      </w:r>
      <w:r w:rsidR="00BE4084" w:rsidRPr="003C28E0">
        <w:t xml:space="preserve">one </w:t>
      </w:r>
      <w:r w:rsidR="00F0781E" w:rsidRPr="003C28E0">
        <w:t xml:space="preserve">stale work item. </w:t>
      </w:r>
    </w:p>
    <w:p w14:paraId="7F05B47A" w14:textId="631B0308" w:rsidR="00170F29" w:rsidRPr="003C28E0" w:rsidRDefault="00170F29" w:rsidP="008C5A9A">
      <w:r w:rsidRPr="003C28E0">
        <w:t xml:space="preserve">In its role as lead study group on QoS and </w:t>
      </w:r>
      <w:proofErr w:type="spellStart"/>
      <w:r w:rsidRPr="003C28E0">
        <w:t>QoE</w:t>
      </w:r>
      <w:proofErr w:type="spellEnd"/>
      <w:r w:rsidRPr="003C28E0">
        <w:t>, SG12 liaised ITU-internally with</w:t>
      </w:r>
    </w:p>
    <w:p w14:paraId="70FAFA2B" w14:textId="7E3A2271" w:rsidR="002302C3" w:rsidRPr="003C28E0" w:rsidRDefault="002302C3" w:rsidP="002302C3">
      <w:pPr>
        <w:pStyle w:val="enumlev1"/>
      </w:pPr>
      <w:r w:rsidRPr="003C28E0">
        <w:t>–</w:t>
      </w:r>
      <w:r w:rsidRPr="003C28E0">
        <w:tab/>
        <w:t>ITU-T SG</w:t>
      </w:r>
      <w:r w:rsidR="0043518A" w:rsidRPr="003C28E0">
        <w:t>15</w:t>
      </w:r>
      <w:r w:rsidRPr="003C28E0">
        <w:t xml:space="preserve"> – on </w:t>
      </w:r>
      <w:r w:rsidR="0043518A" w:rsidRPr="003C28E0">
        <w:t>the impact of backhauling on quality indicators</w:t>
      </w:r>
      <w:r w:rsidRPr="003C28E0">
        <w:t>,</w:t>
      </w:r>
    </w:p>
    <w:p w14:paraId="1E50355B" w14:textId="0AABAB57" w:rsidR="00170F29" w:rsidRPr="003C28E0" w:rsidRDefault="003D2420" w:rsidP="003D2420">
      <w:pPr>
        <w:pStyle w:val="enumlev1"/>
      </w:pPr>
      <w:r w:rsidRPr="003C28E0">
        <w:t>–</w:t>
      </w:r>
      <w:r w:rsidRPr="003C28E0">
        <w:tab/>
      </w:r>
      <w:r w:rsidR="00CE6502" w:rsidRPr="003C28E0">
        <w:t xml:space="preserve">ITU-T </w:t>
      </w:r>
      <w:r w:rsidR="00170F29" w:rsidRPr="003C28E0">
        <w:t>SG</w:t>
      </w:r>
      <w:r w:rsidR="0043518A" w:rsidRPr="003C28E0">
        <w:t>21</w:t>
      </w:r>
      <w:r w:rsidR="00170F29" w:rsidRPr="003C28E0">
        <w:t xml:space="preserve"> – on</w:t>
      </w:r>
      <w:r w:rsidR="00995929" w:rsidRPr="003C28E0">
        <w:t xml:space="preserve"> </w:t>
      </w:r>
      <w:r w:rsidR="0043518A" w:rsidRPr="003C28E0">
        <w:t>acoustic performance of microphones and video performance assessment in vehicle</w:t>
      </w:r>
      <w:r w:rsidR="00BE505A" w:rsidRPr="003C28E0">
        <w:t>s</w:t>
      </w:r>
      <w:r w:rsidR="00C744D4" w:rsidRPr="003C28E0">
        <w:t xml:space="preserve">, </w:t>
      </w:r>
    </w:p>
    <w:p w14:paraId="72B8F0F7" w14:textId="28FF42B5" w:rsidR="002302C3" w:rsidRPr="003C28E0" w:rsidRDefault="002302C3" w:rsidP="003D2420">
      <w:pPr>
        <w:pStyle w:val="enumlev1"/>
        <w:rPr>
          <w:highlight w:val="yellow"/>
        </w:rPr>
      </w:pPr>
      <w:r w:rsidRPr="003C28E0">
        <w:t>–</w:t>
      </w:r>
      <w:r w:rsidRPr="003C28E0">
        <w:tab/>
      </w:r>
      <w:r w:rsidR="0043518A" w:rsidRPr="003C28E0">
        <w:t xml:space="preserve">SCV and </w:t>
      </w:r>
      <w:r w:rsidRPr="003C28E0">
        <w:t>ITU</w:t>
      </w:r>
      <w:r w:rsidR="0043518A" w:rsidRPr="003C28E0">
        <w:t>-R</w:t>
      </w:r>
      <w:r w:rsidRPr="003C28E0">
        <w:t xml:space="preserve"> </w:t>
      </w:r>
      <w:r w:rsidR="0043518A" w:rsidRPr="003C28E0">
        <w:t>WP1A and 5D</w:t>
      </w:r>
      <w:r w:rsidRPr="003C28E0">
        <w:t xml:space="preserve"> – on </w:t>
      </w:r>
      <w:r w:rsidR="0043518A" w:rsidRPr="003C28E0">
        <w:t>vocabulary matters,</w:t>
      </w:r>
    </w:p>
    <w:p w14:paraId="62EE58FA" w14:textId="19F438EB" w:rsidR="00C744D4" w:rsidRPr="003C28E0" w:rsidRDefault="00256F64" w:rsidP="00C744D4">
      <w:r w:rsidRPr="003C28E0">
        <w:t>and</w:t>
      </w:r>
      <w:r w:rsidR="003D2420" w:rsidRPr="003C28E0">
        <w:t xml:space="preserve"> externally</w:t>
      </w:r>
      <w:r w:rsidR="0043518A" w:rsidRPr="003C28E0">
        <w:t xml:space="preserve"> </w:t>
      </w:r>
      <w:r w:rsidR="003D2420" w:rsidRPr="003C28E0">
        <w:t xml:space="preserve">with </w:t>
      </w:r>
      <w:r w:rsidRPr="003C28E0">
        <w:t>VQEG</w:t>
      </w:r>
      <w:r w:rsidR="003D2420" w:rsidRPr="003C28E0">
        <w:t>.</w:t>
      </w:r>
      <w:r w:rsidR="004C4AD5" w:rsidRPr="003C28E0">
        <w:t xml:space="preserve"> </w:t>
      </w:r>
    </w:p>
    <w:p w14:paraId="0B32A7E5" w14:textId="0884DBE3" w:rsidR="0043518A" w:rsidRPr="003C28E0" w:rsidRDefault="0043518A" w:rsidP="00C744D4">
      <w:r w:rsidRPr="003C28E0">
        <w:t>SG12 also updated its liaison representatives and informed the relevant ITU-T Study Groups and JCAs.</w:t>
      </w:r>
    </w:p>
    <w:p w14:paraId="7996B6C1" w14:textId="0327D4CA" w:rsidR="00BE505A" w:rsidRPr="003C28E0" w:rsidRDefault="00BE505A" w:rsidP="00C744D4">
      <w:r w:rsidRPr="003C28E0">
        <w:t xml:space="preserve">ITU-T Study Groups are encouraged to continue close collaboration with SG12 on any ongoing or future work related to QoS, </w:t>
      </w:r>
      <w:proofErr w:type="spellStart"/>
      <w:r w:rsidRPr="003C28E0">
        <w:t>QoE</w:t>
      </w:r>
      <w:proofErr w:type="spellEnd"/>
      <w:r w:rsidRPr="003C28E0">
        <w:t xml:space="preserve"> and performance. They are also invited to adopt ITU-T P.10/G.100 as the primary reference for terminology related to performance, QoS, and </w:t>
      </w:r>
      <w:proofErr w:type="spellStart"/>
      <w:r w:rsidRPr="003C28E0">
        <w:t>QoE</w:t>
      </w:r>
      <w:proofErr w:type="spellEnd"/>
      <w:r w:rsidRPr="003C28E0">
        <w:t xml:space="preserve">, and to ensure alignment of definitions across related work. Study Groups are further encouraged to inform SG12 </w:t>
      </w:r>
      <w:r w:rsidRPr="003C28E0">
        <w:lastRenderedPageBreak/>
        <w:t>of any terms currently not included in ITU-T P.10/G.100, to support its continued development and ensure comprehensive and consistent terminology across the ITU-T.</w:t>
      </w:r>
    </w:p>
    <w:p w14:paraId="63227470" w14:textId="673612B8" w:rsidR="00623C5B" w:rsidRPr="003C28E0" w:rsidRDefault="00623C5B" w:rsidP="008A6115">
      <w:pPr>
        <w:pStyle w:val="Heading2"/>
        <w:ind w:left="0" w:firstLine="0"/>
      </w:pPr>
      <w:r w:rsidRPr="003C28E0">
        <w:t xml:space="preserve">Lead study group on </w:t>
      </w:r>
      <w:r w:rsidR="008A6115" w:rsidRPr="003C28E0">
        <w:t>performance and quality assessment of speech and multimedia communication systems, including vehicle communication systems</w:t>
      </w:r>
    </w:p>
    <w:p w14:paraId="58CA7447" w14:textId="3C6C09BB" w:rsidR="00E44C12" w:rsidRPr="003C28E0" w:rsidRDefault="00E44C12" w:rsidP="00E44C12">
      <w:r w:rsidRPr="003C28E0">
        <w:t xml:space="preserve">SG12 approved revised Recommendations </w:t>
      </w:r>
      <w:r w:rsidR="00BE505A" w:rsidRPr="003C28E0">
        <w:t>ITU-T P.501 “</w:t>
      </w:r>
      <w:r w:rsidR="00BE505A" w:rsidRPr="003C28E0">
        <w:rPr>
          <w:i/>
          <w:iCs/>
        </w:rPr>
        <w:t>Test signals for use in telephony and other speech-based applications</w:t>
      </w:r>
      <w:r w:rsidR="00BE505A" w:rsidRPr="003C28E0">
        <w:t xml:space="preserve">” and </w:t>
      </w:r>
      <w:r w:rsidRPr="003C28E0">
        <w:t>ITU-T P.570 “</w:t>
      </w:r>
      <w:r w:rsidRPr="003C28E0">
        <w:rPr>
          <w:i/>
          <w:iCs/>
        </w:rPr>
        <w:t>Artificial noise fields under laboratory conditions</w:t>
      </w:r>
      <w:r w:rsidRPr="003C28E0">
        <w:t>” related to speech quality assessment.</w:t>
      </w:r>
    </w:p>
    <w:p w14:paraId="10F8057F" w14:textId="77777777" w:rsidR="00AE3D9E" w:rsidRPr="003C28E0" w:rsidRDefault="006F7FE2" w:rsidP="00AE3D9E">
      <w:r w:rsidRPr="003C28E0">
        <w:t>W</w:t>
      </w:r>
      <w:r w:rsidR="00030C8B" w:rsidRPr="003C28E0">
        <w:t xml:space="preserve">ork </w:t>
      </w:r>
      <w:r w:rsidR="006559AD" w:rsidRPr="003C28E0">
        <w:t xml:space="preserve">progressed </w:t>
      </w:r>
      <w:r w:rsidR="00C744D4" w:rsidRPr="003C28E0">
        <w:t>on</w:t>
      </w:r>
      <w:r w:rsidR="00AE3D9E" w:rsidRPr="003C28E0">
        <w:t xml:space="preserve"> speech quality assessment for:</w:t>
      </w:r>
    </w:p>
    <w:p w14:paraId="3C633B77" w14:textId="35BFB801" w:rsidR="00165539" w:rsidRPr="003C28E0" w:rsidRDefault="00BE505A" w:rsidP="00BE505A">
      <w:pPr>
        <w:ind w:left="720" w:hanging="720"/>
      </w:pPr>
      <w:r w:rsidRPr="003C28E0">
        <w:t>–</w:t>
      </w:r>
      <w:r w:rsidRPr="003C28E0">
        <w:tab/>
      </w:r>
      <w:r w:rsidRPr="003C28E0">
        <w:rPr>
          <w:b/>
          <w:bCs/>
        </w:rPr>
        <w:t>v</w:t>
      </w:r>
      <w:r w:rsidR="00AE3D9E" w:rsidRPr="003C28E0">
        <w:rPr>
          <w:b/>
          <w:bCs/>
        </w:rPr>
        <w:t>ehicle communication systems:</w:t>
      </w:r>
      <w:r w:rsidR="00AE3D9E" w:rsidRPr="003C28E0">
        <w:t xml:space="preserve">  </w:t>
      </w:r>
      <w:r w:rsidR="006F7FE2" w:rsidRPr="003C28E0">
        <w:t>draft new Recommendation ITU-T P.ASR</w:t>
      </w:r>
      <w:r w:rsidR="00F60CDD" w:rsidRPr="003C28E0">
        <w:t xml:space="preserve"> “</w:t>
      </w:r>
      <w:r w:rsidR="00030C8B" w:rsidRPr="003C28E0">
        <w:rPr>
          <w:i/>
          <w:iCs/>
        </w:rPr>
        <w:t>Performance requirements for automatic speech recognition (ASR) in vehicles</w:t>
      </w:r>
      <w:r w:rsidR="00F60CDD" w:rsidRPr="003C28E0">
        <w:t xml:space="preserve">” </w:t>
      </w:r>
      <w:r w:rsidR="006559AD" w:rsidRPr="003C28E0">
        <w:t xml:space="preserve">and </w:t>
      </w:r>
      <w:r w:rsidR="00AE3D9E" w:rsidRPr="003C28E0">
        <w:t>revision of</w:t>
      </w:r>
      <w:r w:rsidR="006559AD" w:rsidRPr="003C28E0">
        <w:t xml:space="preserve"> Recommendations in the ITU-T P.1100 series on hands-free communications in vehicles</w:t>
      </w:r>
      <w:r w:rsidR="00AE3D9E" w:rsidRPr="003C28E0">
        <w:t xml:space="preserve">  </w:t>
      </w:r>
    </w:p>
    <w:p w14:paraId="58441135" w14:textId="3CFF23A3" w:rsidR="00AE3D9E" w:rsidRPr="003C28E0" w:rsidRDefault="00BE505A" w:rsidP="00BE505A">
      <w:pPr>
        <w:ind w:left="720" w:hanging="720"/>
      </w:pPr>
      <w:r w:rsidRPr="003C28E0">
        <w:t>–</w:t>
      </w:r>
      <w:r w:rsidRPr="003C28E0">
        <w:tab/>
      </w:r>
      <w:r w:rsidRPr="003C28E0">
        <w:rPr>
          <w:b/>
          <w:bCs/>
        </w:rPr>
        <w:t>h</w:t>
      </w:r>
      <w:r w:rsidR="00AE3D9E" w:rsidRPr="003C28E0">
        <w:rPr>
          <w:b/>
          <w:bCs/>
        </w:rPr>
        <w:t>ands-free terminals:</w:t>
      </w:r>
      <w:r w:rsidR="00AE3D9E" w:rsidRPr="003C28E0">
        <w:t xml:space="preserve"> </w:t>
      </w:r>
      <w:r w:rsidRPr="003C28E0">
        <w:t xml:space="preserve">revision of </w:t>
      </w:r>
      <w:r w:rsidR="00AE3D9E" w:rsidRPr="003C28E0">
        <w:t>ITU-T P.340</w:t>
      </w:r>
      <w:r w:rsidRPr="003C28E0">
        <w:t xml:space="preserve"> “</w:t>
      </w:r>
      <w:r w:rsidR="00AE3D9E" w:rsidRPr="003C28E0">
        <w:rPr>
          <w:i/>
          <w:iCs/>
        </w:rPr>
        <w:t>Transmission characteristics and speech quality parameters of hands-free terminals</w:t>
      </w:r>
      <w:r w:rsidRPr="003C28E0">
        <w:t>”</w:t>
      </w:r>
    </w:p>
    <w:p w14:paraId="22CA76AC" w14:textId="4E12D738" w:rsidR="00BE505A" w:rsidRPr="003C28E0" w:rsidRDefault="00BE505A" w:rsidP="00F60CDD">
      <w:pPr>
        <w:rPr>
          <w:lang w:eastAsia="zh-CN"/>
        </w:rPr>
      </w:pPr>
      <w:r w:rsidRPr="003C28E0">
        <w:rPr>
          <w:lang w:eastAsia="zh-CN"/>
        </w:rPr>
        <w:t>SG12 highlights the instruction in WTSA-24 Resolution 104 “</w:t>
      </w:r>
      <w:r w:rsidRPr="003C28E0">
        <w:rPr>
          <w:i/>
          <w:iCs/>
          <w:lang w:eastAsia="zh-CN"/>
        </w:rPr>
        <w:t>Promoting and strengthening standardization activities for vehicular communications</w:t>
      </w:r>
      <w:r w:rsidRPr="003C28E0">
        <w:rPr>
          <w:lang w:eastAsia="zh-CN"/>
        </w:rPr>
        <w:t xml:space="preserve">” which mandates SG12 to “…foster standardization activities of QoS and </w:t>
      </w:r>
      <w:proofErr w:type="spellStart"/>
      <w:r w:rsidRPr="003C28E0">
        <w:rPr>
          <w:lang w:eastAsia="zh-CN"/>
        </w:rPr>
        <w:t>QoE</w:t>
      </w:r>
      <w:proofErr w:type="spellEnd"/>
      <w:r w:rsidRPr="003C28E0">
        <w:rPr>
          <w:lang w:eastAsia="zh-CN"/>
        </w:rPr>
        <w:t xml:space="preserve"> in relation to vehicular communications, such as V2X and ITS, including vehicular communications to support automated driving…”. ITU-T Study Groups are therefore encouraged to engage with SG12 at an early stage on any new or emerging work items related to quality assessment of speech and multimedia communication systems, particularly those relevant to vehicle communication systems.</w:t>
      </w:r>
    </w:p>
    <w:p w14:paraId="2E3D0839" w14:textId="7AF76500" w:rsidR="00623C5B" w:rsidRPr="003C28E0" w:rsidRDefault="00623C5B" w:rsidP="008A6115">
      <w:pPr>
        <w:pStyle w:val="Heading2"/>
        <w:ind w:left="0" w:firstLine="0"/>
      </w:pPr>
      <w:r w:rsidRPr="003C28E0">
        <w:t xml:space="preserve">Lead study group on </w:t>
      </w:r>
      <w:r w:rsidR="008A6115" w:rsidRPr="003C28E0">
        <w:t>video quality assessment of communications, applications and system components</w:t>
      </w:r>
    </w:p>
    <w:p w14:paraId="05143A51" w14:textId="3231E1BC" w:rsidR="00563013" w:rsidRPr="003C28E0" w:rsidRDefault="00B62093" w:rsidP="009B5258">
      <w:r w:rsidRPr="003C28E0">
        <w:t xml:space="preserve">In the reporting period, </w:t>
      </w:r>
      <w:r w:rsidR="007955D9" w:rsidRPr="003C28E0">
        <w:t>SG12 adopted new Recommendation P.1211 “</w:t>
      </w:r>
      <w:r w:rsidR="007955D9" w:rsidRPr="003C28E0">
        <w:rPr>
          <w:i/>
          <w:iCs/>
        </w:rPr>
        <w:t>Derivation procedure of contribution values for quality degradation of adaptive audiovisual streaming services</w:t>
      </w:r>
      <w:r w:rsidR="007955D9" w:rsidRPr="003C28E0">
        <w:t>”</w:t>
      </w:r>
      <w:r w:rsidR="009B5258" w:rsidRPr="003C28E0">
        <w:t>, one new Supplement “</w:t>
      </w:r>
      <w:r w:rsidR="009B5258" w:rsidRPr="003C28E0">
        <w:rPr>
          <w:i/>
          <w:iCs/>
        </w:rPr>
        <w:t>Subjective quality evaluation of audiovisual communication in videotelephony services</w:t>
      </w:r>
      <w:r w:rsidR="009B5258" w:rsidRPr="003C28E0">
        <w:t>” and two new Technical Reports PSTR-GCMVTQS-A1 “</w:t>
      </w:r>
      <w:r w:rsidR="009B5258" w:rsidRPr="003C28E0">
        <w:rPr>
          <w:i/>
          <w:iCs/>
        </w:rPr>
        <w:t>Alternative computational model used as a quality monitor to assess videotelephony services based on machine learning</w:t>
      </w:r>
      <w:r w:rsidR="009B5258" w:rsidRPr="003C28E0">
        <w:t>” and PSTR-GCMVTQS-A12 “</w:t>
      </w:r>
      <w:r w:rsidR="009B5258" w:rsidRPr="003C28E0">
        <w:rPr>
          <w:i/>
          <w:iCs/>
        </w:rPr>
        <w:t>Alternative parametric computational model used as a quality monitor to assess videotelephony services</w:t>
      </w:r>
      <w:r w:rsidR="009B5258" w:rsidRPr="003C28E0">
        <w:t xml:space="preserve">” </w:t>
      </w:r>
      <w:r w:rsidR="00563013" w:rsidRPr="003C28E0">
        <w:t xml:space="preserve"> on videotelephony</w:t>
      </w:r>
      <w:r w:rsidR="007955D9" w:rsidRPr="003C28E0">
        <w:t>.</w:t>
      </w:r>
      <w:r w:rsidR="006559AD" w:rsidRPr="003C28E0">
        <w:t xml:space="preserve"> </w:t>
      </w:r>
    </w:p>
    <w:p w14:paraId="16DA7F02" w14:textId="5ECC0A2B" w:rsidR="00B62093" w:rsidRPr="003C28E0" w:rsidRDefault="007955D9" w:rsidP="00563013">
      <w:r w:rsidRPr="003C28E0">
        <w:t>N</w:t>
      </w:r>
      <w:r w:rsidR="00053C9F" w:rsidRPr="003C28E0">
        <w:t xml:space="preserve">ew </w:t>
      </w:r>
      <w:r w:rsidR="00B62093" w:rsidRPr="003C28E0">
        <w:t xml:space="preserve">work </w:t>
      </w:r>
      <w:r w:rsidR="00053C9F" w:rsidRPr="003C28E0">
        <w:t xml:space="preserve">was </w:t>
      </w:r>
      <w:r w:rsidRPr="003C28E0">
        <w:t xml:space="preserve">also </w:t>
      </w:r>
      <w:r w:rsidR="00053C9F" w:rsidRPr="003C28E0">
        <w:t xml:space="preserve">initiated on </w:t>
      </w:r>
      <w:r w:rsidR="00563013" w:rsidRPr="003C28E0">
        <w:t>objective quality assessment for panoramic video (</w:t>
      </w:r>
      <w:proofErr w:type="gramStart"/>
      <w:r w:rsidR="00563013" w:rsidRPr="003C28E0">
        <w:t>P.PV</w:t>
      </w:r>
      <w:proofErr w:type="gramEnd"/>
      <w:r w:rsidR="00563013" w:rsidRPr="003C28E0">
        <w:t>-OQAM) and AI-enhanced video content (</w:t>
      </w:r>
      <w:proofErr w:type="gramStart"/>
      <w:r w:rsidR="00563013" w:rsidRPr="003C28E0">
        <w:t>P.OQAI</w:t>
      </w:r>
      <w:proofErr w:type="gramEnd"/>
      <w:r w:rsidR="00563013" w:rsidRPr="003C28E0">
        <w:t>)</w:t>
      </w:r>
      <w:r w:rsidRPr="003C28E0">
        <w:t>.</w:t>
      </w:r>
    </w:p>
    <w:p w14:paraId="537696E3" w14:textId="50B19818" w:rsidR="00563013" w:rsidRPr="003C28E0" w:rsidRDefault="00BE505A" w:rsidP="00563013">
      <w:r w:rsidRPr="003C28E0">
        <w:t xml:space="preserve">Ongoing activities </w:t>
      </w:r>
      <w:r w:rsidR="00563013" w:rsidRPr="003C28E0">
        <w:t>continue</w:t>
      </w:r>
      <w:r w:rsidRPr="003C28E0">
        <w:t xml:space="preserve"> </w:t>
      </w:r>
      <w:r w:rsidR="00563013" w:rsidRPr="003C28E0">
        <w:t xml:space="preserve">to </w:t>
      </w:r>
      <w:r w:rsidRPr="003C28E0">
        <w:t xml:space="preserve">advance work </w:t>
      </w:r>
      <w:r w:rsidR="00563013" w:rsidRPr="003C28E0">
        <w:t>items related to quality assessment of video communications and applications mainly related to video streaming quality (</w:t>
      </w:r>
      <w:r w:rsidR="00C64F7B" w:rsidRPr="003C28E0">
        <w:t xml:space="preserve">P.1204.1, P.1204.2, </w:t>
      </w:r>
      <w:proofErr w:type="gramStart"/>
      <w:r w:rsidR="00563013" w:rsidRPr="003C28E0">
        <w:t>P.NATS</w:t>
      </w:r>
      <w:proofErr w:type="gramEnd"/>
      <w:r w:rsidR="00563013" w:rsidRPr="003C28E0">
        <w:t>-ph3</w:t>
      </w:r>
      <w:r w:rsidR="00C64F7B" w:rsidRPr="003C28E0">
        <w:t xml:space="preserve">, </w:t>
      </w:r>
      <w:proofErr w:type="gramStart"/>
      <w:r w:rsidR="00C64F7B" w:rsidRPr="003C28E0">
        <w:rPr>
          <w:color w:val="000000"/>
        </w:rPr>
        <w:t>P.NATS</w:t>
      </w:r>
      <w:proofErr w:type="gramEnd"/>
      <w:r w:rsidR="00C64F7B" w:rsidRPr="003C28E0">
        <w:rPr>
          <w:color w:val="000000"/>
        </w:rPr>
        <w:t>-Codec-Ext</w:t>
      </w:r>
      <w:r w:rsidR="00563013" w:rsidRPr="003C28E0">
        <w:t>)</w:t>
      </w:r>
      <w:r w:rsidR="00C64F7B" w:rsidRPr="003C28E0">
        <w:t>, quality assessment of cloud gaming services (</w:t>
      </w:r>
      <w:proofErr w:type="gramStart"/>
      <w:r w:rsidR="00C64F7B" w:rsidRPr="003C28E0">
        <w:t>P.BBQCG</w:t>
      </w:r>
      <w:proofErr w:type="gramEnd"/>
      <w:r w:rsidR="00C64F7B" w:rsidRPr="003C28E0">
        <w:t>) and quality modelling for XR services (PSTR-OQMXR)</w:t>
      </w:r>
      <w:r w:rsidR="00563013" w:rsidRPr="003C28E0">
        <w:t xml:space="preserve">. </w:t>
      </w:r>
    </w:p>
    <w:p w14:paraId="632F7189" w14:textId="5F1035B0" w:rsidR="00BE505A" w:rsidRPr="003C28E0" w:rsidRDefault="00BE505A" w:rsidP="00053C9F">
      <w:r w:rsidRPr="003C28E0">
        <w:t>ITU-T Study Groups are also encouraged to engage with SG12 at an early stage on any potential new work items related to quality assessment of video communications and applications, including emerging areas such as immersive media quality assessment.</w:t>
      </w:r>
    </w:p>
    <w:p w14:paraId="14ABF2F8" w14:textId="46EAFF7C" w:rsidR="00741624" w:rsidRPr="003C28E0" w:rsidRDefault="00B62093" w:rsidP="00C64F7B">
      <w:r w:rsidRPr="003C28E0">
        <w:t xml:space="preserve">SG12’s longstanding </w:t>
      </w:r>
      <w:r w:rsidR="00C64F7B" w:rsidRPr="003C28E0">
        <w:t>collaboration</w:t>
      </w:r>
      <w:r w:rsidRPr="003C28E0">
        <w:t xml:space="preserve"> with the Video Quality Expert Group (VQEG) continues </w:t>
      </w:r>
      <w:r w:rsidR="00C64F7B" w:rsidRPr="003C28E0">
        <w:t xml:space="preserve">to yield results, as seen in </w:t>
      </w:r>
      <w:r w:rsidRPr="003C28E0">
        <w:t xml:space="preserve">the collaborative </w:t>
      </w:r>
      <w:r w:rsidR="006559AD" w:rsidRPr="003C28E0">
        <w:t>development of draft new Recommendation</w:t>
      </w:r>
      <w:r w:rsidR="00F1014B" w:rsidRPr="003C28E0">
        <w:t xml:space="preserve">s </w:t>
      </w:r>
      <w:r w:rsidR="006559AD" w:rsidRPr="003C28E0">
        <w:t>P.IXC on</w:t>
      </w:r>
      <w:r w:rsidRPr="003C28E0">
        <w:t xml:space="preserve"> immersive media quality</w:t>
      </w:r>
      <w:r w:rsidR="009B5258" w:rsidRPr="003C28E0">
        <w:t xml:space="preserve"> and </w:t>
      </w:r>
      <w:proofErr w:type="spellStart"/>
      <w:proofErr w:type="gramStart"/>
      <w:r w:rsidR="009B5258" w:rsidRPr="003C28E0">
        <w:t>J.noref</w:t>
      </w:r>
      <w:proofErr w:type="spellEnd"/>
      <w:proofErr w:type="gramEnd"/>
      <w:r w:rsidR="00F1014B" w:rsidRPr="003C28E0">
        <w:t xml:space="preserve"> on video quality measurement for digital cable TV</w:t>
      </w:r>
      <w:r w:rsidR="00C64F7B" w:rsidRPr="003C28E0">
        <w:t xml:space="preserve">.  This cooperation is strengthened through joint sessions of </w:t>
      </w:r>
      <w:r w:rsidR="006559AD" w:rsidRPr="003C28E0">
        <w:t xml:space="preserve">the </w:t>
      </w:r>
      <w:proofErr w:type="spellStart"/>
      <w:r w:rsidR="006559AD" w:rsidRPr="003C28E0">
        <w:t>Intersector</w:t>
      </w:r>
      <w:proofErr w:type="spellEnd"/>
      <w:r w:rsidR="006559AD" w:rsidRPr="003C28E0">
        <w:t xml:space="preserve"> Rapporteur Group on Audiovisual Quality Assessment (IRG-AVQA), convened alongside VQEG</w:t>
      </w:r>
      <w:r w:rsidR="006B2830" w:rsidRPr="003C28E0">
        <w:t>,</w:t>
      </w:r>
      <w:r w:rsidR="00C64F7B" w:rsidRPr="003C28E0">
        <w:t xml:space="preserve"> with the latest session held</w:t>
      </w:r>
      <w:r w:rsidR="006559AD" w:rsidRPr="003C28E0">
        <w:t xml:space="preserve"> in </w:t>
      </w:r>
      <w:r w:rsidR="00212650" w:rsidRPr="003C28E0">
        <w:t>May</w:t>
      </w:r>
      <w:r w:rsidR="006559AD" w:rsidRPr="003C28E0">
        <w:t xml:space="preserve"> 202</w:t>
      </w:r>
      <w:r w:rsidR="00212650" w:rsidRPr="003C28E0">
        <w:t>5</w:t>
      </w:r>
      <w:r w:rsidR="002F2CAC" w:rsidRPr="003C28E0">
        <w:t>.</w:t>
      </w:r>
      <w:bookmarkStart w:id="13" w:name="_Hlk98856042"/>
    </w:p>
    <w:p w14:paraId="36E9B0D2" w14:textId="0968E6D3" w:rsidR="00741624" w:rsidRPr="00CC2843" w:rsidRDefault="008C5A9A" w:rsidP="00CC2843">
      <w:pPr>
        <w:jc w:val="center"/>
      </w:pPr>
      <w:r w:rsidRPr="003C28E0">
        <w:t>___________________</w:t>
      </w:r>
      <w:bookmarkEnd w:id="13"/>
    </w:p>
    <w:sectPr w:rsidR="00741624" w:rsidRPr="00CC2843" w:rsidSect="00CC2843">
      <w:headerReference w:type="default" r:id="rId16"/>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CA25" w14:textId="77777777" w:rsidR="004C66D6" w:rsidRDefault="004C66D6" w:rsidP="00C42125">
      <w:pPr>
        <w:spacing w:before="0"/>
      </w:pPr>
      <w:r>
        <w:separator/>
      </w:r>
    </w:p>
  </w:endnote>
  <w:endnote w:type="continuationSeparator" w:id="0">
    <w:p w14:paraId="577A3162" w14:textId="77777777" w:rsidR="004C66D6" w:rsidRDefault="004C66D6" w:rsidP="00C42125">
      <w:pPr>
        <w:spacing w:before="0"/>
      </w:pPr>
      <w:r>
        <w:continuationSeparator/>
      </w:r>
    </w:p>
  </w:endnote>
  <w:endnote w:type="continuationNotice" w:id="1">
    <w:p w14:paraId="00709928" w14:textId="77777777" w:rsidR="004C66D6" w:rsidRDefault="004C66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Yu Gothic UI"/>
    <w:charset w:val="80"/>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57010" w14:textId="77777777" w:rsidR="004C66D6" w:rsidRDefault="004C66D6" w:rsidP="00C42125">
      <w:pPr>
        <w:spacing w:before="0"/>
      </w:pPr>
      <w:r>
        <w:separator/>
      </w:r>
    </w:p>
  </w:footnote>
  <w:footnote w:type="continuationSeparator" w:id="0">
    <w:p w14:paraId="63F8229A" w14:textId="77777777" w:rsidR="004C66D6" w:rsidRDefault="004C66D6" w:rsidP="00C42125">
      <w:pPr>
        <w:spacing w:before="0"/>
      </w:pPr>
      <w:r>
        <w:continuationSeparator/>
      </w:r>
    </w:p>
  </w:footnote>
  <w:footnote w:type="continuationNotice" w:id="1">
    <w:p w14:paraId="5A3011BB" w14:textId="77777777" w:rsidR="004C66D6" w:rsidRDefault="004C66D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18A3" w14:textId="225DBC17" w:rsidR="001A4E23" w:rsidRPr="00CC2843" w:rsidRDefault="00CC2843" w:rsidP="00CC2843">
    <w:pPr>
      <w:pStyle w:val="Header"/>
    </w:pPr>
    <w:r w:rsidRPr="00CC2843">
      <w:t xml:space="preserve">- </w:t>
    </w:r>
    <w:r w:rsidRPr="00CC2843">
      <w:fldChar w:fldCharType="begin"/>
    </w:r>
    <w:r w:rsidRPr="00CC2843">
      <w:instrText xml:space="preserve"> PAGE  \* MERGEFORMAT </w:instrText>
    </w:r>
    <w:r w:rsidRPr="00CC2843">
      <w:fldChar w:fldCharType="separate"/>
    </w:r>
    <w:r w:rsidRPr="00CC2843">
      <w:rPr>
        <w:noProof/>
      </w:rPr>
      <w:t>1</w:t>
    </w:r>
    <w:r w:rsidRPr="00CC2843">
      <w:fldChar w:fldCharType="end"/>
    </w:r>
    <w:r w:rsidRPr="00CC2843">
      <w:t xml:space="preserve"> -</w:t>
    </w:r>
  </w:p>
  <w:p w14:paraId="4AE0F38C" w14:textId="274F8172" w:rsidR="00CC2843" w:rsidRPr="00CC2843" w:rsidRDefault="00CC2843" w:rsidP="00CC2843">
    <w:pPr>
      <w:pStyle w:val="Header"/>
      <w:spacing w:after="240"/>
    </w:pPr>
    <w:r w:rsidRPr="00CC2843">
      <w:fldChar w:fldCharType="begin"/>
    </w:r>
    <w:r w:rsidRPr="00CC2843">
      <w:instrText xml:space="preserve"> STYLEREF  Docnumber  </w:instrText>
    </w:r>
    <w:r>
      <w:fldChar w:fldCharType="separate"/>
    </w:r>
    <w:r>
      <w:rPr>
        <w:noProof/>
      </w:rPr>
      <w:t>TSAG-TD24</w:t>
    </w:r>
    <w:r w:rsidRPr="00CC284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50B38"/>
    <w:multiLevelType w:val="hybridMultilevel"/>
    <w:tmpl w:val="249A8FAC"/>
    <w:lvl w:ilvl="0" w:tplc="5EC42210">
      <w:start w:val="1"/>
      <w:numFmt w:val="bullet"/>
      <w:lvlText w:val="•"/>
      <w:lvlJc w:val="left"/>
      <w:pPr>
        <w:tabs>
          <w:tab w:val="num" w:pos="720"/>
        </w:tabs>
        <w:ind w:left="720" w:hanging="360"/>
      </w:pPr>
      <w:rPr>
        <w:rFonts w:ascii="Arial" w:hAnsi="Arial" w:hint="default"/>
      </w:rPr>
    </w:lvl>
    <w:lvl w:ilvl="1" w:tplc="45760D86" w:tentative="1">
      <w:start w:val="1"/>
      <w:numFmt w:val="bullet"/>
      <w:lvlText w:val="•"/>
      <w:lvlJc w:val="left"/>
      <w:pPr>
        <w:tabs>
          <w:tab w:val="num" w:pos="1440"/>
        </w:tabs>
        <w:ind w:left="1440" w:hanging="360"/>
      </w:pPr>
      <w:rPr>
        <w:rFonts w:ascii="Arial" w:hAnsi="Arial" w:hint="default"/>
      </w:rPr>
    </w:lvl>
    <w:lvl w:ilvl="2" w:tplc="0D445B26" w:tentative="1">
      <w:start w:val="1"/>
      <w:numFmt w:val="bullet"/>
      <w:lvlText w:val="•"/>
      <w:lvlJc w:val="left"/>
      <w:pPr>
        <w:tabs>
          <w:tab w:val="num" w:pos="2160"/>
        </w:tabs>
        <w:ind w:left="2160" w:hanging="360"/>
      </w:pPr>
      <w:rPr>
        <w:rFonts w:ascii="Arial" w:hAnsi="Arial" w:hint="default"/>
      </w:rPr>
    </w:lvl>
    <w:lvl w:ilvl="3" w:tplc="33DCE19C" w:tentative="1">
      <w:start w:val="1"/>
      <w:numFmt w:val="bullet"/>
      <w:lvlText w:val="•"/>
      <w:lvlJc w:val="left"/>
      <w:pPr>
        <w:tabs>
          <w:tab w:val="num" w:pos="2880"/>
        </w:tabs>
        <w:ind w:left="2880" w:hanging="360"/>
      </w:pPr>
      <w:rPr>
        <w:rFonts w:ascii="Arial" w:hAnsi="Arial" w:hint="default"/>
      </w:rPr>
    </w:lvl>
    <w:lvl w:ilvl="4" w:tplc="A1F844A4" w:tentative="1">
      <w:start w:val="1"/>
      <w:numFmt w:val="bullet"/>
      <w:lvlText w:val="•"/>
      <w:lvlJc w:val="left"/>
      <w:pPr>
        <w:tabs>
          <w:tab w:val="num" w:pos="3600"/>
        </w:tabs>
        <w:ind w:left="3600" w:hanging="360"/>
      </w:pPr>
      <w:rPr>
        <w:rFonts w:ascii="Arial" w:hAnsi="Arial" w:hint="default"/>
      </w:rPr>
    </w:lvl>
    <w:lvl w:ilvl="5" w:tplc="D7B6F202" w:tentative="1">
      <w:start w:val="1"/>
      <w:numFmt w:val="bullet"/>
      <w:lvlText w:val="•"/>
      <w:lvlJc w:val="left"/>
      <w:pPr>
        <w:tabs>
          <w:tab w:val="num" w:pos="4320"/>
        </w:tabs>
        <w:ind w:left="4320" w:hanging="360"/>
      </w:pPr>
      <w:rPr>
        <w:rFonts w:ascii="Arial" w:hAnsi="Arial" w:hint="default"/>
      </w:rPr>
    </w:lvl>
    <w:lvl w:ilvl="6" w:tplc="D280377C" w:tentative="1">
      <w:start w:val="1"/>
      <w:numFmt w:val="bullet"/>
      <w:lvlText w:val="•"/>
      <w:lvlJc w:val="left"/>
      <w:pPr>
        <w:tabs>
          <w:tab w:val="num" w:pos="5040"/>
        </w:tabs>
        <w:ind w:left="5040" w:hanging="360"/>
      </w:pPr>
      <w:rPr>
        <w:rFonts w:ascii="Arial" w:hAnsi="Arial" w:hint="default"/>
      </w:rPr>
    </w:lvl>
    <w:lvl w:ilvl="7" w:tplc="20BC351E" w:tentative="1">
      <w:start w:val="1"/>
      <w:numFmt w:val="bullet"/>
      <w:lvlText w:val="•"/>
      <w:lvlJc w:val="left"/>
      <w:pPr>
        <w:tabs>
          <w:tab w:val="num" w:pos="5760"/>
        </w:tabs>
        <w:ind w:left="5760" w:hanging="360"/>
      </w:pPr>
      <w:rPr>
        <w:rFonts w:ascii="Arial" w:hAnsi="Arial" w:hint="default"/>
      </w:rPr>
    </w:lvl>
    <w:lvl w:ilvl="8" w:tplc="1714C6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507DB2"/>
    <w:multiLevelType w:val="hybridMultilevel"/>
    <w:tmpl w:val="E7C03A56"/>
    <w:lvl w:ilvl="0" w:tplc="7D9A14FE">
      <w:start w:val="1"/>
      <w:numFmt w:val="bullet"/>
      <w:lvlText w:val="•"/>
      <w:lvlJc w:val="left"/>
      <w:pPr>
        <w:tabs>
          <w:tab w:val="num" w:pos="720"/>
        </w:tabs>
        <w:ind w:left="720" w:hanging="360"/>
      </w:pPr>
      <w:rPr>
        <w:rFonts w:ascii="Arial" w:hAnsi="Arial" w:hint="default"/>
      </w:rPr>
    </w:lvl>
    <w:lvl w:ilvl="1" w:tplc="A96E4F84" w:tentative="1">
      <w:start w:val="1"/>
      <w:numFmt w:val="bullet"/>
      <w:lvlText w:val="•"/>
      <w:lvlJc w:val="left"/>
      <w:pPr>
        <w:tabs>
          <w:tab w:val="num" w:pos="1440"/>
        </w:tabs>
        <w:ind w:left="1440" w:hanging="360"/>
      </w:pPr>
      <w:rPr>
        <w:rFonts w:ascii="Arial" w:hAnsi="Arial" w:hint="default"/>
      </w:rPr>
    </w:lvl>
    <w:lvl w:ilvl="2" w:tplc="11D46316" w:tentative="1">
      <w:start w:val="1"/>
      <w:numFmt w:val="bullet"/>
      <w:lvlText w:val="•"/>
      <w:lvlJc w:val="left"/>
      <w:pPr>
        <w:tabs>
          <w:tab w:val="num" w:pos="2160"/>
        </w:tabs>
        <w:ind w:left="2160" w:hanging="360"/>
      </w:pPr>
      <w:rPr>
        <w:rFonts w:ascii="Arial" w:hAnsi="Arial" w:hint="default"/>
      </w:rPr>
    </w:lvl>
    <w:lvl w:ilvl="3" w:tplc="BCC699A2" w:tentative="1">
      <w:start w:val="1"/>
      <w:numFmt w:val="bullet"/>
      <w:lvlText w:val="•"/>
      <w:lvlJc w:val="left"/>
      <w:pPr>
        <w:tabs>
          <w:tab w:val="num" w:pos="2880"/>
        </w:tabs>
        <w:ind w:left="2880" w:hanging="360"/>
      </w:pPr>
      <w:rPr>
        <w:rFonts w:ascii="Arial" w:hAnsi="Arial" w:hint="default"/>
      </w:rPr>
    </w:lvl>
    <w:lvl w:ilvl="4" w:tplc="69C670CC" w:tentative="1">
      <w:start w:val="1"/>
      <w:numFmt w:val="bullet"/>
      <w:lvlText w:val="•"/>
      <w:lvlJc w:val="left"/>
      <w:pPr>
        <w:tabs>
          <w:tab w:val="num" w:pos="3600"/>
        </w:tabs>
        <w:ind w:left="3600" w:hanging="360"/>
      </w:pPr>
      <w:rPr>
        <w:rFonts w:ascii="Arial" w:hAnsi="Arial" w:hint="default"/>
      </w:rPr>
    </w:lvl>
    <w:lvl w:ilvl="5" w:tplc="DD7C823C" w:tentative="1">
      <w:start w:val="1"/>
      <w:numFmt w:val="bullet"/>
      <w:lvlText w:val="•"/>
      <w:lvlJc w:val="left"/>
      <w:pPr>
        <w:tabs>
          <w:tab w:val="num" w:pos="4320"/>
        </w:tabs>
        <w:ind w:left="4320" w:hanging="360"/>
      </w:pPr>
      <w:rPr>
        <w:rFonts w:ascii="Arial" w:hAnsi="Arial" w:hint="default"/>
      </w:rPr>
    </w:lvl>
    <w:lvl w:ilvl="6" w:tplc="ABF6AC92" w:tentative="1">
      <w:start w:val="1"/>
      <w:numFmt w:val="bullet"/>
      <w:lvlText w:val="•"/>
      <w:lvlJc w:val="left"/>
      <w:pPr>
        <w:tabs>
          <w:tab w:val="num" w:pos="5040"/>
        </w:tabs>
        <w:ind w:left="5040" w:hanging="360"/>
      </w:pPr>
      <w:rPr>
        <w:rFonts w:ascii="Arial" w:hAnsi="Arial" w:hint="default"/>
      </w:rPr>
    </w:lvl>
    <w:lvl w:ilvl="7" w:tplc="E466B91C" w:tentative="1">
      <w:start w:val="1"/>
      <w:numFmt w:val="bullet"/>
      <w:lvlText w:val="•"/>
      <w:lvlJc w:val="left"/>
      <w:pPr>
        <w:tabs>
          <w:tab w:val="num" w:pos="5760"/>
        </w:tabs>
        <w:ind w:left="5760" w:hanging="360"/>
      </w:pPr>
      <w:rPr>
        <w:rFonts w:ascii="Arial" w:hAnsi="Arial" w:hint="default"/>
      </w:rPr>
    </w:lvl>
    <w:lvl w:ilvl="8" w:tplc="0FBC09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F578E5"/>
    <w:multiLevelType w:val="hybridMultilevel"/>
    <w:tmpl w:val="93AC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6358023">
    <w:abstractNumId w:val="9"/>
  </w:num>
  <w:num w:numId="2" w16cid:durableId="1206022941">
    <w:abstractNumId w:val="7"/>
  </w:num>
  <w:num w:numId="3" w16cid:durableId="128977197">
    <w:abstractNumId w:val="6"/>
  </w:num>
  <w:num w:numId="4" w16cid:durableId="1105728381">
    <w:abstractNumId w:val="5"/>
  </w:num>
  <w:num w:numId="5" w16cid:durableId="2080008890">
    <w:abstractNumId w:val="4"/>
  </w:num>
  <w:num w:numId="6" w16cid:durableId="453132278">
    <w:abstractNumId w:val="8"/>
  </w:num>
  <w:num w:numId="7" w16cid:durableId="1152140143">
    <w:abstractNumId w:val="3"/>
  </w:num>
  <w:num w:numId="8" w16cid:durableId="918951605">
    <w:abstractNumId w:val="2"/>
  </w:num>
  <w:num w:numId="9" w16cid:durableId="1528369917">
    <w:abstractNumId w:val="1"/>
  </w:num>
  <w:num w:numId="10" w16cid:durableId="1472094684">
    <w:abstractNumId w:val="0"/>
  </w:num>
  <w:num w:numId="11" w16cid:durableId="1238980856">
    <w:abstractNumId w:val="11"/>
  </w:num>
  <w:num w:numId="12" w16cid:durableId="791902233">
    <w:abstractNumId w:val="10"/>
  </w:num>
  <w:num w:numId="13" w16cid:durableId="589585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739"/>
    <w:rsid w:val="00002637"/>
    <w:rsid w:val="00006217"/>
    <w:rsid w:val="00014F69"/>
    <w:rsid w:val="000171DB"/>
    <w:rsid w:val="00023D9A"/>
    <w:rsid w:val="00026822"/>
    <w:rsid w:val="00030C8B"/>
    <w:rsid w:val="000347E0"/>
    <w:rsid w:val="0003582E"/>
    <w:rsid w:val="00043181"/>
    <w:rsid w:val="00043D75"/>
    <w:rsid w:val="00053C9F"/>
    <w:rsid w:val="00057000"/>
    <w:rsid w:val="000640E0"/>
    <w:rsid w:val="00086D80"/>
    <w:rsid w:val="000937AD"/>
    <w:rsid w:val="000966A8"/>
    <w:rsid w:val="000A0A5C"/>
    <w:rsid w:val="000A3CEC"/>
    <w:rsid w:val="000A5CA2"/>
    <w:rsid w:val="000B5C61"/>
    <w:rsid w:val="000E3C61"/>
    <w:rsid w:val="000E3E55"/>
    <w:rsid w:val="000E6083"/>
    <w:rsid w:val="000E6125"/>
    <w:rsid w:val="000F7452"/>
    <w:rsid w:val="0010036D"/>
    <w:rsid w:val="00100B53"/>
    <w:rsid w:val="00100BAF"/>
    <w:rsid w:val="00113DBE"/>
    <w:rsid w:val="001140D8"/>
    <w:rsid w:val="001200A6"/>
    <w:rsid w:val="001251DA"/>
    <w:rsid w:val="00125432"/>
    <w:rsid w:val="00136DDD"/>
    <w:rsid w:val="00137F40"/>
    <w:rsid w:val="00144BDF"/>
    <w:rsid w:val="00153252"/>
    <w:rsid w:val="00155DDC"/>
    <w:rsid w:val="00165539"/>
    <w:rsid w:val="00170F29"/>
    <w:rsid w:val="00174D6B"/>
    <w:rsid w:val="001871EC"/>
    <w:rsid w:val="001A20C3"/>
    <w:rsid w:val="001A4E23"/>
    <w:rsid w:val="001A670F"/>
    <w:rsid w:val="001B6A45"/>
    <w:rsid w:val="001C1003"/>
    <w:rsid w:val="001C4B91"/>
    <w:rsid w:val="001C62B8"/>
    <w:rsid w:val="001D033C"/>
    <w:rsid w:val="001D22D8"/>
    <w:rsid w:val="001D4296"/>
    <w:rsid w:val="001E35BB"/>
    <w:rsid w:val="001E7B0E"/>
    <w:rsid w:val="001F141D"/>
    <w:rsid w:val="001F7FB8"/>
    <w:rsid w:val="00200A06"/>
    <w:rsid w:val="00200A98"/>
    <w:rsid w:val="00200E92"/>
    <w:rsid w:val="00201AFA"/>
    <w:rsid w:val="00212650"/>
    <w:rsid w:val="002229F1"/>
    <w:rsid w:val="00225A8B"/>
    <w:rsid w:val="002302C3"/>
    <w:rsid w:val="00230B96"/>
    <w:rsid w:val="00233F75"/>
    <w:rsid w:val="00247045"/>
    <w:rsid w:val="0025078E"/>
    <w:rsid w:val="0025233B"/>
    <w:rsid w:val="002528F9"/>
    <w:rsid w:val="002531F0"/>
    <w:rsid w:val="00253DBE"/>
    <w:rsid w:val="00253DC6"/>
    <w:rsid w:val="0025489C"/>
    <w:rsid w:val="00255389"/>
    <w:rsid w:val="00256F64"/>
    <w:rsid w:val="00257926"/>
    <w:rsid w:val="002622FA"/>
    <w:rsid w:val="00263518"/>
    <w:rsid w:val="00265E68"/>
    <w:rsid w:val="002759E7"/>
    <w:rsid w:val="00276E6B"/>
    <w:rsid w:val="00277326"/>
    <w:rsid w:val="002A11C4"/>
    <w:rsid w:val="002A399B"/>
    <w:rsid w:val="002C26C0"/>
    <w:rsid w:val="002C2BC5"/>
    <w:rsid w:val="002D2009"/>
    <w:rsid w:val="002D4370"/>
    <w:rsid w:val="002E0407"/>
    <w:rsid w:val="002E6474"/>
    <w:rsid w:val="002E79CB"/>
    <w:rsid w:val="002F0471"/>
    <w:rsid w:val="002F1714"/>
    <w:rsid w:val="002F2CAC"/>
    <w:rsid w:val="002F5CA7"/>
    <w:rsid w:val="002F7F55"/>
    <w:rsid w:val="0030745F"/>
    <w:rsid w:val="00311755"/>
    <w:rsid w:val="00314630"/>
    <w:rsid w:val="00316CBA"/>
    <w:rsid w:val="0032090A"/>
    <w:rsid w:val="00321CDE"/>
    <w:rsid w:val="00333E15"/>
    <w:rsid w:val="003416D3"/>
    <w:rsid w:val="003419C4"/>
    <w:rsid w:val="003571BC"/>
    <w:rsid w:val="0036090C"/>
    <w:rsid w:val="00364979"/>
    <w:rsid w:val="00385B9C"/>
    <w:rsid w:val="00385FB5"/>
    <w:rsid w:val="0038715D"/>
    <w:rsid w:val="0038764A"/>
    <w:rsid w:val="00392E84"/>
    <w:rsid w:val="00394DBF"/>
    <w:rsid w:val="003957A6"/>
    <w:rsid w:val="00397713"/>
    <w:rsid w:val="003A43EF"/>
    <w:rsid w:val="003A657F"/>
    <w:rsid w:val="003B60A2"/>
    <w:rsid w:val="003C28E0"/>
    <w:rsid w:val="003C7445"/>
    <w:rsid w:val="003D2420"/>
    <w:rsid w:val="003E39A2"/>
    <w:rsid w:val="003E57AB"/>
    <w:rsid w:val="003F2BED"/>
    <w:rsid w:val="003F5830"/>
    <w:rsid w:val="00400B49"/>
    <w:rsid w:val="0040415B"/>
    <w:rsid w:val="00405E60"/>
    <w:rsid w:val="004139E4"/>
    <w:rsid w:val="004148F1"/>
    <w:rsid w:val="00415999"/>
    <w:rsid w:val="0043518A"/>
    <w:rsid w:val="00436104"/>
    <w:rsid w:val="00443878"/>
    <w:rsid w:val="004539A8"/>
    <w:rsid w:val="004646F1"/>
    <w:rsid w:val="00470ADD"/>
    <w:rsid w:val="004712CA"/>
    <w:rsid w:val="0047422E"/>
    <w:rsid w:val="0049674B"/>
    <w:rsid w:val="004A1437"/>
    <w:rsid w:val="004A1D1B"/>
    <w:rsid w:val="004B77C0"/>
    <w:rsid w:val="004C0673"/>
    <w:rsid w:val="004C4AD5"/>
    <w:rsid w:val="004C4E4E"/>
    <w:rsid w:val="004C66D6"/>
    <w:rsid w:val="004C6BE7"/>
    <w:rsid w:val="004E08F2"/>
    <w:rsid w:val="004E2231"/>
    <w:rsid w:val="004E45FF"/>
    <w:rsid w:val="004F3816"/>
    <w:rsid w:val="004F500A"/>
    <w:rsid w:val="005126A0"/>
    <w:rsid w:val="005250C1"/>
    <w:rsid w:val="00526E27"/>
    <w:rsid w:val="00537FF0"/>
    <w:rsid w:val="00543D41"/>
    <w:rsid w:val="00545472"/>
    <w:rsid w:val="005571A4"/>
    <w:rsid w:val="005604FC"/>
    <w:rsid w:val="00563013"/>
    <w:rsid w:val="00566EDA"/>
    <w:rsid w:val="0057081A"/>
    <w:rsid w:val="00572654"/>
    <w:rsid w:val="0059209F"/>
    <w:rsid w:val="005976A1"/>
    <w:rsid w:val="005A34E7"/>
    <w:rsid w:val="005A40A4"/>
    <w:rsid w:val="005A6164"/>
    <w:rsid w:val="005A69A3"/>
    <w:rsid w:val="005A752A"/>
    <w:rsid w:val="005B5629"/>
    <w:rsid w:val="005C0300"/>
    <w:rsid w:val="005C27A2"/>
    <w:rsid w:val="005C7CD8"/>
    <w:rsid w:val="005D4FEB"/>
    <w:rsid w:val="005D65ED"/>
    <w:rsid w:val="005E0E6C"/>
    <w:rsid w:val="005F4B6A"/>
    <w:rsid w:val="006010F3"/>
    <w:rsid w:val="00615A0A"/>
    <w:rsid w:val="00623C5B"/>
    <w:rsid w:val="00630B21"/>
    <w:rsid w:val="006333D4"/>
    <w:rsid w:val="006338A8"/>
    <w:rsid w:val="006369B2"/>
    <w:rsid w:val="0063718D"/>
    <w:rsid w:val="00647525"/>
    <w:rsid w:val="00647A71"/>
    <w:rsid w:val="006530A8"/>
    <w:rsid w:val="006559AD"/>
    <w:rsid w:val="006570B0"/>
    <w:rsid w:val="0066022F"/>
    <w:rsid w:val="006823F3"/>
    <w:rsid w:val="0069210B"/>
    <w:rsid w:val="00693139"/>
    <w:rsid w:val="00695DD7"/>
    <w:rsid w:val="006A0F3F"/>
    <w:rsid w:val="006A2A02"/>
    <w:rsid w:val="006A4055"/>
    <w:rsid w:val="006A7C27"/>
    <w:rsid w:val="006B0995"/>
    <w:rsid w:val="006B1B13"/>
    <w:rsid w:val="006B2830"/>
    <w:rsid w:val="006B2FE4"/>
    <w:rsid w:val="006B37B0"/>
    <w:rsid w:val="006B6BA2"/>
    <w:rsid w:val="006C5641"/>
    <w:rsid w:val="006D1089"/>
    <w:rsid w:val="006D1B86"/>
    <w:rsid w:val="006D7355"/>
    <w:rsid w:val="006E1B65"/>
    <w:rsid w:val="006F0797"/>
    <w:rsid w:val="006F7DEE"/>
    <w:rsid w:val="006F7FE2"/>
    <w:rsid w:val="00702087"/>
    <w:rsid w:val="00702958"/>
    <w:rsid w:val="00706FF2"/>
    <w:rsid w:val="00715CA6"/>
    <w:rsid w:val="00727CA4"/>
    <w:rsid w:val="00731135"/>
    <w:rsid w:val="007324AF"/>
    <w:rsid w:val="00735669"/>
    <w:rsid w:val="007409B4"/>
    <w:rsid w:val="00741624"/>
    <w:rsid w:val="00741974"/>
    <w:rsid w:val="007454B6"/>
    <w:rsid w:val="00753CFA"/>
    <w:rsid w:val="0075525E"/>
    <w:rsid w:val="00756D3D"/>
    <w:rsid w:val="007648B5"/>
    <w:rsid w:val="00770CC4"/>
    <w:rsid w:val="007806C2"/>
    <w:rsid w:val="00780DB5"/>
    <w:rsid w:val="00781FEE"/>
    <w:rsid w:val="00782DF7"/>
    <w:rsid w:val="007903F8"/>
    <w:rsid w:val="00791D75"/>
    <w:rsid w:val="00794F4F"/>
    <w:rsid w:val="007955D9"/>
    <w:rsid w:val="007974BE"/>
    <w:rsid w:val="007A0916"/>
    <w:rsid w:val="007A0DFD"/>
    <w:rsid w:val="007A1570"/>
    <w:rsid w:val="007A6A4A"/>
    <w:rsid w:val="007C5ED4"/>
    <w:rsid w:val="007C7122"/>
    <w:rsid w:val="007D3F11"/>
    <w:rsid w:val="007D7E69"/>
    <w:rsid w:val="007E2C69"/>
    <w:rsid w:val="007E53E4"/>
    <w:rsid w:val="007E656A"/>
    <w:rsid w:val="007F3CAA"/>
    <w:rsid w:val="007F664D"/>
    <w:rsid w:val="00801B42"/>
    <w:rsid w:val="00802B6E"/>
    <w:rsid w:val="008249A7"/>
    <w:rsid w:val="00836C4B"/>
    <w:rsid w:val="00836D45"/>
    <w:rsid w:val="00837203"/>
    <w:rsid w:val="00842137"/>
    <w:rsid w:val="008506EF"/>
    <w:rsid w:val="00851E6C"/>
    <w:rsid w:val="00853F5F"/>
    <w:rsid w:val="00855FEE"/>
    <w:rsid w:val="00856C7A"/>
    <w:rsid w:val="008623ED"/>
    <w:rsid w:val="00875AA6"/>
    <w:rsid w:val="00880944"/>
    <w:rsid w:val="0089088E"/>
    <w:rsid w:val="00892297"/>
    <w:rsid w:val="008930F2"/>
    <w:rsid w:val="0089430B"/>
    <w:rsid w:val="008964D6"/>
    <w:rsid w:val="008A6115"/>
    <w:rsid w:val="008B5123"/>
    <w:rsid w:val="008B51AF"/>
    <w:rsid w:val="008C23A9"/>
    <w:rsid w:val="008C5A9A"/>
    <w:rsid w:val="008C6F53"/>
    <w:rsid w:val="008D00E2"/>
    <w:rsid w:val="008D1E1E"/>
    <w:rsid w:val="008E0172"/>
    <w:rsid w:val="008F5B3A"/>
    <w:rsid w:val="00902F6F"/>
    <w:rsid w:val="00913597"/>
    <w:rsid w:val="0091471C"/>
    <w:rsid w:val="00936852"/>
    <w:rsid w:val="00936882"/>
    <w:rsid w:val="0094045D"/>
    <w:rsid w:val="009406B5"/>
    <w:rsid w:val="0094244E"/>
    <w:rsid w:val="00946166"/>
    <w:rsid w:val="009556C8"/>
    <w:rsid w:val="00966B5C"/>
    <w:rsid w:val="00981678"/>
    <w:rsid w:val="00983164"/>
    <w:rsid w:val="00984252"/>
    <w:rsid w:val="00995929"/>
    <w:rsid w:val="009972EF"/>
    <w:rsid w:val="009B5035"/>
    <w:rsid w:val="009B5258"/>
    <w:rsid w:val="009B7182"/>
    <w:rsid w:val="009C3160"/>
    <w:rsid w:val="009D325F"/>
    <w:rsid w:val="009D399E"/>
    <w:rsid w:val="009D644B"/>
    <w:rsid w:val="009E1F19"/>
    <w:rsid w:val="009E4B6B"/>
    <w:rsid w:val="009E502E"/>
    <w:rsid w:val="009E766E"/>
    <w:rsid w:val="009F1960"/>
    <w:rsid w:val="009F4B1A"/>
    <w:rsid w:val="009F715E"/>
    <w:rsid w:val="009F78FE"/>
    <w:rsid w:val="00A032C4"/>
    <w:rsid w:val="00A10DBB"/>
    <w:rsid w:val="00A11720"/>
    <w:rsid w:val="00A21247"/>
    <w:rsid w:val="00A311F0"/>
    <w:rsid w:val="00A31D47"/>
    <w:rsid w:val="00A32517"/>
    <w:rsid w:val="00A37D4F"/>
    <w:rsid w:val="00A4013E"/>
    <w:rsid w:val="00A4045F"/>
    <w:rsid w:val="00A427CD"/>
    <w:rsid w:val="00A45FEE"/>
    <w:rsid w:val="00A4600B"/>
    <w:rsid w:val="00A4667E"/>
    <w:rsid w:val="00A50506"/>
    <w:rsid w:val="00A51EF0"/>
    <w:rsid w:val="00A55AD2"/>
    <w:rsid w:val="00A600CD"/>
    <w:rsid w:val="00A63AAE"/>
    <w:rsid w:val="00A64B27"/>
    <w:rsid w:val="00A67A81"/>
    <w:rsid w:val="00A730A6"/>
    <w:rsid w:val="00A749BC"/>
    <w:rsid w:val="00A827B0"/>
    <w:rsid w:val="00A96899"/>
    <w:rsid w:val="00A971A0"/>
    <w:rsid w:val="00AA1186"/>
    <w:rsid w:val="00AA1F22"/>
    <w:rsid w:val="00AB37FB"/>
    <w:rsid w:val="00AB3CD1"/>
    <w:rsid w:val="00AC3E73"/>
    <w:rsid w:val="00AC63B0"/>
    <w:rsid w:val="00AE35C8"/>
    <w:rsid w:val="00AE3D9E"/>
    <w:rsid w:val="00AF0D98"/>
    <w:rsid w:val="00B05821"/>
    <w:rsid w:val="00B100D6"/>
    <w:rsid w:val="00B164C9"/>
    <w:rsid w:val="00B23067"/>
    <w:rsid w:val="00B2519B"/>
    <w:rsid w:val="00B26C28"/>
    <w:rsid w:val="00B34BD9"/>
    <w:rsid w:val="00B4174C"/>
    <w:rsid w:val="00B4400B"/>
    <w:rsid w:val="00B453F5"/>
    <w:rsid w:val="00B5162E"/>
    <w:rsid w:val="00B61624"/>
    <w:rsid w:val="00B62093"/>
    <w:rsid w:val="00B66481"/>
    <w:rsid w:val="00B67344"/>
    <w:rsid w:val="00B7189C"/>
    <w:rsid w:val="00B718A5"/>
    <w:rsid w:val="00B804AB"/>
    <w:rsid w:val="00B8261E"/>
    <w:rsid w:val="00B86602"/>
    <w:rsid w:val="00BA7411"/>
    <w:rsid w:val="00BA788A"/>
    <w:rsid w:val="00BB4120"/>
    <w:rsid w:val="00BB4983"/>
    <w:rsid w:val="00BB7597"/>
    <w:rsid w:val="00BC62E2"/>
    <w:rsid w:val="00BE2E83"/>
    <w:rsid w:val="00BE4084"/>
    <w:rsid w:val="00BE4AC3"/>
    <w:rsid w:val="00BE505A"/>
    <w:rsid w:val="00BE51EC"/>
    <w:rsid w:val="00C0066D"/>
    <w:rsid w:val="00C00A5F"/>
    <w:rsid w:val="00C17874"/>
    <w:rsid w:val="00C22F52"/>
    <w:rsid w:val="00C37D79"/>
    <w:rsid w:val="00C4100A"/>
    <w:rsid w:val="00C42125"/>
    <w:rsid w:val="00C42D54"/>
    <w:rsid w:val="00C435DA"/>
    <w:rsid w:val="00C47120"/>
    <w:rsid w:val="00C557CE"/>
    <w:rsid w:val="00C62814"/>
    <w:rsid w:val="00C64F7B"/>
    <w:rsid w:val="00C67B25"/>
    <w:rsid w:val="00C744D4"/>
    <w:rsid w:val="00C748F7"/>
    <w:rsid w:val="00C74937"/>
    <w:rsid w:val="00CB2599"/>
    <w:rsid w:val="00CB2E74"/>
    <w:rsid w:val="00CB4DD8"/>
    <w:rsid w:val="00CC2843"/>
    <w:rsid w:val="00CC386F"/>
    <w:rsid w:val="00CD2139"/>
    <w:rsid w:val="00CE5986"/>
    <w:rsid w:val="00CE6502"/>
    <w:rsid w:val="00D10A47"/>
    <w:rsid w:val="00D26477"/>
    <w:rsid w:val="00D56CC3"/>
    <w:rsid w:val="00D6032B"/>
    <w:rsid w:val="00D647EF"/>
    <w:rsid w:val="00D73137"/>
    <w:rsid w:val="00D8421A"/>
    <w:rsid w:val="00D977A2"/>
    <w:rsid w:val="00DA1D47"/>
    <w:rsid w:val="00DB0706"/>
    <w:rsid w:val="00DD50DE"/>
    <w:rsid w:val="00DD5295"/>
    <w:rsid w:val="00DE1204"/>
    <w:rsid w:val="00DE3062"/>
    <w:rsid w:val="00E0166F"/>
    <w:rsid w:val="00E0581D"/>
    <w:rsid w:val="00E1590B"/>
    <w:rsid w:val="00E204DD"/>
    <w:rsid w:val="00E228B7"/>
    <w:rsid w:val="00E353EC"/>
    <w:rsid w:val="00E44C12"/>
    <w:rsid w:val="00E51F61"/>
    <w:rsid w:val="00E53C24"/>
    <w:rsid w:val="00E56E77"/>
    <w:rsid w:val="00E57B0C"/>
    <w:rsid w:val="00E855B7"/>
    <w:rsid w:val="00E85B28"/>
    <w:rsid w:val="00E86B40"/>
    <w:rsid w:val="00E91A70"/>
    <w:rsid w:val="00EA0BE7"/>
    <w:rsid w:val="00EA76C2"/>
    <w:rsid w:val="00EB444D"/>
    <w:rsid w:val="00EB6A93"/>
    <w:rsid w:val="00ED1B45"/>
    <w:rsid w:val="00ED4CD2"/>
    <w:rsid w:val="00ED4F08"/>
    <w:rsid w:val="00ED601E"/>
    <w:rsid w:val="00EE1A06"/>
    <w:rsid w:val="00EE5A23"/>
    <w:rsid w:val="00EE5C0D"/>
    <w:rsid w:val="00EE706B"/>
    <w:rsid w:val="00EF4792"/>
    <w:rsid w:val="00EF76DC"/>
    <w:rsid w:val="00F0167A"/>
    <w:rsid w:val="00F02294"/>
    <w:rsid w:val="00F0781E"/>
    <w:rsid w:val="00F1014B"/>
    <w:rsid w:val="00F161FC"/>
    <w:rsid w:val="00F20517"/>
    <w:rsid w:val="00F30DE7"/>
    <w:rsid w:val="00F33ACE"/>
    <w:rsid w:val="00F35F57"/>
    <w:rsid w:val="00F364D5"/>
    <w:rsid w:val="00F374B0"/>
    <w:rsid w:val="00F3789A"/>
    <w:rsid w:val="00F50467"/>
    <w:rsid w:val="00F539E8"/>
    <w:rsid w:val="00F562A0"/>
    <w:rsid w:val="00F57FA4"/>
    <w:rsid w:val="00F60CDD"/>
    <w:rsid w:val="00F77EC3"/>
    <w:rsid w:val="00F8179E"/>
    <w:rsid w:val="00F931D8"/>
    <w:rsid w:val="00F9547A"/>
    <w:rsid w:val="00FA02CB"/>
    <w:rsid w:val="00FA2177"/>
    <w:rsid w:val="00FA702C"/>
    <w:rsid w:val="00FB0783"/>
    <w:rsid w:val="00FB7A8B"/>
    <w:rsid w:val="00FC0370"/>
    <w:rsid w:val="00FC2485"/>
    <w:rsid w:val="00FD439E"/>
    <w:rsid w:val="00FD76CB"/>
    <w:rsid w:val="00FE152B"/>
    <w:rsid w:val="00FE239E"/>
    <w:rsid w:val="00FE2528"/>
    <w:rsid w:val="00FE399B"/>
    <w:rsid w:val="00FF1151"/>
    <w:rsid w:val="00FF4546"/>
    <w:rsid w:val="00FF538F"/>
    <w:rsid w:val="16CBFBE6"/>
    <w:rsid w:val="17EECDA5"/>
    <w:rsid w:val="2149A48D"/>
    <w:rsid w:val="217D51D7"/>
    <w:rsid w:val="263A1242"/>
    <w:rsid w:val="3439E286"/>
    <w:rsid w:val="51AD9656"/>
    <w:rsid w:val="52F5040C"/>
    <w:rsid w:val="5708EC07"/>
    <w:rsid w:val="59246EEA"/>
    <w:rsid w:val="59CD832D"/>
    <w:rsid w:val="6A5E9E19"/>
    <w:rsid w:val="71F42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4C25A08F-E4F3-4CF5-8681-C0C9C9DA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764A"/>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Style 58,超????,하이퍼링크2,超?级链,CEO_Hyperlink,超链接1,하이퍼링크21,超??级链Ú,fL????,fL?级,超??级链,超?级链Ú,’´?级链,’´????,’´??级链Ú,’´??级"/>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paragraph" w:customStyle="1" w:styleId="Default">
    <w:name w:val="Default"/>
    <w:rsid w:val="006B1B13"/>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2888">
      <w:bodyDiv w:val="1"/>
      <w:marLeft w:val="0"/>
      <w:marRight w:val="0"/>
      <w:marTop w:val="0"/>
      <w:marBottom w:val="0"/>
      <w:divBdr>
        <w:top w:val="none" w:sz="0" w:space="0" w:color="auto"/>
        <w:left w:val="none" w:sz="0" w:space="0" w:color="auto"/>
        <w:bottom w:val="none" w:sz="0" w:space="0" w:color="auto"/>
        <w:right w:val="none" w:sz="0" w:space="0" w:color="auto"/>
      </w:divBdr>
    </w:div>
    <w:div w:id="73163244">
      <w:bodyDiv w:val="1"/>
      <w:marLeft w:val="0"/>
      <w:marRight w:val="0"/>
      <w:marTop w:val="0"/>
      <w:marBottom w:val="0"/>
      <w:divBdr>
        <w:top w:val="none" w:sz="0" w:space="0" w:color="auto"/>
        <w:left w:val="none" w:sz="0" w:space="0" w:color="auto"/>
        <w:bottom w:val="none" w:sz="0" w:space="0" w:color="auto"/>
        <w:right w:val="none" w:sz="0" w:space="0" w:color="auto"/>
      </w:divBdr>
    </w:div>
    <w:div w:id="197203757">
      <w:bodyDiv w:val="1"/>
      <w:marLeft w:val="0"/>
      <w:marRight w:val="0"/>
      <w:marTop w:val="0"/>
      <w:marBottom w:val="0"/>
      <w:divBdr>
        <w:top w:val="none" w:sz="0" w:space="0" w:color="auto"/>
        <w:left w:val="none" w:sz="0" w:space="0" w:color="auto"/>
        <w:bottom w:val="none" w:sz="0" w:space="0" w:color="auto"/>
        <w:right w:val="none" w:sz="0" w:space="0" w:color="auto"/>
      </w:divBdr>
      <w:divsChild>
        <w:div w:id="986007667">
          <w:marLeft w:val="360"/>
          <w:marRight w:val="0"/>
          <w:marTop w:val="200"/>
          <w:marBottom w:val="0"/>
          <w:divBdr>
            <w:top w:val="none" w:sz="0" w:space="0" w:color="auto"/>
            <w:left w:val="none" w:sz="0" w:space="0" w:color="auto"/>
            <w:bottom w:val="none" w:sz="0" w:space="0" w:color="auto"/>
            <w:right w:val="none" w:sz="0" w:space="0" w:color="auto"/>
          </w:divBdr>
        </w:div>
        <w:div w:id="1643003814">
          <w:marLeft w:val="360"/>
          <w:marRight w:val="0"/>
          <w:marTop w:val="200"/>
          <w:marBottom w:val="0"/>
          <w:divBdr>
            <w:top w:val="none" w:sz="0" w:space="0" w:color="auto"/>
            <w:left w:val="none" w:sz="0" w:space="0" w:color="auto"/>
            <w:bottom w:val="none" w:sz="0" w:space="0" w:color="auto"/>
            <w:right w:val="none" w:sz="0" w:space="0" w:color="auto"/>
          </w:divBdr>
        </w:div>
      </w:divsChild>
    </w:div>
    <w:div w:id="356195122">
      <w:bodyDiv w:val="1"/>
      <w:marLeft w:val="0"/>
      <w:marRight w:val="0"/>
      <w:marTop w:val="0"/>
      <w:marBottom w:val="0"/>
      <w:divBdr>
        <w:top w:val="none" w:sz="0" w:space="0" w:color="auto"/>
        <w:left w:val="none" w:sz="0" w:space="0" w:color="auto"/>
        <w:bottom w:val="none" w:sz="0" w:space="0" w:color="auto"/>
        <w:right w:val="none" w:sz="0" w:space="0" w:color="auto"/>
      </w:divBdr>
    </w:div>
    <w:div w:id="773477825">
      <w:bodyDiv w:val="1"/>
      <w:marLeft w:val="0"/>
      <w:marRight w:val="0"/>
      <w:marTop w:val="0"/>
      <w:marBottom w:val="0"/>
      <w:divBdr>
        <w:top w:val="none" w:sz="0" w:space="0" w:color="auto"/>
        <w:left w:val="none" w:sz="0" w:space="0" w:color="auto"/>
        <w:bottom w:val="none" w:sz="0" w:space="0" w:color="auto"/>
        <w:right w:val="none" w:sz="0" w:space="0" w:color="auto"/>
      </w:divBdr>
      <w:divsChild>
        <w:div w:id="1896551093">
          <w:marLeft w:val="446"/>
          <w:marRight w:val="0"/>
          <w:marTop w:val="0"/>
          <w:marBottom w:val="0"/>
          <w:divBdr>
            <w:top w:val="none" w:sz="0" w:space="0" w:color="auto"/>
            <w:left w:val="none" w:sz="0" w:space="0" w:color="auto"/>
            <w:bottom w:val="none" w:sz="0" w:space="0" w:color="auto"/>
            <w:right w:val="none" w:sz="0" w:space="0" w:color="auto"/>
          </w:divBdr>
        </w:div>
      </w:divsChild>
    </w:div>
    <w:div w:id="860780800">
      <w:bodyDiv w:val="1"/>
      <w:marLeft w:val="0"/>
      <w:marRight w:val="0"/>
      <w:marTop w:val="0"/>
      <w:marBottom w:val="0"/>
      <w:divBdr>
        <w:top w:val="none" w:sz="0" w:space="0" w:color="auto"/>
        <w:left w:val="none" w:sz="0" w:space="0" w:color="auto"/>
        <w:bottom w:val="none" w:sz="0" w:space="0" w:color="auto"/>
        <w:right w:val="none" w:sz="0" w:space="0" w:color="auto"/>
      </w:divBdr>
      <w:divsChild>
        <w:div w:id="53746444">
          <w:marLeft w:val="446"/>
          <w:marRight w:val="0"/>
          <w:marTop w:val="0"/>
          <w:marBottom w:val="0"/>
          <w:divBdr>
            <w:top w:val="none" w:sz="0" w:space="0" w:color="auto"/>
            <w:left w:val="none" w:sz="0" w:space="0" w:color="auto"/>
            <w:bottom w:val="none" w:sz="0" w:space="0" w:color="auto"/>
            <w:right w:val="none" w:sz="0" w:space="0" w:color="auto"/>
          </w:divBdr>
        </w:div>
      </w:divsChild>
    </w:div>
    <w:div w:id="90696352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53508790">
      <w:bodyDiv w:val="1"/>
      <w:marLeft w:val="0"/>
      <w:marRight w:val="0"/>
      <w:marTop w:val="0"/>
      <w:marBottom w:val="0"/>
      <w:divBdr>
        <w:top w:val="none" w:sz="0" w:space="0" w:color="auto"/>
        <w:left w:val="none" w:sz="0" w:space="0" w:color="auto"/>
        <w:bottom w:val="none" w:sz="0" w:space="0" w:color="auto"/>
        <w:right w:val="none" w:sz="0" w:space="0" w:color="auto"/>
      </w:divBdr>
    </w:div>
    <w:div w:id="1420250027">
      <w:bodyDiv w:val="1"/>
      <w:marLeft w:val="0"/>
      <w:marRight w:val="0"/>
      <w:marTop w:val="0"/>
      <w:marBottom w:val="0"/>
      <w:divBdr>
        <w:top w:val="none" w:sz="0" w:space="0" w:color="auto"/>
        <w:left w:val="none" w:sz="0" w:space="0" w:color="auto"/>
        <w:bottom w:val="none" w:sz="0" w:space="0" w:color="auto"/>
        <w:right w:val="none" w:sz="0" w:space="0" w:color="auto"/>
      </w:divBdr>
    </w:div>
    <w:div w:id="1547175887">
      <w:bodyDiv w:val="1"/>
      <w:marLeft w:val="0"/>
      <w:marRight w:val="0"/>
      <w:marTop w:val="0"/>
      <w:marBottom w:val="0"/>
      <w:divBdr>
        <w:top w:val="none" w:sz="0" w:space="0" w:color="auto"/>
        <w:left w:val="none" w:sz="0" w:space="0" w:color="auto"/>
        <w:bottom w:val="none" w:sz="0" w:space="0" w:color="auto"/>
        <w:right w:val="none" w:sz="0" w:space="0" w:color="auto"/>
      </w:divBdr>
    </w:div>
    <w:div w:id="1604071447">
      <w:bodyDiv w:val="1"/>
      <w:marLeft w:val="0"/>
      <w:marRight w:val="0"/>
      <w:marTop w:val="0"/>
      <w:marBottom w:val="0"/>
      <w:divBdr>
        <w:top w:val="none" w:sz="0" w:space="0" w:color="auto"/>
        <w:left w:val="none" w:sz="0" w:space="0" w:color="auto"/>
        <w:bottom w:val="none" w:sz="0" w:space="0" w:color="auto"/>
        <w:right w:val="none" w:sz="0" w:space="0" w:color="auto"/>
      </w:divBdr>
      <w:divsChild>
        <w:div w:id="497773121">
          <w:marLeft w:val="1080"/>
          <w:marRight w:val="0"/>
          <w:marTop w:val="100"/>
          <w:marBottom w:val="0"/>
          <w:divBdr>
            <w:top w:val="none" w:sz="0" w:space="0" w:color="auto"/>
            <w:left w:val="none" w:sz="0" w:space="0" w:color="auto"/>
            <w:bottom w:val="none" w:sz="0" w:space="0" w:color="auto"/>
            <w:right w:val="none" w:sz="0" w:space="0" w:color="auto"/>
          </w:divBdr>
        </w:div>
        <w:div w:id="688533373">
          <w:marLeft w:val="1080"/>
          <w:marRight w:val="0"/>
          <w:marTop w:val="100"/>
          <w:marBottom w:val="0"/>
          <w:divBdr>
            <w:top w:val="none" w:sz="0" w:space="0" w:color="auto"/>
            <w:left w:val="none" w:sz="0" w:space="0" w:color="auto"/>
            <w:bottom w:val="none" w:sz="0" w:space="0" w:color="auto"/>
            <w:right w:val="none" w:sz="0" w:space="0" w:color="auto"/>
          </w:divBdr>
        </w:div>
      </w:divsChild>
    </w:div>
    <w:div w:id="1975333815">
      <w:bodyDiv w:val="1"/>
      <w:marLeft w:val="0"/>
      <w:marRight w:val="0"/>
      <w:marTop w:val="0"/>
      <w:marBottom w:val="0"/>
      <w:divBdr>
        <w:top w:val="none" w:sz="0" w:space="0" w:color="auto"/>
        <w:left w:val="none" w:sz="0" w:space="0" w:color="auto"/>
        <w:bottom w:val="none" w:sz="0" w:space="0" w:color="auto"/>
        <w:right w:val="none" w:sz="0" w:space="0" w:color="auto"/>
      </w:divBdr>
    </w:div>
    <w:div w:id="20854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dolph@itu.i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nia.villa@transformaciondigital.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studygroups/2025-2028/12/Pages/2503-summary.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studygroups/2025-2028/12/Pages/2501-summar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F930091BE46B3B0E2754971D8C08F"/>
        <w:category>
          <w:name w:val="General"/>
          <w:gallery w:val="placeholder"/>
        </w:category>
        <w:types>
          <w:type w:val="bbPlcHdr"/>
        </w:types>
        <w:behaviors>
          <w:behavior w:val="content"/>
        </w:behaviors>
        <w:guid w:val="{713C1E20-08CA-4A42-849D-1195CFDA93B5}"/>
      </w:docPartPr>
      <w:docPartBody>
        <w:p w:rsidR="000570F5" w:rsidRDefault="002E3025" w:rsidP="002E3025">
          <w:pPr>
            <w:pStyle w:val="A62F930091BE46B3B0E2754971D8C08F"/>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
    <w:altName w:val="Yu Gothic UI"/>
    <w:charset w:val="80"/>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25"/>
    <w:rsid w:val="000570F5"/>
    <w:rsid w:val="002E3025"/>
    <w:rsid w:val="003932D3"/>
    <w:rsid w:val="00436104"/>
    <w:rsid w:val="004D6B6B"/>
    <w:rsid w:val="0079457A"/>
    <w:rsid w:val="00802765"/>
    <w:rsid w:val="00913597"/>
    <w:rsid w:val="00AE6837"/>
    <w:rsid w:val="00B168CC"/>
    <w:rsid w:val="00C1677B"/>
    <w:rsid w:val="00E9135A"/>
    <w:rsid w:val="00F97D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025"/>
    <w:rPr>
      <w:rFonts w:ascii="Times New Roman" w:hAnsi="Times New Roman"/>
      <w:color w:val="808080"/>
    </w:rPr>
  </w:style>
  <w:style w:type="paragraph" w:customStyle="1" w:styleId="A62F930091BE46B3B0E2754971D8C08F">
    <w:name w:val="A62F930091BE46B3B0E2754971D8C08F"/>
    <w:rsid w:val="002E3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2</Pages>
  <Words>810</Words>
  <Characters>5239</Characters>
  <Application>Microsoft Office Word</Application>
  <DocSecurity>4</DocSecurity>
  <Lines>113</Lines>
  <Paragraphs>58</Paragraphs>
  <ScaleCrop>false</ScaleCrop>
  <HeadingPairs>
    <vt:vector size="2" baseType="variant">
      <vt:variant>
        <vt:lpstr>Title</vt:lpstr>
      </vt:variant>
      <vt:variant>
        <vt:i4>1</vt:i4>
      </vt:variant>
    </vt:vector>
  </HeadingPairs>
  <TitlesOfParts>
    <vt:vector size="1" baseType="lpstr">
      <vt:lpstr>ITU-T SG12 Lead Study Group Report</vt:lpstr>
    </vt:vector>
  </TitlesOfParts>
  <Manager>ITU-T</Manager>
  <Company>International Telecommunication Union (ITU)</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SG12 Lead Study Group Report</dc:title>
  <dc:subject/>
  <dc:creator>Chair, ITU-T SG12</dc:creator>
  <cp:keywords/>
  <dc:description>TSAG-TD24  For: Geneva, 26-30 May 2025_x000d_Document date: _x000d_Saved by ITU51017913 at 8:27:03 AM on 5/21/2025</dc:description>
  <cp:lastModifiedBy>TSB</cp:lastModifiedBy>
  <cp:revision>2</cp:revision>
  <cp:lastPrinted>2016-12-23T12:52:00Z</cp:lastPrinted>
  <dcterms:created xsi:type="dcterms:W3CDTF">2025-05-21T06:28:00Z</dcterms:created>
  <dcterms:modified xsi:type="dcterms:W3CDTF">2025-05-21T06:28:00Z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TSAG-TD24</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26-30 May 2025</vt:lpwstr>
  </property>
  <property fmtid="{D5CDD505-2E9C-101B-9397-08002B2CF9AE}" pid="8" name="Docauthor">
    <vt:lpwstr>Chair, ITU-T SG12</vt:lpwstr>
  </property>
</Properties>
</file>