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7F66AF"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r w:rsidRPr="00F23712">
              <w:rPr>
                <w:lang w:val="fr-FR"/>
              </w:rPr>
              <w:t xml:space="preserve">E-mail: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00AFB7E1" w14:textId="3CEDD99A" w:rsidR="00A859B2" w:rsidRDefault="00136E7B">
      <w:pPr>
        <w:pStyle w:val="TOC1"/>
        <w:rPr>
          <w:rFonts w:asciiTheme="minorHAnsi" w:eastAsiaTheme="minorEastAsia" w:hAnsiTheme="minorHAnsi" w:cstheme="minorBidi"/>
          <w:kern w:val="2"/>
          <w:szCs w:val="24"/>
          <w:lang w:eastAsia="en-GB"/>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549031" w:history="1">
        <w:r w:rsidR="00BC73B3" w:rsidRPr="00BC73B3">
          <w:rPr>
            <w:rStyle w:val="Hyperlink"/>
            <w:rFonts w:ascii="MS Mincho" w:eastAsia="MS Mincho" w:hAnsi="MS Mincho" w:cs="MS Mincho" w:hint="eastAsia"/>
          </w:rPr>
          <w:t>内</w:t>
        </w:r>
        <w:r w:rsidR="00BC73B3" w:rsidRPr="00BC73B3">
          <w:rPr>
            <w:rStyle w:val="Hyperlink"/>
            <w:rFonts w:ascii="Batang" w:hAnsi="Batang" w:cs="Batang" w:hint="eastAsia"/>
          </w:rPr>
          <w:t>容提要</w:t>
        </w:r>
        <w:r w:rsidR="00A859B2">
          <w:rPr>
            <w:rStyle w:val="Hyperlink"/>
          </w:rPr>
          <w:tab/>
        </w:r>
        <w:r w:rsidR="00A859B2">
          <w:rPr>
            <w:webHidden/>
          </w:rPr>
          <w:tab/>
        </w:r>
        <w:r w:rsidR="00A859B2">
          <w:rPr>
            <w:webHidden/>
          </w:rPr>
          <w:fldChar w:fldCharType="begin"/>
        </w:r>
        <w:r w:rsidR="00A859B2">
          <w:rPr>
            <w:webHidden/>
          </w:rPr>
          <w:instrText xml:space="preserve"> PAGEREF _Toc198549031 \h </w:instrText>
        </w:r>
        <w:r w:rsidR="00A859B2">
          <w:rPr>
            <w:webHidden/>
          </w:rPr>
        </w:r>
        <w:r w:rsidR="00A859B2">
          <w:rPr>
            <w:webHidden/>
          </w:rPr>
          <w:fldChar w:fldCharType="separate"/>
        </w:r>
        <w:r w:rsidR="00A859B2">
          <w:rPr>
            <w:webHidden/>
          </w:rPr>
          <w:t>3</w:t>
        </w:r>
        <w:r w:rsidR="00A859B2">
          <w:rPr>
            <w:webHidden/>
          </w:rPr>
          <w:fldChar w:fldCharType="end"/>
        </w:r>
      </w:hyperlink>
    </w:p>
    <w:p w14:paraId="702DE264" w14:textId="54526A60"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2" w:history="1">
        <w:r w:rsidRPr="00F416B8">
          <w:rPr>
            <w:rStyle w:val="Hyperlink"/>
          </w:rPr>
          <w:t>Annex – Full report of activities in ITU-T</w:t>
        </w:r>
        <w:r>
          <w:rPr>
            <w:webHidden/>
          </w:rPr>
          <w:tab/>
        </w:r>
        <w:r>
          <w:rPr>
            <w:webHidden/>
          </w:rPr>
          <w:fldChar w:fldCharType="begin"/>
        </w:r>
        <w:r>
          <w:rPr>
            <w:webHidden/>
          </w:rPr>
          <w:instrText xml:space="preserve"> PAGEREF _Toc198549032 \h </w:instrText>
        </w:r>
        <w:r>
          <w:rPr>
            <w:webHidden/>
          </w:rPr>
        </w:r>
        <w:r>
          <w:rPr>
            <w:webHidden/>
          </w:rPr>
          <w:fldChar w:fldCharType="separate"/>
        </w:r>
        <w:r>
          <w:rPr>
            <w:webHidden/>
          </w:rPr>
          <w:t>6</w:t>
        </w:r>
        <w:r>
          <w:rPr>
            <w:webHidden/>
          </w:rPr>
          <w:fldChar w:fldCharType="end"/>
        </w:r>
      </w:hyperlink>
    </w:p>
    <w:p w14:paraId="2B530440" w14:textId="4C1DF5E9"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3" w:history="1">
        <w:r w:rsidRPr="00F416B8">
          <w:rPr>
            <w:rStyle w:val="Hyperlink"/>
          </w:rPr>
          <w:t>1</w:t>
        </w:r>
        <w:r>
          <w:rPr>
            <w:rFonts w:asciiTheme="minorHAnsi" w:eastAsiaTheme="minorEastAsia" w:hAnsiTheme="minorHAnsi" w:cstheme="minorBidi"/>
            <w:kern w:val="2"/>
            <w:szCs w:val="24"/>
            <w:lang w:eastAsia="en-GB"/>
            <w14:ligatures w14:val="standardContextual"/>
          </w:rPr>
          <w:tab/>
        </w:r>
        <w:r w:rsidRPr="00F416B8">
          <w:rPr>
            <w:rStyle w:val="Hyperlink"/>
          </w:rPr>
          <w:t>ITU-T study groups</w:t>
        </w:r>
        <w:r>
          <w:rPr>
            <w:webHidden/>
          </w:rPr>
          <w:tab/>
        </w:r>
        <w:r>
          <w:rPr>
            <w:webHidden/>
          </w:rPr>
          <w:fldChar w:fldCharType="begin"/>
        </w:r>
        <w:r>
          <w:rPr>
            <w:webHidden/>
          </w:rPr>
          <w:instrText xml:space="preserve"> PAGEREF _Toc198549033 \h </w:instrText>
        </w:r>
        <w:r>
          <w:rPr>
            <w:webHidden/>
          </w:rPr>
        </w:r>
        <w:r>
          <w:rPr>
            <w:webHidden/>
          </w:rPr>
          <w:fldChar w:fldCharType="separate"/>
        </w:r>
        <w:r>
          <w:rPr>
            <w:webHidden/>
          </w:rPr>
          <w:t>6</w:t>
        </w:r>
        <w:r>
          <w:rPr>
            <w:webHidden/>
          </w:rPr>
          <w:fldChar w:fldCharType="end"/>
        </w:r>
      </w:hyperlink>
    </w:p>
    <w:p w14:paraId="2AD6DC40" w14:textId="6DB7AAC5"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34" w:history="1">
        <w:r w:rsidRPr="00F416B8">
          <w:rPr>
            <w:rStyle w:val="Hyperlink"/>
          </w:rPr>
          <w:t>1.1</w:t>
        </w:r>
        <w:r>
          <w:rPr>
            <w:rFonts w:asciiTheme="minorHAnsi" w:eastAsiaTheme="minorEastAsia" w:hAnsiTheme="minorHAnsi" w:cstheme="minorBidi"/>
            <w:kern w:val="2"/>
            <w:szCs w:val="24"/>
            <w:lang w:eastAsia="en-GB"/>
            <w14:ligatures w14:val="standardContextual"/>
          </w:rPr>
          <w:tab/>
        </w:r>
        <w:r w:rsidRPr="00F416B8">
          <w:rPr>
            <w:rStyle w:val="Hyperlink"/>
          </w:rPr>
          <w:t>Standards approved and study group meetings</w:t>
        </w:r>
        <w:r>
          <w:rPr>
            <w:webHidden/>
          </w:rPr>
          <w:tab/>
        </w:r>
        <w:r>
          <w:rPr>
            <w:webHidden/>
          </w:rPr>
          <w:fldChar w:fldCharType="begin"/>
        </w:r>
        <w:r>
          <w:rPr>
            <w:webHidden/>
          </w:rPr>
          <w:instrText xml:space="preserve"> PAGEREF _Toc198549034 \h </w:instrText>
        </w:r>
        <w:r>
          <w:rPr>
            <w:webHidden/>
          </w:rPr>
        </w:r>
        <w:r>
          <w:rPr>
            <w:webHidden/>
          </w:rPr>
          <w:fldChar w:fldCharType="separate"/>
        </w:r>
        <w:r>
          <w:rPr>
            <w:webHidden/>
          </w:rPr>
          <w:t>6</w:t>
        </w:r>
        <w:r>
          <w:rPr>
            <w:webHidden/>
          </w:rPr>
          <w:fldChar w:fldCharType="end"/>
        </w:r>
      </w:hyperlink>
    </w:p>
    <w:p w14:paraId="0FCC444B" w14:textId="7D763C1A"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35" w:history="1">
        <w:r w:rsidRPr="00F416B8">
          <w:rPr>
            <w:rStyle w:val="Hyperlink"/>
          </w:rPr>
          <w:t>1.2</w:t>
        </w:r>
        <w:r>
          <w:rPr>
            <w:rFonts w:asciiTheme="minorHAnsi" w:eastAsiaTheme="minorEastAsia" w:hAnsiTheme="minorHAnsi" w:cstheme="minorBidi"/>
            <w:kern w:val="2"/>
            <w:szCs w:val="24"/>
            <w:lang w:eastAsia="en-GB"/>
            <w14:ligatures w14:val="standardContextual"/>
          </w:rPr>
          <w:tab/>
        </w:r>
        <w:r w:rsidRPr="00F416B8">
          <w:rPr>
            <w:rStyle w:val="Hyperlink"/>
          </w:rPr>
          <w:t>Non-attendance of vice-chairs</w:t>
        </w:r>
        <w:r>
          <w:rPr>
            <w:webHidden/>
          </w:rPr>
          <w:tab/>
        </w:r>
        <w:r>
          <w:rPr>
            <w:webHidden/>
          </w:rPr>
          <w:fldChar w:fldCharType="begin"/>
        </w:r>
        <w:r>
          <w:rPr>
            <w:webHidden/>
          </w:rPr>
          <w:instrText xml:space="preserve"> PAGEREF _Toc198549035 \h </w:instrText>
        </w:r>
        <w:r>
          <w:rPr>
            <w:webHidden/>
          </w:rPr>
        </w:r>
        <w:r>
          <w:rPr>
            <w:webHidden/>
          </w:rPr>
          <w:fldChar w:fldCharType="separate"/>
        </w:r>
        <w:r>
          <w:rPr>
            <w:webHidden/>
          </w:rPr>
          <w:t>6</w:t>
        </w:r>
        <w:r>
          <w:rPr>
            <w:webHidden/>
          </w:rPr>
          <w:fldChar w:fldCharType="end"/>
        </w:r>
      </w:hyperlink>
    </w:p>
    <w:p w14:paraId="2A6497D6" w14:textId="2A39787A"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6" w:history="1">
        <w:r w:rsidRPr="00F416B8">
          <w:rPr>
            <w:rStyle w:val="Hyperlink"/>
          </w:rPr>
          <w:t>2</w:t>
        </w:r>
        <w:r>
          <w:rPr>
            <w:rFonts w:asciiTheme="minorHAnsi" w:eastAsiaTheme="minorEastAsia" w:hAnsiTheme="minorHAnsi" w:cstheme="minorBidi"/>
            <w:kern w:val="2"/>
            <w:szCs w:val="24"/>
            <w:lang w:eastAsia="en-GB"/>
            <w14:ligatures w14:val="standardContextual"/>
          </w:rPr>
          <w:tab/>
        </w:r>
        <w:r w:rsidRPr="00F416B8">
          <w:rPr>
            <w:rStyle w:val="Hyperlink"/>
          </w:rPr>
          <w:t>ITU-T focus groups</w:t>
        </w:r>
        <w:r>
          <w:rPr>
            <w:webHidden/>
          </w:rPr>
          <w:tab/>
        </w:r>
        <w:r>
          <w:rPr>
            <w:webHidden/>
          </w:rPr>
          <w:fldChar w:fldCharType="begin"/>
        </w:r>
        <w:r>
          <w:rPr>
            <w:webHidden/>
          </w:rPr>
          <w:instrText xml:space="preserve"> PAGEREF _Toc198549036 \h </w:instrText>
        </w:r>
        <w:r>
          <w:rPr>
            <w:webHidden/>
          </w:rPr>
        </w:r>
        <w:r>
          <w:rPr>
            <w:webHidden/>
          </w:rPr>
          <w:fldChar w:fldCharType="separate"/>
        </w:r>
        <w:r>
          <w:rPr>
            <w:webHidden/>
          </w:rPr>
          <w:t>7</w:t>
        </w:r>
        <w:r>
          <w:rPr>
            <w:webHidden/>
          </w:rPr>
          <w:fldChar w:fldCharType="end"/>
        </w:r>
      </w:hyperlink>
    </w:p>
    <w:p w14:paraId="7021B51F" w14:textId="765A8336"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7" w:history="1">
        <w:r w:rsidRPr="00F416B8">
          <w:rPr>
            <w:rStyle w:val="Hyperlink"/>
          </w:rPr>
          <w:t>3</w:t>
        </w:r>
        <w:r>
          <w:rPr>
            <w:rFonts w:asciiTheme="minorHAnsi" w:eastAsiaTheme="minorEastAsia" w:hAnsiTheme="minorHAnsi" w:cstheme="minorBidi"/>
            <w:kern w:val="2"/>
            <w:szCs w:val="24"/>
            <w:lang w:eastAsia="en-GB"/>
            <w14:ligatures w14:val="standardContextual"/>
          </w:rPr>
          <w:tab/>
        </w:r>
        <w:r w:rsidRPr="00F416B8">
          <w:rPr>
            <w:rStyle w:val="Hyperlink"/>
          </w:rPr>
          <w:t>Workshops, symposia and webinars</w:t>
        </w:r>
        <w:r>
          <w:rPr>
            <w:webHidden/>
          </w:rPr>
          <w:tab/>
        </w:r>
        <w:r>
          <w:rPr>
            <w:webHidden/>
          </w:rPr>
          <w:fldChar w:fldCharType="begin"/>
        </w:r>
        <w:r>
          <w:rPr>
            <w:webHidden/>
          </w:rPr>
          <w:instrText xml:space="preserve"> PAGEREF _Toc198549037 \h </w:instrText>
        </w:r>
        <w:r>
          <w:rPr>
            <w:webHidden/>
          </w:rPr>
        </w:r>
        <w:r>
          <w:rPr>
            <w:webHidden/>
          </w:rPr>
          <w:fldChar w:fldCharType="separate"/>
        </w:r>
        <w:r>
          <w:rPr>
            <w:webHidden/>
          </w:rPr>
          <w:t>7</w:t>
        </w:r>
        <w:r>
          <w:rPr>
            <w:webHidden/>
          </w:rPr>
          <w:fldChar w:fldCharType="end"/>
        </w:r>
      </w:hyperlink>
    </w:p>
    <w:p w14:paraId="582E51EF" w14:textId="0D4D0F1A"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8" w:history="1">
        <w:r w:rsidRPr="00F416B8">
          <w:rPr>
            <w:rStyle w:val="Hyperlink"/>
          </w:rPr>
          <w:t>4</w:t>
        </w:r>
        <w:r>
          <w:rPr>
            <w:rFonts w:asciiTheme="minorHAnsi" w:eastAsiaTheme="minorEastAsia" w:hAnsiTheme="minorHAnsi" w:cstheme="minorBidi"/>
            <w:kern w:val="2"/>
            <w:szCs w:val="24"/>
            <w:lang w:eastAsia="en-GB"/>
            <w14:ligatures w14:val="standardContextual"/>
          </w:rPr>
          <w:tab/>
        </w:r>
        <w:r w:rsidRPr="00F416B8">
          <w:rPr>
            <w:rStyle w:val="Hyperlink"/>
          </w:rPr>
          <w:t>Electronic working methods and virtual meetings</w:t>
        </w:r>
        <w:r>
          <w:rPr>
            <w:webHidden/>
          </w:rPr>
          <w:tab/>
        </w:r>
        <w:r>
          <w:rPr>
            <w:webHidden/>
          </w:rPr>
          <w:fldChar w:fldCharType="begin"/>
        </w:r>
        <w:r>
          <w:rPr>
            <w:webHidden/>
          </w:rPr>
          <w:instrText xml:space="preserve"> PAGEREF _Toc198549038 \h </w:instrText>
        </w:r>
        <w:r>
          <w:rPr>
            <w:webHidden/>
          </w:rPr>
        </w:r>
        <w:r>
          <w:rPr>
            <w:webHidden/>
          </w:rPr>
          <w:fldChar w:fldCharType="separate"/>
        </w:r>
        <w:r>
          <w:rPr>
            <w:webHidden/>
          </w:rPr>
          <w:t>8</w:t>
        </w:r>
        <w:r>
          <w:rPr>
            <w:webHidden/>
          </w:rPr>
          <w:fldChar w:fldCharType="end"/>
        </w:r>
      </w:hyperlink>
    </w:p>
    <w:p w14:paraId="040A186B" w14:textId="6A342C31"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39" w:history="1">
        <w:r w:rsidRPr="00F416B8">
          <w:rPr>
            <w:rStyle w:val="Hyperlink"/>
          </w:rPr>
          <w:t>5</w:t>
        </w:r>
        <w:r>
          <w:rPr>
            <w:rFonts w:asciiTheme="minorHAnsi" w:eastAsiaTheme="minorEastAsia" w:hAnsiTheme="minorHAnsi" w:cstheme="minorBidi"/>
            <w:kern w:val="2"/>
            <w:szCs w:val="24"/>
            <w:lang w:eastAsia="en-GB"/>
            <w14:ligatures w14:val="standardContextual"/>
          </w:rPr>
          <w:tab/>
        </w:r>
        <w:r w:rsidRPr="00F416B8">
          <w:rPr>
            <w:rStyle w:val="Hyperlink"/>
          </w:rPr>
          <w:t>Updates on collaboration initiatives</w:t>
        </w:r>
        <w:r>
          <w:rPr>
            <w:webHidden/>
          </w:rPr>
          <w:tab/>
        </w:r>
        <w:r>
          <w:rPr>
            <w:webHidden/>
          </w:rPr>
          <w:fldChar w:fldCharType="begin"/>
        </w:r>
        <w:r>
          <w:rPr>
            <w:webHidden/>
          </w:rPr>
          <w:instrText xml:space="preserve"> PAGEREF _Toc198549039 \h </w:instrText>
        </w:r>
        <w:r>
          <w:rPr>
            <w:webHidden/>
          </w:rPr>
        </w:r>
        <w:r>
          <w:rPr>
            <w:webHidden/>
          </w:rPr>
          <w:fldChar w:fldCharType="separate"/>
        </w:r>
        <w:r>
          <w:rPr>
            <w:webHidden/>
          </w:rPr>
          <w:t>8</w:t>
        </w:r>
        <w:r>
          <w:rPr>
            <w:webHidden/>
          </w:rPr>
          <w:fldChar w:fldCharType="end"/>
        </w:r>
      </w:hyperlink>
    </w:p>
    <w:p w14:paraId="12576524" w14:textId="64EA3ECF"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0" w:history="1">
        <w:r w:rsidRPr="00F416B8">
          <w:rPr>
            <w:rStyle w:val="Hyperlink"/>
          </w:rPr>
          <w:t>5.1</w:t>
        </w:r>
        <w:r>
          <w:rPr>
            <w:rFonts w:asciiTheme="minorHAnsi" w:eastAsiaTheme="minorEastAsia" w:hAnsiTheme="minorHAnsi" w:cstheme="minorBidi"/>
            <w:kern w:val="2"/>
            <w:szCs w:val="24"/>
            <w:lang w:eastAsia="en-GB"/>
            <w14:ligatures w14:val="standardContextual"/>
          </w:rPr>
          <w:tab/>
        </w:r>
        <w:r w:rsidRPr="00F416B8">
          <w:rPr>
            <w:rStyle w:val="Hyperlink"/>
          </w:rPr>
          <w:t>AI and multimedia authenticity</w:t>
        </w:r>
        <w:r>
          <w:rPr>
            <w:webHidden/>
          </w:rPr>
          <w:tab/>
        </w:r>
        <w:r>
          <w:rPr>
            <w:webHidden/>
          </w:rPr>
          <w:fldChar w:fldCharType="begin"/>
        </w:r>
        <w:r>
          <w:rPr>
            <w:webHidden/>
          </w:rPr>
          <w:instrText xml:space="preserve"> PAGEREF _Toc198549040 \h </w:instrText>
        </w:r>
        <w:r>
          <w:rPr>
            <w:webHidden/>
          </w:rPr>
        </w:r>
        <w:r>
          <w:rPr>
            <w:webHidden/>
          </w:rPr>
          <w:fldChar w:fldCharType="separate"/>
        </w:r>
        <w:r>
          <w:rPr>
            <w:webHidden/>
          </w:rPr>
          <w:t>8</w:t>
        </w:r>
        <w:r>
          <w:rPr>
            <w:webHidden/>
          </w:rPr>
          <w:fldChar w:fldCharType="end"/>
        </w:r>
      </w:hyperlink>
    </w:p>
    <w:p w14:paraId="3DCFC642" w14:textId="16F11657"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1" w:history="1">
        <w:r w:rsidRPr="00F416B8">
          <w:rPr>
            <w:rStyle w:val="Hyperlink"/>
          </w:rPr>
          <w:t>5.2</w:t>
        </w:r>
        <w:r>
          <w:rPr>
            <w:rFonts w:asciiTheme="minorHAnsi" w:eastAsiaTheme="minorEastAsia" w:hAnsiTheme="minorHAnsi" w:cstheme="minorBidi"/>
            <w:kern w:val="2"/>
            <w:szCs w:val="24"/>
            <w:lang w:eastAsia="en-GB"/>
            <w14:ligatures w14:val="standardContextual"/>
          </w:rPr>
          <w:tab/>
        </w:r>
        <w:r w:rsidRPr="00F416B8">
          <w:rPr>
            <w:rStyle w:val="Hyperlink"/>
          </w:rPr>
          <w:t>Artificial intelligence and machine learning</w:t>
        </w:r>
        <w:r>
          <w:rPr>
            <w:webHidden/>
          </w:rPr>
          <w:tab/>
        </w:r>
        <w:r>
          <w:rPr>
            <w:webHidden/>
          </w:rPr>
          <w:fldChar w:fldCharType="begin"/>
        </w:r>
        <w:r>
          <w:rPr>
            <w:webHidden/>
          </w:rPr>
          <w:instrText xml:space="preserve"> PAGEREF _Toc198549041 \h </w:instrText>
        </w:r>
        <w:r>
          <w:rPr>
            <w:webHidden/>
          </w:rPr>
        </w:r>
        <w:r>
          <w:rPr>
            <w:webHidden/>
          </w:rPr>
          <w:fldChar w:fldCharType="separate"/>
        </w:r>
        <w:r>
          <w:rPr>
            <w:webHidden/>
          </w:rPr>
          <w:t>9</w:t>
        </w:r>
        <w:r>
          <w:rPr>
            <w:webHidden/>
          </w:rPr>
          <w:fldChar w:fldCharType="end"/>
        </w:r>
      </w:hyperlink>
    </w:p>
    <w:p w14:paraId="66F5A3F2" w14:textId="0732F15E"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2" w:history="1">
        <w:r w:rsidRPr="00F416B8">
          <w:rPr>
            <w:rStyle w:val="Hyperlink"/>
          </w:rPr>
          <w:t>5.3</w:t>
        </w:r>
        <w:r>
          <w:rPr>
            <w:rFonts w:asciiTheme="minorHAnsi" w:eastAsiaTheme="minorEastAsia" w:hAnsiTheme="minorHAnsi" w:cstheme="minorBidi"/>
            <w:kern w:val="2"/>
            <w:szCs w:val="24"/>
            <w:lang w:eastAsia="en-GB"/>
            <w14:ligatures w14:val="standardContextual"/>
          </w:rPr>
          <w:tab/>
        </w:r>
        <w:r w:rsidRPr="00F416B8">
          <w:rPr>
            <w:rStyle w:val="Hyperlink"/>
          </w:rPr>
          <w:t>Digital financial inclusion and fintech</w:t>
        </w:r>
        <w:r>
          <w:rPr>
            <w:webHidden/>
          </w:rPr>
          <w:tab/>
        </w:r>
        <w:r>
          <w:rPr>
            <w:webHidden/>
          </w:rPr>
          <w:fldChar w:fldCharType="begin"/>
        </w:r>
        <w:r>
          <w:rPr>
            <w:webHidden/>
          </w:rPr>
          <w:instrText xml:space="preserve"> PAGEREF _Toc198549042 \h </w:instrText>
        </w:r>
        <w:r>
          <w:rPr>
            <w:webHidden/>
          </w:rPr>
        </w:r>
        <w:r>
          <w:rPr>
            <w:webHidden/>
          </w:rPr>
          <w:fldChar w:fldCharType="separate"/>
        </w:r>
        <w:r>
          <w:rPr>
            <w:webHidden/>
          </w:rPr>
          <w:t>10</w:t>
        </w:r>
        <w:r>
          <w:rPr>
            <w:webHidden/>
          </w:rPr>
          <w:fldChar w:fldCharType="end"/>
        </w:r>
      </w:hyperlink>
    </w:p>
    <w:p w14:paraId="789F702C" w14:textId="41BC9372"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3" w:history="1">
        <w:r w:rsidRPr="00F416B8">
          <w:rPr>
            <w:rStyle w:val="Hyperlink"/>
          </w:rPr>
          <w:t>5.4</w:t>
        </w:r>
        <w:r>
          <w:rPr>
            <w:rFonts w:asciiTheme="minorHAnsi" w:eastAsiaTheme="minorEastAsia" w:hAnsiTheme="minorHAnsi" w:cstheme="minorBidi"/>
            <w:kern w:val="2"/>
            <w:szCs w:val="24"/>
            <w:lang w:eastAsia="en-GB"/>
            <w14:ligatures w14:val="standardContextual"/>
          </w:rPr>
          <w:tab/>
        </w:r>
        <w:r w:rsidRPr="00F416B8">
          <w:rPr>
            <w:rStyle w:val="Hyperlink"/>
          </w:rPr>
          <w:t>Digital transformation for cities and communities</w:t>
        </w:r>
        <w:r>
          <w:rPr>
            <w:webHidden/>
          </w:rPr>
          <w:tab/>
        </w:r>
        <w:r>
          <w:rPr>
            <w:webHidden/>
          </w:rPr>
          <w:fldChar w:fldCharType="begin"/>
        </w:r>
        <w:r>
          <w:rPr>
            <w:webHidden/>
          </w:rPr>
          <w:instrText xml:space="preserve"> PAGEREF _Toc198549043 \h </w:instrText>
        </w:r>
        <w:r>
          <w:rPr>
            <w:webHidden/>
          </w:rPr>
        </w:r>
        <w:r>
          <w:rPr>
            <w:webHidden/>
          </w:rPr>
          <w:fldChar w:fldCharType="separate"/>
        </w:r>
        <w:r>
          <w:rPr>
            <w:webHidden/>
          </w:rPr>
          <w:t>10</w:t>
        </w:r>
        <w:r>
          <w:rPr>
            <w:webHidden/>
          </w:rPr>
          <w:fldChar w:fldCharType="end"/>
        </w:r>
      </w:hyperlink>
    </w:p>
    <w:p w14:paraId="179F5274" w14:textId="1F65F891"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4" w:history="1">
        <w:r w:rsidRPr="00F416B8">
          <w:rPr>
            <w:rStyle w:val="Hyperlink"/>
          </w:rPr>
          <w:t>5.5</w:t>
        </w:r>
        <w:r>
          <w:rPr>
            <w:rFonts w:asciiTheme="minorHAnsi" w:eastAsiaTheme="minorEastAsia" w:hAnsiTheme="minorHAnsi" w:cstheme="minorBidi"/>
            <w:kern w:val="2"/>
            <w:szCs w:val="24"/>
            <w:lang w:eastAsia="en-GB"/>
            <w14:ligatures w14:val="standardContextual"/>
          </w:rPr>
          <w:tab/>
        </w:r>
        <w:r w:rsidRPr="00F416B8">
          <w:rPr>
            <w:rStyle w:val="Hyperlink"/>
          </w:rPr>
          <w:t>Resilience to natural hazards</w:t>
        </w:r>
        <w:r>
          <w:rPr>
            <w:webHidden/>
          </w:rPr>
          <w:tab/>
        </w:r>
        <w:r>
          <w:rPr>
            <w:webHidden/>
          </w:rPr>
          <w:fldChar w:fldCharType="begin"/>
        </w:r>
        <w:r>
          <w:rPr>
            <w:webHidden/>
          </w:rPr>
          <w:instrText xml:space="preserve"> PAGEREF _Toc198549044 \h </w:instrText>
        </w:r>
        <w:r>
          <w:rPr>
            <w:webHidden/>
          </w:rPr>
        </w:r>
        <w:r>
          <w:rPr>
            <w:webHidden/>
          </w:rPr>
          <w:fldChar w:fldCharType="separate"/>
        </w:r>
        <w:r>
          <w:rPr>
            <w:webHidden/>
          </w:rPr>
          <w:t>12</w:t>
        </w:r>
        <w:r>
          <w:rPr>
            <w:webHidden/>
          </w:rPr>
          <w:fldChar w:fldCharType="end"/>
        </w:r>
      </w:hyperlink>
    </w:p>
    <w:p w14:paraId="562AF964" w14:textId="41C0429B"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5" w:history="1">
        <w:r w:rsidRPr="00F416B8">
          <w:rPr>
            <w:rStyle w:val="Hyperlink"/>
          </w:rPr>
          <w:t>5.6</w:t>
        </w:r>
        <w:r>
          <w:rPr>
            <w:rFonts w:asciiTheme="minorHAnsi" w:eastAsiaTheme="minorEastAsia" w:hAnsiTheme="minorHAnsi" w:cstheme="minorBidi"/>
            <w:kern w:val="2"/>
            <w:szCs w:val="24"/>
            <w:lang w:eastAsia="en-GB"/>
            <w14:ligatures w14:val="standardContextual"/>
          </w:rPr>
          <w:tab/>
        </w:r>
        <w:r w:rsidRPr="00F416B8">
          <w:rPr>
            <w:rStyle w:val="Hyperlink"/>
          </w:rPr>
          <w:t>Intelligent transport systems</w:t>
        </w:r>
        <w:r>
          <w:rPr>
            <w:webHidden/>
          </w:rPr>
          <w:tab/>
        </w:r>
        <w:r>
          <w:rPr>
            <w:webHidden/>
          </w:rPr>
          <w:fldChar w:fldCharType="begin"/>
        </w:r>
        <w:r>
          <w:rPr>
            <w:webHidden/>
          </w:rPr>
          <w:instrText xml:space="preserve"> PAGEREF _Toc198549045 \h </w:instrText>
        </w:r>
        <w:r>
          <w:rPr>
            <w:webHidden/>
          </w:rPr>
        </w:r>
        <w:r>
          <w:rPr>
            <w:webHidden/>
          </w:rPr>
          <w:fldChar w:fldCharType="separate"/>
        </w:r>
        <w:r>
          <w:rPr>
            <w:webHidden/>
          </w:rPr>
          <w:t>12</w:t>
        </w:r>
        <w:r>
          <w:rPr>
            <w:webHidden/>
          </w:rPr>
          <w:fldChar w:fldCharType="end"/>
        </w:r>
      </w:hyperlink>
    </w:p>
    <w:p w14:paraId="49AE5595" w14:textId="04B18835"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6" w:history="1">
        <w:r w:rsidRPr="00F416B8">
          <w:rPr>
            <w:rStyle w:val="Hyperlink"/>
          </w:rPr>
          <w:t>5.7</w:t>
        </w:r>
        <w:r>
          <w:rPr>
            <w:rFonts w:asciiTheme="minorHAnsi" w:eastAsiaTheme="minorEastAsia" w:hAnsiTheme="minorHAnsi" w:cstheme="minorBidi"/>
            <w:kern w:val="2"/>
            <w:szCs w:val="24"/>
            <w:lang w:eastAsia="en-GB"/>
            <w14:ligatures w14:val="standardContextual"/>
          </w:rPr>
          <w:tab/>
        </w:r>
        <w:r w:rsidRPr="00F416B8">
          <w:rPr>
            <w:rStyle w:val="Hyperlink"/>
          </w:rPr>
          <w:t>Green digital action</w:t>
        </w:r>
        <w:r>
          <w:rPr>
            <w:webHidden/>
          </w:rPr>
          <w:tab/>
        </w:r>
        <w:r>
          <w:rPr>
            <w:webHidden/>
          </w:rPr>
          <w:fldChar w:fldCharType="begin"/>
        </w:r>
        <w:r>
          <w:rPr>
            <w:webHidden/>
          </w:rPr>
          <w:instrText xml:space="preserve"> PAGEREF _Toc198549046 \h </w:instrText>
        </w:r>
        <w:r>
          <w:rPr>
            <w:webHidden/>
          </w:rPr>
        </w:r>
        <w:r>
          <w:rPr>
            <w:webHidden/>
          </w:rPr>
          <w:fldChar w:fldCharType="separate"/>
        </w:r>
        <w:r>
          <w:rPr>
            <w:webHidden/>
          </w:rPr>
          <w:t>13</w:t>
        </w:r>
        <w:r>
          <w:rPr>
            <w:webHidden/>
          </w:rPr>
          <w:fldChar w:fldCharType="end"/>
        </w:r>
      </w:hyperlink>
    </w:p>
    <w:p w14:paraId="40161051" w14:textId="7FDF2526"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7" w:history="1">
        <w:r w:rsidRPr="00F416B8">
          <w:rPr>
            <w:rStyle w:val="Hyperlink"/>
          </w:rPr>
          <w:t>5.8</w:t>
        </w:r>
        <w:r>
          <w:rPr>
            <w:rFonts w:asciiTheme="minorHAnsi" w:eastAsiaTheme="minorEastAsia" w:hAnsiTheme="minorHAnsi" w:cstheme="minorBidi"/>
            <w:kern w:val="2"/>
            <w:szCs w:val="24"/>
            <w:lang w:eastAsia="en-GB"/>
            <w14:ligatures w14:val="standardContextual"/>
          </w:rPr>
          <w:tab/>
        </w:r>
        <w:r w:rsidRPr="00F416B8">
          <w:rPr>
            <w:rStyle w:val="Hyperlink"/>
          </w:rPr>
          <w:t>CTO and CxO meetings</w:t>
        </w:r>
        <w:r>
          <w:rPr>
            <w:webHidden/>
          </w:rPr>
          <w:tab/>
        </w:r>
        <w:r>
          <w:rPr>
            <w:webHidden/>
          </w:rPr>
          <w:fldChar w:fldCharType="begin"/>
        </w:r>
        <w:r>
          <w:rPr>
            <w:webHidden/>
          </w:rPr>
          <w:instrText xml:space="preserve"> PAGEREF _Toc198549047 \h </w:instrText>
        </w:r>
        <w:r>
          <w:rPr>
            <w:webHidden/>
          </w:rPr>
        </w:r>
        <w:r>
          <w:rPr>
            <w:webHidden/>
          </w:rPr>
          <w:fldChar w:fldCharType="separate"/>
        </w:r>
        <w:r>
          <w:rPr>
            <w:webHidden/>
          </w:rPr>
          <w:t>14</w:t>
        </w:r>
        <w:r>
          <w:rPr>
            <w:webHidden/>
          </w:rPr>
          <w:fldChar w:fldCharType="end"/>
        </w:r>
      </w:hyperlink>
    </w:p>
    <w:p w14:paraId="297CCF70" w14:textId="69F4FA8A"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8" w:history="1">
        <w:r w:rsidRPr="00F416B8">
          <w:rPr>
            <w:rStyle w:val="Hyperlink"/>
          </w:rPr>
          <w:t>5.9</w:t>
        </w:r>
        <w:r>
          <w:rPr>
            <w:rFonts w:asciiTheme="minorHAnsi" w:eastAsiaTheme="minorEastAsia" w:hAnsiTheme="minorHAnsi" w:cstheme="minorBidi"/>
            <w:kern w:val="2"/>
            <w:szCs w:val="24"/>
            <w:lang w:eastAsia="en-GB"/>
            <w14:ligatures w14:val="standardContextual"/>
          </w:rPr>
          <w:tab/>
        </w:r>
        <w:r w:rsidRPr="00F416B8">
          <w:rPr>
            <w:rStyle w:val="Hyperlink"/>
          </w:rPr>
          <w:t>Metaverse, Virtual Worlds and AI</w:t>
        </w:r>
        <w:r>
          <w:rPr>
            <w:webHidden/>
          </w:rPr>
          <w:tab/>
        </w:r>
        <w:r>
          <w:rPr>
            <w:webHidden/>
          </w:rPr>
          <w:fldChar w:fldCharType="begin"/>
        </w:r>
        <w:r>
          <w:rPr>
            <w:webHidden/>
          </w:rPr>
          <w:instrText xml:space="preserve"> PAGEREF _Toc198549048 \h </w:instrText>
        </w:r>
        <w:r>
          <w:rPr>
            <w:webHidden/>
          </w:rPr>
        </w:r>
        <w:r>
          <w:rPr>
            <w:webHidden/>
          </w:rPr>
          <w:fldChar w:fldCharType="separate"/>
        </w:r>
        <w:r>
          <w:rPr>
            <w:webHidden/>
          </w:rPr>
          <w:t>14</w:t>
        </w:r>
        <w:r>
          <w:rPr>
            <w:webHidden/>
          </w:rPr>
          <w:fldChar w:fldCharType="end"/>
        </w:r>
      </w:hyperlink>
    </w:p>
    <w:p w14:paraId="342ED7A0" w14:textId="6E215599"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49" w:history="1">
        <w:r w:rsidRPr="00F416B8">
          <w:rPr>
            <w:rStyle w:val="Hyperlink"/>
          </w:rPr>
          <w:t>5.10</w:t>
        </w:r>
        <w:r>
          <w:rPr>
            <w:rFonts w:asciiTheme="minorHAnsi" w:eastAsiaTheme="minorEastAsia" w:hAnsiTheme="minorHAnsi" w:cstheme="minorBidi"/>
            <w:kern w:val="2"/>
            <w:szCs w:val="24"/>
            <w:lang w:eastAsia="en-GB"/>
            <w14:ligatures w14:val="standardContextual"/>
          </w:rPr>
          <w:tab/>
        </w:r>
        <w:r w:rsidRPr="00F416B8">
          <w:rPr>
            <w:rStyle w:val="Hyperlink"/>
          </w:rPr>
          <w:t>ITU/WMO/UNESCO-IOC Joint Task Force on SMART cable systems</w:t>
        </w:r>
        <w:r>
          <w:rPr>
            <w:webHidden/>
          </w:rPr>
          <w:tab/>
        </w:r>
        <w:r>
          <w:rPr>
            <w:webHidden/>
          </w:rPr>
          <w:fldChar w:fldCharType="begin"/>
        </w:r>
        <w:r>
          <w:rPr>
            <w:webHidden/>
          </w:rPr>
          <w:instrText xml:space="preserve"> PAGEREF _Toc198549049 \h </w:instrText>
        </w:r>
        <w:r>
          <w:rPr>
            <w:webHidden/>
          </w:rPr>
        </w:r>
        <w:r>
          <w:rPr>
            <w:webHidden/>
          </w:rPr>
          <w:fldChar w:fldCharType="separate"/>
        </w:r>
        <w:r>
          <w:rPr>
            <w:webHidden/>
          </w:rPr>
          <w:t>15</w:t>
        </w:r>
        <w:r>
          <w:rPr>
            <w:webHidden/>
          </w:rPr>
          <w:fldChar w:fldCharType="end"/>
        </w:r>
      </w:hyperlink>
    </w:p>
    <w:p w14:paraId="0412EA19" w14:textId="073E1358"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0" w:history="1">
        <w:r w:rsidRPr="00F416B8">
          <w:rPr>
            <w:rStyle w:val="Hyperlink"/>
          </w:rPr>
          <w:t>6</w:t>
        </w:r>
        <w:r>
          <w:rPr>
            <w:rFonts w:asciiTheme="minorHAnsi" w:eastAsiaTheme="minorEastAsia" w:hAnsiTheme="minorHAnsi" w:cstheme="minorBidi"/>
            <w:kern w:val="2"/>
            <w:szCs w:val="24"/>
            <w:lang w:eastAsia="en-GB"/>
            <w14:ligatures w14:val="standardContextual"/>
          </w:rPr>
          <w:tab/>
        </w:r>
        <w:r w:rsidRPr="00F416B8">
          <w:rPr>
            <w:rStyle w:val="Hyperlink"/>
          </w:rPr>
          <w:t>Academia</w:t>
        </w:r>
        <w:r>
          <w:rPr>
            <w:webHidden/>
          </w:rPr>
          <w:tab/>
        </w:r>
        <w:r>
          <w:rPr>
            <w:webHidden/>
          </w:rPr>
          <w:fldChar w:fldCharType="begin"/>
        </w:r>
        <w:r>
          <w:rPr>
            <w:webHidden/>
          </w:rPr>
          <w:instrText xml:space="preserve"> PAGEREF _Toc198549050 \h </w:instrText>
        </w:r>
        <w:r>
          <w:rPr>
            <w:webHidden/>
          </w:rPr>
        </w:r>
        <w:r>
          <w:rPr>
            <w:webHidden/>
          </w:rPr>
          <w:fldChar w:fldCharType="separate"/>
        </w:r>
        <w:r>
          <w:rPr>
            <w:webHidden/>
          </w:rPr>
          <w:t>15</w:t>
        </w:r>
        <w:r>
          <w:rPr>
            <w:webHidden/>
          </w:rPr>
          <w:fldChar w:fldCharType="end"/>
        </w:r>
      </w:hyperlink>
    </w:p>
    <w:p w14:paraId="64AB73CE" w14:textId="5AA24AF9"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1" w:history="1">
        <w:r w:rsidRPr="00F416B8">
          <w:rPr>
            <w:rStyle w:val="Hyperlink"/>
          </w:rPr>
          <w:t>6.1</w:t>
        </w:r>
        <w:r>
          <w:rPr>
            <w:rFonts w:asciiTheme="minorHAnsi" w:eastAsiaTheme="minorEastAsia" w:hAnsiTheme="minorHAnsi" w:cstheme="minorBidi"/>
            <w:kern w:val="2"/>
            <w:szCs w:val="24"/>
            <w:lang w:eastAsia="en-GB"/>
            <w14:ligatures w14:val="standardContextual"/>
          </w:rPr>
          <w:tab/>
        </w:r>
        <w:r w:rsidRPr="00F416B8">
          <w:rPr>
            <w:rStyle w:val="Hyperlink"/>
          </w:rPr>
          <w:t>ITU Journal</w:t>
        </w:r>
        <w:r>
          <w:rPr>
            <w:webHidden/>
          </w:rPr>
          <w:tab/>
        </w:r>
        <w:r>
          <w:rPr>
            <w:webHidden/>
          </w:rPr>
          <w:fldChar w:fldCharType="begin"/>
        </w:r>
        <w:r>
          <w:rPr>
            <w:webHidden/>
          </w:rPr>
          <w:instrText xml:space="preserve"> PAGEREF _Toc198549051 \h </w:instrText>
        </w:r>
        <w:r>
          <w:rPr>
            <w:webHidden/>
          </w:rPr>
        </w:r>
        <w:r>
          <w:rPr>
            <w:webHidden/>
          </w:rPr>
          <w:fldChar w:fldCharType="separate"/>
        </w:r>
        <w:r>
          <w:rPr>
            <w:webHidden/>
          </w:rPr>
          <w:t>15</w:t>
        </w:r>
        <w:r>
          <w:rPr>
            <w:webHidden/>
          </w:rPr>
          <w:fldChar w:fldCharType="end"/>
        </w:r>
      </w:hyperlink>
    </w:p>
    <w:p w14:paraId="2086A4EB" w14:textId="11D6885E"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2" w:history="1">
        <w:r w:rsidRPr="00F416B8">
          <w:rPr>
            <w:rStyle w:val="Hyperlink"/>
          </w:rPr>
          <w:t>6.2</w:t>
        </w:r>
        <w:r>
          <w:rPr>
            <w:rFonts w:asciiTheme="minorHAnsi" w:eastAsiaTheme="minorEastAsia" w:hAnsiTheme="minorHAnsi" w:cstheme="minorBidi"/>
            <w:kern w:val="2"/>
            <w:szCs w:val="24"/>
            <w:lang w:eastAsia="en-GB"/>
            <w14:ligatures w14:val="standardContextual"/>
          </w:rPr>
          <w:tab/>
        </w:r>
        <w:r w:rsidRPr="00F416B8">
          <w:rPr>
            <w:rStyle w:val="Hyperlink"/>
          </w:rPr>
          <w:t>ITU Kaleidoscope academic conferences</w:t>
        </w:r>
        <w:r>
          <w:rPr>
            <w:webHidden/>
          </w:rPr>
          <w:tab/>
        </w:r>
        <w:r>
          <w:rPr>
            <w:webHidden/>
          </w:rPr>
          <w:fldChar w:fldCharType="begin"/>
        </w:r>
        <w:r>
          <w:rPr>
            <w:webHidden/>
          </w:rPr>
          <w:instrText xml:space="preserve"> PAGEREF _Toc198549052 \h </w:instrText>
        </w:r>
        <w:r>
          <w:rPr>
            <w:webHidden/>
          </w:rPr>
        </w:r>
        <w:r>
          <w:rPr>
            <w:webHidden/>
          </w:rPr>
          <w:fldChar w:fldCharType="separate"/>
        </w:r>
        <w:r>
          <w:rPr>
            <w:webHidden/>
          </w:rPr>
          <w:t>15</w:t>
        </w:r>
        <w:r>
          <w:rPr>
            <w:webHidden/>
          </w:rPr>
          <w:fldChar w:fldCharType="end"/>
        </w:r>
      </w:hyperlink>
    </w:p>
    <w:p w14:paraId="6871813E" w14:textId="709CD597"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3" w:history="1">
        <w:r w:rsidRPr="00F416B8">
          <w:rPr>
            <w:rStyle w:val="Hyperlink"/>
          </w:rPr>
          <w:t>7</w:t>
        </w:r>
        <w:r>
          <w:rPr>
            <w:rFonts w:asciiTheme="minorHAnsi" w:eastAsiaTheme="minorEastAsia" w:hAnsiTheme="minorHAnsi" w:cstheme="minorBidi"/>
            <w:kern w:val="2"/>
            <w:szCs w:val="24"/>
            <w:lang w:eastAsia="en-GB"/>
            <w14:ligatures w14:val="standardContextual"/>
          </w:rPr>
          <w:tab/>
        </w:r>
        <w:r w:rsidRPr="00F416B8">
          <w:rPr>
            <w:rStyle w:val="Hyperlink"/>
          </w:rPr>
          <w:t>Conformity and interoperability programme</w:t>
        </w:r>
        <w:r>
          <w:rPr>
            <w:webHidden/>
          </w:rPr>
          <w:tab/>
        </w:r>
        <w:r>
          <w:rPr>
            <w:webHidden/>
          </w:rPr>
          <w:fldChar w:fldCharType="begin"/>
        </w:r>
        <w:r>
          <w:rPr>
            <w:webHidden/>
          </w:rPr>
          <w:instrText xml:space="preserve"> PAGEREF _Toc198549053 \h </w:instrText>
        </w:r>
        <w:r>
          <w:rPr>
            <w:webHidden/>
          </w:rPr>
        </w:r>
        <w:r>
          <w:rPr>
            <w:webHidden/>
          </w:rPr>
          <w:fldChar w:fldCharType="separate"/>
        </w:r>
        <w:r>
          <w:rPr>
            <w:webHidden/>
          </w:rPr>
          <w:t>16</w:t>
        </w:r>
        <w:r>
          <w:rPr>
            <w:webHidden/>
          </w:rPr>
          <w:fldChar w:fldCharType="end"/>
        </w:r>
      </w:hyperlink>
    </w:p>
    <w:p w14:paraId="6578185D" w14:textId="28E88A3F"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4" w:history="1">
        <w:r w:rsidRPr="00F416B8">
          <w:rPr>
            <w:rStyle w:val="Hyperlink"/>
          </w:rPr>
          <w:t>8</w:t>
        </w:r>
        <w:r>
          <w:rPr>
            <w:rFonts w:asciiTheme="minorHAnsi" w:eastAsiaTheme="minorEastAsia" w:hAnsiTheme="minorHAnsi" w:cstheme="minorBidi"/>
            <w:kern w:val="2"/>
            <w:szCs w:val="24"/>
            <w:lang w:eastAsia="en-GB"/>
            <w14:ligatures w14:val="standardContextual"/>
          </w:rPr>
          <w:tab/>
        </w:r>
        <w:r w:rsidRPr="00F416B8">
          <w:rPr>
            <w:rStyle w:val="Hyperlink"/>
          </w:rPr>
          <w:t>Membership</w:t>
        </w:r>
        <w:r>
          <w:rPr>
            <w:webHidden/>
          </w:rPr>
          <w:tab/>
        </w:r>
        <w:r>
          <w:rPr>
            <w:webHidden/>
          </w:rPr>
          <w:fldChar w:fldCharType="begin"/>
        </w:r>
        <w:r>
          <w:rPr>
            <w:webHidden/>
          </w:rPr>
          <w:instrText xml:space="preserve"> PAGEREF _Toc198549054 \h </w:instrText>
        </w:r>
        <w:r>
          <w:rPr>
            <w:webHidden/>
          </w:rPr>
        </w:r>
        <w:r>
          <w:rPr>
            <w:webHidden/>
          </w:rPr>
          <w:fldChar w:fldCharType="separate"/>
        </w:r>
        <w:r>
          <w:rPr>
            <w:webHidden/>
          </w:rPr>
          <w:t>17</w:t>
        </w:r>
        <w:r>
          <w:rPr>
            <w:webHidden/>
          </w:rPr>
          <w:fldChar w:fldCharType="end"/>
        </w:r>
      </w:hyperlink>
    </w:p>
    <w:p w14:paraId="4B4B96C1" w14:textId="75F6F02E"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5" w:history="1">
        <w:r w:rsidRPr="00F416B8">
          <w:rPr>
            <w:rStyle w:val="Hyperlink"/>
          </w:rPr>
          <w:t>9</w:t>
        </w:r>
        <w:r>
          <w:rPr>
            <w:rFonts w:asciiTheme="minorHAnsi" w:eastAsiaTheme="minorEastAsia" w:hAnsiTheme="minorHAnsi" w:cstheme="minorBidi"/>
            <w:kern w:val="2"/>
            <w:szCs w:val="24"/>
            <w:lang w:eastAsia="en-GB"/>
            <w14:ligatures w14:val="standardContextual"/>
          </w:rPr>
          <w:tab/>
        </w:r>
        <w:r w:rsidRPr="00F416B8">
          <w:rPr>
            <w:rStyle w:val="Hyperlink"/>
          </w:rPr>
          <w:t>Bridging the standardization gap</w:t>
        </w:r>
        <w:r>
          <w:rPr>
            <w:webHidden/>
          </w:rPr>
          <w:tab/>
        </w:r>
        <w:r>
          <w:rPr>
            <w:webHidden/>
          </w:rPr>
          <w:fldChar w:fldCharType="begin"/>
        </w:r>
        <w:r>
          <w:rPr>
            <w:webHidden/>
          </w:rPr>
          <w:instrText xml:space="preserve"> PAGEREF _Toc198549055 \h </w:instrText>
        </w:r>
        <w:r>
          <w:rPr>
            <w:webHidden/>
          </w:rPr>
        </w:r>
        <w:r>
          <w:rPr>
            <w:webHidden/>
          </w:rPr>
          <w:fldChar w:fldCharType="separate"/>
        </w:r>
        <w:r>
          <w:rPr>
            <w:webHidden/>
          </w:rPr>
          <w:t>18</w:t>
        </w:r>
        <w:r>
          <w:rPr>
            <w:webHidden/>
          </w:rPr>
          <w:fldChar w:fldCharType="end"/>
        </w:r>
      </w:hyperlink>
    </w:p>
    <w:p w14:paraId="2DE34454" w14:textId="149D220B"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6" w:history="1">
        <w:r w:rsidRPr="00F416B8">
          <w:rPr>
            <w:rStyle w:val="Hyperlink"/>
          </w:rPr>
          <w:t>10</w:t>
        </w:r>
        <w:r>
          <w:rPr>
            <w:rFonts w:asciiTheme="minorHAnsi" w:eastAsiaTheme="minorEastAsia" w:hAnsiTheme="minorHAnsi" w:cstheme="minorBidi"/>
            <w:kern w:val="2"/>
            <w:szCs w:val="24"/>
            <w:lang w:eastAsia="en-GB"/>
            <w14:ligatures w14:val="standardContextual"/>
          </w:rPr>
          <w:tab/>
        </w:r>
        <w:r w:rsidRPr="00F416B8">
          <w:rPr>
            <w:rStyle w:val="Hyperlink"/>
          </w:rPr>
          <w:t>Gender</w:t>
        </w:r>
        <w:r>
          <w:rPr>
            <w:webHidden/>
          </w:rPr>
          <w:tab/>
        </w:r>
        <w:r>
          <w:rPr>
            <w:webHidden/>
          </w:rPr>
          <w:fldChar w:fldCharType="begin"/>
        </w:r>
        <w:r>
          <w:rPr>
            <w:webHidden/>
          </w:rPr>
          <w:instrText xml:space="preserve"> PAGEREF _Toc198549056 \h </w:instrText>
        </w:r>
        <w:r>
          <w:rPr>
            <w:webHidden/>
          </w:rPr>
        </w:r>
        <w:r>
          <w:rPr>
            <w:webHidden/>
          </w:rPr>
          <w:fldChar w:fldCharType="separate"/>
        </w:r>
        <w:r>
          <w:rPr>
            <w:webHidden/>
          </w:rPr>
          <w:t>20</w:t>
        </w:r>
        <w:r>
          <w:rPr>
            <w:webHidden/>
          </w:rPr>
          <w:fldChar w:fldCharType="end"/>
        </w:r>
      </w:hyperlink>
    </w:p>
    <w:p w14:paraId="02C118AB" w14:textId="053AEA0D"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7" w:history="1">
        <w:r w:rsidRPr="00F416B8">
          <w:rPr>
            <w:rStyle w:val="Hyperlink"/>
          </w:rPr>
          <w:t>11</w:t>
        </w:r>
        <w:r>
          <w:rPr>
            <w:rFonts w:asciiTheme="minorHAnsi" w:eastAsiaTheme="minorEastAsia" w:hAnsiTheme="minorHAnsi" w:cstheme="minorBidi"/>
            <w:kern w:val="2"/>
            <w:szCs w:val="24"/>
            <w:lang w:eastAsia="en-GB"/>
            <w14:ligatures w14:val="standardContextual"/>
          </w:rPr>
          <w:tab/>
        </w:r>
        <w:r w:rsidRPr="00F416B8">
          <w:rPr>
            <w:rStyle w:val="Hyperlink"/>
          </w:rPr>
          <w:t>Human rights and standards development</w:t>
        </w:r>
        <w:r>
          <w:rPr>
            <w:webHidden/>
          </w:rPr>
          <w:tab/>
        </w:r>
        <w:r>
          <w:rPr>
            <w:webHidden/>
          </w:rPr>
          <w:fldChar w:fldCharType="begin"/>
        </w:r>
        <w:r>
          <w:rPr>
            <w:webHidden/>
          </w:rPr>
          <w:instrText xml:space="preserve"> PAGEREF _Toc198549057 \h </w:instrText>
        </w:r>
        <w:r>
          <w:rPr>
            <w:webHidden/>
          </w:rPr>
        </w:r>
        <w:r>
          <w:rPr>
            <w:webHidden/>
          </w:rPr>
          <w:fldChar w:fldCharType="separate"/>
        </w:r>
        <w:r>
          <w:rPr>
            <w:webHidden/>
          </w:rPr>
          <w:t>22</w:t>
        </w:r>
        <w:r>
          <w:rPr>
            <w:webHidden/>
          </w:rPr>
          <w:fldChar w:fldCharType="end"/>
        </w:r>
      </w:hyperlink>
    </w:p>
    <w:p w14:paraId="44DC1CE8" w14:textId="2FC665A7" w:rsidR="00A859B2" w:rsidRDefault="00A859B2">
      <w:pPr>
        <w:pStyle w:val="TOC1"/>
        <w:rPr>
          <w:rFonts w:asciiTheme="minorHAnsi" w:eastAsiaTheme="minorEastAsia" w:hAnsiTheme="minorHAnsi" w:cstheme="minorBidi"/>
          <w:kern w:val="2"/>
          <w:szCs w:val="24"/>
          <w:lang w:eastAsia="en-GB"/>
          <w14:ligatures w14:val="standardContextual"/>
        </w:rPr>
      </w:pPr>
      <w:hyperlink w:anchor="_Toc198549058" w:history="1">
        <w:r w:rsidRPr="00F416B8">
          <w:rPr>
            <w:rStyle w:val="Hyperlink"/>
          </w:rPr>
          <w:t>12</w:t>
        </w:r>
        <w:r>
          <w:rPr>
            <w:rFonts w:asciiTheme="minorHAnsi" w:eastAsiaTheme="minorEastAsia" w:hAnsiTheme="minorHAnsi" w:cstheme="minorBidi"/>
            <w:kern w:val="2"/>
            <w:szCs w:val="24"/>
            <w:lang w:eastAsia="en-GB"/>
            <w14:ligatures w14:val="standardContextual"/>
          </w:rPr>
          <w:tab/>
        </w:r>
        <w:r w:rsidRPr="00F416B8">
          <w:rPr>
            <w:rStyle w:val="Hyperlink"/>
          </w:rPr>
          <w:t>Publications</w:t>
        </w:r>
        <w:r>
          <w:rPr>
            <w:webHidden/>
          </w:rPr>
          <w:tab/>
        </w:r>
        <w:r>
          <w:rPr>
            <w:webHidden/>
          </w:rPr>
          <w:fldChar w:fldCharType="begin"/>
        </w:r>
        <w:r>
          <w:rPr>
            <w:webHidden/>
          </w:rPr>
          <w:instrText xml:space="preserve"> PAGEREF _Toc198549058 \h </w:instrText>
        </w:r>
        <w:r>
          <w:rPr>
            <w:webHidden/>
          </w:rPr>
        </w:r>
        <w:r>
          <w:rPr>
            <w:webHidden/>
          </w:rPr>
          <w:fldChar w:fldCharType="separate"/>
        </w:r>
        <w:r>
          <w:rPr>
            <w:webHidden/>
          </w:rPr>
          <w:t>24</w:t>
        </w:r>
        <w:r>
          <w:rPr>
            <w:webHidden/>
          </w:rPr>
          <w:fldChar w:fldCharType="end"/>
        </w:r>
      </w:hyperlink>
    </w:p>
    <w:p w14:paraId="4B4DC062" w14:textId="10185193"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59" w:history="1">
        <w:r w:rsidRPr="00F416B8">
          <w:rPr>
            <w:rStyle w:val="Hyperlink"/>
          </w:rPr>
          <w:t>12.1</w:t>
        </w:r>
        <w:r>
          <w:rPr>
            <w:rFonts w:asciiTheme="minorHAnsi" w:eastAsiaTheme="minorEastAsia" w:hAnsiTheme="minorHAnsi" w:cstheme="minorBidi"/>
            <w:kern w:val="2"/>
            <w:szCs w:val="24"/>
            <w:lang w:eastAsia="en-GB"/>
            <w14:ligatures w14:val="standardContextual"/>
          </w:rPr>
          <w:tab/>
        </w:r>
        <w:r w:rsidRPr="00F416B8">
          <w:rPr>
            <w:rStyle w:val="Hyperlink"/>
          </w:rPr>
          <w:t>Recommendations and supplements</w:t>
        </w:r>
        <w:r>
          <w:rPr>
            <w:webHidden/>
          </w:rPr>
          <w:tab/>
        </w:r>
        <w:r>
          <w:rPr>
            <w:webHidden/>
          </w:rPr>
          <w:fldChar w:fldCharType="begin"/>
        </w:r>
        <w:r>
          <w:rPr>
            <w:webHidden/>
          </w:rPr>
          <w:instrText xml:space="preserve"> PAGEREF _Toc198549059 \h </w:instrText>
        </w:r>
        <w:r>
          <w:rPr>
            <w:webHidden/>
          </w:rPr>
        </w:r>
        <w:r>
          <w:rPr>
            <w:webHidden/>
          </w:rPr>
          <w:fldChar w:fldCharType="separate"/>
        </w:r>
        <w:r>
          <w:rPr>
            <w:webHidden/>
          </w:rPr>
          <w:t>24</w:t>
        </w:r>
        <w:r>
          <w:rPr>
            <w:webHidden/>
          </w:rPr>
          <w:fldChar w:fldCharType="end"/>
        </w:r>
      </w:hyperlink>
    </w:p>
    <w:p w14:paraId="00DA40C1" w14:textId="7E590080" w:rsidR="00A859B2" w:rsidRDefault="00A859B2">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060" w:history="1">
        <w:r w:rsidRPr="00F416B8">
          <w:rPr>
            <w:rStyle w:val="Hyperlink"/>
          </w:rPr>
          <w:t>12.2</w:t>
        </w:r>
        <w:r>
          <w:rPr>
            <w:rFonts w:asciiTheme="minorHAnsi" w:eastAsiaTheme="minorEastAsia" w:hAnsiTheme="minorHAnsi" w:cstheme="minorBidi"/>
            <w:kern w:val="2"/>
            <w:szCs w:val="24"/>
            <w:lang w:eastAsia="en-GB"/>
            <w14:ligatures w14:val="standardContextual"/>
          </w:rPr>
          <w:tab/>
        </w:r>
        <w:r w:rsidRPr="00F416B8">
          <w:rPr>
            <w:rStyle w:val="Hyperlink"/>
          </w:rPr>
          <w:t>Official languages on an equal footing</w:t>
        </w:r>
        <w:r>
          <w:rPr>
            <w:webHidden/>
          </w:rPr>
          <w:tab/>
        </w:r>
        <w:r>
          <w:rPr>
            <w:webHidden/>
          </w:rPr>
          <w:fldChar w:fldCharType="begin"/>
        </w:r>
        <w:r>
          <w:rPr>
            <w:webHidden/>
          </w:rPr>
          <w:instrText xml:space="preserve"> PAGEREF _Toc198549060 \h </w:instrText>
        </w:r>
        <w:r>
          <w:rPr>
            <w:webHidden/>
          </w:rPr>
        </w:r>
        <w:r>
          <w:rPr>
            <w:webHidden/>
          </w:rPr>
          <w:fldChar w:fldCharType="separate"/>
        </w:r>
        <w:r>
          <w:rPr>
            <w:webHidden/>
          </w:rPr>
          <w:t>24</w:t>
        </w:r>
        <w:r>
          <w:rPr>
            <w:webHidden/>
          </w:rPr>
          <w:fldChar w:fldCharType="end"/>
        </w:r>
      </w:hyperlink>
    </w:p>
    <w:p w14:paraId="79602B41" w14:textId="00721664" w:rsidR="008D0A2B" w:rsidRDefault="00136E7B" w:rsidP="00136E7B">
      <w:pPr>
        <w:rPr>
          <w:rFonts w:eastAsia="Malgun Gothic"/>
          <w:color w:val="2B579A"/>
          <w:highlight w:val="yellow"/>
          <w:shd w:val="clear" w:color="auto" w:fill="E6E6E6"/>
          <w:lang w:eastAsia="ko-KR"/>
        </w:rPr>
      </w:pPr>
      <w:r w:rsidRPr="0067584E">
        <w:rPr>
          <w:rFonts w:eastAsia="Malgun Gothic"/>
          <w:color w:val="2B579A"/>
          <w:highlight w:val="yellow"/>
          <w:shd w:val="clear" w:color="auto" w:fill="E6E6E6"/>
          <w:lang w:eastAsia="ko-KR"/>
        </w:rPr>
        <w:fldChar w:fldCharType="end"/>
      </w:r>
    </w:p>
    <w:p w14:paraId="33D1B3E0" w14:textId="77777777" w:rsidR="008D0A2B" w:rsidRDefault="008D0A2B">
      <w:pPr>
        <w:spacing w:before="0"/>
        <w:rPr>
          <w:rFonts w:eastAsia="Malgun Gothic"/>
          <w:color w:val="2B579A"/>
          <w:highlight w:val="yellow"/>
          <w:shd w:val="clear" w:color="auto" w:fill="E6E6E6"/>
          <w:lang w:eastAsia="ko-KR"/>
        </w:rPr>
      </w:pPr>
      <w:r>
        <w:rPr>
          <w:rFonts w:eastAsia="Malgun Gothic"/>
          <w:color w:val="2B579A"/>
          <w:highlight w:val="yellow"/>
          <w:shd w:val="clear" w:color="auto" w:fill="E6E6E6"/>
          <w:lang w:eastAsia="ko-KR"/>
        </w:rPr>
        <w:br w:type="page"/>
      </w:r>
    </w:p>
    <w:p w14:paraId="77E8067A" w14:textId="77777777" w:rsidR="008D0A2B" w:rsidRPr="005C4DBA" w:rsidRDefault="008D0A2B" w:rsidP="008D0A2B">
      <w:pPr>
        <w:pStyle w:val="Title4"/>
        <w:rPr>
          <w:lang w:eastAsia="zh-CN"/>
        </w:rPr>
      </w:pPr>
      <w:bookmarkStart w:id="13" w:name="_1_Achievements_in"/>
      <w:bookmarkStart w:id="14" w:name="_1_ITU-T_Study"/>
      <w:bookmarkStart w:id="15" w:name="titre"/>
      <w:bookmarkStart w:id="16" w:name="_top"/>
      <w:bookmarkStart w:id="17" w:name="_Toc480527764"/>
      <w:bookmarkStart w:id="18" w:name="_Toc196849791"/>
      <w:bookmarkStart w:id="19" w:name="_Toc198053257"/>
      <w:bookmarkStart w:id="20" w:name="_Toc480527765"/>
      <w:bookmarkStart w:id="21" w:name="_Toc198053258"/>
      <w:bookmarkStart w:id="22" w:name="_Toc462664184"/>
      <w:bookmarkStart w:id="23" w:name="_Toc475550127"/>
      <w:bookmarkStart w:id="24" w:name="_Toc416161323"/>
      <w:bookmarkStart w:id="25" w:name="_Toc438553934"/>
      <w:bookmarkStart w:id="26" w:name="_Toc453929055"/>
      <w:bookmarkStart w:id="27" w:name="_Toc453932927"/>
      <w:bookmarkStart w:id="28" w:name="_Toc454295831"/>
      <w:bookmarkStart w:id="29" w:name="_Toc418526228"/>
      <w:bookmarkStart w:id="30" w:name="_Toc462664185"/>
      <w:bookmarkStart w:id="31" w:name="_Toc480527766"/>
      <w:bookmarkEnd w:id="13"/>
      <w:bookmarkEnd w:id="14"/>
      <w:bookmarkEnd w:id="15"/>
      <w:bookmarkEnd w:id="16"/>
      <w:r w:rsidRPr="005C4DBA">
        <w:rPr>
          <w:lang w:eastAsia="zh-CN"/>
        </w:rPr>
        <w:lastRenderedPageBreak/>
        <w:t>内容提要</w:t>
      </w:r>
      <w:bookmarkEnd w:id="17"/>
      <w:bookmarkEnd w:id="18"/>
    </w:p>
    <w:p w14:paraId="1B4D66DD" w14:textId="32E77182" w:rsidR="008D0A2B" w:rsidRPr="004907D3" w:rsidRDefault="008D0A2B" w:rsidP="008D0A2B">
      <w:pPr>
        <w:pStyle w:val="Normalaftertitle"/>
        <w:ind w:firstLineChars="200" w:firstLine="480"/>
        <w:rPr>
          <w:rFonts w:eastAsia="Calibri"/>
          <w:lang w:eastAsia="zh-CN"/>
        </w:rPr>
      </w:pPr>
      <w:r w:rsidRPr="004907D3">
        <w:rPr>
          <w:lang w:eastAsia="zh-CN"/>
        </w:rPr>
        <w:t>2024</w:t>
      </w:r>
      <w:r w:rsidRPr="004907D3">
        <w:rPr>
          <w:lang w:eastAsia="zh-CN"/>
        </w:rPr>
        <w:t>年</w:t>
      </w:r>
      <w:r w:rsidRPr="004907D3">
        <w:rPr>
          <w:lang w:eastAsia="zh-CN"/>
        </w:rPr>
        <w:t>7</w:t>
      </w:r>
      <w:r w:rsidRPr="004907D3">
        <w:rPr>
          <w:lang w:eastAsia="zh-CN"/>
        </w:rPr>
        <w:t>月至</w:t>
      </w:r>
      <w:r w:rsidRPr="004907D3">
        <w:rPr>
          <w:lang w:eastAsia="zh-CN"/>
        </w:rPr>
        <w:t>2025</w:t>
      </w:r>
      <w:r w:rsidRPr="004907D3">
        <w:rPr>
          <w:lang w:eastAsia="zh-CN"/>
        </w:rPr>
        <w:t>年</w:t>
      </w:r>
      <w:r w:rsidRPr="004907D3">
        <w:rPr>
          <w:lang w:eastAsia="zh-CN"/>
        </w:rPr>
        <w:t>5</w:t>
      </w:r>
      <w:r w:rsidRPr="004907D3">
        <w:rPr>
          <w:lang w:eastAsia="zh-CN"/>
        </w:rPr>
        <w:t>月，国际电联批准了</w:t>
      </w:r>
      <w:hyperlink r:id="rId13" w:history="1">
        <w:r w:rsidRPr="00AD086A">
          <w:rPr>
            <w:rStyle w:val="Hyperlink"/>
            <w:lang w:eastAsia="zh-CN"/>
          </w:rPr>
          <w:t>3</w:t>
        </w:r>
        <w:r w:rsidR="007F66AF">
          <w:rPr>
            <w:rStyle w:val="Hyperlink"/>
            <w:rFonts w:hint="cs"/>
            <w:rtl/>
            <w:lang w:eastAsia="zh-CN"/>
          </w:rPr>
          <w:t>81</w:t>
        </w:r>
        <w:r w:rsidRPr="00AD086A">
          <w:rPr>
            <w:rStyle w:val="Hyperlink"/>
            <w:lang w:eastAsia="zh-CN"/>
          </w:rPr>
          <w:t>份新的和经修订的</w:t>
        </w:r>
        <w:r w:rsidRPr="00AD086A">
          <w:rPr>
            <w:rStyle w:val="Hyperlink"/>
            <w:lang w:eastAsia="zh-CN"/>
          </w:rPr>
          <w:t>ITU-T</w:t>
        </w:r>
        <w:r w:rsidRPr="00AD086A">
          <w:rPr>
            <w:rStyle w:val="Hyperlink"/>
            <w:lang w:eastAsia="zh-CN"/>
          </w:rPr>
          <w:t>建议书及相关案文</w:t>
        </w:r>
      </w:hyperlink>
      <w:r w:rsidRPr="004907D3">
        <w:rPr>
          <w:lang w:eastAsia="zh-CN"/>
        </w:rPr>
        <w:t>。</w:t>
      </w:r>
      <w:r w:rsidRPr="004907D3">
        <w:rPr>
          <w:lang w:eastAsia="zh-CN"/>
        </w:rPr>
        <w:t>ITU-T</w:t>
      </w:r>
      <w:r w:rsidRPr="004907D3">
        <w:rPr>
          <w:lang w:eastAsia="zh-CN"/>
        </w:rPr>
        <w:t>各研究组会议的内容提要可查阅其各自</w:t>
      </w:r>
      <w:hyperlink r:id="rId14" w:anchor="/zh" w:history="1">
        <w:r w:rsidRPr="00AD086A">
          <w:rPr>
            <w:rStyle w:val="Hyperlink"/>
            <w:lang w:eastAsia="zh-CN"/>
          </w:rPr>
          <w:t>主页</w:t>
        </w:r>
      </w:hyperlink>
      <w:r w:rsidRPr="004907D3">
        <w:rPr>
          <w:lang w:eastAsia="zh-CN"/>
        </w:rPr>
        <w:t>。</w:t>
      </w:r>
      <w:r w:rsidRPr="002052C2">
        <w:rPr>
          <w:lang w:eastAsia="zh-CN"/>
        </w:rPr>
        <w:t>见</w:t>
      </w:r>
      <w:hyperlink w:anchor="_1_Achievements_in" w:tgtFrame="_top" w:history="1">
        <w:r w:rsidRPr="002052C2">
          <w:rPr>
            <w:rStyle w:val="Hyperlink"/>
            <w:lang w:eastAsia="zh-CN"/>
          </w:rPr>
          <w:t>第</w:t>
        </w:r>
        <w:r w:rsidRPr="002052C2">
          <w:rPr>
            <w:rStyle w:val="Hyperlink"/>
            <w:lang w:eastAsia="zh-CN"/>
          </w:rPr>
          <w:t>1</w:t>
        </w:r>
        <w:r w:rsidRPr="002052C2">
          <w:rPr>
            <w:rStyle w:val="Hyperlink"/>
            <w:lang w:eastAsia="zh-CN"/>
          </w:rPr>
          <w:t>节</w:t>
        </w:r>
      </w:hyperlink>
      <w:r w:rsidRPr="004907D3">
        <w:rPr>
          <w:lang w:eastAsia="zh-CN"/>
        </w:rPr>
        <w:t>。</w:t>
      </w:r>
      <w:r w:rsidRPr="004907D3">
        <w:rPr>
          <w:lang w:eastAsia="zh-CN"/>
        </w:rPr>
        <w:t>ITU-T</w:t>
      </w:r>
      <w:r w:rsidRPr="004907D3">
        <w:rPr>
          <w:lang w:eastAsia="zh-CN"/>
        </w:rPr>
        <w:t>的两个焦点组在本报告期继续开展工作。有关</w:t>
      </w:r>
      <w:r w:rsidRPr="004907D3">
        <w:rPr>
          <w:lang w:eastAsia="zh-CN"/>
        </w:rPr>
        <w:t>ITU-T</w:t>
      </w:r>
      <w:r w:rsidRPr="004907D3">
        <w:rPr>
          <w:lang w:eastAsia="zh-CN"/>
        </w:rPr>
        <w:t>各焦点组的活动和实际成果信息可查阅其各自</w:t>
      </w:r>
      <w:hyperlink r:id="rId15" w:anchor="/zh" w:history="1">
        <w:r w:rsidRPr="002052C2">
          <w:rPr>
            <w:rStyle w:val="Hyperlink"/>
            <w:lang w:eastAsia="zh-CN"/>
          </w:rPr>
          <w:t>主页</w:t>
        </w:r>
      </w:hyperlink>
      <w:r w:rsidRPr="004907D3">
        <w:rPr>
          <w:lang w:eastAsia="zh-CN"/>
        </w:rPr>
        <w:t>。</w:t>
      </w:r>
      <w:r w:rsidRPr="002052C2">
        <w:rPr>
          <w:lang w:eastAsia="zh-CN"/>
        </w:rPr>
        <w:t>见</w:t>
      </w:r>
      <w:hyperlink w:anchor="_2_ITU-T_Focus" w:history="1">
        <w:r w:rsidRPr="00063222">
          <w:rPr>
            <w:rStyle w:val="Hyperlink"/>
            <w:lang w:eastAsia="zh-CN"/>
          </w:rPr>
          <w:t>第</w:t>
        </w:r>
        <w:r w:rsidRPr="00063222">
          <w:rPr>
            <w:rStyle w:val="Hyperlink"/>
            <w:lang w:eastAsia="zh-CN"/>
          </w:rPr>
          <w:t>2</w:t>
        </w:r>
        <w:r w:rsidRPr="00063222">
          <w:rPr>
            <w:rStyle w:val="Hyperlink"/>
            <w:lang w:eastAsia="zh-CN"/>
          </w:rPr>
          <w:t>节</w:t>
        </w:r>
      </w:hyperlink>
      <w:r w:rsidRPr="004907D3">
        <w:rPr>
          <w:lang w:eastAsia="zh-CN"/>
        </w:rPr>
        <w:t>。</w:t>
      </w:r>
    </w:p>
    <w:p w14:paraId="036FFF89" w14:textId="77777777" w:rsidR="008D0A2B" w:rsidRPr="004907D3" w:rsidRDefault="008D0A2B" w:rsidP="008D0A2B">
      <w:pPr>
        <w:ind w:firstLineChars="200" w:firstLine="480"/>
        <w:rPr>
          <w:rFonts w:eastAsia="Calibri"/>
          <w:lang w:eastAsia="zh-CN"/>
        </w:rPr>
      </w:pPr>
      <w:r w:rsidRPr="004907D3">
        <w:rPr>
          <w:lang w:val="zh-CN" w:eastAsia="zh-CN"/>
        </w:rPr>
        <w:t>2024</w:t>
      </w:r>
      <w:r w:rsidRPr="004907D3">
        <w:rPr>
          <w:lang w:val="zh-CN" w:eastAsia="zh-CN"/>
        </w:rPr>
        <w:t>年，</w:t>
      </w:r>
      <w:r w:rsidRPr="004907D3">
        <w:rPr>
          <w:lang w:val="zh-CN" w:eastAsia="zh-CN"/>
        </w:rPr>
        <w:t>ITU-T</w:t>
      </w:r>
      <w:r w:rsidRPr="004907D3">
        <w:rPr>
          <w:lang w:val="zh-CN" w:eastAsia="zh-CN"/>
        </w:rPr>
        <w:t>组织了</w:t>
      </w:r>
      <w:r w:rsidRPr="004907D3">
        <w:rPr>
          <w:lang w:val="zh-CN" w:eastAsia="zh-CN"/>
        </w:rPr>
        <w:t>94</w:t>
      </w:r>
      <w:r w:rsidRPr="004907D3">
        <w:rPr>
          <w:lang w:val="zh-CN" w:eastAsia="zh-CN"/>
        </w:rPr>
        <w:t>场</w:t>
      </w:r>
      <w:hyperlink r:id="rId16" w:anchor="/zh" w:history="1">
        <w:r w:rsidRPr="00C6753D">
          <w:rPr>
            <w:rStyle w:val="Hyperlink"/>
            <w:lang w:val="zh-CN" w:eastAsia="zh-CN"/>
          </w:rPr>
          <w:t>讲习班、网络研讨会和专题研讨会</w:t>
        </w:r>
      </w:hyperlink>
      <w:r w:rsidRPr="004907D3">
        <w:rPr>
          <w:lang w:val="zh-CN" w:eastAsia="zh-CN"/>
        </w:rPr>
        <w:t>，此外还几乎全年每天</w:t>
      </w:r>
      <w:r w:rsidRPr="004907D3">
        <w:rPr>
          <w:rFonts w:hint="eastAsia"/>
          <w:lang w:eastAsia="zh-CN"/>
        </w:rPr>
        <w:t>都针对</w:t>
      </w:r>
      <w:hyperlink r:id="rId17" w:anchor="/zh" w:history="1">
        <w:r w:rsidRPr="00664B0D">
          <w:rPr>
            <w:rStyle w:val="Hyperlink"/>
            <w:lang w:val="zh-CN" w:eastAsia="zh-CN"/>
          </w:rPr>
          <w:t>人工智能向善</w:t>
        </w:r>
      </w:hyperlink>
      <w:r w:rsidRPr="004907D3">
        <w:rPr>
          <w:lang w:val="zh-CN" w:eastAsia="zh-CN"/>
        </w:rPr>
        <w:t>数字平台进行编程。见</w:t>
      </w:r>
      <w:hyperlink w:anchor="_3_Workshops,_symposia" w:history="1">
        <w:r w:rsidRPr="00B66D29">
          <w:rPr>
            <w:rStyle w:val="Hyperlink"/>
            <w:lang w:eastAsia="zh-CN"/>
          </w:rPr>
          <w:t>第</w:t>
        </w:r>
        <w:r w:rsidRPr="00B66D29">
          <w:rPr>
            <w:rStyle w:val="Hyperlink"/>
            <w:lang w:eastAsia="zh-CN"/>
          </w:rPr>
          <w:t>3</w:t>
        </w:r>
        <w:r w:rsidRPr="00B66D29">
          <w:rPr>
            <w:rStyle w:val="Hyperlink"/>
            <w:lang w:eastAsia="zh-CN"/>
          </w:rPr>
          <w:t>节</w:t>
        </w:r>
      </w:hyperlink>
      <w:r w:rsidRPr="004907D3">
        <w:rPr>
          <w:lang w:val="zh-CN" w:eastAsia="zh-CN"/>
        </w:rPr>
        <w:t>。</w:t>
      </w:r>
    </w:p>
    <w:p w14:paraId="7AAAD6AD" w14:textId="77777777" w:rsidR="008D0A2B" w:rsidRPr="004907D3" w:rsidRDefault="008D0A2B" w:rsidP="008D0A2B">
      <w:pPr>
        <w:ind w:firstLineChars="200" w:firstLine="480"/>
        <w:rPr>
          <w:rFonts w:eastAsia="Calibri"/>
          <w:lang w:eastAsia="zh-CN"/>
        </w:rPr>
      </w:pPr>
      <w:r w:rsidRPr="004907D3">
        <w:rPr>
          <w:lang w:val="zh-CN" w:eastAsia="zh-CN"/>
        </w:rPr>
        <w:t>自</w:t>
      </w:r>
      <w:r w:rsidRPr="004907D3">
        <w:rPr>
          <w:lang w:val="zh-CN" w:eastAsia="zh-CN"/>
        </w:rPr>
        <w:t>2024</w:t>
      </w:r>
      <w:r w:rsidRPr="004907D3">
        <w:rPr>
          <w:lang w:val="zh-CN" w:eastAsia="zh-CN"/>
        </w:rPr>
        <w:t>年</w:t>
      </w:r>
      <w:r w:rsidRPr="004907D3">
        <w:rPr>
          <w:lang w:val="zh-CN" w:eastAsia="zh-CN"/>
        </w:rPr>
        <w:t>7</w:t>
      </w:r>
      <w:r w:rsidRPr="004907D3">
        <w:rPr>
          <w:lang w:val="zh-CN" w:eastAsia="zh-CN"/>
        </w:rPr>
        <w:t>月上次</w:t>
      </w:r>
      <w:r w:rsidRPr="004907D3">
        <w:rPr>
          <w:lang w:val="zh-CN" w:eastAsia="zh-CN"/>
        </w:rPr>
        <w:t>TSAG</w:t>
      </w:r>
      <w:r w:rsidRPr="004907D3">
        <w:rPr>
          <w:lang w:val="zh-CN" w:eastAsia="zh-CN"/>
        </w:rPr>
        <w:t>会议以来，人们努力将电信标准化局的旧应用整合并升级</w:t>
      </w:r>
      <w:r w:rsidRPr="004907D3">
        <w:rPr>
          <w:rFonts w:hint="eastAsia"/>
          <w:lang w:val="zh-CN" w:eastAsia="zh-CN"/>
        </w:rPr>
        <w:t>至</w:t>
      </w:r>
      <w:hyperlink r:id="rId18" w:history="1">
        <w:r w:rsidRPr="00F47ECC">
          <w:rPr>
            <w:rStyle w:val="Hyperlink"/>
            <w:lang w:val="zh-CN" w:eastAsia="zh-CN"/>
          </w:rPr>
          <w:t>MyWorkspace</w:t>
        </w:r>
      </w:hyperlink>
      <w:r w:rsidRPr="004907D3">
        <w:rPr>
          <w:lang w:val="zh-CN" w:eastAsia="zh-CN"/>
        </w:rPr>
        <w:t>。有关电子工作方法、服务数据库应用和虚拟会议统计数据的综合报告，见</w:t>
      </w:r>
      <w:hyperlink r:id="rId19" w:history="1">
        <w:r w:rsidRPr="00F47ECC">
          <w:rPr>
            <w:rStyle w:val="Hyperlink"/>
            <w:lang w:val="zh-CN" w:eastAsia="zh-CN"/>
          </w:rPr>
          <w:t>TD11</w:t>
        </w:r>
      </w:hyperlink>
      <w:r w:rsidRPr="004907D3">
        <w:rPr>
          <w:rFonts w:hint="eastAsia"/>
          <w:lang w:val="zh-CN" w:eastAsia="zh-CN"/>
        </w:rPr>
        <w:t>和</w:t>
      </w:r>
      <w:hyperlink w:anchor="_4_Electronic_working" w:history="1">
        <w:r w:rsidRPr="00B66D29">
          <w:rPr>
            <w:rStyle w:val="Hyperlink"/>
            <w:lang w:eastAsia="zh-CN"/>
          </w:rPr>
          <w:t>第</w:t>
        </w:r>
        <w:r w:rsidRPr="00B66D29">
          <w:rPr>
            <w:rStyle w:val="Hyperlink"/>
            <w:lang w:eastAsia="zh-CN"/>
          </w:rPr>
          <w:t>4</w:t>
        </w:r>
        <w:r w:rsidRPr="00B66D29">
          <w:rPr>
            <w:rStyle w:val="Hyperlink"/>
            <w:lang w:eastAsia="zh-CN"/>
          </w:rPr>
          <w:t>节</w:t>
        </w:r>
      </w:hyperlink>
      <w:r w:rsidRPr="004907D3">
        <w:rPr>
          <w:lang w:val="zh-CN" w:eastAsia="zh-CN"/>
        </w:rPr>
        <w:t>。</w:t>
      </w:r>
    </w:p>
    <w:p w14:paraId="06FA95A0" w14:textId="77777777" w:rsidR="008D0A2B" w:rsidRPr="004907D3" w:rsidRDefault="008D0A2B" w:rsidP="008D0A2B">
      <w:pPr>
        <w:ind w:firstLineChars="200" w:firstLine="480"/>
        <w:rPr>
          <w:rFonts w:eastAsia="Calibri"/>
          <w:lang w:eastAsia="zh-CN"/>
        </w:rPr>
      </w:pPr>
      <w:r w:rsidRPr="004907D3">
        <w:rPr>
          <w:lang w:val="zh-CN" w:eastAsia="zh-CN"/>
        </w:rPr>
        <w:t>人工智能和多媒体真实性标准合作</w:t>
      </w:r>
      <w:r w:rsidRPr="004907D3">
        <w:rPr>
          <w:rFonts w:hint="eastAsia"/>
          <w:lang w:val="zh-CN" w:eastAsia="zh-CN"/>
        </w:rPr>
        <w:t>，</w:t>
      </w:r>
      <w:r w:rsidRPr="004907D3">
        <w:rPr>
          <w:lang w:val="zh-CN" w:eastAsia="zh-CN"/>
        </w:rPr>
        <w:t>是在</w:t>
      </w:r>
      <w:r w:rsidRPr="004907D3">
        <w:rPr>
          <w:lang w:val="zh-CN" w:eastAsia="zh-CN"/>
        </w:rPr>
        <w:t>2024</w:t>
      </w:r>
      <w:r w:rsidRPr="004907D3">
        <w:rPr>
          <w:lang w:val="zh-CN" w:eastAsia="zh-CN"/>
        </w:rPr>
        <w:t>年人工智能向善全球峰会</w:t>
      </w:r>
      <w:r w:rsidRPr="004907D3">
        <w:rPr>
          <w:rFonts w:hint="eastAsia"/>
          <w:lang w:val="zh-CN" w:eastAsia="zh-CN"/>
        </w:rPr>
        <w:t>期间举办的</w:t>
      </w:r>
      <w:r w:rsidRPr="004907D3">
        <w:rPr>
          <w:rFonts w:ascii="SimSun" w:hAnsi="SimSun" w:hint="eastAsia"/>
          <w:lang w:val="zh-CN" w:eastAsia="zh-CN"/>
        </w:rPr>
        <w:t>“</w:t>
      </w:r>
      <w:hyperlink r:id="rId20" w:anchor="/zh" w:history="1">
        <w:r w:rsidRPr="00F47ECC">
          <w:rPr>
            <w:rStyle w:val="Hyperlink"/>
            <w:lang w:val="zh-CN" w:eastAsia="zh-CN"/>
          </w:rPr>
          <w:t>检测深度伪造和生成式人工智能：人工智能水印和多媒体真实性标准讲习班</w:t>
        </w:r>
      </w:hyperlink>
      <w:r w:rsidRPr="004907D3">
        <w:rPr>
          <w:rFonts w:ascii="SimSun" w:hAnsi="SimSun"/>
          <w:lang w:val="zh-CN" w:eastAsia="zh-CN"/>
        </w:rPr>
        <w:t>”</w:t>
      </w:r>
      <w:r w:rsidRPr="004907D3">
        <w:rPr>
          <w:lang w:val="zh-CN" w:eastAsia="zh-CN"/>
        </w:rPr>
        <w:t>之后成立的，</w:t>
      </w:r>
      <w:r w:rsidRPr="004907D3">
        <w:rPr>
          <w:rFonts w:hint="eastAsia"/>
          <w:lang w:val="zh-CN" w:eastAsia="zh-CN"/>
        </w:rPr>
        <w:t>目的是</w:t>
      </w:r>
      <w:r w:rsidRPr="004907D3">
        <w:rPr>
          <w:lang w:val="zh-CN" w:eastAsia="zh-CN"/>
        </w:rPr>
        <w:t>探索验证多媒体内容的来源和真实性。国际电联、国际标准化组织、国际电工委员会（在</w:t>
      </w:r>
      <w:r w:rsidRPr="004907D3">
        <w:rPr>
          <w:rFonts w:hint="eastAsia"/>
          <w:lang w:val="zh-CN" w:eastAsia="zh-CN"/>
        </w:rPr>
        <w:t>“</w:t>
      </w:r>
      <w:r w:rsidRPr="004907D3">
        <w:rPr>
          <w:lang w:val="zh-CN" w:eastAsia="zh-CN"/>
        </w:rPr>
        <w:t>世界标准合作</w:t>
      </w:r>
      <w:r w:rsidRPr="004907D3">
        <w:rPr>
          <w:rFonts w:hint="eastAsia"/>
          <w:lang w:val="zh-CN" w:eastAsia="zh-CN"/>
        </w:rPr>
        <w:t>”的领导</w:t>
      </w:r>
      <w:r w:rsidRPr="004907D3">
        <w:rPr>
          <w:lang w:val="zh-CN" w:eastAsia="zh-CN"/>
        </w:rPr>
        <w:t>下）和行业领导者正在进行的合作</w:t>
      </w:r>
      <w:r w:rsidRPr="004907D3">
        <w:rPr>
          <w:rFonts w:hint="eastAsia"/>
          <w:lang w:val="zh-CN" w:eastAsia="zh-CN"/>
        </w:rPr>
        <w:t>，</w:t>
      </w:r>
      <w:r w:rsidRPr="004907D3">
        <w:rPr>
          <w:lang w:val="zh-CN" w:eastAsia="zh-CN"/>
        </w:rPr>
        <w:t>侧重于解决人工智能和多媒体真实性标准方面的差距，并支持</w:t>
      </w:r>
      <w:r w:rsidRPr="004907D3">
        <w:rPr>
          <w:rFonts w:hint="eastAsia"/>
          <w:lang w:val="zh-CN" w:eastAsia="zh-CN"/>
        </w:rPr>
        <w:t>确保</w:t>
      </w:r>
      <w:r w:rsidRPr="004907D3">
        <w:rPr>
          <w:lang w:val="zh-CN" w:eastAsia="zh-CN"/>
        </w:rPr>
        <w:t>透明度、法律合规性和消费者信任。请参阅</w:t>
      </w:r>
      <w:hyperlink w:anchor="_5.1__AI" w:history="1">
        <w:r w:rsidRPr="00B66D29">
          <w:rPr>
            <w:rStyle w:val="Hyperlink"/>
            <w:lang w:eastAsia="zh-CN"/>
          </w:rPr>
          <w:t>第</w:t>
        </w:r>
        <w:r w:rsidRPr="00B66D29">
          <w:rPr>
            <w:rStyle w:val="Hyperlink"/>
            <w:lang w:eastAsia="zh-CN"/>
          </w:rPr>
          <w:t>5.1</w:t>
        </w:r>
        <w:r w:rsidRPr="00B66D29">
          <w:rPr>
            <w:rStyle w:val="Hyperlink"/>
            <w:lang w:eastAsia="zh-CN"/>
          </w:rPr>
          <w:t>节</w:t>
        </w:r>
      </w:hyperlink>
      <w:r w:rsidRPr="004907D3">
        <w:rPr>
          <w:lang w:val="zh-CN" w:eastAsia="zh-CN"/>
        </w:rPr>
        <w:t>。</w:t>
      </w:r>
      <w:bookmarkStart w:id="32" w:name="_Hlk196845827"/>
      <w:bookmarkEnd w:id="32"/>
    </w:p>
    <w:p w14:paraId="564AC875" w14:textId="77777777" w:rsidR="008D0A2B" w:rsidRPr="004907D3" w:rsidRDefault="008D0A2B" w:rsidP="008D0A2B">
      <w:pPr>
        <w:ind w:firstLineChars="200" w:firstLine="480"/>
        <w:rPr>
          <w:rFonts w:eastAsia="Calibri"/>
          <w:lang w:eastAsia="zh-CN"/>
        </w:rPr>
      </w:pPr>
      <w:r w:rsidRPr="004907D3">
        <w:rPr>
          <w:lang w:val="zh-CN" w:eastAsia="zh-CN"/>
        </w:rPr>
        <w:t>WTSA</w:t>
      </w:r>
      <w:hyperlink r:id="rId21" w:history="1">
        <w:r w:rsidRPr="00683B32">
          <w:rPr>
            <w:rStyle w:val="Hyperlink"/>
            <w:lang w:val="zh-CN" w:eastAsia="zh-CN"/>
          </w:rPr>
          <w:t>第</w:t>
        </w:r>
        <w:r w:rsidRPr="00683B32">
          <w:rPr>
            <w:rStyle w:val="Hyperlink"/>
            <w:lang w:val="zh-CN" w:eastAsia="zh-CN"/>
          </w:rPr>
          <w:t>101</w:t>
        </w:r>
        <w:r w:rsidRPr="00683B32">
          <w:rPr>
            <w:rStyle w:val="Hyperlink"/>
            <w:lang w:val="zh-CN" w:eastAsia="zh-CN"/>
          </w:rPr>
          <w:t>号决议</w:t>
        </w:r>
      </w:hyperlink>
      <w:r w:rsidRPr="004907D3">
        <w:rPr>
          <w:lang w:val="zh-CN" w:eastAsia="zh-CN"/>
        </w:rPr>
        <w:t>（</w:t>
      </w:r>
      <w:r w:rsidRPr="004907D3">
        <w:rPr>
          <w:lang w:val="zh-CN" w:eastAsia="zh-CN"/>
        </w:rPr>
        <w:t>2024</w:t>
      </w:r>
      <w:r w:rsidRPr="004907D3">
        <w:rPr>
          <w:lang w:val="zh-CN" w:eastAsia="zh-CN"/>
        </w:rPr>
        <w:t>年，新德里）强调了国际电联在建立可信人工智能标准方面的作用。首届</w:t>
      </w:r>
      <w:hyperlink r:id="rId22" w:anchor="/zh" w:history="1">
        <w:r w:rsidRPr="00683B32">
          <w:rPr>
            <w:rStyle w:val="Hyperlink"/>
            <w:lang w:val="zh-CN" w:eastAsia="zh-CN"/>
          </w:rPr>
          <w:t>国际人工智能标准峰会</w:t>
        </w:r>
      </w:hyperlink>
      <w:r w:rsidRPr="004907D3">
        <w:rPr>
          <w:lang w:val="zh-CN" w:eastAsia="zh-CN"/>
        </w:rPr>
        <w:t>于</w:t>
      </w:r>
      <w:r w:rsidRPr="004907D3">
        <w:rPr>
          <w:lang w:val="zh-CN" w:eastAsia="zh-CN"/>
        </w:rPr>
        <w:t>2024</w:t>
      </w:r>
      <w:r w:rsidRPr="004907D3">
        <w:rPr>
          <w:lang w:val="zh-CN" w:eastAsia="zh-CN"/>
        </w:rPr>
        <w:t>年</w:t>
      </w:r>
      <w:r w:rsidRPr="004907D3">
        <w:rPr>
          <w:lang w:val="zh-CN" w:eastAsia="zh-CN"/>
        </w:rPr>
        <w:t>10</w:t>
      </w:r>
      <w:r w:rsidRPr="004907D3">
        <w:rPr>
          <w:lang w:val="zh-CN" w:eastAsia="zh-CN"/>
        </w:rPr>
        <w:t>月在新德里</w:t>
      </w:r>
      <w:r w:rsidRPr="004907D3">
        <w:rPr>
          <w:lang w:val="zh-CN" w:eastAsia="zh-CN"/>
        </w:rPr>
        <w:t>WTSA-24</w:t>
      </w:r>
      <w:r w:rsidRPr="004907D3">
        <w:rPr>
          <w:lang w:val="zh-CN" w:eastAsia="zh-CN"/>
        </w:rPr>
        <w:t>期间与国际标准化组织和国际电工委员会共同举办。</w:t>
      </w:r>
      <w:r w:rsidRPr="004907D3">
        <w:rPr>
          <w:rFonts w:hint="eastAsia"/>
          <w:lang w:val="zh-CN" w:eastAsia="zh-CN"/>
        </w:rPr>
        <w:t>本届峰会</w:t>
      </w:r>
      <w:r w:rsidRPr="004907D3">
        <w:rPr>
          <w:lang w:val="zh-CN" w:eastAsia="zh-CN"/>
        </w:rPr>
        <w:t>汇集了全球专家，以推进</w:t>
      </w:r>
      <w:r w:rsidRPr="004907D3">
        <w:rPr>
          <w:rFonts w:hint="eastAsia"/>
          <w:lang w:val="zh-CN" w:eastAsia="zh-CN"/>
        </w:rPr>
        <w:t>制定</w:t>
      </w:r>
      <w:r w:rsidRPr="004907D3">
        <w:rPr>
          <w:lang w:val="zh-CN" w:eastAsia="zh-CN"/>
        </w:rPr>
        <w:t>负责任和包容性</w:t>
      </w:r>
      <w:r w:rsidRPr="004907D3">
        <w:rPr>
          <w:rFonts w:hint="eastAsia"/>
          <w:lang w:val="zh-CN" w:eastAsia="zh-CN"/>
        </w:rPr>
        <w:t>的</w:t>
      </w:r>
      <w:r w:rsidRPr="004907D3">
        <w:rPr>
          <w:lang w:val="zh-CN" w:eastAsia="zh-CN"/>
        </w:rPr>
        <w:t>人工智能标准。</w:t>
      </w:r>
    </w:p>
    <w:p w14:paraId="0DF9063A" w14:textId="77777777" w:rsidR="008D0A2B" w:rsidRPr="004907D3" w:rsidRDefault="008D0A2B" w:rsidP="008D0A2B">
      <w:pPr>
        <w:ind w:firstLineChars="200" w:firstLine="480"/>
        <w:rPr>
          <w:rFonts w:eastAsia="Calibri"/>
          <w:lang w:eastAsia="zh-CN"/>
        </w:rPr>
      </w:pPr>
      <w:hyperlink r:id="rId23" w:anchor="/zh" w:history="1">
        <w:r w:rsidRPr="00683B32">
          <w:rPr>
            <w:rStyle w:val="Hyperlink"/>
            <w:lang w:val="zh-CN" w:eastAsia="zh-CN"/>
          </w:rPr>
          <w:t>2025</w:t>
        </w:r>
        <w:r w:rsidRPr="00683B32">
          <w:rPr>
            <w:rStyle w:val="Hyperlink"/>
            <w:lang w:val="zh-CN" w:eastAsia="zh-CN"/>
          </w:rPr>
          <w:t>年人工智能向善全球峰会</w:t>
        </w:r>
      </w:hyperlink>
      <w:r w:rsidRPr="004907D3">
        <w:rPr>
          <w:lang w:val="zh-CN" w:eastAsia="zh-CN"/>
        </w:rPr>
        <w:t>将于</w:t>
      </w:r>
      <w:r w:rsidRPr="004907D3">
        <w:rPr>
          <w:lang w:val="zh-CN" w:eastAsia="zh-CN"/>
        </w:rPr>
        <w:t>2025</w:t>
      </w:r>
      <w:r w:rsidRPr="004907D3">
        <w:rPr>
          <w:lang w:val="zh-CN" w:eastAsia="zh-CN"/>
        </w:rPr>
        <w:t>年</w:t>
      </w:r>
      <w:r w:rsidRPr="004907D3">
        <w:rPr>
          <w:lang w:val="zh-CN" w:eastAsia="zh-CN"/>
        </w:rPr>
        <w:t>7</w:t>
      </w:r>
      <w:r w:rsidRPr="004907D3">
        <w:rPr>
          <w:lang w:val="zh-CN" w:eastAsia="zh-CN"/>
        </w:rPr>
        <w:t>月</w:t>
      </w:r>
      <w:r w:rsidRPr="004907D3">
        <w:rPr>
          <w:lang w:val="zh-CN" w:eastAsia="zh-CN"/>
        </w:rPr>
        <w:t>8-11</w:t>
      </w:r>
      <w:r w:rsidRPr="004907D3">
        <w:rPr>
          <w:lang w:val="zh-CN" w:eastAsia="zh-CN"/>
        </w:rPr>
        <w:t>日在日内瓦举行。</w:t>
      </w:r>
      <w:hyperlink r:id="rId24" w:anchor="/zh" w:history="1">
        <w:r w:rsidRPr="00683B32">
          <w:rPr>
            <w:rStyle w:val="Hyperlink"/>
            <w:lang w:val="zh-CN" w:eastAsia="zh-CN"/>
          </w:rPr>
          <w:t>人工智能向善影响举措</w:t>
        </w:r>
      </w:hyperlink>
      <w:r w:rsidRPr="004907D3">
        <w:rPr>
          <w:lang w:val="zh-CN" w:eastAsia="zh-CN"/>
        </w:rPr>
        <w:t>于</w:t>
      </w:r>
      <w:r w:rsidRPr="004907D3">
        <w:rPr>
          <w:lang w:val="zh-CN" w:eastAsia="zh-CN"/>
        </w:rPr>
        <w:t>2024</w:t>
      </w:r>
      <w:r w:rsidRPr="004907D3">
        <w:rPr>
          <w:lang w:val="zh-CN" w:eastAsia="zh-CN"/>
        </w:rPr>
        <w:t>年</w:t>
      </w:r>
      <w:r w:rsidRPr="004907D3">
        <w:rPr>
          <w:lang w:val="zh-CN" w:eastAsia="zh-CN"/>
        </w:rPr>
        <w:t>5</w:t>
      </w:r>
      <w:r w:rsidRPr="004907D3">
        <w:rPr>
          <w:lang w:val="zh-CN" w:eastAsia="zh-CN"/>
        </w:rPr>
        <w:t>月在人工智能向善全球峰会期间启动，旨在扩大有影响力的人工智能解决方案，支持全球竞争和挑战并加强能力建设工作。国际电联</w:t>
      </w:r>
      <w:r w:rsidRPr="004907D3">
        <w:rPr>
          <w:rFonts w:hint="eastAsia"/>
          <w:lang w:val="zh-CN" w:eastAsia="zh-CN"/>
        </w:rPr>
        <w:t>仍</w:t>
      </w:r>
      <w:r w:rsidRPr="004907D3">
        <w:rPr>
          <w:lang w:val="zh-CN" w:eastAsia="zh-CN"/>
        </w:rPr>
        <w:t>继续开展一系列与</w:t>
      </w:r>
      <w:r w:rsidRPr="004907D3">
        <w:rPr>
          <w:lang w:val="zh-CN" w:eastAsia="zh-CN"/>
        </w:rPr>
        <w:t>AI</w:t>
      </w:r>
      <w:r w:rsidRPr="004907D3">
        <w:rPr>
          <w:lang w:val="zh-CN" w:eastAsia="zh-CN"/>
        </w:rPr>
        <w:t>相关的活动，包括人工智能向善发现系列、</w:t>
      </w:r>
      <w:r w:rsidRPr="004907D3">
        <w:rPr>
          <w:lang w:val="zh-CN" w:eastAsia="zh-CN"/>
        </w:rPr>
        <w:t>AI</w:t>
      </w:r>
      <w:r w:rsidRPr="004907D3">
        <w:rPr>
          <w:lang w:val="zh-CN" w:eastAsia="zh-CN"/>
        </w:rPr>
        <w:t>技能联盟、</w:t>
      </w:r>
      <w:r w:rsidRPr="004907D3">
        <w:rPr>
          <w:lang w:val="zh-CN" w:eastAsia="zh-CN"/>
        </w:rPr>
        <w:t>AI</w:t>
      </w:r>
      <w:r w:rsidRPr="004907D3">
        <w:rPr>
          <w:lang w:val="zh-CN" w:eastAsia="zh-CN"/>
        </w:rPr>
        <w:t>惠及人类创新工厂、机器人惠及人类青年挑战赛、国际电联</w:t>
      </w:r>
      <w:r w:rsidRPr="004907D3">
        <w:rPr>
          <w:lang w:val="zh-CN" w:eastAsia="zh-CN"/>
        </w:rPr>
        <w:t>AI/ML</w:t>
      </w:r>
      <w:r w:rsidRPr="004907D3">
        <w:rPr>
          <w:lang w:val="zh-CN" w:eastAsia="zh-CN"/>
        </w:rPr>
        <w:t>挑战赛和青年</w:t>
      </w:r>
      <w:r w:rsidRPr="004907D3">
        <w:rPr>
          <w:lang w:val="zh-CN" w:eastAsia="zh-CN"/>
        </w:rPr>
        <w:t>AI</w:t>
      </w:r>
      <w:r w:rsidRPr="004907D3">
        <w:rPr>
          <w:lang w:val="zh-CN" w:eastAsia="zh-CN"/>
        </w:rPr>
        <w:t>领袖社区。请参阅</w:t>
      </w:r>
      <w:hyperlink w:anchor="_5.2_Artificial_intelligence" w:history="1">
        <w:r w:rsidRPr="007A227C">
          <w:rPr>
            <w:rStyle w:val="Hyperlink"/>
            <w:lang w:eastAsia="zh-CN"/>
          </w:rPr>
          <w:t>第</w:t>
        </w:r>
        <w:r w:rsidRPr="007A227C">
          <w:rPr>
            <w:rStyle w:val="Hyperlink"/>
            <w:lang w:eastAsia="zh-CN"/>
          </w:rPr>
          <w:t>5.2</w:t>
        </w:r>
        <w:r w:rsidRPr="007A227C">
          <w:rPr>
            <w:rStyle w:val="Hyperlink"/>
            <w:lang w:eastAsia="zh-CN"/>
          </w:rPr>
          <w:t>节</w:t>
        </w:r>
      </w:hyperlink>
      <w:r w:rsidRPr="004907D3">
        <w:rPr>
          <w:lang w:val="zh-CN" w:eastAsia="zh-CN"/>
        </w:rPr>
        <w:t>。</w:t>
      </w:r>
    </w:p>
    <w:p w14:paraId="25708AC1" w14:textId="77777777" w:rsidR="008D0A2B" w:rsidRPr="004907D3" w:rsidRDefault="008D0A2B" w:rsidP="008D0A2B">
      <w:pPr>
        <w:ind w:firstLineChars="200" w:firstLine="480"/>
        <w:rPr>
          <w:rFonts w:eastAsia="Calibri"/>
          <w:lang w:eastAsia="zh-CN"/>
        </w:rPr>
      </w:pPr>
      <w:hyperlink r:id="rId25" w:anchor="/zh" w:history="1">
        <w:r w:rsidRPr="00ED3D11">
          <w:rPr>
            <w:rStyle w:val="Hyperlink"/>
            <w:lang w:val="zh-CN" w:eastAsia="zh-CN"/>
          </w:rPr>
          <w:t>国际电联数字金融服务（</w:t>
        </w:r>
        <w:r w:rsidRPr="00ED3D11">
          <w:rPr>
            <w:rStyle w:val="Hyperlink"/>
            <w:lang w:val="zh-CN" w:eastAsia="zh-CN"/>
          </w:rPr>
          <w:t>DFS</w:t>
        </w:r>
        <w:r w:rsidRPr="00ED3D11">
          <w:rPr>
            <w:rStyle w:val="Hyperlink"/>
            <w:lang w:val="zh-CN" w:eastAsia="zh-CN"/>
          </w:rPr>
          <w:t>）安全实验室</w:t>
        </w:r>
      </w:hyperlink>
      <w:r w:rsidRPr="004907D3">
        <w:rPr>
          <w:lang w:val="zh-CN" w:eastAsia="zh-CN"/>
        </w:rPr>
        <w:t>在</w:t>
      </w:r>
      <w:r w:rsidRPr="004907D3">
        <w:rPr>
          <w:lang w:val="zh-CN" w:eastAsia="zh-CN"/>
        </w:rPr>
        <w:t>2024</w:t>
      </w:r>
      <w:r w:rsidRPr="004907D3">
        <w:rPr>
          <w:lang w:val="zh-CN" w:eastAsia="zh-CN"/>
        </w:rPr>
        <w:t>年</w:t>
      </w:r>
      <w:r w:rsidRPr="004907D3">
        <w:rPr>
          <w:lang w:val="zh-CN" w:eastAsia="zh-CN"/>
        </w:rPr>
        <w:t>1</w:t>
      </w:r>
      <w:r w:rsidRPr="004907D3">
        <w:rPr>
          <w:lang w:val="zh-CN" w:eastAsia="zh-CN"/>
        </w:rPr>
        <w:t>月至</w:t>
      </w:r>
      <w:r w:rsidRPr="004907D3">
        <w:rPr>
          <w:lang w:val="zh-CN" w:eastAsia="zh-CN"/>
        </w:rPr>
        <w:t>2025</w:t>
      </w:r>
      <w:r w:rsidRPr="004907D3">
        <w:rPr>
          <w:lang w:val="zh-CN" w:eastAsia="zh-CN"/>
        </w:rPr>
        <w:t>年</w:t>
      </w:r>
      <w:r w:rsidRPr="004907D3">
        <w:rPr>
          <w:lang w:val="zh-CN" w:eastAsia="zh-CN"/>
        </w:rPr>
        <w:t>2</w:t>
      </w:r>
      <w:r w:rsidRPr="004907D3">
        <w:rPr>
          <w:lang w:val="zh-CN" w:eastAsia="zh-CN"/>
        </w:rPr>
        <w:t>月期间组织了</w:t>
      </w:r>
      <w:r w:rsidRPr="004907D3">
        <w:rPr>
          <w:lang w:val="zh-CN" w:eastAsia="zh-CN"/>
        </w:rPr>
        <w:t>13</w:t>
      </w:r>
      <w:r w:rsidRPr="004907D3">
        <w:rPr>
          <w:lang w:val="zh-CN" w:eastAsia="zh-CN"/>
        </w:rPr>
        <w:t>场诊所</w:t>
      </w:r>
      <w:r w:rsidRPr="004907D3">
        <w:rPr>
          <w:rFonts w:hint="eastAsia"/>
          <w:lang w:val="zh-CN" w:eastAsia="zh-CN"/>
        </w:rPr>
        <w:t>活动</w:t>
      </w:r>
      <w:r w:rsidRPr="004907D3">
        <w:rPr>
          <w:lang w:val="zh-CN" w:eastAsia="zh-CN"/>
        </w:rPr>
        <w:t>，有超过</w:t>
      </w:r>
      <w:r w:rsidRPr="004907D3">
        <w:rPr>
          <w:lang w:val="zh-CN" w:eastAsia="zh-CN"/>
        </w:rPr>
        <w:t>853</w:t>
      </w:r>
      <w:r w:rsidRPr="004907D3">
        <w:rPr>
          <w:lang w:val="zh-CN" w:eastAsia="zh-CN"/>
        </w:rPr>
        <w:t>名</w:t>
      </w:r>
      <w:r w:rsidRPr="004907D3">
        <w:rPr>
          <w:rFonts w:hint="eastAsia"/>
          <w:lang w:val="zh-CN" w:eastAsia="zh-CN"/>
        </w:rPr>
        <w:t>人员</w:t>
      </w:r>
      <w:r w:rsidRPr="004907D3">
        <w:rPr>
          <w:lang w:val="zh-CN" w:eastAsia="zh-CN"/>
        </w:rPr>
        <w:t>参加，为新兴经济体的监管机构提供</w:t>
      </w:r>
      <w:r w:rsidRPr="004907D3">
        <w:rPr>
          <w:rFonts w:hint="eastAsia"/>
          <w:lang w:val="zh-CN" w:eastAsia="zh-CN"/>
        </w:rPr>
        <w:t>了</w:t>
      </w:r>
      <w:r w:rsidRPr="004907D3">
        <w:rPr>
          <w:lang w:val="zh-CN" w:eastAsia="zh-CN"/>
        </w:rPr>
        <w:t>安全建议和技术援助。请参阅</w:t>
      </w:r>
      <w:hyperlink w:anchor="_5.3_Digital_transformation" w:history="1">
        <w:r w:rsidRPr="007A227C">
          <w:rPr>
            <w:rStyle w:val="Hyperlink"/>
            <w:lang w:eastAsia="zh-CN"/>
          </w:rPr>
          <w:t>第</w:t>
        </w:r>
        <w:r w:rsidRPr="007A227C">
          <w:rPr>
            <w:rStyle w:val="Hyperlink"/>
            <w:lang w:eastAsia="zh-CN"/>
          </w:rPr>
          <w:t>5.3</w:t>
        </w:r>
        <w:r w:rsidRPr="007A227C">
          <w:rPr>
            <w:rStyle w:val="Hyperlink"/>
            <w:lang w:eastAsia="zh-CN"/>
          </w:rPr>
          <w:t>节</w:t>
        </w:r>
      </w:hyperlink>
      <w:r w:rsidRPr="004907D3">
        <w:rPr>
          <w:lang w:val="zh-CN" w:eastAsia="zh-CN"/>
        </w:rPr>
        <w:t>。</w:t>
      </w:r>
    </w:p>
    <w:p w14:paraId="6987E3FB" w14:textId="77777777" w:rsidR="008D0A2B" w:rsidRPr="004907D3" w:rsidRDefault="008D0A2B" w:rsidP="008D0A2B">
      <w:pPr>
        <w:ind w:firstLineChars="200" w:firstLine="480"/>
        <w:rPr>
          <w:rFonts w:eastAsia="Calibri"/>
          <w:lang w:eastAsia="zh-CN"/>
        </w:rPr>
      </w:pPr>
      <w:r w:rsidRPr="004907D3">
        <w:rPr>
          <w:lang w:val="zh-CN" w:eastAsia="zh-CN"/>
        </w:rPr>
        <w:t>在</w:t>
      </w:r>
      <w:r w:rsidRPr="004907D3">
        <w:rPr>
          <w:lang w:val="zh-CN" w:eastAsia="zh-CN"/>
        </w:rPr>
        <w:t>19</w:t>
      </w:r>
      <w:r w:rsidRPr="004907D3">
        <w:rPr>
          <w:lang w:val="zh-CN" w:eastAsia="zh-CN"/>
        </w:rPr>
        <w:t>个联合国机构的支持下，</w:t>
      </w:r>
      <w:hyperlink r:id="rId26" w:anchor="/zh" w:history="1">
        <w:r w:rsidRPr="00ED3D11">
          <w:rPr>
            <w:rStyle w:val="Hyperlink"/>
            <w:lang w:val="zh-CN" w:eastAsia="zh-CN"/>
          </w:rPr>
          <w:t>可持续智慧城市联合体（</w:t>
        </w:r>
        <w:r w:rsidRPr="00ED3D11">
          <w:rPr>
            <w:rStyle w:val="Hyperlink"/>
            <w:lang w:val="zh-CN" w:eastAsia="zh-CN"/>
          </w:rPr>
          <w:t>U4SSC</w:t>
        </w:r>
        <w:r w:rsidRPr="00ED3D11">
          <w:rPr>
            <w:rStyle w:val="Hyperlink"/>
            <w:lang w:val="zh-CN" w:eastAsia="zh-CN"/>
          </w:rPr>
          <w:t>）</w:t>
        </w:r>
      </w:hyperlink>
      <w:r w:rsidRPr="004907D3">
        <w:rPr>
          <w:lang w:val="zh-CN" w:eastAsia="zh-CN"/>
        </w:rPr>
        <w:t>于</w:t>
      </w:r>
      <w:r w:rsidRPr="004907D3">
        <w:rPr>
          <w:lang w:val="zh-CN" w:eastAsia="zh-CN"/>
        </w:rPr>
        <w:t>2024</w:t>
      </w:r>
      <w:r w:rsidRPr="004907D3">
        <w:rPr>
          <w:lang w:val="zh-CN" w:eastAsia="zh-CN"/>
        </w:rPr>
        <w:t>年</w:t>
      </w:r>
      <w:r w:rsidRPr="004907D3">
        <w:rPr>
          <w:lang w:val="zh-CN" w:eastAsia="zh-CN"/>
        </w:rPr>
        <w:t>9</w:t>
      </w:r>
      <w:r w:rsidRPr="004907D3">
        <w:rPr>
          <w:lang w:val="zh-CN" w:eastAsia="zh-CN"/>
        </w:rPr>
        <w:t>月</w:t>
      </w:r>
      <w:r w:rsidRPr="004907D3">
        <w:rPr>
          <w:lang w:val="zh-CN" w:eastAsia="zh-CN"/>
        </w:rPr>
        <w:t>19</w:t>
      </w:r>
      <w:r w:rsidRPr="004907D3">
        <w:rPr>
          <w:lang w:val="zh-CN" w:eastAsia="zh-CN"/>
        </w:rPr>
        <w:t>日在西班牙马德里举行了第八次会议。</w:t>
      </w:r>
      <w:hyperlink r:id="rId27" w:history="1">
        <w:r w:rsidRPr="00ED3D11">
          <w:rPr>
            <w:rStyle w:val="Hyperlink"/>
            <w:lang w:val="zh-CN" w:eastAsia="zh-CN"/>
          </w:rPr>
          <w:t>国际电联数字化转型对话</w:t>
        </w:r>
      </w:hyperlink>
      <w:r w:rsidRPr="004907D3">
        <w:rPr>
          <w:lang w:val="zh-CN" w:eastAsia="zh-CN"/>
        </w:rPr>
        <w:t>（</w:t>
      </w:r>
      <w:r w:rsidRPr="004907D3">
        <w:rPr>
          <w:lang w:val="zh-CN" w:eastAsia="zh-CN"/>
        </w:rPr>
        <w:t>DTD</w:t>
      </w:r>
      <w:r w:rsidRPr="004907D3">
        <w:rPr>
          <w:lang w:val="zh-CN" w:eastAsia="zh-CN"/>
        </w:rPr>
        <w:t>）继续举办网络研讨会，分享对新兴技术和技术标准化的见解，其中包括</w:t>
      </w:r>
      <w:r w:rsidRPr="004907D3">
        <w:rPr>
          <w:rFonts w:hint="eastAsia"/>
          <w:lang w:val="zh-CN" w:eastAsia="zh-CN"/>
        </w:rPr>
        <w:t>由</w:t>
      </w:r>
      <w:r w:rsidRPr="004907D3">
        <w:rPr>
          <w:lang w:val="zh-CN" w:eastAsia="zh-CN"/>
        </w:rPr>
        <w:t>专家主导的会议，如炉边谈话、网络研讨会和</w:t>
      </w:r>
      <w:r w:rsidRPr="004907D3">
        <w:rPr>
          <w:rFonts w:ascii="SimSun" w:hAnsi="SimSun" w:hint="eastAsia"/>
          <w:lang w:val="zh-CN" w:eastAsia="zh-CN"/>
        </w:rPr>
        <w:t>“向</w:t>
      </w:r>
      <w:r w:rsidRPr="004907D3">
        <w:rPr>
          <w:lang w:val="zh-CN" w:eastAsia="zh-CN"/>
        </w:rPr>
        <w:t>专家咨询</w:t>
      </w:r>
      <w:r w:rsidRPr="004907D3">
        <w:rPr>
          <w:rFonts w:ascii="SimSun" w:hAnsi="SimSun"/>
          <w:lang w:val="zh-CN" w:eastAsia="zh-CN"/>
        </w:rPr>
        <w:t>”</w:t>
      </w:r>
      <w:r w:rsidRPr="004907D3">
        <w:rPr>
          <w:lang w:val="zh-CN" w:eastAsia="zh-CN"/>
        </w:rPr>
        <w:t>活动。论坛于</w:t>
      </w:r>
      <w:r w:rsidRPr="004907D3">
        <w:rPr>
          <w:lang w:val="zh-CN" w:eastAsia="zh-CN"/>
        </w:rPr>
        <w:t>2024</w:t>
      </w:r>
      <w:r w:rsidRPr="004907D3">
        <w:rPr>
          <w:lang w:val="zh-CN" w:eastAsia="zh-CN"/>
        </w:rPr>
        <w:t>年</w:t>
      </w:r>
      <w:r w:rsidRPr="004907D3">
        <w:rPr>
          <w:lang w:val="zh-CN" w:eastAsia="zh-CN"/>
        </w:rPr>
        <w:t>7</w:t>
      </w:r>
      <w:r w:rsidRPr="004907D3">
        <w:rPr>
          <w:lang w:val="zh-CN" w:eastAsia="zh-CN"/>
        </w:rPr>
        <w:t>月至</w:t>
      </w:r>
      <w:r w:rsidRPr="004907D3">
        <w:rPr>
          <w:lang w:val="zh-CN" w:eastAsia="zh-CN"/>
        </w:rPr>
        <w:t>2025</w:t>
      </w:r>
      <w:r w:rsidRPr="004907D3">
        <w:rPr>
          <w:lang w:val="zh-CN" w:eastAsia="zh-CN"/>
        </w:rPr>
        <w:t>年</w:t>
      </w:r>
      <w:r w:rsidRPr="004907D3">
        <w:rPr>
          <w:lang w:val="zh-CN" w:eastAsia="zh-CN"/>
        </w:rPr>
        <w:t>3</w:t>
      </w:r>
      <w:r w:rsidRPr="004907D3">
        <w:rPr>
          <w:lang w:val="zh-CN" w:eastAsia="zh-CN"/>
        </w:rPr>
        <w:t>月举行，主题包括量子计</w:t>
      </w:r>
      <w:r w:rsidRPr="004907D3">
        <w:rPr>
          <w:lang w:val="zh-CN" w:eastAsia="zh-CN"/>
        </w:rPr>
        <w:lastRenderedPageBreak/>
        <w:t>算、</w:t>
      </w:r>
      <w:r w:rsidRPr="004907D3">
        <w:rPr>
          <w:lang w:val="zh-CN" w:eastAsia="zh-CN"/>
        </w:rPr>
        <w:t>TinyML</w:t>
      </w:r>
      <w:r w:rsidRPr="004907D3">
        <w:rPr>
          <w:lang w:val="zh-CN" w:eastAsia="zh-CN"/>
        </w:rPr>
        <w:t>和虚拟世界中的数字治理，</w:t>
      </w:r>
      <w:r w:rsidRPr="004907D3">
        <w:rPr>
          <w:rFonts w:hint="eastAsia"/>
          <w:lang w:val="zh-CN" w:eastAsia="zh-CN"/>
        </w:rPr>
        <w:t>对有关</w:t>
      </w:r>
      <w:r w:rsidRPr="004907D3">
        <w:rPr>
          <w:lang w:val="zh-CN" w:eastAsia="zh-CN"/>
        </w:rPr>
        <w:t>数字化转型及其影响的对话</w:t>
      </w:r>
      <w:r w:rsidRPr="004907D3">
        <w:rPr>
          <w:rFonts w:hint="eastAsia"/>
          <w:lang w:val="zh-CN" w:eastAsia="zh-CN"/>
        </w:rPr>
        <w:t>起到了促进作用</w:t>
      </w:r>
      <w:r w:rsidRPr="004907D3">
        <w:rPr>
          <w:lang w:val="zh-CN" w:eastAsia="zh-CN"/>
        </w:rPr>
        <w:t>。请参见</w:t>
      </w:r>
      <w:hyperlink w:anchor="_5.4_" w:history="1">
        <w:r w:rsidRPr="007A227C">
          <w:rPr>
            <w:rStyle w:val="Hyperlink"/>
            <w:lang w:eastAsia="zh-CN"/>
          </w:rPr>
          <w:t>第</w:t>
        </w:r>
        <w:r w:rsidRPr="007A227C">
          <w:rPr>
            <w:rStyle w:val="Hyperlink"/>
            <w:lang w:eastAsia="zh-CN"/>
          </w:rPr>
          <w:t>5.4</w:t>
        </w:r>
        <w:r w:rsidRPr="007A227C">
          <w:rPr>
            <w:rStyle w:val="Hyperlink"/>
            <w:lang w:eastAsia="zh-CN"/>
          </w:rPr>
          <w:t>节</w:t>
        </w:r>
      </w:hyperlink>
      <w:r w:rsidRPr="004907D3">
        <w:rPr>
          <w:lang w:val="zh-CN" w:eastAsia="zh-CN"/>
        </w:rPr>
        <w:t>。</w:t>
      </w:r>
    </w:p>
    <w:p w14:paraId="1D41F42B" w14:textId="77777777" w:rsidR="008D0A2B" w:rsidRPr="004907D3" w:rsidRDefault="008D0A2B" w:rsidP="008D0A2B">
      <w:pPr>
        <w:ind w:firstLineChars="200" w:firstLine="480"/>
        <w:rPr>
          <w:rFonts w:eastAsia="Calibri"/>
          <w:lang w:eastAsia="zh-CN"/>
        </w:rPr>
      </w:pPr>
      <w:r w:rsidRPr="004907D3">
        <w:rPr>
          <w:lang w:val="zh-CN" w:eastAsia="zh-CN"/>
        </w:rPr>
        <w:t>由国际电联、</w:t>
      </w:r>
      <w:r w:rsidRPr="004907D3">
        <w:rPr>
          <w:rFonts w:hint="eastAsia"/>
          <w:lang w:val="zh-CN" w:eastAsia="zh-CN"/>
        </w:rPr>
        <w:t>联合国气候变化框架公约</w:t>
      </w:r>
      <w:r w:rsidRPr="004907D3">
        <w:rPr>
          <w:lang w:val="zh-CN" w:eastAsia="zh-CN"/>
        </w:rPr>
        <w:t>、联合国环境署、万国邮联和世界气象组织牵头的</w:t>
      </w:r>
      <w:hyperlink r:id="rId28" w:history="1">
        <w:r w:rsidRPr="00ED3D11">
          <w:rPr>
            <w:rStyle w:val="Hyperlink"/>
            <w:rFonts w:hint="eastAsia"/>
            <w:lang w:val="zh-CN" w:eastAsia="zh-CN"/>
          </w:rPr>
          <w:t>利用</w:t>
        </w:r>
        <w:r w:rsidRPr="00ED3D11">
          <w:rPr>
            <w:rStyle w:val="Hyperlink"/>
            <w:lang w:val="zh-CN" w:eastAsia="zh-CN"/>
          </w:rPr>
          <w:t>人工智能解决方案抵御自然灾害全球举措</w:t>
        </w:r>
      </w:hyperlink>
      <w:r w:rsidRPr="004907D3">
        <w:rPr>
          <w:rFonts w:hint="eastAsia"/>
          <w:lang w:val="zh-CN" w:eastAsia="zh-CN"/>
        </w:rPr>
        <w:t>，是建立在</w:t>
      </w:r>
      <w:hyperlink r:id="rId29" w:anchor="/zh" w:history="1">
        <w:r w:rsidRPr="00ED3D11">
          <w:rPr>
            <w:rStyle w:val="Hyperlink"/>
            <w:lang w:val="zh-CN" w:eastAsia="zh-CN"/>
          </w:rPr>
          <w:t>ITU-T</w:t>
        </w:r>
        <w:r w:rsidRPr="00ED3D11">
          <w:rPr>
            <w:rStyle w:val="Hyperlink"/>
            <w:lang w:val="zh-CN" w:eastAsia="zh-CN"/>
          </w:rPr>
          <w:t>人工智能促进自然灾害管理焦点组</w:t>
        </w:r>
      </w:hyperlink>
      <w:r w:rsidRPr="004907D3">
        <w:rPr>
          <w:lang w:val="zh-CN" w:eastAsia="zh-CN"/>
        </w:rPr>
        <w:t>工作</w:t>
      </w:r>
      <w:r w:rsidRPr="004907D3">
        <w:rPr>
          <w:rFonts w:hint="eastAsia"/>
          <w:lang w:val="zh-CN" w:eastAsia="zh-CN"/>
        </w:rPr>
        <w:t>的</w:t>
      </w:r>
      <w:r w:rsidRPr="004907D3">
        <w:rPr>
          <w:lang w:val="zh-CN" w:eastAsia="zh-CN"/>
        </w:rPr>
        <w:t>基础</w:t>
      </w:r>
      <w:r w:rsidRPr="004907D3">
        <w:rPr>
          <w:rFonts w:hint="eastAsia"/>
          <w:lang w:val="zh-CN" w:eastAsia="zh-CN"/>
        </w:rPr>
        <w:t>之</w:t>
      </w:r>
      <w:r w:rsidRPr="004907D3">
        <w:rPr>
          <w:lang w:val="zh-CN" w:eastAsia="zh-CN"/>
        </w:rPr>
        <w:t>上。</w:t>
      </w:r>
      <w:r w:rsidRPr="004907D3">
        <w:rPr>
          <w:rFonts w:hint="eastAsia"/>
          <w:lang w:val="zh-CN" w:eastAsia="zh-CN"/>
        </w:rPr>
        <w:t>该举措旨在</w:t>
      </w:r>
      <w:r w:rsidRPr="004907D3">
        <w:rPr>
          <w:lang w:val="zh-CN" w:eastAsia="zh-CN"/>
        </w:rPr>
        <w:t>探索人工智能和新兴技术以提高抗灾能力</w:t>
      </w:r>
      <w:r w:rsidRPr="004907D3">
        <w:rPr>
          <w:rFonts w:hint="eastAsia"/>
          <w:lang w:val="zh-CN" w:eastAsia="zh-CN"/>
        </w:rPr>
        <w:t>，</w:t>
      </w:r>
      <w:r w:rsidRPr="004907D3">
        <w:rPr>
          <w:lang w:val="zh-CN" w:eastAsia="zh-CN"/>
        </w:rPr>
        <w:t>并支持</w:t>
      </w:r>
      <w:r w:rsidRPr="004907D3">
        <w:rPr>
          <w:rFonts w:hint="eastAsia"/>
          <w:lang w:val="zh-CN" w:eastAsia="zh-CN"/>
        </w:rPr>
        <w:t>通过</w:t>
      </w:r>
      <w:r w:rsidRPr="004907D3">
        <w:rPr>
          <w:lang w:val="zh-CN" w:eastAsia="zh-CN"/>
        </w:rPr>
        <w:t>研究和创新</w:t>
      </w:r>
      <w:r w:rsidRPr="004907D3">
        <w:rPr>
          <w:rFonts w:hint="eastAsia"/>
          <w:lang w:val="zh-CN" w:eastAsia="zh-CN"/>
        </w:rPr>
        <w:t>来</w:t>
      </w:r>
      <w:r w:rsidRPr="004907D3">
        <w:rPr>
          <w:lang w:val="zh-CN" w:eastAsia="zh-CN"/>
        </w:rPr>
        <w:t>管理自然</w:t>
      </w:r>
      <w:r w:rsidRPr="004907D3">
        <w:rPr>
          <w:rFonts w:hint="eastAsia"/>
          <w:lang w:val="zh-CN" w:eastAsia="zh-CN"/>
        </w:rPr>
        <w:t>和次生灾害</w:t>
      </w:r>
      <w:r w:rsidRPr="004907D3">
        <w:rPr>
          <w:lang w:val="zh-CN" w:eastAsia="zh-CN"/>
        </w:rPr>
        <w:t>。</w:t>
      </w:r>
      <w:r w:rsidRPr="004907D3">
        <w:rPr>
          <w:rFonts w:hint="eastAsia"/>
          <w:lang w:val="zh-CN" w:eastAsia="zh-CN"/>
        </w:rPr>
        <w:t>这一</w:t>
      </w:r>
      <w:r w:rsidRPr="004907D3">
        <w:rPr>
          <w:lang w:val="zh-CN" w:eastAsia="zh-CN"/>
        </w:rPr>
        <w:t>举措举行了两次会议：第一次于</w:t>
      </w:r>
      <w:r w:rsidRPr="004907D3">
        <w:rPr>
          <w:lang w:val="zh-CN" w:eastAsia="zh-CN"/>
        </w:rPr>
        <w:t>2024</w:t>
      </w:r>
      <w:r w:rsidRPr="004907D3">
        <w:rPr>
          <w:lang w:val="zh-CN" w:eastAsia="zh-CN"/>
        </w:rPr>
        <w:t>年</w:t>
      </w:r>
      <w:r w:rsidRPr="004907D3">
        <w:rPr>
          <w:lang w:val="zh-CN" w:eastAsia="zh-CN"/>
        </w:rPr>
        <w:t>11</w:t>
      </w:r>
      <w:r w:rsidRPr="004907D3">
        <w:rPr>
          <w:lang w:val="zh-CN" w:eastAsia="zh-CN"/>
        </w:rPr>
        <w:t>月</w:t>
      </w:r>
      <w:r w:rsidRPr="004907D3">
        <w:rPr>
          <w:lang w:val="zh-CN" w:eastAsia="zh-CN"/>
        </w:rPr>
        <w:t>6</w:t>
      </w:r>
      <w:r w:rsidRPr="004907D3">
        <w:rPr>
          <w:lang w:val="zh-CN" w:eastAsia="zh-CN"/>
        </w:rPr>
        <w:t>日在巴塞罗那举行，第二次于</w:t>
      </w:r>
      <w:r w:rsidRPr="004907D3">
        <w:rPr>
          <w:lang w:val="zh-CN" w:eastAsia="zh-CN"/>
        </w:rPr>
        <w:t>2025</w:t>
      </w:r>
      <w:r w:rsidRPr="004907D3">
        <w:rPr>
          <w:lang w:val="zh-CN" w:eastAsia="zh-CN"/>
        </w:rPr>
        <w:t>年</w:t>
      </w:r>
      <w:r w:rsidRPr="004907D3">
        <w:rPr>
          <w:lang w:val="zh-CN" w:eastAsia="zh-CN"/>
        </w:rPr>
        <w:t>5</w:t>
      </w:r>
      <w:r w:rsidRPr="004907D3">
        <w:rPr>
          <w:lang w:val="zh-CN" w:eastAsia="zh-CN"/>
        </w:rPr>
        <w:t>月</w:t>
      </w:r>
      <w:r w:rsidRPr="004907D3">
        <w:rPr>
          <w:lang w:val="zh-CN" w:eastAsia="zh-CN"/>
        </w:rPr>
        <w:t>9</w:t>
      </w:r>
      <w:r w:rsidRPr="004907D3">
        <w:rPr>
          <w:lang w:val="zh-CN" w:eastAsia="zh-CN"/>
        </w:rPr>
        <w:t>日在</w:t>
      </w:r>
      <w:r w:rsidRPr="004907D3">
        <w:rPr>
          <w:rFonts w:eastAsia="Calibri"/>
          <w:lang w:eastAsia="zh-CN"/>
        </w:rPr>
        <w:t>Frascati</w:t>
      </w:r>
      <w:r w:rsidRPr="004907D3">
        <w:rPr>
          <w:lang w:val="zh-CN" w:eastAsia="zh-CN"/>
        </w:rPr>
        <w:t>举行。见</w:t>
      </w:r>
      <w:hyperlink w:anchor="_5.5_Resilience_to" w:history="1">
        <w:r w:rsidRPr="007A227C">
          <w:rPr>
            <w:rStyle w:val="Hyperlink"/>
            <w:rFonts w:hint="eastAsia"/>
            <w:lang w:eastAsia="zh-CN"/>
          </w:rPr>
          <w:t>第</w:t>
        </w:r>
        <w:r w:rsidRPr="007A227C">
          <w:rPr>
            <w:rStyle w:val="Hyperlink"/>
            <w:lang w:eastAsia="zh-CN"/>
          </w:rPr>
          <w:t>5.5</w:t>
        </w:r>
        <w:r w:rsidRPr="007A227C">
          <w:rPr>
            <w:rStyle w:val="Hyperlink"/>
            <w:rFonts w:hint="eastAsia"/>
            <w:lang w:eastAsia="zh-CN"/>
          </w:rPr>
          <w:t>节</w:t>
        </w:r>
      </w:hyperlink>
      <w:r w:rsidRPr="004907D3">
        <w:rPr>
          <w:lang w:val="zh-CN" w:eastAsia="zh-CN"/>
        </w:rPr>
        <w:t>。</w:t>
      </w:r>
    </w:p>
    <w:p w14:paraId="0640E340" w14:textId="77777777" w:rsidR="008D0A2B" w:rsidRPr="004907D3" w:rsidRDefault="008D0A2B" w:rsidP="008D0A2B">
      <w:pPr>
        <w:ind w:firstLineChars="200" w:firstLine="480"/>
        <w:rPr>
          <w:rFonts w:eastAsia="Calibri"/>
          <w:lang w:eastAsia="zh-CN"/>
        </w:rPr>
      </w:pPr>
      <w:r w:rsidRPr="004907D3">
        <w:rPr>
          <w:lang w:val="zh-CN" w:eastAsia="zh-CN"/>
        </w:rPr>
        <w:t>由国际电联和联合国欧洲经济委员会组织的最新一期</w:t>
      </w:r>
      <w:hyperlink r:id="rId30" w:history="1">
        <w:r w:rsidRPr="00ED3D11">
          <w:rPr>
            <w:rStyle w:val="Hyperlink"/>
            <w:lang w:val="zh-CN" w:eastAsia="zh-CN"/>
          </w:rPr>
          <w:t>未来网络化汽车专题研讨会</w:t>
        </w:r>
      </w:hyperlink>
      <w:r w:rsidRPr="004907D3">
        <w:rPr>
          <w:lang w:val="zh-CN" w:eastAsia="zh-CN"/>
        </w:rPr>
        <w:t>于</w:t>
      </w:r>
      <w:r w:rsidRPr="004907D3">
        <w:rPr>
          <w:lang w:val="zh-CN" w:eastAsia="zh-CN"/>
        </w:rPr>
        <w:t>2025</w:t>
      </w:r>
      <w:r w:rsidRPr="004907D3">
        <w:rPr>
          <w:lang w:val="zh-CN" w:eastAsia="zh-CN"/>
        </w:rPr>
        <w:t>年</w:t>
      </w:r>
      <w:r w:rsidRPr="004907D3">
        <w:rPr>
          <w:lang w:val="zh-CN" w:eastAsia="zh-CN"/>
        </w:rPr>
        <w:t>3</w:t>
      </w:r>
      <w:r w:rsidRPr="004907D3">
        <w:rPr>
          <w:lang w:val="zh-CN" w:eastAsia="zh-CN"/>
        </w:rPr>
        <w:t>月</w:t>
      </w:r>
      <w:r w:rsidRPr="004907D3">
        <w:rPr>
          <w:lang w:val="zh-CN" w:eastAsia="zh-CN"/>
        </w:rPr>
        <w:t>24</w:t>
      </w:r>
      <w:r w:rsidRPr="004907D3">
        <w:rPr>
          <w:lang w:val="zh-CN" w:eastAsia="zh-CN"/>
        </w:rPr>
        <w:t>日至</w:t>
      </w:r>
      <w:r w:rsidRPr="004907D3">
        <w:rPr>
          <w:lang w:val="zh-CN" w:eastAsia="zh-CN"/>
        </w:rPr>
        <w:t>27</w:t>
      </w:r>
      <w:r w:rsidRPr="004907D3">
        <w:rPr>
          <w:lang w:val="zh-CN" w:eastAsia="zh-CN"/>
        </w:rPr>
        <w:t>日在线举行。国际电联牵头的</w:t>
      </w:r>
      <w:hyperlink r:id="rId31" w:history="1">
        <w:r w:rsidRPr="00ED3D11">
          <w:rPr>
            <w:rStyle w:val="Hyperlink"/>
            <w:lang w:val="zh-CN" w:eastAsia="zh-CN"/>
          </w:rPr>
          <w:t>ITS</w:t>
        </w:r>
        <w:r w:rsidRPr="00ED3D11">
          <w:rPr>
            <w:rStyle w:val="Hyperlink"/>
            <w:lang w:val="zh-CN" w:eastAsia="zh-CN"/>
          </w:rPr>
          <w:t>通信标准协作</w:t>
        </w:r>
      </w:hyperlink>
      <w:r w:rsidRPr="004907D3">
        <w:rPr>
          <w:lang w:val="zh-CN" w:eastAsia="zh-CN"/>
        </w:rPr>
        <w:t>下的</w:t>
      </w:r>
      <w:hyperlink r:id="rId32" w:history="1">
        <w:r w:rsidRPr="00ED3D11">
          <w:rPr>
            <w:rStyle w:val="Hyperlink"/>
            <w:lang w:val="zh-CN" w:eastAsia="zh-CN"/>
          </w:rPr>
          <w:t>自动驾驶通信技术专家组</w:t>
        </w:r>
      </w:hyperlink>
      <w:r w:rsidRPr="004907D3">
        <w:rPr>
          <w:rFonts w:hint="eastAsia"/>
          <w:lang w:val="zh-CN" w:eastAsia="zh-CN"/>
        </w:rPr>
        <w:t>，继续</w:t>
      </w:r>
      <w:r w:rsidRPr="004907D3">
        <w:rPr>
          <w:lang w:val="zh-CN" w:eastAsia="zh-CN"/>
        </w:rPr>
        <w:t>通过两个工作组开展活动。请参阅</w:t>
      </w:r>
      <w:hyperlink w:anchor="_5.6_Intelligent_transport" w:history="1">
        <w:r w:rsidRPr="00124D9B">
          <w:rPr>
            <w:rStyle w:val="Hyperlink"/>
            <w:lang w:eastAsia="zh-CN"/>
          </w:rPr>
          <w:t>第</w:t>
        </w:r>
        <w:r w:rsidRPr="00124D9B">
          <w:rPr>
            <w:rStyle w:val="Hyperlink"/>
            <w:lang w:eastAsia="zh-CN"/>
          </w:rPr>
          <w:t>5.6</w:t>
        </w:r>
        <w:r w:rsidRPr="00124D9B">
          <w:rPr>
            <w:rStyle w:val="Hyperlink"/>
            <w:lang w:eastAsia="zh-CN"/>
          </w:rPr>
          <w:t>节</w:t>
        </w:r>
      </w:hyperlink>
      <w:r w:rsidRPr="004907D3">
        <w:rPr>
          <w:lang w:val="zh-CN" w:eastAsia="zh-CN"/>
        </w:rPr>
        <w:t>。</w:t>
      </w:r>
    </w:p>
    <w:p w14:paraId="025AC8A0" w14:textId="77777777" w:rsidR="008D0A2B" w:rsidRPr="004907D3" w:rsidRDefault="008D0A2B" w:rsidP="008D0A2B">
      <w:pPr>
        <w:ind w:firstLineChars="200" w:firstLine="480"/>
        <w:rPr>
          <w:rFonts w:eastAsia="Calibri"/>
          <w:lang w:eastAsia="zh-CN"/>
        </w:rPr>
      </w:pPr>
      <w:r w:rsidRPr="004907D3">
        <w:rPr>
          <w:lang w:val="zh-CN" w:eastAsia="zh-CN"/>
        </w:rPr>
        <w:t>国际电联利用</w:t>
      </w:r>
      <w:r w:rsidRPr="004907D3">
        <w:rPr>
          <w:lang w:val="zh-CN" w:eastAsia="zh-CN"/>
        </w:rPr>
        <w:t>COP28</w:t>
      </w:r>
      <w:r w:rsidRPr="004907D3">
        <w:rPr>
          <w:lang w:val="zh-CN" w:eastAsia="zh-CN"/>
        </w:rPr>
        <w:t>、具有里程碑意义的数字化日以及在</w:t>
      </w:r>
      <w:r w:rsidRPr="004907D3">
        <w:rPr>
          <w:lang w:val="zh-CN" w:eastAsia="zh-CN"/>
        </w:rPr>
        <w:t>COP29</w:t>
      </w:r>
      <w:r w:rsidRPr="004907D3">
        <w:rPr>
          <w:rFonts w:hint="eastAsia"/>
          <w:lang w:val="zh-CN" w:eastAsia="zh-CN"/>
        </w:rPr>
        <w:t>期间</w:t>
      </w:r>
      <w:r w:rsidRPr="004907D3">
        <w:rPr>
          <w:lang w:val="zh-CN" w:eastAsia="zh-CN"/>
        </w:rPr>
        <w:t>通过的《绿色数字行动宣言》的势头</w:t>
      </w:r>
      <w:r w:rsidRPr="004907D3">
        <w:rPr>
          <w:rFonts w:hint="eastAsia"/>
          <w:lang w:val="zh-CN" w:eastAsia="zh-CN"/>
        </w:rPr>
        <w:t>，</w:t>
      </w:r>
      <w:r w:rsidRPr="004907D3">
        <w:rPr>
          <w:lang w:val="zh-CN" w:eastAsia="zh-CN"/>
        </w:rPr>
        <w:t>继续推进其绿色数字行动举措。电信标准化局通过在标准化方面的领导作用、</w:t>
      </w:r>
      <w:r w:rsidRPr="004907D3">
        <w:rPr>
          <w:lang w:val="zh-CN" w:eastAsia="zh-CN"/>
        </w:rPr>
        <w:t>COP29</w:t>
      </w:r>
      <w:r w:rsidRPr="004907D3">
        <w:rPr>
          <w:rFonts w:hint="eastAsia"/>
          <w:lang w:val="zh-CN" w:eastAsia="zh-CN"/>
        </w:rPr>
        <w:t>期间</w:t>
      </w:r>
      <w:r w:rsidRPr="004907D3">
        <w:rPr>
          <w:lang w:val="zh-CN" w:eastAsia="zh-CN"/>
        </w:rPr>
        <w:t>的活动以及包括锂电池白皮书在内的关键活动，推动全球</w:t>
      </w:r>
      <w:r w:rsidRPr="004907D3">
        <w:rPr>
          <w:rFonts w:hint="eastAsia"/>
          <w:lang w:val="zh-CN" w:eastAsia="zh-CN"/>
        </w:rPr>
        <w:t>共同</w:t>
      </w:r>
      <w:r w:rsidRPr="004907D3">
        <w:rPr>
          <w:lang w:val="zh-CN" w:eastAsia="zh-CN"/>
        </w:rPr>
        <w:t>努力，使数字创新与气候目标保持一致。见</w:t>
      </w:r>
      <w:hyperlink w:anchor="_5.7_" w:history="1">
        <w:r w:rsidRPr="00124D9B">
          <w:rPr>
            <w:rStyle w:val="Hyperlink"/>
            <w:lang w:eastAsia="zh-CN"/>
          </w:rPr>
          <w:t>第</w:t>
        </w:r>
        <w:r w:rsidRPr="00124D9B">
          <w:rPr>
            <w:rStyle w:val="Hyperlink"/>
            <w:lang w:eastAsia="zh-CN"/>
          </w:rPr>
          <w:t>5.7</w:t>
        </w:r>
        <w:r w:rsidRPr="00124D9B">
          <w:rPr>
            <w:rStyle w:val="Hyperlink"/>
            <w:lang w:eastAsia="zh-CN"/>
          </w:rPr>
          <w:t>节</w:t>
        </w:r>
      </w:hyperlink>
      <w:r w:rsidRPr="004907D3">
        <w:rPr>
          <w:lang w:val="zh-CN" w:eastAsia="zh-CN"/>
        </w:rPr>
        <w:t>。</w:t>
      </w:r>
    </w:p>
    <w:p w14:paraId="6FCF4257" w14:textId="77777777" w:rsidR="008D0A2B" w:rsidRPr="004907D3" w:rsidRDefault="008D0A2B" w:rsidP="008D0A2B">
      <w:pPr>
        <w:ind w:firstLineChars="200" w:firstLine="480"/>
        <w:rPr>
          <w:rFonts w:eastAsia="Calibri"/>
          <w:lang w:eastAsia="zh-CN"/>
        </w:rPr>
      </w:pPr>
      <w:r w:rsidRPr="004907D3">
        <w:rPr>
          <w:lang w:val="zh-CN" w:eastAsia="zh-CN"/>
        </w:rPr>
        <w:t>首席技术官（</w:t>
      </w:r>
      <w:r w:rsidRPr="004907D3">
        <w:rPr>
          <w:lang w:val="zh-CN" w:eastAsia="zh-CN"/>
        </w:rPr>
        <w:t>CTO</w:t>
      </w:r>
      <w:r w:rsidRPr="004907D3">
        <w:rPr>
          <w:lang w:val="zh-CN" w:eastAsia="zh-CN"/>
        </w:rPr>
        <w:t>）和首席</w:t>
      </w:r>
      <w:r w:rsidRPr="004907D3">
        <w:rPr>
          <w:rFonts w:hint="eastAsia"/>
          <w:lang w:val="zh-CN" w:eastAsia="zh-CN"/>
        </w:rPr>
        <w:t>执行</w:t>
      </w:r>
      <w:r w:rsidRPr="004907D3">
        <w:rPr>
          <w:lang w:val="zh-CN" w:eastAsia="zh-CN"/>
        </w:rPr>
        <w:t>官（</w:t>
      </w:r>
      <w:r w:rsidRPr="004907D3">
        <w:rPr>
          <w:lang w:val="zh-CN" w:eastAsia="zh-CN"/>
        </w:rPr>
        <w:t>CxO</w:t>
      </w:r>
      <w:r w:rsidRPr="004907D3">
        <w:rPr>
          <w:lang w:val="zh-CN" w:eastAsia="zh-CN"/>
        </w:rPr>
        <w:t>）会议召集行业最高领袖和电信标准化局高级管理人员，讨论行业优先事项和标准化工作。最近一次会议于</w:t>
      </w:r>
      <w:r w:rsidRPr="004907D3">
        <w:rPr>
          <w:lang w:val="zh-CN" w:eastAsia="zh-CN"/>
        </w:rPr>
        <w:t>2024</w:t>
      </w:r>
      <w:r w:rsidRPr="004907D3">
        <w:rPr>
          <w:lang w:val="zh-CN" w:eastAsia="zh-CN"/>
        </w:rPr>
        <w:t>年</w:t>
      </w:r>
      <w:r w:rsidRPr="004907D3">
        <w:rPr>
          <w:lang w:val="zh-CN" w:eastAsia="zh-CN"/>
        </w:rPr>
        <w:t>12</w:t>
      </w:r>
      <w:r w:rsidRPr="004907D3">
        <w:rPr>
          <w:lang w:val="zh-CN" w:eastAsia="zh-CN"/>
        </w:rPr>
        <w:t>月</w:t>
      </w:r>
      <w:r w:rsidRPr="004907D3">
        <w:rPr>
          <w:lang w:val="zh-CN" w:eastAsia="zh-CN"/>
        </w:rPr>
        <w:t>9</w:t>
      </w:r>
      <w:r w:rsidRPr="004907D3">
        <w:rPr>
          <w:lang w:val="zh-CN" w:eastAsia="zh-CN"/>
        </w:rPr>
        <w:t>日在迪拜举行，</w:t>
      </w:r>
      <w:r w:rsidRPr="004907D3">
        <w:rPr>
          <w:rFonts w:hint="eastAsia"/>
          <w:lang w:val="zh-CN" w:eastAsia="zh-CN"/>
        </w:rPr>
        <w:t>期间会</w:t>
      </w:r>
      <w:r w:rsidRPr="004907D3">
        <w:rPr>
          <w:lang w:val="zh-CN" w:eastAsia="zh-CN"/>
        </w:rPr>
        <w:t>聚了</w:t>
      </w:r>
      <w:r w:rsidRPr="004907D3">
        <w:rPr>
          <w:lang w:val="zh-CN" w:eastAsia="zh-CN"/>
        </w:rPr>
        <w:t>20</w:t>
      </w:r>
      <w:r w:rsidRPr="004907D3">
        <w:rPr>
          <w:lang w:val="zh-CN" w:eastAsia="zh-CN"/>
        </w:rPr>
        <w:t>位</w:t>
      </w:r>
      <w:r w:rsidRPr="004907D3">
        <w:rPr>
          <w:lang w:val="zh-CN" w:eastAsia="zh-CN"/>
        </w:rPr>
        <w:t>C</w:t>
      </w:r>
      <w:r w:rsidRPr="004907D3">
        <w:rPr>
          <w:lang w:val="zh-CN" w:eastAsia="zh-CN"/>
        </w:rPr>
        <w:t>级高管，成果</w:t>
      </w:r>
      <w:r w:rsidRPr="004907D3">
        <w:rPr>
          <w:rFonts w:hint="eastAsia"/>
          <w:lang w:val="zh-CN" w:eastAsia="zh-CN"/>
        </w:rPr>
        <w:t>见</w:t>
      </w:r>
      <w:hyperlink r:id="rId33" w:history="1">
        <w:r w:rsidRPr="00ED3D11">
          <w:rPr>
            <w:rStyle w:val="Hyperlink"/>
            <w:lang w:val="zh-CN" w:eastAsia="zh-CN"/>
          </w:rPr>
          <w:t>公报</w:t>
        </w:r>
      </w:hyperlink>
      <w:r w:rsidRPr="004907D3">
        <w:rPr>
          <w:lang w:val="zh-CN" w:eastAsia="zh-CN"/>
        </w:rPr>
        <w:t>。参见</w:t>
      </w:r>
      <w:hyperlink w:anchor="_5.8_CTO_and" w:history="1">
        <w:r w:rsidRPr="00124D9B">
          <w:rPr>
            <w:rStyle w:val="Hyperlink"/>
            <w:lang w:eastAsia="zh-CN"/>
          </w:rPr>
          <w:t>第</w:t>
        </w:r>
        <w:r w:rsidRPr="00124D9B">
          <w:rPr>
            <w:rStyle w:val="Hyperlink"/>
            <w:lang w:eastAsia="zh-CN"/>
          </w:rPr>
          <w:t>5.8</w:t>
        </w:r>
        <w:r w:rsidRPr="00124D9B">
          <w:rPr>
            <w:rStyle w:val="Hyperlink"/>
            <w:lang w:eastAsia="zh-CN"/>
          </w:rPr>
          <w:t>节</w:t>
        </w:r>
      </w:hyperlink>
      <w:r w:rsidRPr="004907D3">
        <w:rPr>
          <w:lang w:val="zh-CN" w:eastAsia="zh-CN"/>
        </w:rPr>
        <w:t>。</w:t>
      </w:r>
    </w:p>
    <w:p w14:paraId="7D3107DA" w14:textId="77777777" w:rsidR="008D0A2B" w:rsidRPr="004907D3" w:rsidRDefault="008D0A2B" w:rsidP="008D0A2B">
      <w:pPr>
        <w:ind w:firstLineChars="200" w:firstLine="480"/>
        <w:rPr>
          <w:rFonts w:eastAsia="Calibri"/>
          <w:lang w:eastAsia="zh-CN"/>
        </w:rPr>
      </w:pPr>
      <w:r w:rsidRPr="004907D3">
        <w:rPr>
          <w:lang w:val="zh-CN" w:eastAsia="zh-CN"/>
        </w:rPr>
        <w:t>2024</w:t>
      </w:r>
      <w:r w:rsidRPr="004907D3">
        <w:rPr>
          <w:lang w:val="zh-CN" w:eastAsia="zh-CN"/>
        </w:rPr>
        <w:t>年</w:t>
      </w:r>
      <w:r w:rsidRPr="004907D3">
        <w:rPr>
          <w:lang w:val="zh-CN" w:eastAsia="zh-CN"/>
        </w:rPr>
        <w:t>6</w:t>
      </w:r>
      <w:r w:rsidRPr="004907D3">
        <w:rPr>
          <w:lang w:val="zh-CN" w:eastAsia="zh-CN"/>
        </w:rPr>
        <w:t>月</w:t>
      </w:r>
      <w:r w:rsidRPr="004907D3">
        <w:rPr>
          <w:lang w:val="zh-CN" w:eastAsia="zh-CN"/>
        </w:rPr>
        <w:t>14</w:t>
      </w:r>
      <w:r w:rsidRPr="004907D3">
        <w:rPr>
          <w:lang w:val="zh-CN" w:eastAsia="zh-CN"/>
        </w:rPr>
        <w:t>日，在日内瓦举行的首个</w:t>
      </w:r>
      <w:hyperlink r:id="rId34" w:history="1">
        <w:r w:rsidRPr="00ED3D11">
          <w:rPr>
            <w:rStyle w:val="Hyperlink"/>
            <w:lang w:val="zh-CN" w:eastAsia="zh-CN"/>
          </w:rPr>
          <w:t>联合国虚拟世界日</w:t>
        </w:r>
      </w:hyperlink>
      <w:r w:rsidRPr="004907D3">
        <w:rPr>
          <w:lang w:val="zh-CN" w:eastAsia="zh-CN"/>
        </w:rPr>
        <w:t>期间，发起了由国际电联</w:t>
      </w:r>
      <w:r w:rsidRPr="004907D3">
        <w:rPr>
          <w:rFonts w:hint="eastAsia"/>
          <w:lang w:val="zh-CN" w:eastAsia="zh-CN"/>
        </w:rPr>
        <w:t>和联合国</w:t>
      </w:r>
      <w:r w:rsidRPr="004907D3">
        <w:rPr>
          <w:lang w:val="zh-CN" w:eastAsia="zh-CN"/>
        </w:rPr>
        <w:t>国际计算中心牵头的新</w:t>
      </w:r>
      <w:r w:rsidRPr="004907D3">
        <w:rPr>
          <w:rFonts w:ascii="SimSun" w:hAnsi="SimSun" w:hint="eastAsia"/>
          <w:lang w:val="zh-CN" w:eastAsia="zh-CN"/>
        </w:rPr>
        <w:t>“</w:t>
      </w:r>
      <w:hyperlink r:id="rId35" w:history="1">
        <w:r w:rsidRPr="00ED3D11">
          <w:rPr>
            <w:rStyle w:val="Hyperlink"/>
            <w:lang w:val="zh-CN" w:eastAsia="zh-CN"/>
          </w:rPr>
          <w:t>虚拟世界全球举措</w:t>
        </w:r>
        <w:r w:rsidRPr="00ED3D11">
          <w:rPr>
            <w:rStyle w:val="Hyperlink"/>
            <w:lang w:val="zh-CN" w:eastAsia="zh-CN"/>
          </w:rPr>
          <w:t xml:space="preserve"> – </w:t>
        </w:r>
        <w:r w:rsidRPr="00ED3D11">
          <w:rPr>
            <w:rStyle w:val="Hyperlink"/>
            <w:lang w:val="zh-CN" w:eastAsia="zh-CN"/>
          </w:rPr>
          <w:t>探索</w:t>
        </w:r>
        <w:r w:rsidRPr="00ED3D11">
          <w:rPr>
            <w:rStyle w:val="Hyperlink"/>
            <w:rFonts w:hint="eastAsia"/>
            <w:lang w:val="zh-CN" w:eastAsia="zh-CN"/>
          </w:rPr>
          <w:t>城市元宇宙</w:t>
        </w:r>
      </w:hyperlink>
      <w:r w:rsidRPr="004907D3">
        <w:rPr>
          <w:rFonts w:ascii="SimSun" w:hAnsi="SimSun"/>
          <w:lang w:val="zh-CN" w:eastAsia="zh-CN"/>
        </w:rPr>
        <w:t>”</w:t>
      </w:r>
      <w:r w:rsidRPr="004907D3">
        <w:rPr>
          <w:lang w:val="zh-CN" w:eastAsia="zh-CN"/>
        </w:rPr>
        <w:t>，</w:t>
      </w:r>
      <w:r w:rsidRPr="004907D3">
        <w:rPr>
          <w:rFonts w:hint="eastAsia"/>
          <w:lang w:val="zh-CN" w:eastAsia="zh-CN"/>
        </w:rPr>
        <w:t>其目的是</w:t>
      </w:r>
      <w:r w:rsidRPr="004907D3">
        <w:rPr>
          <w:lang w:val="zh-CN" w:eastAsia="zh-CN"/>
        </w:rPr>
        <w:t>确定规范和原则，</w:t>
      </w:r>
      <w:r w:rsidRPr="004907D3">
        <w:rPr>
          <w:rFonts w:hint="eastAsia"/>
          <w:lang w:val="zh-CN" w:eastAsia="zh-CN"/>
        </w:rPr>
        <w:t>为</w:t>
      </w:r>
      <w:r w:rsidRPr="004907D3">
        <w:rPr>
          <w:lang w:val="zh-CN" w:eastAsia="zh-CN"/>
        </w:rPr>
        <w:t>城市规划、教育和市政服务等领域的城市元宇宙治理解决方案</w:t>
      </w:r>
      <w:r w:rsidRPr="004907D3">
        <w:rPr>
          <w:rFonts w:hint="eastAsia"/>
          <w:lang w:val="zh-CN" w:eastAsia="zh-CN"/>
        </w:rPr>
        <w:t>提供</w:t>
      </w:r>
      <w:r w:rsidRPr="004907D3">
        <w:rPr>
          <w:lang w:val="zh-CN" w:eastAsia="zh-CN"/>
        </w:rPr>
        <w:t>指导。首届联合国</w:t>
      </w:r>
      <w:r w:rsidRPr="004907D3">
        <w:rPr>
          <w:rFonts w:hint="eastAsia"/>
          <w:lang w:val="zh-CN" w:eastAsia="zh-CN"/>
        </w:rPr>
        <w:t>城市元宇宙</w:t>
      </w:r>
      <w:r w:rsidRPr="004907D3">
        <w:rPr>
          <w:lang w:val="zh-CN" w:eastAsia="zh-CN"/>
        </w:rPr>
        <w:t>挑战赛于</w:t>
      </w:r>
      <w:r w:rsidRPr="004907D3">
        <w:rPr>
          <w:lang w:val="zh-CN" w:eastAsia="zh-CN"/>
        </w:rPr>
        <w:t>2025</w:t>
      </w:r>
      <w:r w:rsidRPr="004907D3">
        <w:rPr>
          <w:lang w:val="zh-CN" w:eastAsia="zh-CN"/>
        </w:rPr>
        <w:t>年</w:t>
      </w:r>
      <w:r w:rsidRPr="004907D3">
        <w:rPr>
          <w:lang w:val="zh-CN" w:eastAsia="zh-CN"/>
        </w:rPr>
        <w:t>2</w:t>
      </w:r>
      <w:r w:rsidRPr="004907D3">
        <w:rPr>
          <w:lang w:val="zh-CN" w:eastAsia="zh-CN"/>
        </w:rPr>
        <w:t>月</w:t>
      </w:r>
      <w:r w:rsidRPr="004907D3">
        <w:rPr>
          <w:lang w:val="zh-CN" w:eastAsia="zh-CN"/>
        </w:rPr>
        <w:t>13</w:t>
      </w:r>
      <w:r w:rsidRPr="004907D3">
        <w:rPr>
          <w:lang w:val="zh-CN" w:eastAsia="zh-CN"/>
        </w:rPr>
        <w:t>日启动，由国际电联与</w:t>
      </w:r>
      <w:r w:rsidRPr="004907D3">
        <w:rPr>
          <w:lang w:val="zh-CN" w:eastAsia="zh-CN"/>
        </w:rPr>
        <w:t>16</w:t>
      </w:r>
      <w:r w:rsidRPr="004907D3">
        <w:rPr>
          <w:lang w:val="zh-CN" w:eastAsia="zh-CN"/>
        </w:rPr>
        <w:t>个全球合作伙伴共同举办。见</w:t>
      </w:r>
      <w:hyperlink w:anchor="_5.9_Metaverse,_Virtual" w:history="1">
        <w:r w:rsidRPr="00124D9B">
          <w:rPr>
            <w:rStyle w:val="Hyperlink"/>
            <w:lang w:eastAsia="zh-CN"/>
          </w:rPr>
          <w:t>第</w:t>
        </w:r>
        <w:r w:rsidRPr="00124D9B">
          <w:rPr>
            <w:rStyle w:val="Hyperlink"/>
            <w:lang w:eastAsia="zh-CN"/>
          </w:rPr>
          <w:t>5.9</w:t>
        </w:r>
        <w:r w:rsidRPr="00124D9B">
          <w:rPr>
            <w:rStyle w:val="Hyperlink"/>
            <w:lang w:eastAsia="zh-CN"/>
          </w:rPr>
          <w:t>节</w:t>
        </w:r>
      </w:hyperlink>
      <w:r w:rsidRPr="004907D3">
        <w:rPr>
          <w:lang w:val="zh-CN" w:eastAsia="zh-CN"/>
        </w:rPr>
        <w:t>。</w:t>
      </w:r>
    </w:p>
    <w:p w14:paraId="5D073DE4" w14:textId="77777777" w:rsidR="008D0A2B" w:rsidRPr="004907D3" w:rsidRDefault="008D0A2B" w:rsidP="008D0A2B">
      <w:pPr>
        <w:ind w:firstLineChars="200" w:firstLine="480"/>
        <w:rPr>
          <w:rFonts w:eastAsia="Calibri"/>
          <w:lang w:eastAsia="zh-CN"/>
        </w:rPr>
      </w:pPr>
      <w:hyperlink r:id="rId36" w:anchor="/zh" w:history="1">
        <w:r w:rsidRPr="00ED3D11">
          <w:rPr>
            <w:rStyle w:val="Hyperlink"/>
            <w:lang w:val="zh-CN" w:eastAsia="zh-CN"/>
          </w:rPr>
          <w:t>国际电联</w:t>
        </w:r>
        <w:r w:rsidRPr="00ED3D11">
          <w:rPr>
            <w:rStyle w:val="Hyperlink"/>
            <w:lang w:val="zh-CN" w:eastAsia="zh-CN"/>
          </w:rPr>
          <w:t>2024</w:t>
        </w:r>
        <w:r w:rsidRPr="00ED3D11">
          <w:rPr>
            <w:rStyle w:val="Hyperlink"/>
            <w:lang w:val="zh-CN" w:eastAsia="zh-CN"/>
          </w:rPr>
          <w:t>年大视野活动：可持续世界的创新和数字化转型</w:t>
        </w:r>
      </w:hyperlink>
      <w:r w:rsidRPr="004907D3">
        <w:rPr>
          <w:lang w:eastAsia="zh-CN"/>
        </w:rPr>
        <w:t>与</w:t>
      </w:r>
      <w:r w:rsidRPr="004907D3">
        <w:rPr>
          <w:lang w:eastAsia="zh-CN"/>
        </w:rPr>
        <w:t>WTSA-24</w:t>
      </w:r>
      <w:r w:rsidRPr="004907D3">
        <w:rPr>
          <w:lang w:eastAsia="zh-CN"/>
        </w:rPr>
        <w:t>在印度新德里同期举行。下一届大视野活动将与</w:t>
      </w:r>
      <w:r w:rsidRPr="004907D3">
        <w:rPr>
          <w:lang w:eastAsia="zh-CN"/>
        </w:rPr>
        <w:t>2026</w:t>
      </w:r>
      <w:r w:rsidRPr="004907D3">
        <w:rPr>
          <w:lang w:eastAsia="zh-CN"/>
        </w:rPr>
        <w:t>年人工智能向善峰会同时举行。国际电联《未来与</w:t>
      </w:r>
      <w:r w:rsidRPr="004907D3">
        <w:rPr>
          <w:rFonts w:hint="eastAsia"/>
          <w:lang w:eastAsia="zh-CN"/>
        </w:rPr>
        <w:t>不断</w:t>
      </w:r>
      <w:r w:rsidRPr="004907D3">
        <w:rPr>
          <w:lang w:eastAsia="zh-CN"/>
        </w:rPr>
        <w:t>演进</w:t>
      </w:r>
      <w:r w:rsidRPr="004907D3">
        <w:rPr>
          <w:rFonts w:hint="eastAsia"/>
          <w:lang w:eastAsia="zh-CN"/>
        </w:rPr>
        <w:t>的</w:t>
      </w:r>
      <w:r w:rsidRPr="004907D3">
        <w:rPr>
          <w:lang w:eastAsia="zh-CN"/>
        </w:rPr>
        <w:t>技术》期刊和国际电联大视野会议以及国际电联学术成员网络研讨会，</w:t>
      </w:r>
      <w:r w:rsidRPr="004907D3">
        <w:rPr>
          <w:rFonts w:hint="eastAsia"/>
          <w:lang w:eastAsia="zh-CN"/>
        </w:rPr>
        <w:t>将</w:t>
      </w:r>
      <w:r w:rsidRPr="004907D3">
        <w:rPr>
          <w:lang w:eastAsia="zh-CN"/>
        </w:rPr>
        <w:t>继续作为学术界参与国际电联工作的重要平台。这些活动促进了研究合作、知识交流和吸收创新，加速了从学术研究到</w:t>
      </w:r>
      <w:r w:rsidRPr="004907D3">
        <w:rPr>
          <w:rFonts w:hint="eastAsia"/>
          <w:lang w:eastAsia="zh-CN"/>
        </w:rPr>
        <w:t>形成</w:t>
      </w:r>
      <w:r w:rsidRPr="004907D3">
        <w:rPr>
          <w:lang w:eastAsia="zh-CN"/>
        </w:rPr>
        <w:t>行业影响的</w:t>
      </w:r>
      <w:r w:rsidRPr="004907D3">
        <w:rPr>
          <w:rFonts w:hint="eastAsia"/>
          <w:lang w:eastAsia="zh-CN"/>
        </w:rPr>
        <w:t>进</w:t>
      </w:r>
      <w:r w:rsidRPr="004907D3">
        <w:rPr>
          <w:lang w:eastAsia="zh-CN"/>
        </w:rPr>
        <w:t>程。见</w:t>
      </w:r>
      <w:hyperlink w:anchor="_6_" w:history="1">
        <w:r w:rsidRPr="00124D9B">
          <w:rPr>
            <w:rStyle w:val="Hyperlink"/>
            <w:lang w:eastAsia="zh-CN"/>
          </w:rPr>
          <w:t>第</w:t>
        </w:r>
        <w:r w:rsidRPr="00124D9B">
          <w:rPr>
            <w:rStyle w:val="Hyperlink"/>
            <w:lang w:eastAsia="zh-CN"/>
          </w:rPr>
          <w:t>6</w:t>
        </w:r>
        <w:r w:rsidRPr="00124D9B">
          <w:rPr>
            <w:rStyle w:val="Hyperlink"/>
            <w:lang w:eastAsia="zh-CN"/>
          </w:rPr>
          <w:t>节</w:t>
        </w:r>
      </w:hyperlink>
      <w:r w:rsidRPr="004907D3">
        <w:rPr>
          <w:lang w:eastAsia="zh-CN"/>
        </w:rPr>
        <w:t>。</w:t>
      </w:r>
    </w:p>
    <w:p w14:paraId="79DE2BDE" w14:textId="77777777" w:rsidR="008D0A2B" w:rsidRPr="004907D3" w:rsidRDefault="008D0A2B" w:rsidP="008D0A2B">
      <w:pPr>
        <w:ind w:firstLineChars="200" w:firstLine="480"/>
        <w:rPr>
          <w:rFonts w:eastAsia="Calibri"/>
          <w:lang w:eastAsia="zh-CN"/>
        </w:rPr>
      </w:pPr>
      <w:hyperlink r:id="rId37" w:history="1">
        <w:r w:rsidRPr="00ED3D11">
          <w:rPr>
            <w:rStyle w:val="Hyperlink"/>
            <w:lang w:val="zh-CN" w:eastAsia="zh-CN"/>
          </w:rPr>
          <w:t>国际电联一致性和互作性（</w:t>
        </w:r>
        <w:r w:rsidRPr="00ED3D11">
          <w:rPr>
            <w:rStyle w:val="Hyperlink"/>
            <w:lang w:val="zh-CN" w:eastAsia="zh-CN"/>
          </w:rPr>
          <w:t>C&amp;I</w:t>
        </w:r>
        <w:r w:rsidRPr="00ED3D11">
          <w:rPr>
            <w:rStyle w:val="Hyperlink"/>
            <w:lang w:val="zh-CN" w:eastAsia="zh-CN"/>
          </w:rPr>
          <w:t>）项目</w:t>
        </w:r>
      </w:hyperlink>
      <w:r w:rsidRPr="004907D3">
        <w:rPr>
          <w:lang w:val="zh-CN" w:eastAsia="zh-CN"/>
        </w:rPr>
        <w:t>旨在增强</w:t>
      </w:r>
      <w:r w:rsidRPr="004907D3">
        <w:rPr>
          <w:lang w:val="zh-CN" w:eastAsia="zh-CN"/>
        </w:rPr>
        <w:t>ICT</w:t>
      </w:r>
      <w:r w:rsidRPr="004907D3">
        <w:rPr>
          <w:lang w:val="zh-CN" w:eastAsia="zh-CN"/>
        </w:rPr>
        <w:t>产品的一致性和互</w:t>
      </w:r>
      <w:r w:rsidRPr="004907D3">
        <w:rPr>
          <w:rFonts w:hint="eastAsia"/>
          <w:lang w:val="zh-CN" w:eastAsia="zh-CN"/>
        </w:rPr>
        <w:t>操</w:t>
      </w:r>
      <w:r w:rsidRPr="004907D3">
        <w:rPr>
          <w:lang w:val="zh-CN" w:eastAsia="zh-CN"/>
        </w:rPr>
        <w:t>作性。自</w:t>
      </w:r>
      <w:r w:rsidRPr="004907D3">
        <w:rPr>
          <w:lang w:val="zh-CN" w:eastAsia="zh-CN"/>
        </w:rPr>
        <w:t>2021</w:t>
      </w:r>
      <w:r w:rsidRPr="004907D3">
        <w:rPr>
          <w:lang w:val="zh-CN" w:eastAsia="zh-CN"/>
        </w:rPr>
        <w:t>年以来，测试实验室</w:t>
      </w:r>
      <w:r w:rsidRPr="004907D3">
        <w:rPr>
          <w:rFonts w:hint="eastAsia"/>
          <w:lang w:val="zh-CN" w:eastAsia="zh-CN"/>
        </w:rPr>
        <w:t>进行的</w:t>
      </w:r>
      <w:r w:rsidRPr="004907D3">
        <w:rPr>
          <w:lang w:val="zh-CN" w:eastAsia="zh-CN"/>
        </w:rPr>
        <w:t>产品测试获得了国际电联的官方认可，目前已有</w:t>
      </w:r>
      <w:r w:rsidRPr="004907D3">
        <w:rPr>
          <w:lang w:val="zh-CN" w:eastAsia="zh-CN"/>
        </w:rPr>
        <w:t>14</w:t>
      </w:r>
      <w:r w:rsidRPr="004907D3">
        <w:rPr>
          <w:lang w:val="zh-CN" w:eastAsia="zh-CN"/>
        </w:rPr>
        <w:t>个实验室注册。该</w:t>
      </w:r>
      <w:r w:rsidRPr="004907D3">
        <w:rPr>
          <w:rFonts w:hint="eastAsia"/>
          <w:lang w:val="zh-CN" w:eastAsia="zh-CN"/>
        </w:rPr>
        <w:t>项目</w:t>
      </w:r>
      <w:r w:rsidRPr="004907D3">
        <w:rPr>
          <w:lang w:val="zh-CN" w:eastAsia="zh-CN"/>
        </w:rPr>
        <w:t>还与国际实验室认可合作组织（</w:t>
      </w:r>
      <w:r w:rsidRPr="004907D3">
        <w:rPr>
          <w:lang w:val="zh-CN" w:eastAsia="zh-CN"/>
        </w:rPr>
        <w:t>ILAC</w:t>
      </w:r>
      <w:r w:rsidRPr="004907D3">
        <w:rPr>
          <w:lang w:val="zh-CN" w:eastAsia="zh-CN"/>
        </w:rPr>
        <w:t>）和国际认可论坛（</w:t>
      </w:r>
      <w:r w:rsidRPr="004907D3">
        <w:rPr>
          <w:lang w:val="zh-CN" w:eastAsia="zh-CN"/>
        </w:rPr>
        <w:t>IAF</w:t>
      </w:r>
      <w:r w:rsidRPr="004907D3">
        <w:rPr>
          <w:lang w:val="zh-CN" w:eastAsia="zh-CN"/>
        </w:rPr>
        <w:t>）合作，探索</w:t>
      </w:r>
      <w:r w:rsidRPr="004907D3">
        <w:rPr>
          <w:lang w:val="zh-CN" w:eastAsia="zh-CN"/>
        </w:rPr>
        <w:t>ITU-T</w:t>
      </w:r>
      <w:r w:rsidRPr="004907D3">
        <w:rPr>
          <w:lang w:val="zh-CN" w:eastAsia="zh-CN"/>
        </w:rPr>
        <w:t>建议书的认证方案，并不断更新国际电联产品一致性数据库。见</w:t>
      </w:r>
      <w:hyperlink w:anchor="_7_" w:history="1">
        <w:r w:rsidRPr="00124D9B">
          <w:rPr>
            <w:rStyle w:val="Hyperlink"/>
            <w:lang w:eastAsia="zh-CN"/>
          </w:rPr>
          <w:t>第</w:t>
        </w:r>
        <w:r w:rsidRPr="00124D9B">
          <w:rPr>
            <w:rStyle w:val="Hyperlink"/>
            <w:lang w:eastAsia="zh-CN"/>
          </w:rPr>
          <w:t>7</w:t>
        </w:r>
        <w:r w:rsidRPr="00124D9B">
          <w:rPr>
            <w:rStyle w:val="Hyperlink"/>
            <w:lang w:eastAsia="zh-CN"/>
          </w:rPr>
          <w:t>节</w:t>
        </w:r>
      </w:hyperlink>
      <w:r w:rsidRPr="004907D3">
        <w:rPr>
          <w:lang w:val="zh-CN" w:eastAsia="zh-CN"/>
        </w:rPr>
        <w:t>。</w:t>
      </w:r>
    </w:p>
    <w:p w14:paraId="5B45CDE5" w14:textId="77777777" w:rsidR="008D0A2B" w:rsidRPr="004907D3" w:rsidRDefault="008D0A2B" w:rsidP="008D0A2B">
      <w:pPr>
        <w:ind w:firstLineChars="200" w:firstLine="480"/>
        <w:rPr>
          <w:rFonts w:eastAsia="Calibri"/>
          <w:lang w:eastAsia="zh-CN"/>
        </w:rPr>
      </w:pPr>
      <w:r w:rsidRPr="004907D3">
        <w:rPr>
          <w:lang w:val="zh-CN" w:eastAsia="zh-CN"/>
        </w:rPr>
        <w:lastRenderedPageBreak/>
        <w:t>ITU-T</w:t>
      </w:r>
      <w:r w:rsidRPr="004907D3">
        <w:rPr>
          <w:lang w:val="zh-CN" w:eastAsia="zh-CN"/>
        </w:rPr>
        <w:t>有</w:t>
      </w:r>
      <w:r w:rsidRPr="004907D3">
        <w:rPr>
          <w:lang w:val="zh-CN" w:eastAsia="zh-CN"/>
        </w:rPr>
        <w:t>266</w:t>
      </w:r>
      <w:r w:rsidRPr="004907D3">
        <w:rPr>
          <w:lang w:val="zh-CN" w:eastAsia="zh-CN"/>
        </w:rPr>
        <w:t>个部门成员和</w:t>
      </w:r>
      <w:r w:rsidRPr="004907D3">
        <w:rPr>
          <w:lang w:val="zh-CN" w:eastAsia="zh-CN"/>
        </w:rPr>
        <w:t>228</w:t>
      </w:r>
      <w:r w:rsidRPr="004907D3">
        <w:rPr>
          <w:lang w:val="zh-CN" w:eastAsia="zh-CN"/>
        </w:rPr>
        <w:t>个部门准成员。国际电联学术成员总数为</w:t>
      </w:r>
      <w:r w:rsidRPr="004907D3">
        <w:rPr>
          <w:lang w:val="zh-CN" w:eastAsia="zh-CN"/>
        </w:rPr>
        <w:t>178</w:t>
      </w:r>
      <w:r w:rsidRPr="004907D3">
        <w:rPr>
          <w:lang w:val="zh-CN" w:eastAsia="zh-CN"/>
        </w:rPr>
        <w:t>个。</w:t>
      </w:r>
      <w:r w:rsidRPr="004907D3">
        <w:rPr>
          <w:lang w:val="zh-CN" w:eastAsia="zh-CN"/>
        </w:rPr>
        <w:t>ITU-T</w:t>
      </w:r>
      <w:r w:rsidRPr="004907D3">
        <w:rPr>
          <w:lang w:val="zh-CN" w:eastAsia="zh-CN"/>
        </w:rPr>
        <w:t>的</w:t>
      </w:r>
      <w:r w:rsidRPr="004907D3">
        <w:rPr>
          <w:lang w:val="zh-CN" w:eastAsia="zh-CN"/>
        </w:rPr>
        <w:t>77</w:t>
      </w:r>
      <w:r w:rsidRPr="004907D3">
        <w:rPr>
          <w:lang w:val="zh-CN" w:eastAsia="zh-CN"/>
        </w:rPr>
        <w:t>个部门准成员正</w:t>
      </w:r>
      <w:r w:rsidRPr="004907D3">
        <w:rPr>
          <w:rFonts w:hint="eastAsia"/>
          <w:lang w:val="zh-CN" w:eastAsia="zh-CN"/>
        </w:rPr>
        <w:t>采用</w:t>
      </w:r>
      <w:r w:rsidRPr="004907D3">
        <w:rPr>
          <w:lang w:val="zh-CN" w:eastAsia="zh-CN"/>
        </w:rPr>
        <w:t>2020</w:t>
      </w:r>
      <w:r w:rsidRPr="004907D3">
        <w:rPr>
          <w:lang w:val="zh-CN" w:eastAsia="zh-CN"/>
        </w:rPr>
        <w:t>年</w:t>
      </w:r>
      <w:r w:rsidRPr="004907D3">
        <w:rPr>
          <w:lang w:val="zh-CN" w:eastAsia="zh-CN"/>
        </w:rPr>
        <w:t>1</w:t>
      </w:r>
      <w:r w:rsidRPr="004907D3">
        <w:rPr>
          <w:lang w:val="zh-CN" w:eastAsia="zh-CN"/>
        </w:rPr>
        <w:t>月</w:t>
      </w:r>
      <w:r w:rsidRPr="004907D3">
        <w:rPr>
          <w:lang w:val="zh-CN" w:eastAsia="zh-CN"/>
        </w:rPr>
        <w:t>31</w:t>
      </w:r>
      <w:r w:rsidRPr="004907D3">
        <w:rPr>
          <w:lang w:val="zh-CN" w:eastAsia="zh-CN"/>
        </w:rPr>
        <w:t>日生效的中小企业较低收费</w:t>
      </w:r>
      <w:r w:rsidRPr="004907D3">
        <w:rPr>
          <w:rFonts w:hint="eastAsia"/>
          <w:lang w:val="zh-CN" w:eastAsia="zh-CN"/>
        </w:rPr>
        <w:t>标准</w:t>
      </w:r>
      <w:r w:rsidRPr="004907D3">
        <w:rPr>
          <w:lang w:val="zh-CN" w:eastAsia="zh-CN"/>
        </w:rPr>
        <w:t>参加活动。见</w:t>
      </w:r>
      <w:r w:rsidRPr="00724D38">
        <w:rPr>
          <w:rStyle w:val="Hyperlink"/>
          <w:lang w:eastAsia="zh-CN"/>
        </w:rPr>
        <w:t>第</w:t>
      </w:r>
      <w:r w:rsidRPr="00724D38">
        <w:rPr>
          <w:rStyle w:val="Hyperlink"/>
          <w:lang w:eastAsia="zh-CN"/>
        </w:rPr>
        <w:t>8</w:t>
      </w:r>
      <w:r w:rsidRPr="00724D38">
        <w:rPr>
          <w:rStyle w:val="Hyperlink"/>
          <w:lang w:eastAsia="zh-CN"/>
        </w:rPr>
        <w:t>节</w:t>
      </w:r>
      <w:r w:rsidRPr="004907D3">
        <w:rPr>
          <w:lang w:val="zh-CN" w:eastAsia="zh-CN"/>
        </w:rPr>
        <w:t>。</w:t>
      </w:r>
    </w:p>
    <w:p w14:paraId="1FF8B9E9" w14:textId="77777777" w:rsidR="008D0A2B" w:rsidRPr="004907D3" w:rsidRDefault="008D0A2B" w:rsidP="008D0A2B">
      <w:pPr>
        <w:ind w:firstLineChars="200" w:firstLine="480"/>
        <w:rPr>
          <w:rFonts w:eastAsia="Calibri"/>
          <w:lang w:eastAsia="zh-CN"/>
        </w:rPr>
      </w:pPr>
      <w:r w:rsidRPr="004907D3">
        <w:rPr>
          <w:lang w:val="zh-CN" w:eastAsia="zh-CN"/>
        </w:rPr>
        <w:t>WTSA-24</w:t>
      </w:r>
      <w:r w:rsidRPr="004907D3">
        <w:rPr>
          <w:lang w:val="zh-CN" w:eastAsia="zh-CN"/>
        </w:rPr>
        <w:t>更新的</w:t>
      </w:r>
      <w:r w:rsidRPr="004907D3">
        <w:rPr>
          <w:lang w:val="zh-CN" w:eastAsia="zh-CN"/>
        </w:rPr>
        <w:t>WTSA</w:t>
      </w:r>
      <w:r w:rsidRPr="004907D3">
        <w:rPr>
          <w:lang w:val="zh-CN" w:eastAsia="zh-CN"/>
        </w:rPr>
        <w:t>第</w:t>
      </w:r>
      <w:r w:rsidRPr="004907D3">
        <w:rPr>
          <w:lang w:val="zh-CN" w:eastAsia="zh-CN"/>
        </w:rPr>
        <w:t>44</w:t>
      </w:r>
      <w:r w:rsidRPr="004907D3">
        <w:rPr>
          <w:lang w:val="zh-CN" w:eastAsia="zh-CN"/>
        </w:rPr>
        <w:t>号决议概述了国际电联通过</w:t>
      </w:r>
      <w:hyperlink r:id="rId38" w:anchor="/zh" w:history="1">
        <w:r w:rsidRPr="00973496">
          <w:rPr>
            <w:rStyle w:val="Hyperlink"/>
            <w:lang w:val="zh-CN" w:eastAsia="zh-CN"/>
          </w:rPr>
          <w:t>弥合标准化差距（</w:t>
        </w:r>
        <w:r w:rsidRPr="00973496">
          <w:rPr>
            <w:rStyle w:val="Hyperlink"/>
            <w:lang w:val="zh-CN" w:eastAsia="zh-CN"/>
          </w:rPr>
          <w:t>BSG</w:t>
        </w:r>
        <w:r w:rsidRPr="00973496">
          <w:rPr>
            <w:rStyle w:val="Hyperlink"/>
            <w:lang w:val="zh-CN" w:eastAsia="zh-CN"/>
          </w:rPr>
          <w:t>）项目</w:t>
        </w:r>
      </w:hyperlink>
      <w:r w:rsidRPr="004907D3">
        <w:rPr>
          <w:lang w:val="zh-CN" w:eastAsia="zh-CN"/>
        </w:rPr>
        <w:t>为弥合发展中国家</w:t>
      </w:r>
      <w:r w:rsidRPr="004907D3">
        <w:rPr>
          <w:rFonts w:hint="eastAsia"/>
          <w:lang w:val="zh-CN" w:eastAsia="zh-CN"/>
        </w:rPr>
        <w:t>与</w:t>
      </w:r>
      <w:r w:rsidRPr="004907D3">
        <w:rPr>
          <w:lang w:val="zh-CN" w:eastAsia="zh-CN"/>
        </w:rPr>
        <w:t>发达国家之间的标准化鸿沟</w:t>
      </w:r>
      <w:r w:rsidRPr="004907D3">
        <w:rPr>
          <w:rFonts w:hint="eastAsia"/>
          <w:lang w:val="zh-CN" w:eastAsia="zh-CN"/>
        </w:rPr>
        <w:t>，</w:t>
      </w:r>
      <w:r w:rsidRPr="004907D3">
        <w:rPr>
          <w:lang w:val="zh-CN" w:eastAsia="zh-CN"/>
        </w:rPr>
        <w:t>而不断付出的努力。</w:t>
      </w:r>
      <w:r w:rsidRPr="004907D3">
        <w:rPr>
          <w:rFonts w:hint="eastAsia"/>
          <w:lang w:val="zh-CN" w:eastAsia="zh-CN"/>
        </w:rPr>
        <w:t>这方面的</w:t>
      </w:r>
      <w:r w:rsidRPr="004907D3">
        <w:rPr>
          <w:lang w:val="zh-CN" w:eastAsia="zh-CN"/>
        </w:rPr>
        <w:t>主要活动包括加强培训、改进电子工作方法、开展区域合作和能力建设，</w:t>
      </w:r>
      <w:r w:rsidRPr="004907D3">
        <w:rPr>
          <w:rFonts w:hint="eastAsia"/>
          <w:lang w:val="zh-CN" w:eastAsia="zh-CN"/>
        </w:rPr>
        <w:t>以</w:t>
      </w:r>
      <w:r w:rsidRPr="004907D3">
        <w:rPr>
          <w:lang w:val="zh-CN" w:eastAsia="zh-CN"/>
        </w:rPr>
        <w:t>增加发展中国家对</w:t>
      </w:r>
      <w:r w:rsidRPr="004907D3">
        <w:rPr>
          <w:lang w:val="zh-CN" w:eastAsia="zh-CN"/>
        </w:rPr>
        <w:t>ITU-T</w:t>
      </w:r>
      <w:r w:rsidRPr="004907D3">
        <w:rPr>
          <w:lang w:val="zh-CN" w:eastAsia="zh-CN"/>
        </w:rPr>
        <w:t>标准制定</w:t>
      </w:r>
      <w:r w:rsidRPr="004907D3">
        <w:rPr>
          <w:rFonts w:hint="eastAsia"/>
          <w:lang w:val="zh-CN" w:eastAsia="zh-CN"/>
        </w:rPr>
        <w:t>工作</w:t>
      </w:r>
      <w:r w:rsidRPr="004907D3">
        <w:rPr>
          <w:lang w:val="zh-CN" w:eastAsia="zh-CN"/>
        </w:rPr>
        <w:t>的参与。正在开展的工作侧重于实践技能、互动学习和促进国际伙伴关系，并得到了日本</w:t>
      </w:r>
      <w:r w:rsidRPr="004907D3">
        <w:rPr>
          <w:lang w:val="zh-CN" w:eastAsia="zh-CN"/>
        </w:rPr>
        <w:t>MIC</w:t>
      </w:r>
      <w:r w:rsidRPr="004907D3">
        <w:rPr>
          <w:lang w:val="zh-CN" w:eastAsia="zh-CN"/>
        </w:rPr>
        <w:t>等利益攸关方的大力支持。见</w:t>
      </w:r>
      <w:hyperlink w:anchor="_9_" w:history="1">
        <w:r w:rsidRPr="00063222">
          <w:rPr>
            <w:rStyle w:val="Hyperlink"/>
            <w:lang w:eastAsia="zh-CN"/>
          </w:rPr>
          <w:t>第</w:t>
        </w:r>
        <w:r w:rsidRPr="00063222">
          <w:rPr>
            <w:rStyle w:val="Hyperlink"/>
            <w:lang w:eastAsia="zh-CN"/>
          </w:rPr>
          <w:t>9</w:t>
        </w:r>
        <w:r w:rsidRPr="00063222">
          <w:rPr>
            <w:rStyle w:val="Hyperlink"/>
            <w:lang w:eastAsia="zh-CN"/>
          </w:rPr>
          <w:t>节</w:t>
        </w:r>
      </w:hyperlink>
      <w:r w:rsidRPr="004907D3">
        <w:rPr>
          <w:lang w:val="zh-CN" w:eastAsia="zh-CN"/>
        </w:rPr>
        <w:t>。</w:t>
      </w:r>
    </w:p>
    <w:p w14:paraId="2400F2D1" w14:textId="77777777" w:rsidR="008D0A2B" w:rsidRPr="004907D3" w:rsidRDefault="008D0A2B" w:rsidP="008D0A2B">
      <w:pPr>
        <w:ind w:firstLineChars="200" w:firstLine="480"/>
        <w:rPr>
          <w:rFonts w:eastAsia="Calibri"/>
          <w:lang w:eastAsia="zh-CN"/>
        </w:rPr>
      </w:pPr>
      <w:r w:rsidRPr="004907D3">
        <w:rPr>
          <w:lang w:val="zh-CN" w:eastAsia="zh-CN"/>
        </w:rPr>
        <w:t>电信标准化局继续致力于将性别平等观点纳入其所有活动和计划，充分利用国际电联性别平等任务组框架和</w:t>
      </w:r>
      <w:hyperlink r:id="rId39" w:anchor="/zh" w:history="1">
        <w:r w:rsidRPr="00973496">
          <w:rPr>
            <w:rStyle w:val="Hyperlink"/>
            <w:lang w:val="zh-CN" w:eastAsia="zh-CN"/>
          </w:rPr>
          <w:t>ITU-T</w:t>
        </w:r>
        <w:r w:rsidRPr="00973496">
          <w:rPr>
            <w:rStyle w:val="Hyperlink"/>
            <w:lang w:val="zh-CN" w:eastAsia="zh-CN"/>
          </w:rPr>
          <w:t>的妇女联谊会（</w:t>
        </w:r>
        <w:r w:rsidRPr="00973496">
          <w:rPr>
            <w:rStyle w:val="Hyperlink"/>
            <w:lang w:val="zh-CN" w:eastAsia="zh-CN"/>
          </w:rPr>
          <w:t>ITU-T</w:t>
        </w:r>
        <w:r w:rsidRPr="00973496">
          <w:rPr>
            <w:rStyle w:val="Hyperlink"/>
            <w:rFonts w:hint="eastAsia"/>
            <w:lang w:val="zh-CN" w:eastAsia="zh-CN"/>
          </w:rPr>
          <w:t>下设</w:t>
        </w:r>
        <w:r w:rsidRPr="00973496">
          <w:rPr>
            <w:rStyle w:val="Hyperlink"/>
            <w:lang w:val="zh-CN" w:eastAsia="zh-CN"/>
          </w:rPr>
          <w:t>的</w:t>
        </w:r>
        <w:r w:rsidRPr="00973496">
          <w:rPr>
            <w:rStyle w:val="Hyperlink"/>
            <w:lang w:val="zh-CN" w:eastAsia="zh-CN"/>
          </w:rPr>
          <w:t>NoW</w:t>
        </w:r>
        <w:r w:rsidRPr="00973496">
          <w:rPr>
            <w:rStyle w:val="Hyperlink"/>
            <w:lang w:val="zh-CN" w:eastAsia="zh-CN"/>
          </w:rPr>
          <w:t>）</w:t>
        </w:r>
        <w:r w:rsidRPr="00973496">
          <w:rPr>
            <w:lang w:val="zh-CN" w:eastAsia="zh-CN"/>
          </w:rPr>
          <w:t>，</w:t>
        </w:r>
      </w:hyperlink>
      <w:r w:rsidRPr="004907D3">
        <w:rPr>
          <w:lang w:val="zh-CN" w:eastAsia="zh-CN"/>
        </w:rPr>
        <w:t>并继续扩大其工作。</w:t>
      </w:r>
      <w:r w:rsidRPr="004907D3">
        <w:rPr>
          <w:lang w:val="zh-CN" w:eastAsia="zh-CN"/>
        </w:rPr>
        <w:t>WTSA-24</w:t>
      </w:r>
      <w:r w:rsidRPr="004907D3">
        <w:rPr>
          <w:lang w:val="zh-CN" w:eastAsia="zh-CN"/>
        </w:rPr>
        <w:t>的性别平等目标鼓励成员国承诺支持增加女性担任</w:t>
      </w:r>
      <w:r w:rsidRPr="004907D3">
        <w:rPr>
          <w:lang w:val="zh-CN" w:eastAsia="zh-CN"/>
        </w:rPr>
        <w:t>ITU-T</w:t>
      </w:r>
      <w:r w:rsidRPr="004907D3">
        <w:rPr>
          <w:lang w:val="zh-CN" w:eastAsia="zh-CN"/>
        </w:rPr>
        <w:t>领导职位的人数。这些努力使全会中</w:t>
      </w:r>
      <w:r w:rsidRPr="004907D3">
        <w:rPr>
          <w:rFonts w:hint="eastAsia"/>
          <w:lang w:val="zh-CN" w:eastAsia="zh-CN"/>
        </w:rPr>
        <w:t>的</w:t>
      </w:r>
      <w:r w:rsidRPr="004907D3">
        <w:rPr>
          <w:lang w:val="zh-CN" w:eastAsia="zh-CN"/>
        </w:rPr>
        <w:t>女性代表</w:t>
      </w:r>
      <w:r w:rsidRPr="004907D3">
        <w:rPr>
          <w:rFonts w:hint="eastAsia"/>
          <w:lang w:val="zh-CN" w:eastAsia="zh-CN"/>
        </w:rPr>
        <w:t>达到</w:t>
      </w:r>
      <w:r w:rsidRPr="004907D3">
        <w:rPr>
          <w:lang w:val="zh-CN" w:eastAsia="zh-CN"/>
        </w:rPr>
        <w:t>26%</w:t>
      </w:r>
      <w:r w:rsidRPr="004907D3">
        <w:rPr>
          <w:lang w:val="zh-CN" w:eastAsia="zh-CN"/>
        </w:rPr>
        <w:t>。与上一研究期相比，担任领导职务的女性人数增加了</w:t>
      </w:r>
      <w:r w:rsidRPr="004907D3">
        <w:rPr>
          <w:lang w:val="zh-CN" w:eastAsia="zh-CN"/>
        </w:rPr>
        <w:t>24%</w:t>
      </w:r>
      <w:r w:rsidRPr="004907D3">
        <w:rPr>
          <w:lang w:val="zh-CN" w:eastAsia="zh-CN"/>
        </w:rPr>
        <w:t>，与</w:t>
      </w:r>
      <w:r w:rsidRPr="004907D3">
        <w:rPr>
          <w:lang w:val="zh-CN" w:eastAsia="zh-CN"/>
        </w:rPr>
        <w:t>WTSA-20</w:t>
      </w:r>
      <w:r w:rsidRPr="004907D3">
        <w:rPr>
          <w:lang w:val="zh-CN" w:eastAsia="zh-CN"/>
        </w:rPr>
        <w:t>相比，在</w:t>
      </w:r>
      <w:r w:rsidRPr="004907D3">
        <w:rPr>
          <w:lang w:val="zh-CN" w:eastAsia="zh-CN"/>
        </w:rPr>
        <w:t>WTSA-24</w:t>
      </w:r>
      <w:r w:rsidRPr="004907D3">
        <w:rPr>
          <w:rFonts w:hint="eastAsia"/>
          <w:lang w:val="zh-CN" w:eastAsia="zh-CN"/>
        </w:rPr>
        <w:t>期间</w:t>
      </w:r>
      <w:r w:rsidRPr="004907D3">
        <w:rPr>
          <w:lang w:val="zh-CN" w:eastAsia="zh-CN"/>
        </w:rPr>
        <w:t>担任领导职务的女性人数增加了一倍。见</w:t>
      </w:r>
      <w:hyperlink w:anchor="_10_Gender" w:history="1">
        <w:r w:rsidRPr="00124D9B">
          <w:rPr>
            <w:rStyle w:val="Hyperlink"/>
            <w:lang w:eastAsia="zh-CN"/>
          </w:rPr>
          <w:t>第</w:t>
        </w:r>
        <w:r w:rsidRPr="00124D9B">
          <w:rPr>
            <w:rStyle w:val="Hyperlink"/>
            <w:lang w:eastAsia="zh-CN"/>
          </w:rPr>
          <w:t>10</w:t>
        </w:r>
        <w:r w:rsidRPr="00124D9B">
          <w:rPr>
            <w:rStyle w:val="Hyperlink"/>
            <w:lang w:eastAsia="zh-CN"/>
          </w:rPr>
          <w:t>节</w:t>
        </w:r>
      </w:hyperlink>
      <w:r w:rsidRPr="004907D3">
        <w:rPr>
          <w:lang w:val="zh-CN" w:eastAsia="zh-CN"/>
        </w:rPr>
        <w:t>。</w:t>
      </w:r>
      <w:bookmarkStart w:id="33" w:name="_Hlk196927661"/>
      <w:bookmarkEnd w:id="33"/>
    </w:p>
    <w:p w14:paraId="5370073A" w14:textId="77777777" w:rsidR="008D0A2B" w:rsidRPr="004907D3" w:rsidRDefault="008D0A2B" w:rsidP="008D0A2B">
      <w:pPr>
        <w:ind w:firstLineChars="200" w:firstLine="480"/>
        <w:rPr>
          <w:rFonts w:eastAsia="Calibri"/>
          <w:lang w:eastAsia="zh-CN"/>
        </w:rPr>
      </w:pPr>
      <w:r w:rsidRPr="004907D3">
        <w:rPr>
          <w:lang w:val="zh-CN" w:eastAsia="zh-CN"/>
        </w:rPr>
        <w:t>ITU-T</w:t>
      </w:r>
      <w:r w:rsidRPr="004907D3">
        <w:rPr>
          <w:lang w:val="zh-CN" w:eastAsia="zh-CN"/>
        </w:rPr>
        <w:t>各研究组在国际电联标准制定过程中对人权给予了充分考虑。电信标准化局与联合国人权事务高级专员办事处保持密切协作，并参与人权理事会的讨论。见</w:t>
      </w:r>
      <w:hyperlink w:anchor="_11_Human_rights" w:history="1">
        <w:r w:rsidRPr="00124D9B">
          <w:rPr>
            <w:rStyle w:val="Hyperlink"/>
            <w:lang w:eastAsia="zh-CN"/>
          </w:rPr>
          <w:t>第</w:t>
        </w:r>
        <w:r w:rsidRPr="00124D9B">
          <w:rPr>
            <w:rStyle w:val="Hyperlink"/>
            <w:lang w:eastAsia="zh-CN"/>
          </w:rPr>
          <w:t>11</w:t>
        </w:r>
        <w:r w:rsidRPr="00124D9B">
          <w:rPr>
            <w:rStyle w:val="Hyperlink"/>
            <w:lang w:eastAsia="zh-CN"/>
          </w:rPr>
          <w:t>节</w:t>
        </w:r>
      </w:hyperlink>
      <w:r w:rsidRPr="004907D3">
        <w:rPr>
          <w:lang w:val="zh-CN" w:eastAsia="zh-CN"/>
        </w:rPr>
        <w:t>。</w:t>
      </w:r>
    </w:p>
    <w:p w14:paraId="0BD22AF8" w14:textId="77777777" w:rsidR="008D0A2B" w:rsidRPr="004907D3" w:rsidRDefault="008D0A2B" w:rsidP="008D0A2B">
      <w:pPr>
        <w:ind w:firstLineChars="200" w:firstLine="480"/>
        <w:rPr>
          <w:rFonts w:eastAsia="Calibri"/>
          <w:lang w:eastAsia="zh-CN"/>
        </w:rPr>
      </w:pPr>
      <w:r w:rsidRPr="004907D3">
        <w:rPr>
          <w:lang w:val="zh-CN" w:eastAsia="zh-CN"/>
        </w:rPr>
        <w:t>在本报告期出版了</w:t>
      </w:r>
      <w:r w:rsidRPr="004907D3">
        <w:rPr>
          <w:lang w:val="zh-CN" w:eastAsia="zh-CN"/>
        </w:rPr>
        <w:t>300</w:t>
      </w:r>
      <w:r w:rsidRPr="004907D3">
        <w:rPr>
          <w:lang w:val="zh-CN" w:eastAsia="zh-CN"/>
        </w:rPr>
        <w:t>多份</w:t>
      </w:r>
      <w:r w:rsidRPr="004907D3">
        <w:rPr>
          <w:lang w:val="zh-CN" w:eastAsia="zh-CN"/>
        </w:rPr>
        <w:t>ITU-T</w:t>
      </w:r>
      <w:r w:rsidRPr="004907D3">
        <w:rPr>
          <w:lang w:val="zh-CN" w:eastAsia="zh-CN"/>
        </w:rPr>
        <w:t>建议书和增补。电信标准化局</w:t>
      </w:r>
      <w:r w:rsidRPr="004907D3">
        <w:rPr>
          <w:rFonts w:hint="eastAsia"/>
          <w:lang w:val="zh-CN" w:eastAsia="zh-CN"/>
        </w:rPr>
        <w:t>将</w:t>
      </w:r>
      <w:r w:rsidRPr="004907D3">
        <w:rPr>
          <w:lang w:val="zh-CN" w:eastAsia="zh-CN"/>
        </w:rPr>
        <w:t>继续收集</w:t>
      </w:r>
      <w:r w:rsidRPr="004907D3">
        <w:rPr>
          <w:lang w:val="zh-CN" w:eastAsia="zh-CN"/>
        </w:rPr>
        <w:t>ITU-T</w:t>
      </w:r>
      <w:r w:rsidRPr="004907D3">
        <w:rPr>
          <w:lang w:val="zh-CN" w:eastAsia="zh-CN"/>
        </w:rPr>
        <w:t>研究组建议的所有新术语和定义，并将其录入国际电联在线术语和定义数据库。电信标准化局继续翻译所有通过传统批准程序批准的建议书以及所有</w:t>
      </w:r>
      <w:r w:rsidRPr="004907D3">
        <w:rPr>
          <w:lang w:val="zh-CN" w:eastAsia="zh-CN"/>
        </w:rPr>
        <w:t>TSAG</w:t>
      </w:r>
      <w:r w:rsidRPr="004907D3">
        <w:rPr>
          <w:lang w:val="zh-CN" w:eastAsia="zh-CN"/>
        </w:rPr>
        <w:t>报告。</w:t>
      </w:r>
      <w:r w:rsidRPr="00124D9B">
        <w:rPr>
          <w:lang w:val="zh-CN" w:eastAsia="zh-CN"/>
        </w:rPr>
        <w:t>见</w:t>
      </w:r>
      <w:hyperlink w:anchor="_14_Publications" w:history="1">
        <w:r w:rsidRPr="00124D9B">
          <w:rPr>
            <w:rStyle w:val="Hyperlink"/>
          </w:rPr>
          <w:t>第</w:t>
        </w:r>
        <w:r w:rsidRPr="00124D9B">
          <w:rPr>
            <w:rStyle w:val="Hyperlink"/>
          </w:rPr>
          <w:t>12</w:t>
        </w:r>
        <w:r w:rsidRPr="00124D9B">
          <w:rPr>
            <w:rStyle w:val="Hyperlink"/>
          </w:rPr>
          <w:t>节</w:t>
        </w:r>
      </w:hyperlink>
      <w:r w:rsidRPr="004907D3">
        <w:rPr>
          <w:lang w:val="zh-CN"/>
        </w:rPr>
        <w:t>。</w:t>
      </w:r>
    </w:p>
    <w:p w14:paraId="562C09C1" w14:textId="77777777" w:rsidR="00540900" w:rsidRPr="00173425" w:rsidRDefault="00540900" w:rsidP="00540900">
      <w:pPr>
        <w:rPr>
          <w:lang w:val="ru-RU"/>
        </w:rPr>
      </w:pPr>
      <w:r w:rsidRPr="00173425">
        <w:rPr>
          <w:lang w:val="ru-RU"/>
        </w:rPr>
        <w:br w:type="page"/>
      </w:r>
    </w:p>
    <w:p w14:paraId="1AC811A6" w14:textId="77777777" w:rsidR="005857DF" w:rsidRPr="0067584E" w:rsidRDefault="5EE8545A" w:rsidP="00BE4186">
      <w:pPr>
        <w:pStyle w:val="AnnexNotitle"/>
        <w:rPr>
          <w:lang w:eastAsia="zh-CN"/>
        </w:rPr>
      </w:pPr>
      <w:bookmarkStart w:id="34" w:name="_Toc198549032"/>
      <w:r w:rsidRPr="0067584E">
        <w:rPr>
          <w:lang w:eastAsia="zh-CN"/>
        </w:rPr>
        <w:lastRenderedPageBreak/>
        <w:t xml:space="preserve">Annex – Full </w:t>
      </w:r>
      <w:r w:rsidR="00A9765D" w:rsidRPr="0067584E">
        <w:rPr>
          <w:lang w:eastAsia="zh-CN"/>
        </w:rPr>
        <w:t>r</w:t>
      </w:r>
      <w:r w:rsidRPr="0067584E">
        <w:rPr>
          <w:lang w:eastAsia="zh-CN"/>
        </w:rPr>
        <w:t>eport of activities in ITU-T</w:t>
      </w:r>
      <w:bookmarkEnd w:id="19"/>
      <w:bookmarkEnd w:id="20"/>
      <w:bookmarkEnd w:id="34"/>
    </w:p>
    <w:p w14:paraId="1C91FA37" w14:textId="603CE272" w:rsidR="00A63A18" w:rsidRPr="00C32576" w:rsidRDefault="00136E7B" w:rsidP="000B3E92">
      <w:pPr>
        <w:pStyle w:val="Heading1"/>
        <w:spacing w:before="240"/>
      </w:pPr>
      <w:bookmarkStart w:id="35" w:name="_Toc198549033"/>
      <w:r w:rsidRPr="00C32576">
        <w:t>1</w:t>
      </w:r>
      <w:r w:rsidRPr="00C32576">
        <w:tab/>
        <w:t xml:space="preserve">ITU-T </w:t>
      </w:r>
      <w:r w:rsidR="00B44AD8">
        <w:t>s</w:t>
      </w:r>
      <w:r w:rsidR="00F17FE4">
        <w:t xml:space="preserve">tudy </w:t>
      </w:r>
      <w:r w:rsidR="00B44AD8">
        <w:t>g</w:t>
      </w:r>
      <w:r w:rsidR="00F17FE4" w:rsidRPr="00C5776F">
        <w:t>roup</w:t>
      </w:r>
      <w:r w:rsidR="00F17FE4">
        <w:t>s</w:t>
      </w:r>
      <w:bookmarkEnd w:id="21"/>
      <w:bookmarkEnd w:id="35"/>
    </w:p>
    <w:p w14:paraId="7E71528E" w14:textId="6126D5E1" w:rsidR="005A4A98" w:rsidRDefault="005A4A98" w:rsidP="00135E60">
      <w:pPr>
        <w:pStyle w:val="Heading2"/>
        <w:tabs>
          <w:tab w:val="left" w:pos="810"/>
        </w:tabs>
        <w:ind w:left="0" w:firstLine="0"/>
      </w:pPr>
      <w:bookmarkStart w:id="36" w:name="_Toc198053259"/>
      <w:bookmarkStart w:id="37" w:name="_Toc198549034"/>
      <w:r>
        <w:t>1</w:t>
      </w:r>
      <w:r w:rsidRPr="00C32576">
        <w:t>.</w:t>
      </w:r>
      <w:r>
        <w:t>1</w:t>
      </w:r>
      <w:r w:rsidRPr="00C32576">
        <w:tab/>
      </w:r>
      <w:r>
        <w:t>Standards approved and study group meetings</w:t>
      </w:r>
      <w:bookmarkEnd w:id="36"/>
      <w:bookmarkEnd w:id="37"/>
    </w:p>
    <w:p w14:paraId="405B3D18" w14:textId="41134FD8" w:rsidR="005857DF" w:rsidRPr="00B70FC1" w:rsidRDefault="003D3598" w:rsidP="00B70FC1">
      <w:r w:rsidRPr="00CA62DD">
        <w:t>ITU approved</w:t>
      </w:r>
      <w:r w:rsidR="00EF6426" w:rsidRPr="00CA62DD">
        <w:t xml:space="preserve"> </w:t>
      </w:r>
      <w:hyperlink r:id="rId40"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41"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42" w:history="1">
        <w:r w:rsidRPr="00CA62DD">
          <w:rPr>
            <w:rStyle w:val="Hyperlink"/>
          </w:rPr>
          <w:t>homepages</w:t>
        </w:r>
      </w:hyperlink>
      <w:r w:rsidR="00950F9F" w:rsidRPr="00CA62DD">
        <w:t>.</w:t>
      </w:r>
      <w:bookmarkStart w:id="38" w:name="_1.1_AI-based_mapping"/>
      <w:bookmarkEnd w:id="38"/>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43"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44"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45"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46"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47"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48"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49"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50"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51"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9" w:name="_Toc198053260"/>
      <w:bookmarkStart w:id="40" w:name="_Toc198549035"/>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9"/>
      <w:bookmarkEnd w:id="40"/>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r w:rsidRPr="0067584E">
              <w:t>Javokhir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r w:rsidRPr="0067584E">
              <w:rPr>
                <w:rFonts w:eastAsiaTheme="minorEastAsia"/>
              </w:rPr>
              <w:t>Obid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Umarbek Izbasarov</w:t>
            </w:r>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Mr Gökhan Evren,Turkiye</w:t>
            </w:r>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Mr Abdenour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r w:rsidR="00531520" w:rsidRPr="00190FAF">
              <w:t>Khusan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Mehmet Özdem</w:t>
            </w:r>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Andrey Perez, Anatel</w:t>
            </w:r>
            <w:r w:rsidR="00531520">
              <w:t xml:space="preserve">, </w:t>
            </w:r>
            <w:r w:rsidR="00531520" w:rsidRPr="00190FAF">
              <w:t>Brazil</w:t>
            </w:r>
            <w:r w:rsidR="00531520">
              <w:br/>
            </w:r>
            <w:r w:rsidR="00531520" w:rsidRPr="00190FAF">
              <w:br/>
            </w:r>
            <w:r w:rsidR="00531520" w:rsidRPr="0067584E">
              <w:t xml:space="preserve">NOTE: Anatel,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41" w:name="_2_ITU-T_Focus"/>
      <w:bookmarkStart w:id="42" w:name="_Toc198053261"/>
      <w:bookmarkStart w:id="43" w:name="_Toc198549036"/>
      <w:bookmarkStart w:id="44" w:name="_Hlk60057887"/>
      <w:bookmarkEnd w:id="41"/>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42"/>
      <w:bookmarkEnd w:id="43"/>
    </w:p>
    <w:p w14:paraId="59258EF1" w14:textId="77777777" w:rsidR="005857DF" w:rsidRPr="0067584E" w:rsidRDefault="5C79157E" w:rsidP="0021249C">
      <w:pPr>
        <w:rPr>
          <w:lang w:eastAsia="en-US"/>
        </w:rPr>
      </w:pPr>
      <w:r w:rsidRPr="6C8F914F">
        <w:rPr>
          <w:lang w:eastAsia="en-US"/>
        </w:rPr>
        <w:t xml:space="preserve">The </w:t>
      </w:r>
      <w:hyperlink r:id="rId52">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53"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5" w:name="_2.8_IPTV_and"/>
      <w:bookmarkStart w:id="46" w:name="a353677d2-7347-4cd3-8301-15d8ee365aeb"/>
      <w:bookmarkStart w:id="47" w:name="_3.4_e-Health"/>
      <w:bookmarkStart w:id="48" w:name="_3.6_Aviation_applications"/>
      <w:bookmarkStart w:id="49" w:name="_6.5_Focus_Group"/>
      <w:bookmarkStart w:id="50" w:name="_7.5_Focus_Group"/>
      <w:bookmarkStart w:id="51" w:name="_7.2_TSB_Director’s"/>
      <w:bookmarkStart w:id="52" w:name="_13_Chief_Technology"/>
      <w:bookmarkStart w:id="53" w:name="_8.1_ITU-UNECE_event"/>
      <w:bookmarkStart w:id="54" w:name="_8.3_3rd_ITU"/>
      <w:bookmarkStart w:id="55" w:name="_8.5_Standards_collaboration,"/>
      <w:bookmarkStart w:id="56" w:name="_8.6_Montevideo_forum"/>
      <w:bookmarkStart w:id="57" w:name="_8.8_Accessible_Inclusion"/>
      <w:bookmarkStart w:id="58" w:name="_10_Chief_Technology"/>
      <w:bookmarkStart w:id="59" w:name="_3_Collaboration_initiatives"/>
      <w:bookmarkStart w:id="60" w:name="_3_Workshops_and"/>
      <w:bookmarkStart w:id="61" w:name="_3_Workshops,_symposia"/>
      <w:bookmarkStart w:id="62" w:name="_Toc198053262"/>
      <w:bookmarkStart w:id="63" w:name="_Toc198549037"/>
      <w:bookmarkEnd w:id="22"/>
      <w:bookmarkEnd w:id="23"/>
      <w:bookmarkEnd w:id="24"/>
      <w:bookmarkEnd w:id="25"/>
      <w:bookmarkEnd w:id="26"/>
      <w:bookmarkEnd w:id="27"/>
      <w:bookmarkEnd w:id="28"/>
      <w:bookmarkEnd w:id="29"/>
      <w:bookmarkEnd w:id="30"/>
      <w:bookmarkEnd w:id="3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62"/>
      <w:bookmarkEnd w:id="63"/>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54">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55">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56">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57">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4" w:name="_4_Virtual_meetings"/>
      <w:bookmarkStart w:id="65" w:name="_4_Electronic_working"/>
      <w:bookmarkStart w:id="66" w:name="_Toc198053263"/>
      <w:bookmarkStart w:id="67" w:name="_Toc198549038"/>
      <w:bookmarkStart w:id="68" w:name="_Hlk135236206"/>
      <w:bookmarkEnd w:id="64"/>
      <w:bookmarkEnd w:id="65"/>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6"/>
      <w:bookmarkEnd w:id="67"/>
    </w:p>
    <w:bookmarkStart w:id="69"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9"/>
      <w:r w:rsidRPr="00CD4947">
        <w:rPr>
          <w:rFonts w:eastAsia="Calibri"/>
          <w:color w:val="000000" w:themeColor="text1"/>
        </w:rPr>
        <w:t xml:space="preserve"> </w:t>
      </w:r>
      <w:bookmarkStart w:id="70" w:name="_Hlk196844436"/>
      <w:r w:rsidRPr="00CD4947">
        <w:rPr>
          <w:rFonts w:eastAsia="Calibri"/>
          <w:color w:val="000000" w:themeColor="text1"/>
        </w:rPr>
        <w:t>Since last TSAG, there was a considerable effort into integrating and upgrading legacy TSB applications into MyWorkspace</w:t>
      </w:r>
      <w:bookmarkEnd w:id="70"/>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71" w:name="_Toc198053264"/>
      <w:bookmarkStart w:id="72" w:name="_Toc198549039"/>
      <w:bookmarkEnd w:id="68"/>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3" w:name="_Hlk92281632"/>
      <w:bookmarkEnd w:id="71"/>
      <w:bookmarkEnd w:id="72"/>
    </w:p>
    <w:p w14:paraId="5CDB3835" w14:textId="77777777" w:rsidR="004F6110" w:rsidRPr="0067584E" w:rsidRDefault="004F6110" w:rsidP="004F6110">
      <w:pPr>
        <w:rPr>
          <w:lang w:eastAsia="en-US"/>
        </w:rPr>
      </w:pPr>
      <w:bookmarkStart w:id="74" w:name="_Toc198053265"/>
      <w:r w:rsidRPr="0067584E">
        <w:rPr>
          <w:lang w:eastAsia="en-US"/>
        </w:rPr>
        <w:t xml:space="preserve">Memoranda of Understanding and Cooperation Agreements are available on the </w:t>
      </w:r>
      <w:hyperlink r:id="rId58"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5" w:name="_Toc198549040"/>
      <w:r w:rsidRPr="0067584E">
        <w:t>5.1</w:t>
      </w:r>
      <w:r w:rsidR="005857DF" w:rsidRPr="0067584E">
        <w:tab/>
      </w:r>
      <w:r w:rsidRPr="0067584E">
        <w:t xml:space="preserve">AI and </w:t>
      </w:r>
      <w:r w:rsidR="004F6110" w:rsidRPr="0067584E">
        <w:t>multimedia authe</w:t>
      </w:r>
      <w:r w:rsidRPr="0067584E">
        <w:t>nticity</w:t>
      </w:r>
      <w:bookmarkEnd w:id="74"/>
      <w:bookmarkEnd w:id="75"/>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59"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(similar to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on a monthly basis and provides a global forum for dialogue on priority topics for discussion across standards organisations in the area of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DeepMedia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Provide a global forum for dialogue on priority topics for discussion across standards organisations in the area of AI and multimedia authenticity;</w:t>
      </w:r>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Identify gaps where new standards are required given the fast moving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6" w:name="_5.1_Artificial_intelligence"/>
      <w:bookmarkStart w:id="77" w:name="_Toc198053266"/>
      <w:bookmarkStart w:id="78" w:name="_Toc198549041"/>
      <w:bookmarkStart w:id="79" w:name="_Hlk119497450"/>
      <w:bookmarkEnd w:id="76"/>
      <w:r w:rsidRPr="00AB40E2">
        <w:lastRenderedPageBreak/>
        <w:t>5</w:t>
      </w:r>
      <w:r w:rsidR="005404EF" w:rsidRPr="00AB40E2">
        <w:t>.</w:t>
      </w:r>
      <w:r w:rsidR="00535D8F">
        <w:t>2</w:t>
      </w:r>
      <w:r w:rsidR="005404EF" w:rsidRPr="00AB40E2">
        <w:tab/>
        <w:t>Artificial intelligence and machine learning</w:t>
      </w:r>
      <w:bookmarkEnd w:id="77"/>
      <w:bookmarkEnd w:id="78"/>
    </w:p>
    <w:p w14:paraId="1D5E2269" w14:textId="296C1C57" w:rsidR="005857DF" w:rsidRPr="0067584E" w:rsidRDefault="0009233E" w:rsidP="00580666">
      <w:hyperlink r:id="rId60">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61"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62"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63"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64"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65"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66"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67"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68" w:tgtFrame="_blank" w:tooltip="https://aiforgood.itu.int/about-ai-for-good/aiml-in-5g-challenge/" w:history="1">
        <w:r w:rsidRPr="008A06F0">
          <w:rPr>
            <w:rStyle w:val="Hyperlink"/>
          </w:rPr>
          <w:t xml:space="preserve"> </w:t>
        </w:r>
      </w:hyperlink>
      <w:hyperlink r:id="rId69" w:tgtFrame="_blank" w:tooltip="https://aiforgood.itu.int/about-ai-for-good/aiml-in-5g-challenge/" w:history="1">
        <w:r w:rsidRPr="008A06F0">
          <w:rPr>
            <w:rStyle w:val="Hyperlink"/>
          </w:rPr>
          <w:t>ML challenges</w:t>
        </w:r>
      </w:hyperlink>
      <w:r w:rsidRPr="008A06F0">
        <w:t xml:space="preserve">, </w:t>
      </w:r>
      <w:hyperlink r:id="rId70" w:tgtFrame="_blank" w:tooltip="https://aiforgood.itu.int/robotics-for-good-youth-challenge/" w:history="1">
        <w:r w:rsidRPr="008A06F0">
          <w:rPr>
            <w:rStyle w:val="Hyperlink"/>
          </w:rPr>
          <w:t>Robotics for Good Youth Challenge</w:t>
        </w:r>
      </w:hyperlink>
      <w:r w:rsidRPr="008A06F0">
        <w:t xml:space="preserve">, </w:t>
      </w:r>
      <w:hyperlink r:id="rId71"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72" w:tgtFrame="_blank" w:tooltip="https://aiforgood.itu.int/ai-skills-coalition/" w:history="1">
        <w:r w:rsidRPr="008A06F0">
          <w:rPr>
            <w:rStyle w:val="Hyperlink"/>
          </w:rPr>
          <w:t>AI Skills Coalition</w:t>
        </w:r>
      </w:hyperlink>
      <w:r w:rsidRPr="008A06F0">
        <w:t xml:space="preserve">, </w:t>
      </w:r>
      <w:hyperlink r:id="rId73"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74"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75"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76"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77"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climate science, GeoAI,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78"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79"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80" w:history="1">
        <w:r w:rsidRPr="004F6110">
          <w:rPr>
            <w:rStyle w:val="Hyperlink"/>
          </w:rPr>
          <w:t>AI/ML Challenge</w:t>
        </w:r>
      </w:hyperlink>
      <w:r w:rsidRPr="004F6110">
        <w:t xml:space="preserve"> </w:t>
      </w:r>
      <w:r w:rsidR="006926A8" w:rsidRPr="004F6110">
        <w:t>The 2024 AI/ML Challenge engaged 4,196 participants across 13 problem statements, generating 30,000+ submissions on real-world AI use cases like networks and GeoAI,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81"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80" w:name="_5.2_Artificial_intelligence"/>
      <w:bookmarkStart w:id="81" w:name="_5.2_Digital_financial"/>
      <w:bookmarkStart w:id="82" w:name="_5.3_Digital_financial"/>
      <w:bookmarkStart w:id="83" w:name="_Toc198053267"/>
      <w:bookmarkStart w:id="84" w:name="_Toc198549042"/>
      <w:bookmarkStart w:id="85" w:name="_Hlk120017847"/>
      <w:bookmarkEnd w:id="79"/>
      <w:bookmarkEnd w:id="80"/>
      <w:bookmarkEnd w:id="81"/>
      <w:bookmarkEnd w:id="82"/>
      <w:r>
        <w:t>5</w:t>
      </w:r>
      <w:r w:rsidR="005404EF" w:rsidRPr="00C32576">
        <w:t>.</w:t>
      </w:r>
      <w:r w:rsidR="00BE6264">
        <w:t>3</w:t>
      </w:r>
      <w:r w:rsidR="005404EF" w:rsidRPr="00C32576">
        <w:tab/>
        <w:t>Digital financial inclusion</w:t>
      </w:r>
      <w:r w:rsidR="00E55E57">
        <w:t xml:space="preserve"> and </w:t>
      </w:r>
      <w:r w:rsidR="00E55E57" w:rsidRPr="00F138B0">
        <w:t>fintech</w:t>
      </w:r>
      <w:bookmarkEnd w:id="83"/>
      <w:bookmarkEnd w:id="84"/>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82">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83"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84"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6" w:name="_5.3_Digital_transformation"/>
      <w:bookmarkStart w:id="87" w:name="_Toc198053268"/>
      <w:bookmarkStart w:id="88" w:name="_Toc198549043"/>
      <w:bookmarkStart w:id="89" w:name="_Hlk172557372"/>
      <w:bookmarkEnd w:id="86"/>
      <w:r>
        <w:t>5</w:t>
      </w:r>
      <w:r w:rsidRPr="00C32576">
        <w:t>.</w:t>
      </w:r>
      <w:r w:rsidR="00BE6264" w:rsidRPr="00BE6264">
        <w:t>4</w:t>
      </w:r>
      <w:r w:rsidRPr="00C32576">
        <w:tab/>
      </w:r>
      <w:r w:rsidR="00F138B0">
        <w:t>Digital transformation for cities and communities</w:t>
      </w:r>
      <w:bookmarkEnd w:id="87"/>
      <w:bookmarkEnd w:id="88"/>
    </w:p>
    <w:p w14:paraId="02CBC890" w14:textId="24E733D7" w:rsidR="00ED1C7C" w:rsidRPr="00CD4947" w:rsidRDefault="00ED1C7C" w:rsidP="00CD4947">
      <w:bookmarkStart w:id="90" w:name="_Hlk172568241"/>
      <w:r w:rsidRPr="00CD4947">
        <w:t xml:space="preserve">The </w:t>
      </w:r>
      <w:bookmarkStart w:id="91"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91"/>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85" w:history="1">
        <w:r w:rsidRPr="00CD4947">
          <w:rPr>
            <w:rStyle w:val="Hyperlink"/>
          </w:rPr>
          <w:t>U4SSC Key Performance Indicators</w:t>
        </w:r>
      </w:hyperlink>
      <w:r w:rsidRPr="00CD4947">
        <w:t xml:space="preserve"> based on ITU standards. The results of these evaluations are shared by </w:t>
      </w:r>
      <w:hyperlink r:id="rId86"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87"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88"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89"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90"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91"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92"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93"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94" w:history="1">
        <w:r w:rsidRPr="00CD4947">
          <w:rPr>
            <w:rStyle w:val="Hyperlink"/>
          </w:rPr>
          <w:t>U4SSC reports</w:t>
        </w:r>
      </w:hyperlink>
      <w:r w:rsidRPr="00CD4947">
        <w:t xml:space="preserve"> and </w:t>
      </w:r>
      <w:hyperlink r:id="rId95"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96"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7"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8" w:history="1">
        <w:r w:rsidRPr="006B547F">
          <w:rPr>
            <w:rStyle w:val="Hyperlink"/>
          </w:rPr>
          <w:t>Less Power, Less Cost, More Impact – Tiny Machine Learning and Edge Artificial Intelligence To The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99"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100"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101"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102"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103"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104"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105"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106"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107"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108"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109"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92" w:name="_5.4_Resilience_to"/>
      <w:bookmarkStart w:id="93" w:name="_Toc198053269"/>
      <w:bookmarkStart w:id="94" w:name="_Toc198549044"/>
      <w:bookmarkEnd w:id="92"/>
      <w:r w:rsidRPr="0067584E">
        <w:t>5.</w:t>
      </w:r>
      <w:r w:rsidR="00BE6264" w:rsidRPr="0067584E">
        <w:t>5</w:t>
      </w:r>
      <w:r w:rsidRPr="0067584E">
        <w:tab/>
      </w:r>
      <w:r w:rsidR="003F7B77" w:rsidRPr="0067584E">
        <w:t>Resilience to n</w:t>
      </w:r>
      <w:r w:rsidRPr="0067584E">
        <w:t>atural hazards</w:t>
      </w:r>
      <w:bookmarkEnd w:id="93"/>
      <w:bookmarkEnd w:id="94"/>
    </w:p>
    <w:p w14:paraId="2DC24A7F" w14:textId="77777777" w:rsidR="005857DF" w:rsidRPr="0067584E" w:rsidRDefault="0064404C" w:rsidP="00580666">
      <w:pPr>
        <w:rPr>
          <w:lang w:eastAsia="en-US"/>
        </w:rPr>
      </w:pPr>
      <w:bookmarkStart w:id="95" w:name="_Hlk172568332"/>
      <w:bookmarkEnd w:id="90"/>
      <w:r>
        <w:rPr>
          <w:lang w:eastAsia="en-US"/>
        </w:rPr>
        <w:t xml:space="preserve">The </w:t>
      </w:r>
      <w:hyperlink r:id="rId110"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111"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112" w:history="1">
        <w:r w:rsidR="00005A1B" w:rsidRPr="0067584E">
          <w:rPr>
            <w:rStyle w:val="Hyperlink"/>
            <w:lang w:eastAsia="en-US"/>
          </w:rPr>
          <w:t>See ITU News</w:t>
        </w:r>
      </w:hyperlink>
      <w:r w:rsidR="00005A1B" w:rsidRPr="0067584E">
        <w:rPr>
          <w:lang w:eastAsia="en-US"/>
        </w:rPr>
        <w:t>]</w:t>
      </w:r>
    </w:p>
    <w:bookmarkEnd w:id="95"/>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113"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114"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115"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116"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117"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6" w:name="_5.3_Smart_cities"/>
      <w:bookmarkStart w:id="97" w:name="_5.4_Digital_transformation"/>
      <w:bookmarkStart w:id="98" w:name="_3.4_Intelligent_transport"/>
      <w:bookmarkStart w:id="99" w:name="_5.4_Environment,_climate"/>
      <w:bookmarkStart w:id="100" w:name="_5.5_Intelligent_transport"/>
      <w:bookmarkStart w:id="101" w:name="_Toc198053270"/>
      <w:bookmarkStart w:id="102" w:name="_Toc198549045"/>
      <w:bookmarkEnd w:id="96"/>
      <w:bookmarkEnd w:id="97"/>
      <w:bookmarkEnd w:id="98"/>
      <w:bookmarkEnd w:id="99"/>
      <w:bookmarkEnd w:id="100"/>
      <w:r w:rsidRPr="0067584E">
        <w:t>5</w:t>
      </w:r>
      <w:r w:rsidR="007C660F" w:rsidRPr="0067584E">
        <w:t>.</w:t>
      </w:r>
      <w:r w:rsidR="00BE6264" w:rsidRPr="0067584E">
        <w:t>6</w:t>
      </w:r>
      <w:r w:rsidR="007C660F" w:rsidRPr="0067584E">
        <w:tab/>
        <w:t>Intelligent transport systems</w:t>
      </w:r>
      <w:bookmarkEnd w:id="101"/>
      <w:bookmarkEnd w:id="102"/>
    </w:p>
    <w:p w14:paraId="4EA24429" w14:textId="1A4C10F5" w:rsidR="00B84019" w:rsidRPr="00406D16" w:rsidRDefault="008B405E" w:rsidP="001E31C5">
      <w:bookmarkStart w:id="103" w:name="_Hlk120616326"/>
      <w:bookmarkStart w:id="104" w:name="_Hlk92287189"/>
      <w:bookmarkEnd w:id="73"/>
      <w:bookmarkEnd w:id="85"/>
      <w:r w:rsidRPr="00406D16">
        <w:t>The</w:t>
      </w:r>
      <w:r w:rsidR="00B84019" w:rsidRPr="00406D16">
        <w:t xml:space="preserve"> </w:t>
      </w:r>
      <w:hyperlink r:id="rId118"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119" w:history="1">
        <w:r w:rsidR="00F529F8" w:rsidRPr="001E0FD6">
          <w:rPr>
            <w:rStyle w:val="Hyperlink"/>
          </w:rPr>
          <w:t>See ITU News</w:t>
        </w:r>
      </w:hyperlink>
      <w:r w:rsidR="00F529F8">
        <w:t>]</w:t>
      </w:r>
    </w:p>
    <w:bookmarkEnd w:id="103"/>
    <w:p w14:paraId="0D892E20" w14:textId="77777777" w:rsidR="005857DF" w:rsidRPr="0067584E" w:rsidRDefault="001E31C5" w:rsidP="00190FAF">
      <w:r w:rsidRPr="00406D16">
        <w:t>The</w:t>
      </w:r>
      <w:r w:rsidR="0044286D" w:rsidRPr="00406D16">
        <w:t xml:space="preserve"> ITU-led</w:t>
      </w:r>
      <w:r w:rsidRPr="00406D16">
        <w:t xml:space="preserve"> </w:t>
      </w:r>
      <w:hyperlink r:id="rId120"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121"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122"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123"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5" w:name="_5.6_CTO_and"/>
      <w:bookmarkStart w:id="106" w:name="_5.7_Green_Digital"/>
      <w:bookmarkStart w:id="107" w:name="_Toc198053271"/>
      <w:bookmarkStart w:id="108" w:name="_Toc198549046"/>
      <w:bookmarkEnd w:id="105"/>
      <w:bookmarkEnd w:id="106"/>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7"/>
      <w:bookmarkEnd w:id="108"/>
    </w:p>
    <w:p w14:paraId="0452AC92" w14:textId="5D38D41D" w:rsidR="00B729E8" w:rsidRPr="00A54082" w:rsidRDefault="00391B7F" w:rsidP="00B729E8">
      <w:bookmarkStart w:id="109" w:name="_Hlk172133209"/>
      <w:bookmarkStart w:id="110" w:name="_Hlk120616343"/>
      <w:r w:rsidRPr="00A54082">
        <w:rPr>
          <w:lang w:eastAsia="en-US"/>
        </w:rPr>
        <w:t xml:space="preserve">ITU continues its </w:t>
      </w:r>
      <w:hyperlink r:id="rId124" w:history="1">
        <w:r w:rsidRPr="00A54082">
          <w:rPr>
            <w:rStyle w:val="Hyperlink"/>
            <w:lang w:eastAsia="en-US"/>
          </w:rPr>
          <w:t>Green Digital Action activities</w:t>
        </w:r>
      </w:hyperlink>
      <w:r w:rsidRPr="00A54082">
        <w:rPr>
          <w:lang w:eastAsia="en-US"/>
        </w:rPr>
        <w:t xml:space="preserve"> following their initiation with the </w:t>
      </w:r>
      <w:hyperlink r:id="rId125"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26"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27"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8"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9"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0"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1"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32"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33"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34"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35">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36">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37"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11" w:name="_Toc135754434"/>
      <w:bookmarkStart w:id="112" w:name="_Toc198053272"/>
      <w:bookmarkStart w:id="113" w:name="_Toc198549047"/>
      <w:r w:rsidRPr="00E774D8">
        <w:t>5.</w:t>
      </w:r>
      <w:r w:rsidR="00BE6264">
        <w:t>8</w:t>
      </w:r>
      <w:r w:rsidRPr="00E774D8">
        <w:tab/>
        <w:t>CTO and CxO meetings</w:t>
      </w:r>
      <w:bookmarkEnd w:id="111"/>
      <w:bookmarkEnd w:id="112"/>
      <w:bookmarkEnd w:id="113"/>
    </w:p>
    <w:p w14:paraId="70599489" w14:textId="77777777" w:rsidR="005857DF" w:rsidRPr="0067584E" w:rsidRDefault="00E774D8" w:rsidP="00E774D8">
      <w:hyperlink r:id="rId138"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39"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40"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4" w:name="_Toc198053273"/>
      <w:bookmarkStart w:id="115" w:name="_Toc198549048"/>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4"/>
      <w:bookmarkEnd w:id="115"/>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41"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42"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43"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citiverse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6" w:name="_4_Academia"/>
      <w:bookmarkStart w:id="117" w:name="_6_Academia"/>
      <w:bookmarkStart w:id="118" w:name="_Toc198053274"/>
      <w:bookmarkStart w:id="119" w:name="_Toc198549049"/>
      <w:bookmarkStart w:id="120" w:name="_Hlk92298430"/>
      <w:bookmarkEnd w:id="104"/>
      <w:bookmarkEnd w:id="109"/>
      <w:bookmarkEnd w:id="110"/>
      <w:bookmarkEnd w:id="116"/>
      <w:bookmarkEnd w:id="117"/>
      <w:r w:rsidRPr="00E774D8">
        <w:lastRenderedPageBreak/>
        <w:t>5.</w:t>
      </w:r>
      <w:r>
        <w:t>10</w:t>
      </w:r>
      <w:r w:rsidRPr="00E774D8">
        <w:tab/>
      </w:r>
      <w:r w:rsidRPr="008B1402">
        <w:t>ITU/WMO/UNESCO-IOC Joint Task Force on SMART cable systems</w:t>
      </w:r>
      <w:bookmarkEnd w:id="118"/>
      <w:bookmarkEnd w:id="119"/>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And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44"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21" w:name="_Toc198549050"/>
      <w:r w:rsidRPr="0067584E">
        <w:t>6</w:t>
      </w:r>
      <w:r w:rsidR="0002435B" w:rsidRPr="00EA0D96">
        <w:tab/>
        <w:t>Academia</w:t>
      </w:r>
      <w:bookmarkEnd w:id="121"/>
    </w:p>
    <w:p w14:paraId="0B568CA4" w14:textId="523A1954" w:rsidR="00794706" w:rsidRPr="004811A7" w:rsidRDefault="00973621" w:rsidP="00794706">
      <w:pPr>
        <w:rPr>
          <w:rFonts w:eastAsia="Calibri"/>
        </w:rPr>
      </w:pPr>
      <w:hyperlink r:id="rId145" w:history="1">
        <w:r w:rsidRPr="00AF0C4E">
          <w:rPr>
            <w:rStyle w:val="Hyperlink"/>
          </w:rPr>
          <w:t>ITU Academia membership</w:t>
        </w:r>
      </w:hyperlink>
      <w:r w:rsidR="00794706" w:rsidRPr="59F82DE8">
        <w:t xml:space="preserve">, the </w:t>
      </w:r>
      <w:hyperlink r:id="rId146"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47"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22" w:name="_6.1_ITU_Journal"/>
      <w:bookmarkStart w:id="123" w:name="_Toc198053275"/>
      <w:bookmarkStart w:id="124" w:name="_Toc198549051"/>
      <w:bookmarkEnd w:id="122"/>
      <w:r>
        <w:t>6</w:t>
      </w:r>
      <w:r w:rsidR="0002435B">
        <w:t>.1</w:t>
      </w:r>
      <w:r w:rsidR="0002435B">
        <w:tab/>
        <w:t>ITU Journal</w:t>
      </w:r>
      <w:bookmarkEnd w:id="123"/>
      <w:bookmarkEnd w:id="124"/>
    </w:p>
    <w:p w14:paraId="47C3F5AC" w14:textId="77777777" w:rsidR="005857DF" w:rsidRPr="0067584E" w:rsidRDefault="00E00BE5" w:rsidP="00E00BE5">
      <w:r w:rsidRPr="59F82DE8">
        <w:t xml:space="preserve">The </w:t>
      </w:r>
      <w:hyperlink r:id="rId148"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5"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5"/>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49" w:history="1">
        <w:r w:rsidRPr="00311254">
          <w:rPr>
            <w:rStyle w:val="Hyperlink"/>
          </w:rPr>
          <w:t>Next generation computer communications and networks</w:t>
        </w:r>
      </w:hyperlink>
      <w:r w:rsidRPr="1A37D806">
        <w:rPr>
          <w:rFonts w:eastAsia="Calibri"/>
        </w:rPr>
        <w:t xml:space="preserve">, </w:t>
      </w:r>
      <w:hyperlink r:id="rId150" w:history="1">
        <w:r w:rsidRPr="00311254">
          <w:rPr>
            <w:rStyle w:val="Hyperlink"/>
          </w:rPr>
          <w:t xml:space="preserve">Satellite constellations and connectivity from space </w:t>
        </w:r>
      </w:hyperlink>
      <w:r w:rsidRPr="1A37D806">
        <w:rPr>
          <w:rFonts w:eastAsia="Calibri"/>
        </w:rPr>
        <w:t xml:space="preserve">, </w:t>
      </w:r>
      <w:hyperlink r:id="rId151" w:history="1">
        <w:r w:rsidRPr="00311254">
          <w:rPr>
            <w:rStyle w:val="Hyperlink"/>
          </w:rPr>
          <w:t>Intelligent technologies for future networking and distributed systems</w:t>
        </w:r>
      </w:hyperlink>
      <w:r w:rsidRPr="1A37D806">
        <w:rPr>
          <w:rFonts w:eastAsia="Calibri"/>
        </w:rPr>
        <w:t xml:space="preserve">, and </w:t>
      </w:r>
      <w:hyperlink r:id="rId152"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 xml:space="preserve">telecommunications and artificial intelligence (AI), including special features on Geospatial AI (GeoAI) alongside papers that delve into next-generation communications and sensing systems </w:t>
      </w:r>
      <w:r w:rsidRPr="00035247">
        <w:t>[</w:t>
      </w:r>
      <w:hyperlink r:id="rId153" w:history="1">
        <w:r w:rsidRPr="00035247">
          <w:rPr>
            <w:rStyle w:val="Hyperlink"/>
          </w:rPr>
          <w:t>Download articles</w:t>
        </w:r>
      </w:hyperlink>
      <w:r w:rsidRPr="00035247">
        <w:t>].</w:t>
      </w:r>
    </w:p>
    <w:p w14:paraId="0043174E" w14:textId="6B95767D" w:rsidR="00B035B9" w:rsidRPr="00F157F2" w:rsidRDefault="00B035B9" w:rsidP="00B035B9">
      <w:bookmarkStart w:id="126"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54"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55"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56"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7" w:name="_6.2_ITU_Kaleidoscope"/>
      <w:bookmarkStart w:id="128" w:name="_Toc198053276"/>
      <w:bookmarkStart w:id="129" w:name="_Toc198549052"/>
      <w:bookmarkEnd w:id="126"/>
      <w:bookmarkEnd w:id="127"/>
      <w:r>
        <w:t>6</w:t>
      </w:r>
      <w:r w:rsidR="0002435B">
        <w:t>.2</w:t>
      </w:r>
      <w:r w:rsidR="0002435B">
        <w:tab/>
        <w:t>ITU Kaleidoscope academic conferences</w:t>
      </w:r>
      <w:bookmarkEnd w:id="128"/>
      <w:bookmarkEnd w:id="129"/>
    </w:p>
    <w:p w14:paraId="38A3EBE5" w14:textId="57C732A1" w:rsidR="00A3606E" w:rsidRPr="00F157F2" w:rsidRDefault="0002435B" w:rsidP="0002435B">
      <w:r w:rsidRPr="59F82DE8">
        <w:t xml:space="preserve">The </w:t>
      </w:r>
      <w:hyperlink r:id="rId157"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30"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58" w:history="1">
        <w:r w:rsidR="09BD6D88" w:rsidRPr="58D59046">
          <w:rPr>
            <w:rStyle w:val="Hyperlink"/>
          </w:rPr>
          <w:t>programme</w:t>
        </w:r>
      </w:hyperlink>
      <w:bookmarkEnd w:id="130"/>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59"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60"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31" w:name="_5_Cooperation_and"/>
      <w:bookmarkStart w:id="132" w:name="_6_Conformity_and"/>
      <w:bookmarkStart w:id="133" w:name="_8_Conformity_and"/>
      <w:bookmarkStart w:id="134" w:name="_7_Conformity_and"/>
      <w:bookmarkStart w:id="135" w:name="_Toc416161352"/>
      <w:bookmarkStart w:id="136" w:name="_Toc438553972"/>
      <w:bookmarkStart w:id="137" w:name="_Toc453929091"/>
      <w:bookmarkStart w:id="138" w:name="_Toc453932962"/>
      <w:bookmarkStart w:id="139" w:name="_Toc454295868"/>
      <w:bookmarkStart w:id="140" w:name="_Toc462664223"/>
      <w:bookmarkStart w:id="141" w:name="_Toc480527817"/>
      <w:bookmarkStart w:id="142" w:name="_Toc18509736"/>
      <w:bookmarkStart w:id="143" w:name="_Toc198053277"/>
      <w:bookmarkStart w:id="144" w:name="_Toc198549053"/>
      <w:bookmarkStart w:id="145" w:name="_Hlk90559120"/>
      <w:bookmarkStart w:id="146" w:name="_Hlk172042638"/>
      <w:bookmarkStart w:id="147" w:name="_Hlk119584239"/>
      <w:bookmarkEnd w:id="89"/>
      <w:bookmarkEnd w:id="120"/>
      <w:bookmarkEnd w:id="131"/>
      <w:bookmarkEnd w:id="132"/>
      <w:bookmarkEnd w:id="133"/>
      <w:bookmarkEnd w:id="134"/>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5"/>
      <w:r w:rsidR="00A13428" w:rsidRPr="00C5776F">
        <w:rPr>
          <w:rFonts w:eastAsiaTheme="minorEastAsia"/>
        </w:rPr>
        <w:t xml:space="preserve"> </w:t>
      </w:r>
      <w:bookmarkEnd w:id="136"/>
      <w:bookmarkEnd w:id="137"/>
      <w:bookmarkEnd w:id="138"/>
      <w:bookmarkEnd w:id="139"/>
      <w:bookmarkEnd w:id="140"/>
      <w:bookmarkEnd w:id="141"/>
      <w:bookmarkEnd w:id="142"/>
      <w:r w:rsidR="00A13428" w:rsidRPr="00F138B0">
        <w:rPr>
          <w:rFonts w:eastAsiaTheme="minorEastAsia"/>
        </w:rPr>
        <w:t>programme</w:t>
      </w:r>
      <w:bookmarkEnd w:id="143"/>
      <w:bookmarkEnd w:id="144"/>
    </w:p>
    <w:p w14:paraId="34E3D0FE" w14:textId="77777777" w:rsidR="006262A1" w:rsidRPr="007E6D34" w:rsidRDefault="006262A1" w:rsidP="006262A1">
      <w:pPr>
        <w:snapToGrid w:val="0"/>
      </w:pPr>
      <w:r w:rsidRPr="007E6D34">
        <w:t xml:space="preserve">The </w:t>
      </w:r>
      <w:hyperlink r:id="rId161"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8" w:name="_Hlk120609855"/>
      <w:r w:rsidRPr="007E6D34">
        <w:t xml:space="preserve">ITU-T determined the key criteria </w:t>
      </w:r>
      <w:r w:rsidR="009014BA" w:rsidRPr="007E6D34">
        <w:t>for testing lab</w:t>
      </w:r>
      <w:r w:rsidR="009014BA">
        <w:t>oratorie</w:t>
      </w:r>
      <w:r w:rsidR="009014BA" w:rsidRPr="007E6D34">
        <w:t xml:space="preserve">s </w:t>
      </w:r>
      <w:hyperlink r:id="rId162" w:tgtFrame="_blank" w:history="1">
        <w:r w:rsidRPr="007E6D34">
          <w:rPr>
            <w:rStyle w:val="Hyperlink"/>
          </w:rPr>
          <w:t>recognition procedure</w:t>
        </w:r>
      </w:hyperlink>
      <w:r w:rsidRPr="007E6D34">
        <w:t xml:space="preserve"> </w:t>
      </w:r>
      <w:r w:rsidR="00D449CA">
        <w:t>(</w:t>
      </w:r>
      <w:hyperlink r:id="rId163"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64" w:history="1">
        <w:r w:rsidRPr="007E6D34">
          <w:rPr>
            <w:rStyle w:val="Hyperlink"/>
          </w:rPr>
          <w:t>appointment of ITU-T technical experts</w:t>
        </w:r>
      </w:hyperlink>
      <w:r w:rsidR="007E6D34">
        <w:t xml:space="preserve"> (see latest list </w:t>
      </w:r>
      <w:r w:rsidR="008F70B3">
        <w:t xml:space="preserve">dated </w:t>
      </w:r>
      <w:hyperlink r:id="rId165"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66" w:history="1">
        <w:r w:rsidR="006262A1" w:rsidRPr="007E6D34">
          <w:rPr>
            <w:rStyle w:val="Hyperlink"/>
          </w:rPr>
          <w:t>TSB Cir</w:t>
        </w:r>
        <w:bookmarkStart w:id="149" w:name="_Hlt193810784"/>
        <w:r w:rsidR="006262A1" w:rsidRPr="007E6D34">
          <w:rPr>
            <w:rStyle w:val="Hyperlink"/>
          </w:rPr>
          <w:t>c</w:t>
        </w:r>
        <w:bookmarkEnd w:id="149"/>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67"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68"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69"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70" w:history="1">
        <w:r w:rsidR="003C47E1" w:rsidRPr="0067584E">
          <w:rPr>
            <w:rStyle w:val="Hyperlink"/>
          </w:rPr>
          <w:t>OB.1253</w:t>
        </w:r>
      </w:hyperlink>
      <w:r w:rsidR="003C47E1" w:rsidRPr="0067584E">
        <w:t xml:space="preserve">, </w:t>
      </w:r>
      <w:hyperlink r:id="rId171" w:history="1">
        <w:r w:rsidR="003C47E1" w:rsidRPr="0067584E">
          <w:rPr>
            <w:rStyle w:val="Hyperlink"/>
          </w:rPr>
          <w:t>OB.1256</w:t>
        </w:r>
      </w:hyperlink>
      <w:r w:rsidR="003C47E1" w:rsidRPr="0067584E">
        <w:t xml:space="preserve">, </w:t>
      </w:r>
      <w:hyperlink r:id="rId172" w:history="1">
        <w:r w:rsidR="003C47E1" w:rsidRPr="0067584E">
          <w:rPr>
            <w:rStyle w:val="Hyperlink"/>
          </w:rPr>
          <w:t>OB.1263</w:t>
        </w:r>
      </w:hyperlink>
      <w:r w:rsidR="003C47E1" w:rsidRPr="0067584E">
        <w:t xml:space="preserve">, </w:t>
      </w:r>
      <w:hyperlink r:id="rId173" w:history="1">
        <w:r w:rsidR="003C47E1" w:rsidRPr="0067584E">
          <w:rPr>
            <w:rStyle w:val="Hyperlink"/>
          </w:rPr>
          <w:t>OB.1266</w:t>
        </w:r>
      </w:hyperlink>
      <w:r w:rsidR="003C47E1" w:rsidRPr="007E6D34">
        <w:t xml:space="preserve">, </w:t>
      </w:r>
      <w:hyperlink r:id="rId174" w:history="1">
        <w:r w:rsidR="003C47E1" w:rsidRPr="007E6D34">
          <w:rPr>
            <w:rStyle w:val="Hyperlink"/>
          </w:rPr>
          <w:t>OB.1283</w:t>
        </w:r>
      </w:hyperlink>
      <w:r w:rsidR="003C47E1" w:rsidRPr="007E6D34">
        <w:t xml:space="preserve">, </w:t>
      </w:r>
      <w:hyperlink r:id="rId175" w:history="1">
        <w:r w:rsidR="003C47E1" w:rsidRPr="007E6D34">
          <w:rPr>
            <w:rStyle w:val="Hyperlink"/>
          </w:rPr>
          <w:t>OB.1286</w:t>
        </w:r>
      </w:hyperlink>
      <w:r w:rsidR="003C47E1" w:rsidRPr="007E6D34">
        <w:t xml:space="preserve"> and </w:t>
      </w:r>
      <w:hyperlink r:id="rId176"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8"/>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77"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78" w:tgtFrame="_blank" w:history="1">
        <w:r w:rsidR="000D55DD" w:rsidRPr="00425AFE">
          <w:rPr>
            <w:rStyle w:val="Hyperlink"/>
          </w:rPr>
          <w:t>application form</w:t>
        </w:r>
      </w:hyperlink>
      <w:r w:rsidR="000D55DD" w:rsidRPr="00425AFE">
        <w:t xml:space="preserve">. All criteria for populating the database are listed </w:t>
      </w:r>
      <w:hyperlink r:id="rId179"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80"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81"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82"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83"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50" w:name="_7_Mainstreaming_accessibility"/>
      <w:bookmarkStart w:id="151" w:name="_9_Mainstreaming_accessibility"/>
      <w:bookmarkStart w:id="152" w:name="_9_Membership"/>
      <w:bookmarkStart w:id="153" w:name="_11_Membership"/>
      <w:bookmarkStart w:id="154" w:name="_8_Membership"/>
      <w:bookmarkStart w:id="155" w:name="_Toc198053278"/>
      <w:bookmarkStart w:id="156" w:name="_Toc198549054"/>
      <w:bookmarkStart w:id="157" w:name="_Hlk119427841"/>
      <w:bookmarkStart w:id="158" w:name="_Hlk92290514"/>
      <w:bookmarkStart w:id="159" w:name="_Toc438553987"/>
      <w:bookmarkStart w:id="160" w:name="_Toc453929111"/>
      <w:bookmarkStart w:id="161" w:name="_Toc453932982"/>
      <w:bookmarkStart w:id="162" w:name="_Toc454295888"/>
      <w:bookmarkStart w:id="163" w:name="_Toc462664268"/>
      <w:bookmarkStart w:id="164" w:name="_Toc480527861"/>
      <w:bookmarkEnd w:id="145"/>
      <w:bookmarkEnd w:id="146"/>
      <w:bookmarkEnd w:id="147"/>
      <w:bookmarkEnd w:id="150"/>
      <w:bookmarkEnd w:id="151"/>
      <w:bookmarkEnd w:id="152"/>
      <w:bookmarkEnd w:id="153"/>
      <w:bookmarkEnd w:id="154"/>
      <w:r>
        <w:t>8</w:t>
      </w:r>
      <w:r w:rsidR="001C4B4F" w:rsidRPr="003B574C">
        <w:tab/>
      </w:r>
      <w:r w:rsidR="001C4B4F" w:rsidRPr="005175B7">
        <w:t>Member</w:t>
      </w:r>
      <w:r w:rsidR="001C4B4F" w:rsidRPr="00C5776F">
        <w:t>s</w:t>
      </w:r>
      <w:r w:rsidR="001C4B4F" w:rsidRPr="00F138B0">
        <w:t>hip</w:t>
      </w:r>
      <w:bookmarkStart w:id="165" w:name="_Hlk82640787"/>
      <w:bookmarkEnd w:id="155"/>
      <w:bookmarkEnd w:id="156"/>
    </w:p>
    <w:bookmarkEnd w:id="165"/>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r w:rsidRPr="0067584E">
        <w:t>FiberCop S.P.A</w:t>
      </w:r>
      <w:r w:rsidR="17151B02" w:rsidRPr="0067584E">
        <w:t>;</w:t>
      </w:r>
      <w:r w:rsidRPr="0067584E">
        <w:t xml:space="preserve"> China Automotive Technology and Research Center Co.,Ltd; China Automotive Engineering Research Institute Co.,Ltd;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r w:rsidRPr="0067584E">
        <w:t>Rapid.Space International (SG2); GlobalCell LLC (SG2); IMSI.AI (SG2); Bondio Limited (SG2); Karrier One Inc. (SG2); Giesecke+Devrient MobileSecurity TCD UK Ltd (SG2); Tactikom (SG3); CommScope (SG15); Knowledge Development for Rugged Optical Communications, S.L (SG15); Nav Wireless Technologies Pvt Ltd (SG15); Nvidia (SG15); China Datang Corporation Science and Technology General Research Institute Ltd. (SG15); Alcatel Submarine Networks (SG15); Koninklijke Philips N.V. (SG21); Miraclink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4">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6" w:name="_10_Virtual_meetings"/>
      <w:bookmarkStart w:id="167" w:name="_Toc462664274"/>
      <w:bookmarkStart w:id="168" w:name="_Toc480527863"/>
      <w:bookmarkStart w:id="169" w:name="_11_Bridging_the"/>
      <w:bookmarkStart w:id="170" w:name="_12_Bridging_the"/>
      <w:bookmarkStart w:id="171" w:name="_9_Bridging_the"/>
      <w:bookmarkStart w:id="172" w:name="_Toc416161356"/>
      <w:bookmarkStart w:id="173" w:name="_Toc438553979"/>
      <w:bookmarkStart w:id="174" w:name="_Toc453929098"/>
      <w:bookmarkStart w:id="175" w:name="_Toc453932969"/>
      <w:bookmarkStart w:id="176" w:name="_Toc454295875"/>
      <w:bookmarkStart w:id="177" w:name="_Toc480527846"/>
      <w:bookmarkStart w:id="178" w:name="_Toc51042269"/>
      <w:bookmarkStart w:id="179" w:name="_Toc198053279"/>
      <w:bookmarkStart w:id="180" w:name="_Toc198549055"/>
      <w:bookmarkStart w:id="181" w:name="_Toc453929120"/>
      <w:bookmarkStart w:id="182" w:name="_Toc453932991"/>
      <w:bookmarkStart w:id="183" w:name="_Toc454295897"/>
      <w:bookmarkStart w:id="184" w:name="_Toc387390042"/>
      <w:bookmarkStart w:id="185" w:name="_Toc416161372"/>
      <w:bookmarkStart w:id="186" w:name="_Toc438553998"/>
      <w:bookmarkEnd w:id="157"/>
      <w:bookmarkEnd w:id="158"/>
      <w:bookmarkEnd w:id="159"/>
      <w:bookmarkEnd w:id="160"/>
      <w:bookmarkEnd w:id="161"/>
      <w:bookmarkEnd w:id="162"/>
      <w:bookmarkEnd w:id="163"/>
      <w:bookmarkEnd w:id="164"/>
      <w:bookmarkEnd w:id="166"/>
      <w:bookmarkEnd w:id="167"/>
      <w:bookmarkEnd w:id="168"/>
      <w:bookmarkEnd w:id="169"/>
      <w:bookmarkEnd w:id="170"/>
      <w:bookmarkEnd w:id="171"/>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72"/>
      <w:bookmarkEnd w:id="173"/>
      <w:bookmarkEnd w:id="174"/>
      <w:bookmarkEnd w:id="175"/>
      <w:bookmarkEnd w:id="176"/>
      <w:bookmarkEnd w:id="177"/>
      <w:bookmarkEnd w:id="178"/>
      <w:bookmarkEnd w:id="179"/>
      <w:bookmarkEnd w:id="180"/>
    </w:p>
    <w:p w14:paraId="11D7DB3B" w14:textId="408F36E8" w:rsidR="005E4B43" w:rsidRDefault="005E4B43" w:rsidP="00103609">
      <w:hyperlink r:id="rId185">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86">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87">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88">
        <w:r w:rsidRPr="0067584E">
          <w:rPr>
            <w:rStyle w:val="Hyperlink"/>
          </w:rPr>
          <w:t>55</w:t>
        </w:r>
      </w:hyperlink>
      <w:r w:rsidRPr="0067584E">
        <w:t xml:space="preserve"> (gender equality) and </w:t>
      </w:r>
      <w:hyperlink r:id="rId189">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90" w:anchor="/Home">
        <w:r w:rsidRPr="0067584E">
          <w:rPr>
            <w:rStyle w:val="Hyperlink"/>
          </w:rPr>
          <w:t>MyWorkspace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91">
        <w:r w:rsidRPr="0067584E">
          <w:rPr>
            <w:rStyle w:val="Hyperlink"/>
          </w:rPr>
          <w:t>32</w:t>
        </w:r>
      </w:hyperlink>
      <w:r w:rsidRPr="0067584E">
        <w:t xml:space="preserve"> (strengthening electronic working methods) and </w:t>
      </w:r>
      <w:hyperlink r:id="rId192">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ITU-T SG3RG-AFR (Libreville, 19-21 Februar</w:t>
      </w:r>
      <w:r w:rsidR="005F6F15" w:rsidRPr="00F23712">
        <w:rPr>
          <w:lang w:val="fr-FR"/>
        </w:rPr>
        <w:t>y</w:t>
      </w:r>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7" w:name="_Hlk92456849"/>
      <w:bookmarkStart w:id="188" w:name="_Toc480527849"/>
      <w:bookmarkStart w:id="189"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93"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90"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r w:rsidRPr="00F23712">
        <w:rPr>
          <w:lang w:val="fr-FR"/>
        </w:rPr>
        <w:t>LAC)</w:t>
      </w:r>
      <w:r w:rsidR="00C206C5" w:rsidRPr="00F23712">
        <w:rPr>
          <w:lang w:val="fr-FR"/>
        </w:rPr>
        <w:t>/</w:t>
      </w:r>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(Lima, Peru,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19-21 February 2025).</w:t>
      </w:r>
    </w:p>
    <w:bookmarkEnd w:id="190"/>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7"/>
      <w:bookmarkEnd w:id="188"/>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91" w:name="_Hlk135237679"/>
      <w:bookmarkStart w:id="192"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3" w:name="_Hlk135237734"/>
      <w:bookmarkEnd w:id="191"/>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3"/>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4" w:name="_12_Publications"/>
      <w:bookmarkStart w:id="195" w:name="_12_Gender"/>
      <w:bookmarkStart w:id="196" w:name="_13_Gender"/>
      <w:bookmarkStart w:id="197" w:name="_10_Gender"/>
      <w:bookmarkStart w:id="198" w:name="_Toc198053280"/>
      <w:bookmarkStart w:id="199" w:name="_Toc198549056"/>
      <w:bookmarkStart w:id="200" w:name="_Hlk172212785"/>
      <w:bookmarkStart w:id="201" w:name="_Hlk172213720"/>
      <w:bookmarkEnd w:id="189"/>
      <w:bookmarkEnd w:id="192"/>
      <w:bookmarkEnd w:id="194"/>
      <w:bookmarkEnd w:id="195"/>
      <w:bookmarkEnd w:id="196"/>
      <w:bookmarkEnd w:id="197"/>
      <w:r w:rsidRPr="006E2B83">
        <w:t>1</w:t>
      </w:r>
      <w:r w:rsidR="00682E93">
        <w:t>0</w:t>
      </w:r>
      <w:r w:rsidRPr="006E2B83">
        <w:tab/>
        <w:t>Gend</w:t>
      </w:r>
      <w:r w:rsidRPr="00F138B0">
        <w:t>er</w:t>
      </w:r>
      <w:bookmarkStart w:id="202" w:name="_Hlk172569046"/>
      <w:bookmarkEnd w:id="198"/>
      <w:bookmarkEnd w:id="199"/>
    </w:p>
    <w:bookmarkEnd w:id="202"/>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96" w:history="1">
        <w:r w:rsidRPr="00311254">
          <w:rPr>
            <w:rStyle w:val="Hyperlink"/>
          </w:rPr>
          <w:t>Network of Women in ITU-T (NoW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r w:rsidRPr="0067584E">
        <w:rPr>
          <w:lang w:eastAsia="en-US"/>
        </w:rPr>
        <w:t>NoW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r w:rsidR="00A6544B" w:rsidRPr="0067584E">
        <w:t xml:space="preserve">NoW in ITU-T mailing list, </w:t>
      </w:r>
      <w:hyperlink r:id="rId197" w:history="1">
        <w:r w:rsidR="00A6544B" w:rsidRPr="00CD4947">
          <w:rPr>
            <w:rStyle w:val="Hyperlink"/>
            <w:lang w:eastAsia="en-US"/>
          </w:rPr>
          <w:t>nowinitut@lists.itu.int</w:t>
        </w:r>
      </w:hyperlink>
      <w:r w:rsidR="00A6544B" w:rsidRPr="0067584E">
        <w:t xml:space="preserve">, sign up </w:t>
      </w:r>
      <w:hyperlink r:id="rId198"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99"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200"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r w:rsidR="00E1593C" w:rsidRPr="0067584E">
        <w:t>NoW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201"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202"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203"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204" w:history="1">
        <w:r w:rsidR="00E65C61" w:rsidRPr="00CD4947">
          <w:rPr>
            <w:rStyle w:val="Hyperlink"/>
            <w:lang w:eastAsia="en-US"/>
          </w:rPr>
          <w:t>NoW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205"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206" w:history="1">
        <w:r w:rsidRPr="00311254">
          <w:rPr>
            <w:rStyle w:val="Hyperlink"/>
          </w:rPr>
          <w:t>training course</w:t>
        </w:r>
      </w:hyperlink>
      <w:r w:rsidRPr="0067584E">
        <w:t xml:space="preserve"> on gender-responsive standards development. Members and staff are invited to send certificates of completion to </w:t>
      </w:r>
      <w:hyperlink r:id="rId207"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200"/>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3" w:name="_11_Human_rights"/>
      <w:bookmarkStart w:id="204" w:name="_Toc198053281"/>
      <w:bookmarkStart w:id="205" w:name="_Toc198549057"/>
      <w:bookmarkEnd w:id="203"/>
      <w:r w:rsidRPr="005A24F1">
        <w:t>1</w:t>
      </w:r>
      <w:r w:rsidR="00682E93" w:rsidRPr="005A24F1">
        <w:t>1</w:t>
      </w:r>
      <w:r w:rsidRPr="00080616">
        <w:tab/>
      </w:r>
      <w:r w:rsidRPr="005A24F1">
        <w:t>Human rights and standards development</w:t>
      </w:r>
      <w:bookmarkEnd w:id="204"/>
      <w:bookmarkEnd w:id="205"/>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211"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212"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213"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214"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215"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216"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217"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218"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219"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UN Globethics Panel</w:t>
      </w:r>
      <w:r w:rsidR="009B25AF" w:rsidRPr="0067584E">
        <w:t xml:space="preserve"> </w:t>
      </w:r>
      <w:r w:rsidR="008D4D51" w:rsidRPr="0067584E">
        <w:t>(</w:t>
      </w:r>
      <w:hyperlink r:id="rId220"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221"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222"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223" w:tgtFrame="_blank" w:tooltip="https://www.itu.int/pub/t-res-t.105-2024" w:history="1">
        <w:r w:rsidRPr="00311254">
          <w:rPr>
            <w:rStyle w:val="Hyperlink"/>
          </w:rPr>
          <w:t>metaverse</w:t>
        </w:r>
      </w:hyperlink>
      <w:r w:rsidRPr="0067584E">
        <w:rPr>
          <w:rFonts w:eastAsia="Calibri"/>
        </w:rPr>
        <w:t xml:space="preserve"> and addressed trustworthiness in </w:t>
      </w:r>
      <w:hyperlink r:id="rId224"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25"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26"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6" w:name="_14_Publications"/>
      <w:bookmarkStart w:id="207" w:name="_Toc198053282"/>
      <w:bookmarkStart w:id="208" w:name="_Toc198549058"/>
      <w:bookmarkStart w:id="209" w:name="_Hlk119499545"/>
      <w:bookmarkEnd w:id="201"/>
      <w:bookmarkEnd w:id="206"/>
      <w:r>
        <w:lastRenderedPageBreak/>
        <w:t>1</w:t>
      </w:r>
      <w:r w:rsidR="00682E93">
        <w:t>2</w:t>
      </w:r>
      <w:r w:rsidR="00136E7B" w:rsidRPr="00C32576">
        <w:tab/>
        <w:t>Publica</w:t>
      </w:r>
      <w:r w:rsidR="00136E7B" w:rsidRPr="00C5776F">
        <w:t>tions</w:t>
      </w:r>
      <w:bookmarkEnd w:id="207"/>
      <w:bookmarkEnd w:id="208"/>
    </w:p>
    <w:p w14:paraId="2CDD2E04" w14:textId="255D8E70" w:rsidR="000B0258" w:rsidRPr="00DE7C9F" w:rsidRDefault="0017570A" w:rsidP="0048381E">
      <w:pPr>
        <w:pStyle w:val="Heading2"/>
      </w:pPr>
      <w:bookmarkStart w:id="210" w:name="_12.1_Recommendations_and"/>
      <w:bookmarkStart w:id="211" w:name="_13.1_Recommendations_and"/>
      <w:bookmarkStart w:id="212" w:name="_14.1_Recommendations_and"/>
      <w:bookmarkStart w:id="213" w:name="_Toc198053283"/>
      <w:bookmarkStart w:id="214" w:name="_Toc198549059"/>
      <w:bookmarkEnd w:id="210"/>
      <w:bookmarkEnd w:id="211"/>
      <w:bookmarkEnd w:id="212"/>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3"/>
      <w:bookmarkEnd w:id="214"/>
    </w:p>
    <w:p w14:paraId="02AE8BA1" w14:textId="511385AB" w:rsidR="00A662A0" w:rsidRPr="00DE7C9F" w:rsidRDefault="001B73BB" w:rsidP="00A662A0">
      <w:bookmarkStart w:id="215"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5"/>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27" w:anchor="/rec-external" w:history="1">
        <w:r w:rsidR="001B372D" w:rsidRPr="00495655">
          <w:t>MyWorkspace</w:t>
        </w:r>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6" w:name="_14.2_Official_languages"/>
      <w:bookmarkStart w:id="217" w:name="_Toc198053284"/>
      <w:bookmarkStart w:id="218" w:name="_Hlk155873780"/>
      <w:bookmarkEnd w:id="216"/>
      <w:r w:rsidRPr="00862375">
        <w:t>1</w:t>
      </w:r>
      <w:r w:rsidR="00682E93" w:rsidRPr="00862375">
        <w:t>2</w:t>
      </w:r>
      <w:r w:rsidRPr="00862375">
        <w:t>.1.1</w:t>
      </w:r>
      <w:r w:rsidRPr="00862375">
        <w:tab/>
        <w:t>Recommendations deleted between WTSAs</w:t>
      </w:r>
      <w:bookmarkEnd w:id="217"/>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9" w:name="_Toc198053285"/>
      <w:bookmarkEnd w:id="218"/>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20" w:name="_Toc198549060"/>
      <w:r w:rsidRPr="0041682F">
        <w:t>1</w:t>
      </w:r>
      <w:r w:rsidR="00682E93" w:rsidRPr="0041682F">
        <w:t>2</w:t>
      </w:r>
      <w:r w:rsidRPr="0041682F">
        <w:t>.2</w:t>
      </w:r>
      <w:r w:rsidRPr="0041682F">
        <w:tab/>
        <w:t>Official languages on an equal footing</w:t>
      </w:r>
      <w:bookmarkEnd w:id="219"/>
      <w:bookmarkEnd w:id="220"/>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28"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21" w:name="_12.2_Official_languages"/>
      <w:bookmarkStart w:id="222" w:name="_13.2_Official_languages"/>
      <w:bookmarkStart w:id="223" w:name="_13_Services_and"/>
      <w:bookmarkStart w:id="224" w:name="_14_Services_and"/>
      <w:bookmarkStart w:id="225" w:name="_15_Services_and"/>
      <w:bookmarkStart w:id="226" w:name="_15_Electronic_working"/>
      <w:bookmarkStart w:id="227" w:name="_Hlk135239042"/>
      <w:bookmarkEnd w:id="181"/>
      <w:bookmarkEnd w:id="182"/>
      <w:bookmarkEnd w:id="183"/>
      <w:bookmarkEnd w:id="184"/>
      <w:bookmarkEnd w:id="185"/>
      <w:bookmarkEnd w:id="186"/>
      <w:bookmarkEnd w:id="209"/>
      <w:bookmarkEnd w:id="221"/>
      <w:bookmarkEnd w:id="222"/>
      <w:bookmarkEnd w:id="223"/>
      <w:bookmarkEnd w:id="224"/>
      <w:bookmarkEnd w:id="225"/>
      <w:bookmarkEnd w:id="226"/>
      <w:r w:rsidRPr="0067584E">
        <w:t>___</w:t>
      </w:r>
      <w:r w:rsidR="00DA331A">
        <w:t>_________</w:t>
      </w:r>
      <w:r w:rsidRPr="0067584E">
        <w:t>__</w:t>
      </w:r>
      <w:bookmarkEnd w:id="2"/>
      <w:bookmarkEnd w:id="3"/>
      <w:bookmarkEnd w:id="4"/>
      <w:bookmarkEnd w:id="227"/>
    </w:p>
    <w:sectPr w:rsidR="00373D43" w:rsidRPr="0067584E" w:rsidSect="003D7F4C">
      <w:headerReference w:type="default" r:id="rId22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CF4" w14:textId="77777777" w:rsidR="006406F4" w:rsidRDefault="006406F4">
      <w:r>
        <w:separator/>
      </w:r>
    </w:p>
  </w:endnote>
  <w:endnote w:type="continuationSeparator" w:id="0">
    <w:p w14:paraId="477088F1" w14:textId="77777777" w:rsidR="006406F4" w:rsidRDefault="006406F4">
      <w:r>
        <w:continuationSeparator/>
      </w:r>
    </w:p>
  </w:endnote>
  <w:endnote w:type="continuationNotice" w:id="1">
    <w:p w14:paraId="624FC826" w14:textId="77777777" w:rsidR="006406F4" w:rsidRDefault="006406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477B" w14:textId="77777777" w:rsidR="006406F4" w:rsidRDefault="006406F4">
      <w:r>
        <w:separator/>
      </w:r>
    </w:p>
  </w:footnote>
  <w:footnote w:type="continuationSeparator" w:id="0">
    <w:p w14:paraId="5103BEF1" w14:textId="77777777" w:rsidR="006406F4" w:rsidRDefault="006406F4">
      <w:r>
        <w:continuationSeparator/>
      </w:r>
    </w:p>
  </w:footnote>
  <w:footnote w:type="continuationNotice" w:id="1">
    <w:p w14:paraId="6291CDD1" w14:textId="77777777" w:rsidR="006406F4" w:rsidRDefault="006406F4">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The experts were from the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36BF075C"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7F66AF">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92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425"/>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11"/>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3FED"/>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2E5"/>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69"/>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6AF"/>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A2B"/>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17F17"/>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E03"/>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9B2"/>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6D6"/>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3B3"/>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877"/>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sbfgai4ndm@itu.int" TargetMode="External"/><Relationship Id="rId21" Type="http://schemas.openxmlformats.org/officeDocument/2006/relationships/hyperlink" Target="https://www.itu.int/pub/T-RES-T.101-2024" TargetMode="External"/><Relationship Id="rId42" Type="http://schemas.openxmlformats.org/officeDocument/2006/relationships/hyperlink" Target="https://www.itu.int/en/ITU-T/studygroups/Pages/default.aspx" TargetMode="External"/><Relationship Id="rId63" Type="http://schemas.openxmlformats.org/officeDocument/2006/relationships/hyperlink" Target="https://www.itu.int/pub/T-RES-T.101-2024" TargetMode="External"/><Relationship Id="rId84" Type="http://schemas.openxmlformats.org/officeDocument/2006/relationships/hyperlink" Target="https://www.itu.int/rec/T-REC-X.1150-202403-I/en" TargetMode="External"/><Relationship Id="rId138" Type="http://schemas.openxmlformats.org/officeDocument/2006/relationships/hyperlink" Target="http://www.itu.int/en/ITU-T/tsbdir/cto/Pages/default.aspx" TargetMode="External"/><Relationship Id="rId159" Type="http://schemas.openxmlformats.org/officeDocument/2006/relationships/hyperlink" Target="https://www.itu.int/pub/T-PROC-KALEI-2024" TargetMode="External"/><Relationship Id="rId170" Type="http://schemas.openxmlformats.org/officeDocument/2006/relationships/hyperlink" Target="https://www.itu.int/pub/T-SP-OB.1253-2022" TargetMode="External"/><Relationship Id="rId191" Type="http://schemas.openxmlformats.org/officeDocument/2006/relationships/hyperlink" Target="https://www.itu.int/pub/T-RES-T.32-2024" TargetMode="External"/><Relationship Id="rId205" Type="http://schemas.openxmlformats.org/officeDocument/2006/relationships/hyperlink" Target="https://unece.org/gender-responsive-standards-initiative" TargetMode="External"/><Relationship Id="rId226" Type="http://schemas.openxmlformats.org/officeDocument/2006/relationships/hyperlink" Target="https://www.itu.int/en/ITU-T/Workshops-and-Seminars/2024/1021/Pages/default.aspx" TargetMode="External"/><Relationship Id="rId107" Type="http://schemas.openxmlformats.org/officeDocument/2006/relationships/hyperlink" Target="https://www.itu.int/cities/wp-content/uploads/2024/07/ITU-Digital-Transformation-and-Cities-Digest-July2024.htm" TargetMode="External"/><Relationship Id="rId11" Type="http://schemas.openxmlformats.org/officeDocument/2006/relationships/image" Target="media/image1.png"/><Relationship Id="rId32" Type="http://schemas.openxmlformats.org/officeDocument/2006/relationships/hyperlink" Target="https://www.itu.int/en/ITU-T/extcoop/cits/Pages/egcomad.aspx" TargetMode="External"/><Relationship Id="rId53" Type="http://schemas.openxmlformats.org/officeDocument/2006/relationships/hyperlink" Target="https://www.itu.int/en/ITU-T/focusgroups/ainn/Pages/default.aspx" TargetMode="External"/><Relationship Id="rId74" Type="http://schemas.openxmlformats.org/officeDocument/2006/relationships/hyperlink" Target="https://www.itu.int/dms_pub/itu-t/opb/ai4g/T-AI4G-AI4GOOD-2024-2-PDF-E.pdf" TargetMode="External"/><Relationship Id="rId128" Type="http://schemas.openxmlformats.org/officeDocument/2006/relationships/hyperlink" Target="https://www.itu.int/initiatives/green-digital-action/events/cop29/world-standards-cooperation-paving-the-path-for-sustainability-by-design/" TargetMode="External"/><Relationship Id="rId149" Type="http://schemas.openxmlformats.org/officeDocument/2006/relationships/hyperlink" Target="https://www.itu.int/en/journal/j-fet/2024/002/Pages/default.aspx" TargetMode="External"/><Relationship Id="rId5" Type="http://schemas.openxmlformats.org/officeDocument/2006/relationships/numbering" Target="numbering.xml"/><Relationship Id="rId95" Type="http://schemas.openxmlformats.org/officeDocument/2006/relationships/hyperlink" Target="https://www.itu.int/cities/publications/" TargetMode="External"/><Relationship Id="rId160" Type="http://schemas.openxmlformats.org/officeDocument/2006/relationships/hyperlink" Target="https://ieeexplore.ieee.org/xpl/conhome/10772729/proceeding" TargetMode="External"/><Relationship Id="rId181" Type="http://schemas.openxmlformats.org/officeDocument/2006/relationships/hyperlink" Target="https://www.itu.int/en/ITU-T/extcoop/Documents/mou/MoU-ITU-T-IAF-ILAC-20220824.pdf" TargetMode="External"/><Relationship Id="rId216" Type="http://schemas.openxmlformats.org/officeDocument/2006/relationships/hyperlink" Target="https://intgovforum.org/en/content/igf-2024-open-forum-44-fostering-trust-embedding-human-rights-in-technical-standards-for" TargetMode="External"/><Relationship Id="rId22" Type="http://schemas.openxmlformats.org/officeDocument/2006/relationships/hyperlink" Target="https://aiforgood.itu.int/ai-standards/" TargetMode="External"/><Relationship Id="rId43" Type="http://schemas.openxmlformats.org/officeDocument/2006/relationships/hyperlink" Target="https://www.itu.int/go/tsg2/" TargetMode="External"/><Relationship Id="rId64" Type="http://schemas.openxmlformats.org/officeDocument/2006/relationships/hyperlink" Target="https://aiforgood.itu.int/ai-standards/" TargetMode="External"/><Relationship Id="rId118" Type="http://schemas.openxmlformats.org/officeDocument/2006/relationships/hyperlink" Target="https://fnc.itu.int/" TargetMode="External"/><Relationship Id="rId139" Type="http://schemas.openxmlformats.org/officeDocument/2006/relationships/hyperlink" Target="https://www.itu.int/en/ITU-T/tsbdir/CxO/Pages/CxO-20221206.aspx"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journal/j-fet/2024/001/Pages/default.aspx" TargetMode="External"/><Relationship Id="rId171" Type="http://schemas.openxmlformats.org/officeDocument/2006/relationships/hyperlink" Target="https://www.itu.int/pub/T-SP-OB.1256-2022" TargetMode="External"/><Relationship Id="rId192" Type="http://schemas.openxmlformats.org/officeDocument/2006/relationships/hyperlink" Target="https://www.itu.int/pub/T-RES-T.67-2024" TargetMode="External"/><Relationship Id="rId206" Type="http://schemas.openxmlformats.org/officeDocument/2006/relationships/hyperlink" Target="https://learnqi.unece.org/courses/gender-responsive-standards/" TargetMode="External"/><Relationship Id="rId227" Type="http://schemas.openxmlformats.org/officeDocument/2006/relationships/hyperlink" Target="https://www.itu.int/myworkspace/" TargetMode="External"/><Relationship Id="rId12" Type="http://schemas.openxmlformats.org/officeDocument/2006/relationships/hyperlink" Target="mailto:tsbtsag@itu.int" TargetMode="External"/><Relationship Id="rId33" Type="http://schemas.openxmlformats.org/officeDocument/2006/relationships/hyperlink" Target="https://www.itu.int/en/ITU-T/tsbdir/cto/Documents/Communique_ITU_CxO_2024.pdf" TargetMode="External"/><Relationship Id="rId108" Type="http://schemas.openxmlformats.org/officeDocument/2006/relationships/hyperlink" Target="https://www.itu.int/cities/dt-resource-hub/" TargetMode="External"/><Relationship Id="rId129" Type="http://schemas.openxmlformats.org/officeDocument/2006/relationships/hyperlink" Target="https://www.itu.int/initiatives/green-digital-action/events/cop29/green-technology-for-climate-solutions/" TargetMode="External"/><Relationship Id="rId54" Type="http://schemas.openxmlformats.org/officeDocument/2006/relationships/hyperlink" Target="https://aiforgood.itu.int/%22%20/t%20%22_blank" TargetMode="External"/><Relationship Id="rId75"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96" Type="http://schemas.openxmlformats.org/officeDocument/2006/relationships/hyperlink" Target="https://www.itu.int/cities/digitaltransformationdialogues/" TargetMode="External"/><Relationship Id="rId140" Type="http://schemas.openxmlformats.org/officeDocument/2006/relationships/hyperlink" Target="https://www.itu.int/en/ITU-T/tsbdir/cto/Documents/Communique_ITU_CxO_2024.pdf" TargetMode="External"/><Relationship Id="rId161" Type="http://schemas.openxmlformats.org/officeDocument/2006/relationships/hyperlink" Target="https://www.itu.int/en/ITU-T/C-I/Pages/default.aspx" TargetMode="External"/><Relationship Id="rId182" Type="http://schemas.openxmlformats.org/officeDocument/2006/relationships/hyperlink" Target="https://ilac.org/ilac-mra-and-signatories/" TargetMode="External"/><Relationship Id="rId217" Type="http://schemas.openxmlformats.org/officeDocument/2006/relationships/hyperlink" Target="https://oecd.ai/en/actionSUMMIT" TargetMode="External"/><Relationship Id="rId6" Type="http://schemas.openxmlformats.org/officeDocument/2006/relationships/styles" Target="styles.xml"/><Relationship Id="rId23" Type="http://schemas.openxmlformats.org/officeDocument/2006/relationships/hyperlink" Target="https://aiforgood.itu.int/summit24/" TargetMode="External"/><Relationship Id="rId119" Type="http://schemas.openxmlformats.org/officeDocument/2006/relationships/hyperlink" Target="https://www.itu.int/hub/2025/03/standards-shaping-the-future-of-connected-automated-and-safe-mobility/" TargetMode="External"/><Relationship Id="rId44" Type="http://schemas.openxmlformats.org/officeDocument/2006/relationships/hyperlink" Target="https://www.itu.int/go/tsg3" TargetMode="External"/><Relationship Id="rId65" Type="http://schemas.openxmlformats.org/officeDocument/2006/relationships/hyperlink" Target="https://aiforgood.itu.int/impact-initiative/" TargetMode="External"/><Relationship Id="rId86" Type="http://schemas.openxmlformats.org/officeDocument/2006/relationships/hyperlink" Target="https://www.itu.int/en/ITU-T/ssc/united/Pages/publication-U4SSC-KPIs.aspx" TargetMode="External"/><Relationship Id="rId130" Type="http://schemas.openxmlformats.org/officeDocument/2006/relationships/hyperlink" Target="https://www.itu.int/initiatives/green-digital-action/events/cop29/ict-sector-ghg-emissions/" TargetMode="External"/><Relationship Id="rId151" Type="http://schemas.openxmlformats.org/officeDocument/2006/relationships/hyperlink" Target="https://www.itu.int/en/journal/j-fet/2023/003/Pages/default.aspx" TargetMode="External"/><Relationship Id="rId172" Type="http://schemas.openxmlformats.org/officeDocument/2006/relationships/hyperlink" Target="https://www.itu.int/pub/T-SP/publications.aspx?parent=T-SP-OB.1263-2023" TargetMode="External"/><Relationship Id="rId193" Type="http://schemas.openxmlformats.org/officeDocument/2006/relationships/hyperlink" Target="https://www.itu.int/en/ITU-T/regional-groups/Pages/default.aspx" TargetMode="External"/><Relationship Id="rId207" Type="http://schemas.openxmlformats.org/officeDocument/2006/relationships/hyperlink" Target="mailto:NoW-T@itu.int" TargetMode="External"/><Relationship Id="rId228" Type="http://schemas.openxmlformats.org/officeDocument/2006/relationships/hyperlink" Target="https://www.itu.int/br_tsb_term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toolkit-dt4c.itu.int/" TargetMode="External"/><Relationship Id="rId34" Type="http://schemas.openxmlformats.org/officeDocument/2006/relationships/hyperlink" Target="https://www.itu.int/metaverse/un-virtual-worlds-day/" TargetMode="External"/><Relationship Id="rId55" Type="http://schemas.openxmlformats.org/officeDocument/2006/relationships/hyperlink" Target="https://www.itu.int/en/ITU-T/Workshops-and-Seminars/2024/Pages/default.aspx%22%20/t%20%22_blank" TargetMode="External"/><Relationship Id="rId76" Type="http://schemas.openxmlformats.org/officeDocument/2006/relationships/hyperlink" Target="https://www.itu.int/en/ITU-T/focusgroups/ai4a/Pages/default.aspx" TargetMode="External"/><Relationship Id="rId97" Type="http://schemas.openxmlformats.org/officeDocument/2006/relationships/hyperlink" Target="https://www.itu.int/cities/digitaltransformationdialogues/quantum-computing/" TargetMode="External"/><Relationship Id="rId120" Type="http://schemas.openxmlformats.org/officeDocument/2006/relationships/hyperlink" Target="https://www.itu.int/en/ITU-T/extcoop/cits/Pages/default.aspx" TargetMode="External"/><Relationship Id="rId141" Type="http://schemas.openxmlformats.org/officeDocument/2006/relationships/hyperlink" Target="https://www.itu.int/metaverse/virtual-worlds/" TargetMode="External"/><Relationship Id="rId7" Type="http://schemas.openxmlformats.org/officeDocument/2006/relationships/settings" Target="settings.xml"/><Relationship Id="rId162" Type="http://schemas.openxmlformats.org/officeDocument/2006/relationships/hyperlink" Target="https://www.itu.int/en/ITU-T/studygroups/com11/casc/Documents/TL-RP_pub_2022-07-15.pdf" TargetMode="External"/><Relationship Id="rId183" Type="http://schemas.openxmlformats.org/officeDocument/2006/relationships/hyperlink" Target="https://itu.int/go/citest" TargetMode="External"/><Relationship Id="rId218"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24" Type="http://schemas.openxmlformats.org/officeDocument/2006/relationships/hyperlink" Target="https://aiforgood.itu.int/impact-initiative/" TargetMode="External"/><Relationship Id="rId45" Type="http://schemas.openxmlformats.org/officeDocument/2006/relationships/hyperlink" Target="https://www.itu.int/go/tsg11" TargetMode="External"/><Relationship Id="rId66" Type="http://schemas.openxmlformats.org/officeDocument/2006/relationships/hyperlink" Target="https://aiforgood.itu.int/event/ai-for-good-impact-india/" TargetMode="External"/><Relationship Id="rId87" Type="http://schemas.openxmlformats.org/officeDocument/2006/relationships/hyperlink" Target="https://u4ssc.itu.int/publications/" TargetMode="External"/><Relationship Id="rId110" Type="http://schemas.openxmlformats.org/officeDocument/2006/relationships/hyperlink" Target="https://www.itu.int/en/ITU-T/focusgroups/ai4ndm/Pages/default.aspx" TargetMode="External"/><Relationship Id="rId131" Type="http://schemas.openxmlformats.org/officeDocument/2006/relationships/hyperlink" Target="https://www.itu.int/initiatives/green-digital-action/events/cop29/success-and-gaps-in-green-ai/" TargetMode="External"/><Relationship Id="rId152" Type="http://schemas.openxmlformats.org/officeDocument/2006/relationships/hyperlink" Target="https://www.itu.int/en/journal/j-fet/2024/003/Pages/default.aspx" TargetMode="External"/><Relationship Id="rId173" Type="http://schemas.openxmlformats.org/officeDocument/2006/relationships/hyperlink" Target="https://www.itu.int/pub/T-SP-OB.1266-2023" TargetMode="External"/><Relationship Id="rId194" Type="http://schemas.openxmlformats.org/officeDocument/2006/relationships/chart" Target="charts/chart1.xml"/><Relationship Id="rId208" Type="http://schemas.openxmlformats.org/officeDocument/2006/relationships/chart" Target="charts/chart3.xml"/><Relationship Id="rId229" Type="http://schemas.openxmlformats.org/officeDocument/2006/relationships/header" Target="header1.xml"/><Relationship Id="rId14" Type="http://schemas.openxmlformats.org/officeDocument/2006/relationships/hyperlink" Target="https://www.itu.int/en/ITU-T/studygroups/2025-2028/Pages/default.aspx" TargetMode="External"/><Relationship Id="rId35" Type="http://schemas.openxmlformats.org/officeDocument/2006/relationships/hyperlink" Target="https://www.itu.int/metaverse/virtual-worlds/" TargetMode="External"/><Relationship Id="rId56" Type="http://schemas.openxmlformats.org/officeDocument/2006/relationships/hyperlink" Target="https://www.itu.int/wtsa/2024/related-events/" TargetMode="External"/><Relationship Id="rId77" Type="http://schemas.openxmlformats.org/officeDocument/2006/relationships/hyperlink" Target="https://aiforgood.itu.int/about-us/discovery/" TargetMode="External"/><Relationship Id="rId100" Type="http://schemas.openxmlformats.org/officeDocument/2006/relationships/hyperlink" Target="https://www.itu.int/cities/distributed-ledger-technology/" TargetMode="External"/><Relationship Id="rId8" Type="http://schemas.openxmlformats.org/officeDocument/2006/relationships/webSettings" Target="webSettings.xml"/><Relationship Id="rId98" Type="http://schemas.openxmlformats.org/officeDocument/2006/relationships/hyperlink" Target="https://www.itu.int/cities/digitaltransformationdialogues/machine-learning/" TargetMode="External"/><Relationship Id="rId121" Type="http://schemas.openxmlformats.org/officeDocument/2006/relationships/hyperlink" Target="https://www.itu.int/net4/ITU-T/landscape" TargetMode="External"/><Relationship Id="rId142" Type="http://schemas.openxmlformats.org/officeDocument/2006/relationships/hyperlink" Target="https://www.itu.int/un-virtual-worlds-day/2025/" TargetMode="External"/><Relationship Id="rId163" Type="http://schemas.openxmlformats.org/officeDocument/2006/relationships/hyperlink" Target="https://itu.int/go/tldb" TargetMode="External"/><Relationship Id="rId184" Type="http://schemas.openxmlformats.org/officeDocument/2006/relationships/image" Target="media/image2.png"/><Relationship Id="rId219" Type="http://schemas.openxmlformats.org/officeDocument/2006/relationships/hyperlink" Target="https://aistandardshub.org/global-summit/" TargetMode="External"/><Relationship Id="rId230" Type="http://schemas.openxmlformats.org/officeDocument/2006/relationships/fontTable" Target="fontTable.xml"/><Relationship Id="rId25" Type="http://schemas.openxmlformats.org/officeDocument/2006/relationships/hyperlink" Target="https://www.itu.int/en/ITU-T/dfs/seclab/Pages/default.aspx" TargetMode="External"/><Relationship Id="rId46" Type="http://schemas.openxmlformats.org/officeDocument/2006/relationships/hyperlink" Target="https://www.itu.int/go/tsg12" TargetMode="External"/><Relationship Id="rId67" Type="http://schemas.openxmlformats.org/officeDocument/2006/relationships/hyperlink" Target="https://aiforgood.itu.int/event/ai-for-good-impact-africa/" TargetMode="External"/><Relationship Id="rId116" Type="http://schemas.openxmlformats.org/officeDocument/2006/relationships/hyperlink" Target="https://apmcdrr.undrr.org/conference-event/ai-innovations-disaster-risk-reduction-and-management-enhancing-systemic-risk" TargetMode="External"/><Relationship Id="rId137" Type="http://schemas.openxmlformats.org/officeDocument/2006/relationships/hyperlink" Target="https://www.itu.int/pub/T-ENV-ENV-2025-1" TargetMode="External"/><Relationship Id="rId158" Type="http://schemas.openxmlformats.org/officeDocument/2006/relationships/hyperlink" Target="https://www.itu.int/en/ITU-T/academia/kaleidoscope/2024/Pages/programme.aspx" TargetMode="External"/><Relationship Id="rId20" Type="http://schemas.openxmlformats.org/officeDocument/2006/relationships/hyperlink" Target="https://aiforgood.itu.int/event/detecting-deepfakes-and-generative-ai-standards-for-ai-watermarking-and-multimedia-authenticity/" TargetMode="External"/><Relationship Id="rId41" Type="http://schemas.openxmlformats.org/officeDocument/2006/relationships/hyperlink" Target="https://www.itu.int/en/ITU-T/publications/Pages/recs.aspx" TargetMode="External"/><Relationship Id="rId62" Type="http://schemas.openxmlformats.org/officeDocument/2006/relationships/hyperlink" Target="https://aiforgood.itu.int/summit25/programme/" TargetMode="External"/><Relationship Id="rId83" Type="http://schemas.openxmlformats.org/officeDocument/2006/relationships/hyperlink" Target="https://www.itu.int/en/ITU-T/dfs/seclab/Pages/default.aspx" TargetMode="External"/><Relationship Id="rId88" Type="http://schemas.openxmlformats.org/officeDocument/2006/relationships/hyperlink" Target="https://www.itu.int/cities/publications/" TargetMode="External"/><Relationship Id="rId111" Type="http://schemas.openxmlformats.org/officeDocument/2006/relationships/hyperlink" Target="https://www.itu.int/en/ITU-T/extcoop/ai4resilience/Pages/default.aspx" TargetMode="External"/><Relationship Id="rId132" Type="http://schemas.openxmlformats.org/officeDocument/2006/relationships/hyperlink" Target="https://www.itu.int/en/ITU-T/Workshops-and-Seminars/2024/1211/Pages/default.aspx" TargetMode="External"/><Relationship Id="rId153" Type="http://schemas.openxmlformats.org/officeDocument/2006/relationships/hyperlink" Target="https://www.itu.int/pub/S-JNL-VOL6.ISSUE1" TargetMode="External"/><Relationship Id="rId174" Type="http://schemas.openxmlformats.org/officeDocument/2006/relationships/hyperlink" Target="https://www.itu.int/pub/T-SP-OB.1283-2024" TargetMode="External"/><Relationship Id="rId179" Type="http://schemas.openxmlformats.org/officeDocument/2006/relationships/hyperlink" Target="https://www.itu.int/en/ITU-T/C-I/conformity/Pages/cdb.aspx" TargetMode="External"/><Relationship Id="rId195" Type="http://schemas.openxmlformats.org/officeDocument/2006/relationships/chart" Target="charts/chart2.xml"/><Relationship Id="rId209" Type="http://schemas.openxmlformats.org/officeDocument/2006/relationships/chart" Target="charts/chart4.xml"/><Relationship Id="rId190" Type="http://schemas.openxmlformats.org/officeDocument/2006/relationships/hyperlink" Target="https://www.itu.int/myworkspace/" TargetMode="External"/><Relationship Id="rId204" Type="http://schemas.openxmlformats.org/officeDocument/2006/relationships/hyperlink" Target="https://www.itu.int/en/ITU-T/NoW/Pages/default.aspx" TargetMode="External"/><Relationship Id="rId220" Type="http://schemas.openxmlformats.org/officeDocument/2006/relationships/hyperlink" Target="https://globethics.net/events/un-panel-discussion-ai-and-global-human-rights-challenges" TargetMode="External"/><Relationship Id="rId225" Type="http://schemas.openxmlformats.org/officeDocument/2006/relationships/hyperlink" Target="https://freedomonlinecoalition.com/joint-statement-technical-standards-and-human-rights-in-the-context-of-digital-technologies/" TargetMode="Externa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en/ITU-T/academia/kaleidoscope/2024/Pages/default.aspx" TargetMode="External"/><Relationship Id="rId57" Type="http://schemas.openxmlformats.org/officeDocument/2006/relationships/hyperlink" Target="https://www.itu.int/cities/digitaltransformationdialogues/" TargetMode="External"/><Relationship Id="rId106" Type="http://schemas.openxmlformats.org/officeDocument/2006/relationships/hyperlink" Target="https://www.itu.int/cities/wp-content/uploads/2024/09/Digest-September-2024.htm" TargetMode="External"/><Relationship Id="rId127" Type="http://schemas.openxmlformats.org/officeDocument/2006/relationships/hyperlink" Target="https://www.itu.int/initiatives/green-digital-action/events/cop29/shaping-together-a-more-sustainable-ict-sector-standards-challenges-and-opportunities/" TargetMode="External"/><Relationship Id="rId10" Type="http://schemas.openxmlformats.org/officeDocument/2006/relationships/endnotes" Target="endnotes.xml"/><Relationship Id="rId31" Type="http://schemas.openxmlformats.org/officeDocument/2006/relationships/hyperlink" Target="https://www.itu.int/en/ITU-T/extcoop/cits/Pages/default.aspx" TargetMode="External"/><Relationship Id="rId52" Type="http://schemas.openxmlformats.org/officeDocument/2006/relationships/hyperlink" Target="https://www.itu.int/en/ITU-T/focusgroups/cd/Pages/default.aspx" TargetMode="External"/><Relationship Id="rId73" Type="http://schemas.openxmlformats.org/officeDocument/2006/relationships/hyperlink" Target="https://aiforgood.itu.int/innovate-for-impact-2025" TargetMode="External"/><Relationship Id="rId78" Type="http://schemas.openxmlformats.org/officeDocument/2006/relationships/hyperlink" Target="https://aiforgood.itu.int/about-us/innovation-factory/" TargetMode="External"/><Relationship Id="rId94" Type="http://schemas.openxmlformats.org/officeDocument/2006/relationships/hyperlink" Target="https://u4ssc.itu.int/publications/" TargetMode="External"/><Relationship Id="rId99" Type="http://schemas.openxmlformats.org/officeDocument/2006/relationships/hyperlink" Target="https://www.itu.int/cities/smart-submarine-cables/" TargetMode="External"/><Relationship Id="rId101" Type="http://schemas.openxmlformats.org/officeDocument/2006/relationships/hyperlink" Target="https://www.itu.int/cities/digitaltransformationdialogues/africa-virtual-worlds/" TargetMode="External"/><Relationship Id="rId122" Type="http://schemas.openxmlformats.org/officeDocument/2006/relationships/hyperlink" Target="https://www.itu.int/en/ITU-T/extcoop/cits/Pages/egcomad.aspx" TargetMode="External"/><Relationship Id="rId143" Type="http://schemas.openxmlformats.org/officeDocument/2006/relationships/hyperlink" Target="https://www.itu.int/metaverse/virtual-worlds/1st-un-citiverse-challenge/" TargetMode="External"/><Relationship Id="rId148" Type="http://schemas.openxmlformats.org/officeDocument/2006/relationships/hyperlink" Target="https://www.itu.int/en/journal/j-fet/Pages/default.aspx" TargetMode="External"/><Relationship Id="rId164" Type="http://schemas.openxmlformats.org/officeDocument/2006/relationships/hyperlink" Target="https://www.itu.int/en/ITU-T/studygroups/com11/casc/Documents/Guideline_CASC_EXP_RP-10-2019.pdf" TargetMode="External"/><Relationship Id="rId169" Type="http://schemas.openxmlformats.org/officeDocument/2006/relationships/hyperlink" Target="https://itu.int/go/tldb" TargetMode="External"/><Relationship Id="rId185" Type="http://schemas.openxmlformats.org/officeDocument/2006/relationships/hyperlink" Target="https://www.itu.int/pub/T-RES-T.44-202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SG11-230510-TD-GEN-0507/en" TargetMode="External"/><Relationship Id="rId210" Type="http://schemas.openxmlformats.org/officeDocument/2006/relationships/chart" Target="charts/chart5.xml"/><Relationship Id="rId215" Type="http://schemas.openxmlformats.org/officeDocument/2006/relationships/hyperlink" Target="https://geneva-academy.ch/event/ghrp-annual-conference/detail/471-2024-annual-conference-of-the-geneva-human-rights-platform" TargetMode="External"/><Relationship Id="rId26" Type="http://schemas.openxmlformats.org/officeDocument/2006/relationships/hyperlink" Target="https://u4ssc.itu.int/" TargetMode="External"/><Relationship Id="rId231" Type="http://schemas.openxmlformats.org/officeDocument/2006/relationships/theme" Target="theme/theme1.xml"/><Relationship Id="rId47" Type="http://schemas.openxmlformats.org/officeDocument/2006/relationships/hyperlink" Target="https://www.itu.int/go/tsg13" TargetMode="External"/><Relationship Id="rId68" Type="http://schemas.openxmlformats.org/officeDocument/2006/relationships/hyperlink" Target="https://aiforgood.itu.int/about-ai-for-good/aiml-in-5g-challenge/" TargetMode="External"/><Relationship Id="rId89" Type="http://schemas.openxmlformats.org/officeDocument/2006/relationships/hyperlink" Target="https://www.itu.int/net/epub/TSB/2024-U4SSC-Key-Performance-Indicators-for-People-Centered-Cities-For-city-leaders/index.html" TargetMode="External"/><Relationship Id="rId112" Type="http://schemas.openxmlformats.org/officeDocument/2006/relationships/hyperlink" Target="https://www.itu.int/hub/2025/04/ai-standards-and-future-disaster-resilience/" TargetMode="External"/><Relationship Id="rId133" Type="http://schemas.openxmlformats.org/officeDocument/2006/relationships/hyperlink" Target="https://isarc.ieee.org/" TargetMode="External"/><Relationship Id="rId154" Type="http://schemas.openxmlformats.org/officeDocument/2006/relationships/hyperlink" Target="https://www.itu.int/en/journal/j-fet/2025/002/Pages/default.aspx" TargetMode="External"/><Relationship Id="rId175" Type="http://schemas.openxmlformats.org/officeDocument/2006/relationships/hyperlink" Target="https://www.itu.int/pub/T-SP-OB.1286-2024" TargetMode="External"/><Relationship Id="rId196" Type="http://schemas.openxmlformats.org/officeDocument/2006/relationships/hyperlink" Target="https://www.itu.int/en/ITU-T/NoW/Pages/default.aspx" TargetMode="External"/><Relationship Id="rId200" Type="http://schemas.openxmlformats.org/officeDocument/2006/relationships/hyperlink" Target="https://www.itu.int/md/meetingdoc.asp?lang=en&amp;parent=T25-TSAG-250526-TD-GEN-0077" TargetMode="External"/><Relationship Id="rId16" Type="http://schemas.openxmlformats.org/officeDocument/2006/relationships/hyperlink" Target="https://www.itu.int/en/ITU-T/Workshops-and-Seminars/Pages/default.aspx" TargetMode="External"/><Relationship Id="rId221" Type="http://schemas.openxmlformats.org/officeDocument/2006/relationships/hyperlink" Target="https://www.ohchr.org/en/hr-bodies/hrc/regular-sessions/session58/regular-session" TargetMode="External"/><Relationship Id="rId37" Type="http://schemas.openxmlformats.org/officeDocument/2006/relationships/hyperlink" Target="https://www.itu.int/en/ITU-T/C-I/Pages/default.aspx" TargetMode="External"/><Relationship Id="rId58" Type="http://schemas.openxmlformats.org/officeDocument/2006/relationships/hyperlink" Target="https://www.itu.int/en/ITU-T/extcoop/Pages/mou.aspx" TargetMode="External"/><Relationship Id="rId79" Type="http://schemas.openxmlformats.org/officeDocument/2006/relationships/hyperlink" Target="https://aiforgood.itu.int/robotics-for-good-youth-challenge/" TargetMode="External"/><Relationship Id="rId102" Type="http://schemas.openxmlformats.org/officeDocument/2006/relationships/hyperlink" Target="https://www.itu.int/cities/digitaltransformationdialogues/world-cities-day/" TargetMode="External"/><Relationship Id="rId123" Type="http://schemas.openxmlformats.org/officeDocument/2006/relationships/hyperlink" Target="https://www.itu.int/en/ITU-T/ITS/Pages/default.aspx" TargetMode="External"/><Relationship Id="rId144" Type="http://schemas.openxmlformats.org/officeDocument/2006/relationships/hyperlink" Target="https://www.itu.int/ITU-T/workprog/wp_item.aspx?isn=18961" TargetMode="External"/><Relationship Id="rId90" Type="http://schemas.openxmlformats.org/officeDocument/2006/relationships/hyperlink" Target="https://www.itu.int/net/epub/TSB/2024-U4SSC-Initiative-Connecting-Communities-Empowering-People/index.html" TargetMode="External"/><Relationship Id="rId165" Type="http://schemas.openxmlformats.org/officeDocument/2006/relationships/hyperlink" Target="https://www.itu.int/en/ITU-T/studygroups/com11/casc/Documents/List-ITU-technical%20experts-CASC-Oct23.pdf" TargetMode="External"/><Relationship Id="rId186" Type="http://schemas.openxmlformats.org/officeDocument/2006/relationships/hyperlink" Target="https://www.itu.int/en/ITU-T/gap/Pages/default.aspx" TargetMode="External"/><Relationship Id="rId211" Type="http://schemas.openxmlformats.org/officeDocument/2006/relationships/hyperlink" Target="https://www.itu.int/net4/wsis/forum/2024/Agenda/Session/246" TargetMode="External"/><Relationship Id="rId27" Type="http://schemas.openxmlformats.org/officeDocument/2006/relationships/hyperlink" Target="https://www.itu.int/cities/digitaltransformationdialogues/" TargetMode="External"/><Relationship Id="rId48" Type="http://schemas.openxmlformats.org/officeDocument/2006/relationships/hyperlink" Target="https://www.itu.int/go/tsg15" TargetMode="External"/><Relationship Id="rId69" Type="http://schemas.openxmlformats.org/officeDocument/2006/relationships/hyperlink" Target="https://aiforgood.itu.int/about-ai-for-good/aiml-in-5g-challenge/" TargetMode="External"/><Relationship Id="rId113" Type="http://schemas.openxmlformats.org/officeDocument/2006/relationships/hyperlink" Target="https://www.itu.int/en/ITU-T/Workshops-and-Seminars/2025/0508/Pages/default.aspx" TargetMode="External"/><Relationship Id="rId134" Type="http://schemas.openxmlformats.org/officeDocument/2006/relationships/hyperlink" Target="https://www.itu.int/t/aap/recdetails/10858" TargetMode="External"/><Relationship Id="rId80" Type="http://schemas.openxmlformats.org/officeDocument/2006/relationships/hyperlink" Target="https://aiforgood.itu.int/about-us/aiml-in-5g-challenge/" TargetMode="External"/><Relationship Id="rId155" Type="http://schemas.openxmlformats.org/officeDocument/2006/relationships/hyperlink" Target="https://www.itu.int/en/journal/j-fet/2025/003/Pages/default.aspx" TargetMode="External"/><Relationship Id="rId176" Type="http://schemas.openxmlformats.org/officeDocument/2006/relationships/hyperlink" Target="https://www.itu.int/pub/T-SP-OB.1293-2024" TargetMode="External"/><Relationship Id="rId197" Type="http://schemas.openxmlformats.org/officeDocument/2006/relationships/hyperlink" Target="mailto:nowinitut@lists.itu.int" TargetMode="External"/><Relationship Id="rId201" Type="http://schemas.openxmlformats.org/officeDocument/2006/relationships/hyperlink" Target="https://www.itu.int/md/T22-TSAG-230530-TD-GEN-0196/en" TargetMode="External"/><Relationship Id="rId222" Type="http://schemas.openxmlformats.org/officeDocument/2006/relationships/hyperlink" Target="https://aiforgood.itu.int/event/detecting-deepfakes-and-generative-ai-standards-for-ai-watermarking-and-multimedia-authenticity/" TargetMode="External"/><Relationship Id="rId17" Type="http://schemas.openxmlformats.org/officeDocument/2006/relationships/hyperlink" Target="https://aiforgood.itu.int/" TargetMode="External"/><Relationship Id="rId38" Type="http://schemas.openxmlformats.org/officeDocument/2006/relationships/hyperlink" Target="https://www.itu.int/bsg/" TargetMode="External"/><Relationship Id="rId59" Type="http://schemas.openxmlformats.org/officeDocument/2006/relationships/hyperlink" Target="https://aiforgood.itu.int/event/detecting-deepfakes-and-generative-ai-standards-for-ai-watermarking-and-multimedia-authenticity/" TargetMode="External"/><Relationship Id="rId103" Type="http://schemas.openxmlformats.org/officeDocument/2006/relationships/hyperlink" Target="https://www.itu.int/cities/dt-digest/" TargetMode="External"/><Relationship Id="rId124" Type="http://schemas.openxmlformats.org/officeDocument/2006/relationships/hyperlink" Target="https://www.itu.int/initiatives/green-digital-action/" TargetMode="External"/><Relationship Id="rId70" Type="http://schemas.openxmlformats.org/officeDocument/2006/relationships/hyperlink" Target="https://aiforgood.itu.int/robotics-for-good-youth-challenge/" TargetMode="External"/><Relationship Id="rId91" Type="http://schemas.openxmlformats.org/officeDocument/2006/relationships/hyperlink" Target="https://www.itu.int/net/epub/TSB/2024-U4SSC-Policy-benchmarks-for-digital-transformation-of-people-centre/index.html" TargetMode="External"/><Relationship Id="rId145" Type="http://schemas.openxmlformats.org/officeDocument/2006/relationships/hyperlink" Target="https://www.itu.int/hub/membership/" TargetMode="External"/><Relationship Id="rId166" Type="http://schemas.openxmlformats.org/officeDocument/2006/relationships/hyperlink" Target="https://www.itu.int/md/meetingdoc.asp?lang=en&amp;parent=T17-TSB-CIR-0368" TargetMode="External"/><Relationship Id="rId187" Type="http://schemas.openxmlformats.org/officeDocument/2006/relationships/hyperlink" Target="https://www.itu.int/en/ITU-T/info/Pages/resources.aspx" TargetMode="External"/><Relationship Id="rId1" Type="http://schemas.openxmlformats.org/officeDocument/2006/relationships/customXml" Target="../customXml/item1.xml"/><Relationship Id="rId212" Type="http://schemas.openxmlformats.org/officeDocument/2006/relationships/hyperlink" Target="https://www.hsbooster.eu/events/webinar-human-rights-standards" TargetMode="External"/><Relationship Id="rId28" Type="http://schemas.openxmlformats.org/officeDocument/2006/relationships/hyperlink" Target="https://www.itu.int/en/ITU-T/extcoop/ai4resilience/Pages/default.aspx" TargetMode="External"/><Relationship Id="rId49" Type="http://schemas.openxmlformats.org/officeDocument/2006/relationships/hyperlink" Target="https://www.itu.int/go/tsg17" TargetMode="External"/><Relationship Id="rId114" Type="http://schemas.openxmlformats.org/officeDocument/2006/relationships/hyperlink" Target="https://unfccc.int/event/bridging-the-digital-divide-ensuring-inclusive-frontier-technology-for-climate-action" TargetMode="External"/><Relationship Id="rId60" Type="http://schemas.openxmlformats.org/officeDocument/2006/relationships/hyperlink" Target="https://aiforgood.itu.int/" TargetMode="External"/><Relationship Id="rId81" Type="http://schemas.openxmlformats.org/officeDocument/2006/relationships/hyperlink" Target="https://aiforgood.itu.int/young-ai-leaders-community/" TargetMode="External"/><Relationship Id="rId135" Type="http://schemas.openxmlformats.org/officeDocument/2006/relationships/hyperlink" Target="https://www.itu.int/pub/T-ENV-ENV-2024-1" TargetMode="External"/><Relationship Id="rId156" Type="http://schemas.openxmlformats.org/officeDocument/2006/relationships/hyperlink" Target="https://www.itu.int/en/journal/j-fet/2025/004/Pages/default.aspx" TargetMode="External"/><Relationship Id="rId177" Type="http://schemas.openxmlformats.org/officeDocument/2006/relationships/hyperlink" Target="https://itu.int/go/tcdb" TargetMode="External"/><Relationship Id="rId198" Type="http://schemas.openxmlformats.org/officeDocument/2006/relationships/hyperlink" Target="https://www.itu.int/net4/iwm?p0=0&amp;p11=ITU&amp;p12=ITU-SEP-ITU-T-SEP-Other%20Groups-SEP-Network%20of%20Women%20in%20ITU-T&amp;p21=ITU&amp;p22=ITU" TargetMode="External"/><Relationship Id="rId202" Type="http://schemas.openxmlformats.org/officeDocument/2006/relationships/hyperlink" Target="https://www.itu.int/wtsa/2024/now/" TargetMode="External"/><Relationship Id="rId223" Type="http://schemas.openxmlformats.org/officeDocument/2006/relationships/hyperlink" Target="https://www.itu.int/pub/T-RES-T.105-2024" TargetMode="External"/><Relationship Id="rId18" Type="http://schemas.openxmlformats.org/officeDocument/2006/relationships/hyperlink" Target="https://www.itu.int/myworkspace/" TargetMode="External"/><Relationship Id="rId39" Type="http://schemas.openxmlformats.org/officeDocument/2006/relationships/hyperlink" Target="https://www.itu.int/en/ITU-T/NoW/Pages/default.aspx" TargetMode="External"/><Relationship Id="rId50" Type="http://schemas.openxmlformats.org/officeDocument/2006/relationships/hyperlink" Target="https://www.itu.int/go/tsg20" TargetMode="External"/><Relationship Id="rId104" Type="http://schemas.openxmlformats.org/officeDocument/2006/relationships/hyperlink" Target="https://www.itu.int/cities/wp-content/uploads/2025/03/Digest-March-2025.htm" TargetMode="External"/><Relationship Id="rId125" Type="http://schemas.openxmlformats.org/officeDocument/2006/relationships/hyperlink" Target="https://www.itu.int/initiatives/green-digital-action-atcop28/" TargetMode="External"/><Relationship Id="rId146" Type="http://schemas.openxmlformats.org/officeDocument/2006/relationships/hyperlink" Target="https://www.itu.int/en/journal/j-fet/Pages/default.aspx" TargetMode="External"/><Relationship Id="rId167" Type="http://schemas.openxmlformats.org/officeDocument/2006/relationships/hyperlink" Target="https://www.itu.int/net/itu-t/cdb/secured/reg-tldb.aspx" TargetMode="External"/><Relationship Id="rId188" Type="http://schemas.openxmlformats.org/officeDocument/2006/relationships/hyperlink" Target="https://www.itu.int/pub/T-RES-T.55-2024" TargetMode="External"/><Relationship Id="rId71" Type="http://schemas.openxmlformats.org/officeDocument/2006/relationships/hyperlink" Target="https://aiforgood.itu.int/about-ai-for-good/innovation-factory/" TargetMode="External"/><Relationship Id="rId92" Type="http://schemas.openxmlformats.org/officeDocument/2006/relationships/hyperlink" Target="https://www.itu.int/net/epub/TSB/2024-U4SSC-Data-and-API-requirements-for-centralized-smart-city-platforms/index.html" TargetMode="External"/><Relationship Id="rId213" Type="http://schemas.openxmlformats.org/officeDocument/2006/relationships/hyperlink" Target="https://mzv.gov.cz/mission.geneva/en/expert_roundtable_at_itu_with_african.html" TargetMode="External"/><Relationship Id="rId2" Type="http://schemas.openxmlformats.org/officeDocument/2006/relationships/customXml" Target="../customXml/item2.xml"/><Relationship Id="rId29" Type="http://schemas.openxmlformats.org/officeDocument/2006/relationships/hyperlink" Target="https://www.itu.int/en/ITU-T/focusgroups/ai4ndm/Pages/default.aspx" TargetMode="External"/><Relationship Id="rId40" Type="http://schemas.openxmlformats.org/officeDocument/2006/relationships/hyperlink" Target="https://www.itu.int/ITU-T/workprog/wp_search.aspx?isn_sp=9677&amp;isn_status=-1,7,2&amp;adf=2024-07-23&amp;adt=2025-05-26&amp;pg_size=100&amp;details=0&amp;field=acdefghijo" TargetMode="External"/><Relationship Id="rId115" Type="http://schemas.openxmlformats.org/officeDocument/2006/relationships/hyperlink" Target="https://www.itu.int/en/ITU-T/Workshops-and-Seminars/2024/1017/Pages/default.aspx" TargetMode="External"/><Relationship Id="rId136" Type="http://schemas.openxmlformats.org/officeDocument/2006/relationships/hyperlink" Target="https://www.sustainableaicoalition.org/wp-content/uploads/Standardization_AI_Sustainability.pdf" TargetMode="External"/><Relationship Id="rId157" Type="http://schemas.openxmlformats.org/officeDocument/2006/relationships/hyperlink" Target="https://www.itu.int/en/ITU-T/academia/kaleidoscope/Pages/default.aspx" TargetMode="External"/><Relationship Id="rId178" Type="http://schemas.openxmlformats.org/officeDocument/2006/relationships/hyperlink" Target="https://www.itu.int/net/itu-t/cdb/secured/Register16.aspx" TargetMode="External"/><Relationship Id="rId61" Type="http://schemas.openxmlformats.org/officeDocument/2006/relationships/hyperlink" Target="https://aiforgood.itu.int/" TargetMode="External"/><Relationship Id="rId82" Type="http://schemas.openxmlformats.org/officeDocument/2006/relationships/hyperlink" Target="https://www.itu.int/en/ITU-T/dfs/Pages/default.aspx" TargetMode="External"/><Relationship Id="rId199" Type="http://schemas.openxmlformats.org/officeDocument/2006/relationships/hyperlink" Target="https://www.itu.int/md/T25-TSB-CIR-0025/en" TargetMode="External"/><Relationship Id="rId203" Type="http://schemas.openxmlformats.org/officeDocument/2006/relationships/hyperlink" Target="https://www.itu.int/en/ITU-T/NoW/events/20241017/Pages/default.aspx" TargetMode="External"/><Relationship Id="rId19" Type="http://schemas.openxmlformats.org/officeDocument/2006/relationships/hyperlink" Target="https://www.itu.int/md/T25-TSAG-250526-TD-GEN-0011" TargetMode="External"/><Relationship Id="rId224" Type="http://schemas.openxmlformats.org/officeDocument/2006/relationships/hyperlink" Target="https://www.itu.int/pub/T-RES-T.101-2024" TargetMode="External"/><Relationship Id="rId30" Type="http://schemas.openxmlformats.org/officeDocument/2006/relationships/hyperlink" Target="https://fnc.itu.int/" TargetMode="External"/><Relationship Id="rId105" Type="http://schemas.openxmlformats.org/officeDocument/2006/relationships/hyperlink" Target="https://www.itu.int/cities/wp-content/uploads/2024/12/Digest-December-2024.htm" TargetMode="External"/><Relationship Id="rId126" Type="http://schemas.openxmlformats.org/officeDocument/2006/relationships/hyperlink" Target="https://www.itu.int/initiatives/green-digital-action/events/cop29/ai-for-climate-action-innovation-factory/"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pub/T-SP" TargetMode="External"/><Relationship Id="rId51" Type="http://schemas.openxmlformats.org/officeDocument/2006/relationships/hyperlink" Target="https://www.itu.int/go/tsg21" TargetMode="External"/><Relationship Id="rId72" Type="http://schemas.openxmlformats.org/officeDocument/2006/relationships/hyperlink" Target="https://aiforgood.itu.int/ai-skills-coalition/" TargetMode="External"/><Relationship Id="rId93" Type="http://schemas.openxmlformats.org/officeDocument/2006/relationships/hyperlink" Target="https://u4ssc.itu.int/latest-meetings/8th-meeting/" TargetMode="External"/><Relationship Id="rId189" Type="http://schemas.openxmlformats.org/officeDocument/2006/relationships/hyperlink" Target="https://www.itu.int/pub/T-RES-T.107-2024" TargetMode="External"/><Relationship Id="rId3" Type="http://schemas.openxmlformats.org/officeDocument/2006/relationships/customXml" Target="../customXml/item3.xml"/><Relationship Id="rId214" Type="http://schemas.openxmlformats.org/officeDocument/2006/relationships/hyperlink" Target="https://indico.un.org/event/1012808/sessions/118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0E869285-E571-45CD-B2D5-20FF25184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5AFF9A0D-7BFE-43F6-B6F1-D5B6712024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10281</Words>
  <Characters>66294</Characters>
  <Application>Microsoft Office Word</Application>
  <DocSecurity>0</DocSecurity>
  <Lines>552</Lines>
  <Paragraphs>152</Paragraphs>
  <ScaleCrop>false</ScaleCrop>
  <Manager>ITU-T</Manager>
  <Company>International Telecommunication Union (ITU)</Company>
  <LinksUpToDate>false</LinksUpToDate>
  <CharactersWithSpaces>76423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5</cp:revision>
  <cp:lastPrinted>2018-10-12T21:17:00Z</cp:lastPrinted>
  <dcterms:created xsi:type="dcterms:W3CDTF">2025-05-19T10:15:00Z</dcterms:created>
  <dcterms:modified xsi:type="dcterms:W3CDTF">2025-05-19T10:20:00Z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