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80"/>
        <w:tblW w:w="9990"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2193"/>
      </w:tblGrid>
      <w:tr w:rsidR="003E5F3C" w:rsidRPr="00697BC1" w14:paraId="08493344" w14:textId="77777777" w:rsidTr="001032F8">
        <w:trPr>
          <w:cantSplit/>
        </w:trPr>
        <w:tc>
          <w:tcPr>
            <w:tcW w:w="1418" w:type="dxa"/>
            <w:gridSpan w:val="3"/>
            <w:vAlign w:val="center"/>
          </w:tcPr>
          <w:p w14:paraId="70F4BCF9" w14:textId="77777777" w:rsidR="003E5F3C" w:rsidRPr="00697BC1" w:rsidRDefault="0010404C" w:rsidP="001032F8">
            <w:pPr>
              <w:tabs>
                <w:tab w:val="right" w:pos="8732"/>
              </w:tabs>
              <w:spacing w:before="0"/>
              <w:rPr>
                <w:rFonts w:asciiTheme="minorHAnsi" w:hAnsiTheme="minorHAnsi"/>
                <w:b/>
                <w:bCs/>
                <w:iCs/>
                <w:color w:val="FFFFFF"/>
                <w:sz w:val="30"/>
                <w:szCs w:val="30"/>
              </w:rPr>
            </w:pPr>
            <w:r w:rsidRPr="00F1238A">
              <w:rPr>
                <w:noProof/>
                <w:lang w:val="en-US"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122934" w:rsidRDefault="003E5F3C" w:rsidP="001032F8">
            <w:pPr>
              <w:spacing w:before="0"/>
              <w:rPr>
                <w:rFonts w:asciiTheme="minorHAnsi" w:hAnsiTheme="minorHAnsi" w:cs="Times New Roman Bold"/>
                <w:b/>
                <w:bCs/>
                <w:iCs/>
                <w:smallCaps/>
                <w:sz w:val="34"/>
                <w:szCs w:val="34"/>
              </w:rPr>
            </w:pPr>
            <w:r w:rsidRPr="00122934">
              <w:rPr>
                <w:rFonts w:asciiTheme="minorHAnsi" w:hAnsiTheme="minorHAnsi" w:cs="Times New Roman Bold"/>
                <w:b/>
                <w:bCs/>
                <w:iCs/>
                <w:smallCaps/>
                <w:sz w:val="34"/>
                <w:szCs w:val="34"/>
              </w:rPr>
              <w:t>Union internationale des télécommunications</w:t>
            </w:r>
          </w:p>
          <w:p w14:paraId="13303FF6" w14:textId="77777777" w:rsidR="003E5F3C" w:rsidRPr="00697BC1" w:rsidRDefault="003E5F3C" w:rsidP="001032F8">
            <w:pPr>
              <w:tabs>
                <w:tab w:val="right" w:pos="8732"/>
              </w:tabs>
              <w:spacing w:before="0"/>
              <w:rPr>
                <w:rFonts w:asciiTheme="minorHAnsi" w:hAnsiTheme="minorHAnsi"/>
                <w:b/>
                <w:bCs/>
                <w:iCs/>
                <w:color w:val="FFFFFF"/>
                <w:sz w:val="30"/>
                <w:szCs w:val="30"/>
              </w:rPr>
            </w:pPr>
            <w:r w:rsidRPr="00122934">
              <w:rPr>
                <w:rFonts w:asciiTheme="minorHAnsi" w:hAnsiTheme="minorHAnsi" w:cs="Times New Roman Bold"/>
                <w:b/>
                <w:bCs/>
                <w:iCs/>
                <w:smallCaps/>
                <w:sz w:val="28"/>
                <w:szCs w:val="28"/>
              </w:rPr>
              <w:t>B</w:t>
            </w:r>
            <w:r w:rsidRPr="00122934">
              <w:rPr>
                <w:rFonts w:asciiTheme="minorHAnsi" w:hAnsiTheme="minorHAnsi"/>
                <w:b/>
                <w:bCs/>
                <w:iCs/>
                <w:smallCaps/>
                <w:sz w:val="28"/>
                <w:szCs w:val="28"/>
              </w:rPr>
              <w:t>ureau de la Normalisation des Télécommunications</w:t>
            </w:r>
          </w:p>
        </w:tc>
        <w:tc>
          <w:tcPr>
            <w:tcW w:w="2193" w:type="dxa"/>
            <w:vAlign w:val="center"/>
          </w:tcPr>
          <w:p w14:paraId="3D127617" w14:textId="77777777" w:rsidR="003E5F3C" w:rsidRPr="00697BC1" w:rsidRDefault="003E5F3C" w:rsidP="001032F8">
            <w:pPr>
              <w:spacing w:before="0"/>
              <w:jc w:val="right"/>
              <w:rPr>
                <w:rFonts w:asciiTheme="minorHAnsi" w:hAnsiTheme="minorHAnsi"/>
                <w:color w:val="FFFFFF"/>
                <w:sz w:val="26"/>
                <w:szCs w:val="26"/>
              </w:rPr>
            </w:pPr>
          </w:p>
        </w:tc>
      </w:tr>
      <w:tr w:rsidR="00F71ACC" w:rsidRPr="00A40FAD" w14:paraId="05556AFD" w14:textId="77777777" w:rsidTr="001032F8">
        <w:trPr>
          <w:gridBefore w:val="1"/>
          <w:wBefore w:w="8" w:type="dxa"/>
          <w:cantSplit/>
          <w:trHeight w:val="340"/>
        </w:trPr>
        <w:tc>
          <w:tcPr>
            <w:tcW w:w="985" w:type="dxa"/>
          </w:tcPr>
          <w:p w14:paraId="7B40622F" w14:textId="77777777" w:rsidR="00F71ACC" w:rsidRPr="00A40FAD" w:rsidRDefault="00F71ACC" w:rsidP="001032F8">
            <w:pPr>
              <w:tabs>
                <w:tab w:val="left" w:pos="4111"/>
              </w:tabs>
              <w:spacing w:before="10"/>
              <w:ind w:left="57"/>
              <w:rPr>
                <w:rFonts w:asciiTheme="minorHAnsi" w:hAnsiTheme="minorHAnsi"/>
              </w:rPr>
            </w:pPr>
          </w:p>
        </w:tc>
        <w:tc>
          <w:tcPr>
            <w:tcW w:w="3892" w:type="dxa"/>
            <w:gridSpan w:val="2"/>
          </w:tcPr>
          <w:p w14:paraId="7003A4E6" w14:textId="77777777" w:rsidR="00F71ACC" w:rsidRPr="00A40FAD" w:rsidRDefault="00F71ACC" w:rsidP="001032F8">
            <w:pPr>
              <w:tabs>
                <w:tab w:val="left" w:pos="4111"/>
              </w:tabs>
              <w:spacing w:before="0"/>
              <w:ind w:left="57"/>
              <w:rPr>
                <w:rFonts w:asciiTheme="minorHAnsi" w:hAnsiTheme="minorHAnsi"/>
                <w:b/>
              </w:rPr>
            </w:pPr>
          </w:p>
        </w:tc>
        <w:tc>
          <w:tcPr>
            <w:tcW w:w="5105" w:type="dxa"/>
            <w:gridSpan w:val="2"/>
          </w:tcPr>
          <w:p w14:paraId="56DA0743" w14:textId="4CEC1C5E" w:rsidR="00F71ACC" w:rsidRPr="00A40FAD" w:rsidRDefault="00F71ACC" w:rsidP="001032F8">
            <w:pPr>
              <w:tabs>
                <w:tab w:val="clear" w:pos="794"/>
                <w:tab w:val="clear" w:pos="1191"/>
                <w:tab w:val="clear" w:pos="1588"/>
                <w:tab w:val="clear" w:pos="1985"/>
              </w:tabs>
              <w:spacing w:after="120"/>
              <w:ind w:left="57"/>
              <w:rPr>
                <w:rFonts w:asciiTheme="minorHAnsi" w:hAnsiTheme="minorHAnsi"/>
                <w:b/>
              </w:rPr>
            </w:pPr>
            <w:r w:rsidRPr="00A40FAD">
              <w:rPr>
                <w:rFonts w:asciiTheme="minorHAnsi" w:hAnsiTheme="minorHAnsi"/>
              </w:rPr>
              <w:t xml:space="preserve">Genève, </w:t>
            </w:r>
            <w:r w:rsidR="00EE4C92" w:rsidRPr="00EE4C92">
              <w:rPr>
                <w:rFonts w:asciiTheme="minorHAnsi" w:hAnsiTheme="minorHAnsi"/>
              </w:rPr>
              <w:t>le 9 mars 2026</w:t>
            </w:r>
          </w:p>
        </w:tc>
      </w:tr>
      <w:tr w:rsidR="00F71ACC" w:rsidRPr="00A40FAD" w14:paraId="43431B8C" w14:textId="77777777" w:rsidTr="001032F8">
        <w:trPr>
          <w:gridBefore w:val="1"/>
          <w:wBefore w:w="8" w:type="dxa"/>
          <w:cantSplit/>
          <w:trHeight w:val="340"/>
        </w:trPr>
        <w:tc>
          <w:tcPr>
            <w:tcW w:w="985" w:type="dxa"/>
          </w:tcPr>
          <w:p w14:paraId="38F610A0" w14:textId="77777777" w:rsidR="00F71ACC" w:rsidRPr="00F34321" w:rsidRDefault="00F71ACC" w:rsidP="001032F8">
            <w:pPr>
              <w:tabs>
                <w:tab w:val="left" w:pos="4111"/>
              </w:tabs>
              <w:spacing w:before="40" w:after="40"/>
              <w:ind w:left="-10"/>
              <w:rPr>
                <w:rFonts w:asciiTheme="minorHAnsi" w:hAnsiTheme="minorHAnsi"/>
                <w:b/>
                <w:bCs/>
              </w:rPr>
            </w:pPr>
            <w:proofErr w:type="gramStart"/>
            <w:r w:rsidRPr="00F34321">
              <w:rPr>
                <w:rFonts w:asciiTheme="minorHAnsi" w:hAnsiTheme="minorHAnsi"/>
                <w:b/>
                <w:bCs/>
              </w:rPr>
              <w:t>Réf.:</w:t>
            </w:r>
            <w:proofErr w:type="gramEnd"/>
          </w:p>
        </w:tc>
        <w:tc>
          <w:tcPr>
            <w:tcW w:w="3892" w:type="dxa"/>
            <w:gridSpan w:val="2"/>
          </w:tcPr>
          <w:p w14:paraId="52E8A41D" w14:textId="100ED84C" w:rsidR="00F71ACC" w:rsidRPr="00A40FAD" w:rsidRDefault="00F71ACC" w:rsidP="001032F8">
            <w:pPr>
              <w:tabs>
                <w:tab w:val="left" w:pos="4111"/>
              </w:tabs>
              <w:spacing w:before="40" w:after="40"/>
              <w:ind w:left="227" w:hanging="170"/>
              <w:rPr>
                <w:rFonts w:asciiTheme="minorHAnsi" w:hAnsiTheme="minorHAnsi"/>
                <w:b/>
              </w:rPr>
            </w:pPr>
            <w:r w:rsidRPr="00A40FAD">
              <w:rPr>
                <w:rFonts w:asciiTheme="minorHAnsi" w:hAnsiTheme="minorHAnsi"/>
                <w:b/>
              </w:rPr>
              <w:t xml:space="preserve">Lettre collective TSB </w:t>
            </w:r>
            <w:r w:rsidR="00EE4C92" w:rsidRPr="00EE4C92">
              <w:rPr>
                <w:rFonts w:asciiTheme="minorHAnsi" w:hAnsiTheme="minorHAnsi"/>
                <w:b/>
              </w:rPr>
              <w:t>6/21</w:t>
            </w:r>
          </w:p>
          <w:p w14:paraId="41ECCC25" w14:textId="45AD9518" w:rsidR="00F71ACC" w:rsidRPr="00F71ACC" w:rsidRDefault="00EE4C92" w:rsidP="001032F8">
            <w:pPr>
              <w:tabs>
                <w:tab w:val="left" w:pos="4111"/>
              </w:tabs>
              <w:spacing w:before="0"/>
              <w:ind w:left="57"/>
              <w:rPr>
                <w:rFonts w:asciiTheme="minorHAnsi" w:hAnsiTheme="minorHAnsi"/>
                <w:bCs/>
              </w:rPr>
            </w:pPr>
            <w:r w:rsidRPr="00EE4C92">
              <w:rPr>
                <w:rFonts w:asciiTheme="minorHAnsi" w:hAnsiTheme="minorHAnsi"/>
                <w:bCs/>
              </w:rPr>
              <w:t>CE 21/SP</w:t>
            </w:r>
          </w:p>
        </w:tc>
        <w:tc>
          <w:tcPr>
            <w:tcW w:w="5105" w:type="dxa"/>
            <w:gridSpan w:val="2"/>
            <w:vMerge w:val="restart"/>
          </w:tcPr>
          <w:p w14:paraId="7098E36A" w14:textId="2A1511AF" w:rsidR="00EE4C92" w:rsidRPr="00EE4C92" w:rsidRDefault="00EE4C92" w:rsidP="001032F8">
            <w:pPr>
              <w:tabs>
                <w:tab w:val="clear" w:pos="794"/>
                <w:tab w:val="clear" w:pos="1191"/>
                <w:tab w:val="clear" w:pos="1588"/>
                <w:tab w:val="clear" w:pos="1985"/>
              </w:tabs>
              <w:spacing w:before="40" w:after="40"/>
              <w:ind w:left="497" w:hanging="440"/>
              <w:rPr>
                <w:rFonts w:asciiTheme="minorHAnsi" w:hAnsiTheme="minorHAnsi"/>
                <w:lang w:val="fr-CH"/>
              </w:rPr>
            </w:pPr>
            <w:r w:rsidRPr="00EE4C92">
              <w:rPr>
                <w:rFonts w:asciiTheme="minorHAnsi" w:hAnsiTheme="minorHAnsi"/>
                <w:lang w:val="fr-CH"/>
              </w:rPr>
              <w:t>–</w:t>
            </w:r>
            <w:r>
              <w:rPr>
                <w:rFonts w:asciiTheme="minorHAnsi" w:hAnsiTheme="minorHAnsi"/>
                <w:lang w:val="fr-CH"/>
              </w:rPr>
              <w:tab/>
            </w:r>
            <w:r w:rsidRPr="00EE4C92">
              <w:rPr>
                <w:rFonts w:asciiTheme="minorHAnsi" w:hAnsiTheme="minorHAnsi"/>
                <w:lang w:val="fr-CH"/>
              </w:rPr>
              <w:t>Aux Administrations des États Membres de l'Union;</w:t>
            </w:r>
          </w:p>
          <w:p w14:paraId="345948A1" w14:textId="77F973A9" w:rsidR="00EE4C92" w:rsidRPr="00EE4C92" w:rsidRDefault="00EE4C92" w:rsidP="001032F8">
            <w:pPr>
              <w:tabs>
                <w:tab w:val="clear" w:pos="794"/>
                <w:tab w:val="clear" w:pos="1191"/>
                <w:tab w:val="clear" w:pos="1588"/>
                <w:tab w:val="clear" w:pos="1985"/>
              </w:tabs>
              <w:spacing w:before="40" w:after="40"/>
              <w:ind w:left="497" w:hanging="440"/>
              <w:rPr>
                <w:rFonts w:asciiTheme="minorHAnsi" w:hAnsiTheme="minorHAnsi"/>
                <w:lang w:val="fr-CH"/>
              </w:rPr>
            </w:pPr>
            <w:r w:rsidRPr="00EE4C92">
              <w:rPr>
                <w:rFonts w:asciiTheme="minorHAnsi" w:hAnsiTheme="minorHAnsi"/>
                <w:lang w:val="fr-CH"/>
              </w:rPr>
              <w:t>–</w:t>
            </w:r>
            <w:r>
              <w:rPr>
                <w:rFonts w:asciiTheme="minorHAnsi" w:hAnsiTheme="minorHAnsi"/>
                <w:lang w:val="fr-CH"/>
              </w:rPr>
              <w:tab/>
            </w:r>
            <w:r w:rsidRPr="00EE4C92">
              <w:rPr>
                <w:rFonts w:asciiTheme="minorHAnsi" w:hAnsiTheme="minorHAnsi"/>
                <w:lang w:val="fr-CH"/>
              </w:rPr>
              <w:t>À l'État de Palestine (Rés. 99 (Rév. Dubaï, 2018));</w:t>
            </w:r>
          </w:p>
          <w:p w14:paraId="60440A59" w14:textId="37D70578" w:rsidR="00EE4C92" w:rsidRPr="00EE4C92" w:rsidRDefault="00EE4C92" w:rsidP="001032F8">
            <w:pPr>
              <w:tabs>
                <w:tab w:val="clear" w:pos="794"/>
                <w:tab w:val="clear" w:pos="1191"/>
                <w:tab w:val="clear" w:pos="1588"/>
                <w:tab w:val="clear" w:pos="1985"/>
              </w:tabs>
              <w:spacing w:before="40" w:after="40"/>
              <w:ind w:left="497" w:hanging="440"/>
              <w:rPr>
                <w:rFonts w:asciiTheme="minorHAnsi" w:hAnsiTheme="minorHAnsi"/>
                <w:lang w:val="fr-CH"/>
              </w:rPr>
            </w:pPr>
            <w:r w:rsidRPr="00EE4C92">
              <w:rPr>
                <w:rFonts w:asciiTheme="minorHAnsi" w:hAnsiTheme="minorHAnsi"/>
                <w:lang w:val="fr-CH"/>
              </w:rPr>
              <w:t>–</w:t>
            </w:r>
            <w:r>
              <w:rPr>
                <w:rFonts w:asciiTheme="minorHAnsi" w:hAnsiTheme="minorHAnsi"/>
                <w:lang w:val="fr-CH"/>
              </w:rPr>
              <w:tab/>
            </w:r>
            <w:r w:rsidRPr="00EE4C92">
              <w:rPr>
                <w:rFonts w:asciiTheme="minorHAnsi" w:hAnsiTheme="minorHAnsi"/>
                <w:lang w:val="fr-CH"/>
              </w:rPr>
              <w:t>Aux Membres du Secteur de l'UIT-T;</w:t>
            </w:r>
          </w:p>
          <w:p w14:paraId="2D4DEB93" w14:textId="4EF995CC" w:rsidR="00EE4C92" w:rsidRPr="00EE4C92" w:rsidRDefault="00EE4C92" w:rsidP="001032F8">
            <w:pPr>
              <w:tabs>
                <w:tab w:val="clear" w:pos="794"/>
                <w:tab w:val="clear" w:pos="1191"/>
                <w:tab w:val="clear" w:pos="1588"/>
                <w:tab w:val="clear" w:pos="1985"/>
              </w:tabs>
              <w:spacing w:before="40" w:after="40"/>
              <w:ind w:left="497" w:hanging="440"/>
              <w:rPr>
                <w:rFonts w:asciiTheme="minorHAnsi" w:hAnsiTheme="minorHAnsi"/>
                <w:lang w:val="fr-CH"/>
              </w:rPr>
            </w:pPr>
            <w:r w:rsidRPr="00EE4C92">
              <w:rPr>
                <w:rFonts w:asciiTheme="minorHAnsi" w:hAnsiTheme="minorHAnsi"/>
                <w:lang w:val="fr-CH"/>
              </w:rPr>
              <w:t>–</w:t>
            </w:r>
            <w:r>
              <w:rPr>
                <w:rFonts w:asciiTheme="minorHAnsi" w:hAnsiTheme="minorHAnsi"/>
                <w:lang w:val="fr-CH"/>
              </w:rPr>
              <w:tab/>
            </w:r>
            <w:r w:rsidRPr="00EE4C92">
              <w:rPr>
                <w:rFonts w:asciiTheme="minorHAnsi" w:hAnsiTheme="minorHAnsi"/>
                <w:lang w:val="fr-CH"/>
              </w:rPr>
              <w:t>Aux Associés de l'UIT-T participant aux travaux de la Commission d'études 21;</w:t>
            </w:r>
          </w:p>
          <w:p w14:paraId="30D3AA90" w14:textId="57F49EB5" w:rsidR="00F71ACC" w:rsidRPr="00A40FAD" w:rsidRDefault="00EE4C92" w:rsidP="001032F8">
            <w:pPr>
              <w:spacing w:before="0"/>
              <w:ind w:left="497" w:hanging="440"/>
              <w:rPr>
                <w:rFonts w:asciiTheme="minorHAnsi" w:hAnsiTheme="minorHAnsi"/>
                <w:b/>
              </w:rPr>
            </w:pPr>
            <w:r w:rsidRPr="00EE4C92">
              <w:rPr>
                <w:rFonts w:asciiTheme="minorHAnsi" w:hAnsiTheme="minorHAnsi"/>
                <w:lang w:val="fr-CH"/>
              </w:rPr>
              <w:t>–</w:t>
            </w:r>
            <w:r>
              <w:rPr>
                <w:rFonts w:asciiTheme="minorHAnsi" w:hAnsiTheme="minorHAnsi"/>
                <w:lang w:val="fr-CH"/>
              </w:rPr>
              <w:tab/>
            </w:r>
            <w:r w:rsidRPr="00EE4C92">
              <w:rPr>
                <w:rFonts w:asciiTheme="minorHAnsi" w:hAnsiTheme="minorHAnsi"/>
                <w:lang w:val="fr-CH"/>
              </w:rPr>
              <w:t>Aux établissements universitaires participant aux travaux de l'UIT</w:t>
            </w:r>
          </w:p>
        </w:tc>
      </w:tr>
      <w:tr w:rsidR="00F71ACC" w:rsidRPr="00A40FAD" w14:paraId="342700AE" w14:textId="77777777" w:rsidTr="001032F8">
        <w:trPr>
          <w:gridBefore w:val="1"/>
          <w:wBefore w:w="8" w:type="dxa"/>
          <w:cantSplit/>
        </w:trPr>
        <w:tc>
          <w:tcPr>
            <w:tcW w:w="985" w:type="dxa"/>
          </w:tcPr>
          <w:p w14:paraId="00849D69" w14:textId="77777777" w:rsidR="00F71ACC" w:rsidRPr="00A40FAD" w:rsidRDefault="00F71ACC" w:rsidP="001032F8">
            <w:pPr>
              <w:tabs>
                <w:tab w:val="left" w:pos="4111"/>
              </w:tabs>
              <w:spacing w:before="40" w:after="40"/>
              <w:ind w:left="-10"/>
              <w:rPr>
                <w:rFonts w:asciiTheme="minorHAnsi" w:hAnsiTheme="minorHAnsi"/>
              </w:rPr>
            </w:pPr>
            <w:r w:rsidRPr="00A40FAD">
              <w:rPr>
                <w:rFonts w:asciiTheme="minorHAnsi" w:hAnsiTheme="minorHAnsi"/>
              </w:rPr>
              <w:t>Tél.:</w:t>
            </w:r>
          </w:p>
        </w:tc>
        <w:tc>
          <w:tcPr>
            <w:tcW w:w="3892" w:type="dxa"/>
            <w:gridSpan w:val="2"/>
          </w:tcPr>
          <w:p w14:paraId="7A97668F" w14:textId="0BBC8F68" w:rsidR="00F71ACC" w:rsidRPr="00A40FAD" w:rsidRDefault="00EE4C92" w:rsidP="001032F8">
            <w:pPr>
              <w:tabs>
                <w:tab w:val="left" w:pos="4111"/>
              </w:tabs>
              <w:spacing w:before="40" w:after="40"/>
              <w:ind w:left="227" w:hanging="170"/>
              <w:rPr>
                <w:rFonts w:asciiTheme="minorHAnsi" w:hAnsiTheme="minorHAnsi"/>
                <w:szCs w:val="22"/>
              </w:rPr>
            </w:pPr>
            <w:r w:rsidRPr="00EE4C92">
              <w:rPr>
                <w:rFonts w:asciiTheme="minorHAnsi" w:hAnsiTheme="minorHAnsi"/>
                <w:szCs w:val="22"/>
              </w:rPr>
              <w:t>+41 22730 5858</w:t>
            </w:r>
          </w:p>
        </w:tc>
        <w:tc>
          <w:tcPr>
            <w:tcW w:w="5105" w:type="dxa"/>
            <w:gridSpan w:val="2"/>
            <w:vMerge/>
          </w:tcPr>
          <w:p w14:paraId="1D467C9B" w14:textId="77777777" w:rsidR="00F71ACC" w:rsidRPr="00A40FAD" w:rsidRDefault="00F71ACC" w:rsidP="001032F8">
            <w:pPr>
              <w:spacing w:before="0"/>
              <w:ind w:left="226" w:hanging="169"/>
              <w:rPr>
                <w:rFonts w:asciiTheme="minorHAnsi" w:hAnsiTheme="minorHAnsi"/>
              </w:rPr>
            </w:pPr>
          </w:p>
        </w:tc>
      </w:tr>
      <w:tr w:rsidR="00F71ACC" w:rsidRPr="00A40FAD" w14:paraId="3A1380BE" w14:textId="77777777" w:rsidTr="001032F8">
        <w:trPr>
          <w:gridBefore w:val="1"/>
          <w:wBefore w:w="8" w:type="dxa"/>
          <w:cantSplit/>
        </w:trPr>
        <w:tc>
          <w:tcPr>
            <w:tcW w:w="985" w:type="dxa"/>
          </w:tcPr>
          <w:p w14:paraId="5751D9CB" w14:textId="77777777" w:rsidR="00F71ACC" w:rsidRPr="00A40FAD" w:rsidRDefault="00295B1F" w:rsidP="001032F8">
            <w:pPr>
              <w:tabs>
                <w:tab w:val="left" w:pos="4111"/>
              </w:tabs>
              <w:spacing w:before="40" w:after="40"/>
              <w:ind w:left="-10"/>
              <w:rPr>
                <w:rFonts w:asciiTheme="minorHAnsi" w:hAnsiTheme="minorHAnsi"/>
              </w:rPr>
            </w:pPr>
            <w:r>
              <w:rPr>
                <w:rFonts w:asciiTheme="minorHAnsi" w:hAnsiTheme="minorHAnsi"/>
              </w:rPr>
              <w:t>Télécopie</w:t>
            </w:r>
            <w:r w:rsidR="00F71ACC" w:rsidRPr="00A40FAD">
              <w:rPr>
                <w:rFonts w:asciiTheme="minorHAnsi" w:hAnsiTheme="minorHAnsi"/>
              </w:rPr>
              <w:t>:</w:t>
            </w:r>
          </w:p>
        </w:tc>
        <w:tc>
          <w:tcPr>
            <w:tcW w:w="3892" w:type="dxa"/>
            <w:gridSpan w:val="2"/>
          </w:tcPr>
          <w:p w14:paraId="7A1D1EA1" w14:textId="6651975A" w:rsidR="00F71ACC" w:rsidRPr="00A40FAD" w:rsidRDefault="00EE4C92" w:rsidP="001032F8">
            <w:pPr>
              <w:tabs>
                <w:tab w:val="left" w:pos="4111"/>
              </w:tabs>
              <w:spacing w:before="40" w:after="40"/>
              <w:ind w:left="227" w:hanging="170"/>
              <w:rPr>
                <w:rFonts w:asciiTheme="minorHAnsi" w:hAnsiTheme="minorHAnsi"/>
              </w:rPr>
            </w:pPr>
            <w:r w:rsidRPr="00EE4C92">
              <w:rPr>
                <w:rFonts w:asciiTheme="minorHAnsi" w:hAnsiTheme="minorHAnsi"/>
              </w:rPr>
              <w:t>+41 22 730 5853</w:t>
            </w:r>
          </w:p>
        </w:tc>
        <w:tc>
          <w:tcPr>
            <w:tcW w:w="5105" w:type="dxa"/>
            <w:gridSpan w:val="2"/>
            <w:vMerge/>
          </w:tcPr>
          <w:p w14:paraId="4A2CF72E" w14:textId="77777777" w:rsidR="00F71ACC" w:rsidRPr="00A40FAD" w:rsidRDefault="00F71ACC" w:rsidP="001032F8">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0C93093D" w14:textId="77777777" w:rsidTr="001032F8">
        <w:trPr>
          <w:gridBefore w:val="1"/>
          <w:wBefore w:w="8" w:type="dxa"/>
          <w:cantSplit/>
        </w:trPr>
        <w:tc>
          <w:tcPr>
            <w:tcW w:w="985" w:type="dxa"/>
          </w:tcPr>
          <w:p w14:paraId="193EDB7B" w14:textId="77777777" w:rsidR="00F71ACC" w:rsidRPr="00A40FAD" w:rsidRDefault="00295B1F" w:rsidP="001032F8">
            <w:pPr>
              <w:tabs>
                <w:tab w:val="left" w:pos="4111"/>
              </w:tabs>
              <w:spacing w:before="40" w:after="40"/>
              <w:ind w:left="-10"/>
              <w:rPr>
                <w:rFonts w:asciiTheme="minorHAnsi" w:hAnsiTheme="minorHAnsi"/>
              </w:rPr>
            </w:pPr>
            <w:r>
              <w:rPr>
                <w:rFonts w:asciiTheme="minorHAnsi" w:hAnsiTheme="minorHAnsi"/>
              </w:rPr>
              <w:t>Courriel</w:t>
            </w:r>
            <w:r w:rsidR="00F71ACC" w:rsidRPr="00A40FAD">
              <w:rPr>
                <w:rFonts w:asciiTheme="minorHAnsi" w:hAnsiTheme="minorHAnsi"/>
              </w:rPr>
              <w:t>:</w:t>
            </w:r>
          </w:p>
        </w:tc>
        <w:tc>
          <w:tcPr>
            <w:tcW w:w="3892" w:type="dxa"/>
            <w:gridSpan w:val="2"/>
          </w:tcPr>
          <w:p w14:paraId="1B76CB16" w14:textId="31C9FFB8" w:rsidR="00EE4C92" w:rsidRDefault="00EE4C92" w:rsidP="001032F8">
            <w:pPr>
              <w:tabs>
                <w:tab w:val="left" w:pos="4111"/>
              </w:tabs>
              <w:spacing w:before="40" w:after="40"/>
              <w:ind w:left="227" w:hanging="170"/>
            </w:pPr>
            <w:hyperlink r:id="rId12" w:history="1">
              <w:r w:rsidRPr="003B1F17">
                <w:rPr>
                  <w:rStyle w:val="Hyperlink"/>
                </w:rPr>
                <w:t>tsbsg21@itu.int</w:t>
              </w:r>
            </w:hyperlink>
          </w:p>
        </w:tc>
        <w:tc>
          <w:tcPr>
            <w:tcW w:w="5105" w:type="dxa"/>
            <w:gridSpan w:val="2"/>
            <w:vMerge/>
          </w:tcPr>
          <w:p w14:paraId="3759D6D2" w14:textId="77777777" w:rsidR="00F71ACC" w:rsidRPr="00A40FAD" w:rsidRDefault="00F71ACC" w:rsidP="001032F8">
            <w:pPr>
              <w:tabs>
                <w:tab w:val="clear" w:pos="794"/>
                <w:tab w:val="clear" w:pos="1191"/>
                <w:tab w:val="clear" w:pos="1588"/>
                <w:tab w:val="clear" w:pos="1985"/>
              </w:tabs>
              <w:spacing w:before="0"/>
              <w:ind w:left="226" w:hanging="169"/>
              <w:rPr>
                <w:rFonts w:asciiTheme="minorHAnsi" w:hAnsiTheme="minorHAnsi"/>
                <w:lang w:val="fr-CH"/>
              </w:rPr>
            </w:pPr>
          </w:p>
        </w:tc>
      </w:tr>
      <w:tr w:rsidR="00F71ACC" w:rsidRPr="00A40FAD" w14:paraId="5AB73A90" w14:textId="77777777" w:rsidTr="001032F8">
        <w:trPr>
          <w:gridBefore w:val="1"/>
          <w:wBefore w:w="8" w:type="dxa"/>
          <w:cantSplit/>
        </w:trPr>
        <w:tc>
          <w:tcPr>
            <w:tcW w:w="985" w:type="dxa"/>
          </w:tcPr>
          <w:p w14:paraId="7FD61F8E" w14:textId="77777777" w:rsidR="00F71ACC" w:rsidRPr="00A40FAD" w:rsidRDefault="00F71ACC" w:rsidP="001032F8">
            <w:pPr>
              <w:tabs>
                <w:tab w:val="left" w:pos="4111"/>
              </w:tabs>
              <w:spacing w:before="40" w:after="40"/>
              <w:ind w:left="-10"/>
              <w:rPr>
                <w:rFonts w:asciiTheme="minorHAnsi" w:hAnsiTheme="minorHAnsi"/>
              </w:rPr>
            </w:pPr>
            <w:r w:rsidRPr="00815A6F">
              <w:rPr>
                <w:rFonts w:asciiTheme="minorHAnsi" w:hAnsiTheme="minorHAnsi"/>
              </w:rPr>
              <w:t>Web:</w:t>
            </w:r>
          </w:p>
        </w:tc>
        <w:tc>
          <w:tcPr>
            <w:tcW w:w="3892" w:type="dxa"/>
            <w:gridSpan w:val="2"/>
          </w:tcPr>
          <w:p w14:paraId="548585D8" w14:textId="561EB07E" w:rsidR="00EE4C92" w:rsidRPr="00A40FAD" w:rsidRDefault="00EE4C92" w:rsidP="001032F8">
            <w:pPr>
              <w:tabs>
                <w:tab w:val="left" w:pos="4111"/>
              </w:tabs>
              <w:spacing w:before="40" w:after="40"/>
              <w:ind w:left="227" w:hanging="170"/>
              <w:rPr>
                <w:rFonts w:asciiTheme="minorHAnsi" w:hAnsiTheme="minorHAnsi"/>
              </w:rPr>
            </w:pPr>
            <w:hyperlink r:id="rId13" w:history="1">
              <w:r w:rsidRPr="003B1F17">
                <w:rPr>
                  <w:rStyle w:val="Hyperlink"/>
                  <w:rFonts w:asciiTheme="minorHAnsi" w:hAnsiTheme="minorHAnsi"/>
                </w:rPr>
                <w:t>https://itu.int/g</w:t>
              </w:r>
              <w:r w:rsidRPr="003B1F17">
                <w:rPr>
                  <w:rStyle w:val="Hyperlink"/>
                  <w:rFonts w:asciiTheme="minorHAnsi" w:hAnsiTheme="minorHAnsi"/>
                </w:rPr>
                <w:t>o</w:t>
              </w:r>
              <w:r w:rsidRPr="003B1F17">
                <w:rPr>
                  <w:rStyle w:val="Hyperlink"/>
                  <w:rFonts w:asciiTheme="minorHAnsi" w:hAnsiTheme="minorHAnsi"/>
                </w:rPr>
                <w:t>/tsg21</w:t>
              </w:r>
            </w:hyperlink>
          </w:p>
        </w:tc>
        <w:tc>
          <w:tcPr>
            <w:tcW w:w="5105" w:type="dxa"/>
            <w:gridSpan w:val="2"/>
            <w:vMerge/>
          </w:tcPr>
          <w:p w14:paraId="216C81AB" w14:textId="77777777" w:rsidR="00F71ACC" w:rsidRPr="00A40FAD" w:rsidRDefault="00F71ACC" w:rsidP="001032F8">
            <w:pPr>
              <w:tabs>
                <w:tab w:val="clear" w:pos="794"/>
                <w:tab w:val="clear" w:pos="1191"/>
                <w:tab w:val="clear" w:pos="1588"/>
                <w:tab w:val="clear" w:pos="1985"/>
              </w:tabs>
              <w:spacing w:before="0"/>
              <w:ind w:left="226" w:hanging="169"/>
              <w:rPr>
                <w:rFonts w:asciiTheme="minorHAnsi" w:hAnsiTheme="minorHAnsi"/>
                <w:lang w:val="fr-CH"/>
              </w:rPr>
            </w:pPr>
          </w:p>
        </w:tc>
      </w:tr>
      <w:tr w:rsidR="00AC5975" w:rsidRPr="00A40FAD" w14:paraId="2A79618F" w14:textId="77777777" w:rsidTr="001032F8">
        <w:trPr>
          <w:gridBefore w:val="1"/>
          <w:wBefore w:w="8" w:type="dxa"/>
          <w:cantSplit/>
        </w:trPr>
        <w:tc>
          <w:tcPr>
            <w:tcW w:w="985" w:type="dxa"/>
          </w:tcPr>
          <w:p w14:paraId="424E7E0E" w14:textId="77777777" w:rsidR="00AC5975" w:rsidRPr="00A40FAD" w:rsidRDefault="00AC5975" w:rsidP="001032F8">
            <w:pPr>
              <w:tabs>
                <w:tab w:val="left" w:pos="4111"/>
              </w:tabs>
              <w:spacing w:after="40"/>
              <w:ind w:left="-10"/>
              <w:rPr>
                <w:rFonts w:asciiTheme="minorHAnsi" w:hAnsiTheme="minorHAnsi"/>
                <w:sz w:val="20"/>
              </w:rPr>
            </w:pPr>
            <w:proofErr w:type="gramStart"/>
            <w:r w:rsidRPr="001032F8">
              <w:rPr>
                <w:rFonts w:asciiTheme="minorHAnsi" w:hAnsiTheme="minorHAnsi"/>
                <w:b/>
                <w:bCs/>
              </w:rPr>
              <w:t>Objet</w:t>
            </w:r>
            <w:r w:rsidRPr="00A40FAD">
              <w:rPr>
                <w:rFonts w:asciiTheme="minorHAnsi" w:hAnsiTheme="minorHAnsi"/>
              </w:rPr>
              <w:t>:</w:t>
            </w:r>
            <w:proofErr w:type="gramEnd"/>
          </w:p>
        </w:tc>
        <w:tc>
          <w:tcPr>
            <w:tcW w:w="8997" w:type="dxa"/>
            <w:gridSpan w:val="4"/>
          </w:tcPr>
          <w:p w14:paraId="5846AD76" w14:textId="3CD93B45" w:rsidR="00AC5975" w:rsidRPr="00F34321" w:rsidRDefault="00AC5975" w:rsidP="001032F8">
            <w:pPr>
              <w:tabs>
                <w:tab w:val="left" w:pos="4111"/>
              </w:tabs>
              <w:spacing w:after="40"/>
              <w:ind w:left="57"/>
              <w:rPr>
                <w:rFonts w:asciiTheme="minorHAnsi" w:hAnsiTheme="minorHAnsi"/>
                <w:b/>
                <w:bCs/>
                <w:lang w:val="fr-CH"/>
              </w:rPr>
            </w:pPr>
            <w:r w:rsidRPr="00A40FAD">
              <w:rPr>
                <w:rFonts w:asciiTheme="minorHAnsi" w:hAnsiTheme="minorHAnsi"/>
                <w:b/>
                <w:bCs/>
                <w:lang w:val="fr-CH"/>
              </w:rPr>
              <w:t>Réunio</w:t>
            </w:r>
            <w:r w:rsidR="00E77BEC" w:rsidRPr="00A40FAD">
              <w:rPr>
                <w:rFonts w:asciiTheme="minorHAnsi" w:hAnsiTheme="minorHAnsi"/>
                <w:b/>
                <w:bCs/>
                <w:lang w:val="fr-CH"/>
              </w:rPr>
              <w:t xml:space="preserve">n de la Commission d'études </w:t>
            </w:r>
            <w:proofErr w:type="gramStart"/>
            <w:r w:rsidR="00EE4C92">
              <w:rPr>
                <w:rFonts w:asciiTheme="minorHAnsi" w:hAnsiTheme="minorHAnsi"/>
                <w:b/>
                <w:bCs/>
                <w:lang w:val="fr-CH"/>
              </w:rPr>
              <w:t>21</w:t>
            </w:r>
            <w:r w:rsidR="00E77BEC" w:rsidRPr="00A40FAD">
              <w:rPr>
                <w:rFonts w:asciiTheme="minorHAnsi" w:hAnsiTheme="minorHAnsi"/>
                <w:b/>
                <w:bCs/>
                <w:lang w:val="fr-CH"/>
              </w:rPr>
              <w:t>;</w:t>
            </w:r>
            <w:proofErr w:type="gramEnd"/>
            <w:r w:rsidR="00F34321">
              <w:rPr>
                <w:rFonts w:asciiTheme="minorHAnsi" w:hAnsiTheme="minorHAnsi"/>
                <w:b/>
                <w:bCs/>
                <w:lang w:val="fr-CH"/>
              </w:rPr>
              <w:t xml:space="preserve"> </w:t>
            </w:r>
            <w:r w:rsidRPr="00A40FAD">
              <w:rPr>
                <w:rFonts w:asciiTheme="minorHAnsi" w:hAnsiTheme="minorHAnsi"/>
                <w:b/>
                <w:bCs/>
              </w:rPr>
              <w:t>Genève</w:t>
            </w:r>
            <w:r w:rsidRPr="00EE4C92">
              <w:rPr>
                <w:rFonts w:asciiTheme="minorHAnsi" w:hAnsiTheme="minorHAnsi"/>
                <w:b/>
                <w:bCs/>
              </w:rPr>
              <w:t>,</w:t>
            </w:r>
            <w:r w:rsidR="00EE4C92" w:rsidRPr="00EE4C92">
              <w:rPr>
                <w:b/>
                <w:bCs/>
              </w:rPr>
              <w:t xml:space="preserve"> </w:t>
            </w:r>
            <w:r w:rsidR="00EE4C92" w:rsidRPr="00EE4C92">
              <w:rPr>
                <w:rFonts w:asciiTheme="minorHAnsi" w:hAnsiTheme="minorHAnsi"/>
                <w:b/>
                <w:bCs/>
              </w:rPr>
              <w:t>6-17 juillet 2026</w:t>
            </w:r>
          </w:p>
        </w:tc>
      </w:tr>
    </w:tbl>
    <w:p w14:paraId="5767E236" w14:textId="77777777" w:rsidR="00EE4C92" w:rsidRPr="00EE4C92" w:rsidRDefault="00EE4C92" w:rsidP="00EE4C92">
      <w:pPr>
        <w:pStyle w:val="headingb"/>
        <w:keepNext w:val="0"/>
        <w:keepLines w:val="0"/>
        <w:spacing w:after="120"/>
        <w:rPr>
          <w:b w:val="0"/>
        </w:rPr>
      </w:pPr>
      <w:r w:rsidRPr="00EE4C92">
        <w:rPr>
          <w:b w:val="0"/>
        </w:rPr>
        <w:t>Madame, Monsieur,</w:t>
      </w:r>
    </w:p>
    <w:p w14:paraId="475E174B" w14:textId="25FF63F4" w:rsidR="00EE4C92" w:rsidRPr="00EE4C92" w:rsidRDefault="00EE4C92" w:rsidP="00F34321">
      <w:r w:rsidRPr="00EE4C92">
        <w:t>1</w:t>
      </w:r>
      <w:r w:rsidRPr="00EE4C92">
        <w:tab/>
        <w:t>J'ai l'honneur de vous inviter à participer à la prochaine réunion de la Commission d'études 21 de</w:t>
      </w:r>
      <w:r w:rsidR="00782EFF">
        <w:t> </w:t>
      </w:r>
      <w:r w:rsidRPr="00EE4C92">
        <w:t>l'UIT-T (Technologies pour le multimédia, la diffusion de contenus et la télévision par câble), qui doit se tenir au siège de l'Union internationale des télécommunications (UIT) à Genève, du 6 au 17 juillet 2026 inclus.</w:t>
      </w:r>
    </w:p>
    <w:p w14:paraId="0A616214" w14:textId="77777777" w:rsidR="00A52E1C" w:rsidRDefault="00EE4C92" w:rsidP="00F34321">
      <w:r w:rsidRPr="00EE4C92">
        <w:t>2</w:t>
      </w:r>
      <w:r w:rsidRPr="00EE4C92">
        <w:tab/>
        <w:t>La Commission d'études 21 de l'UIT-T, établie par l'AMNT-24 en regroupant les Commissions</w:t>
      </w:r>
      <w:r w:rsidR="00782EFF">
        <w:t> </w:t>
      </w:r>
      <w:r w:rsidRPr="00EE4C92">
        <w:t>d'études 9 et 16 de l'UIT-T qui existaient au cours des périodes d'études précédentes, est chargée d'étudier les technologies, capacités, systèmes, applications et services multimédias pour les réseaux actuels et futurs, y compris les réseaux fondés sur le protocole Internet et les réseaux câblés.</w:t>
      </w:r>
    </w:p>
    <w:p w14:paraId="31E14777" w14:textId="756E3CC4" w:rsidR="00EE4C92" w:rsidRPr="00EE4C92" w:rsidRDefault="00EE4C92" w:rsidP="00F34321">
      <w:r w:rsidRPr="00EE4C92">
        <w:t>3</w:t>
      </w:r>
      <w:r w:rsidRPr="00EE4C92">
        <w:tab/>
        <w:t>Plusieurs autres réunions se tiendront durant la même période, notamment celles de l'Équipe</w:t>
      </w:r>
      <w:r w:rsidR="00A52E1C">
        <w:t> </w:t>
      </w:r>
      <w:r w:rsidRPr="00EE4C92">
        <w:t>mixte</w:t>
      </w:r>
      <w:r w:rsidR="00A52E1C">
        <w:t> </w:t>
      </w:r>
      <w:r w:rsidRPr="00EE4C92">
        <w:t>d'experts en vidéo (</w:t>
      </w:r>
      <w:hyperlink r:id="rId14" w:history="1">
        <w:r w:rsidRPr="00A52E1C">
          <w:rPr>
            <w:rStyle w:val="Hyperlink"/>
          </w:rPr>
          <w:t>JV</w:t>
        </w:r>
        <w:r w:rsidRPr="00A52E1C">
          <w:rPr>
            <w:rStyle w:val="Hyperlink"/>
          </w:rPr>
          <w:t>E</w:t>
        </w:r>
        <w:r w:rsidRPr="00A52E1C">
          <w:rPr>
            <w:rStyle w:val="Hyperlink"/>
          </w:rPr>
          <w:t>T</w:t>
        </w:r>
      </w:hyperlink>
      <w:r w:rsidRPr="00EE4C92">
        <w:t>) (7-15 juillet 2026), du Sous-comité 29 du Comité technique mixte</w:t>
      </w:r>
      <w:r w:rsidR="00122934">
        <w:t> </w:t>
      </w:r>
      <w:r w:rsidRPr="00EE4C92">
        <w:t xml:space="preserve">1 de l'Organisation internationale de normalisation (ISO) et de la Commission électrotechnique internationale (CEI) (SC 29 du JTC 1 de l'ISO/CEI) et de ses </w:t>
      </w:r>
      <w:hyperlink r:id="rId15" w:history="1">
        <w:r w:rsidRPr="0038144C">
          <w:rPr>
            <w:rStyle w:val="Hyperlink"/>
          </w:rPr>
          <w:t>groupes de travail sur le codage vidéo et au</w:t>
        </w:r>
        <w:r w:rsidRPr="0038144C">
          <w:rPr>
            <w:rStyle w:val="Hyperlink"/>
          </w:rPr>
          <w:t>d</w:t>
        </w:r>
        <w:r w:rsidRPr="0038144C">
          <w:rPr>
            <w:rStyle w:val="Hyperlink"/>
          </w:rPr>
          <w:t>io (MPEG)</w:t>
        </w:r>
      </w:hyperlink>
      <w:r w:rsidRPr="00EE4C92">
        <w:t xml:space="preserve"> (13</w:t>
      </w:r>
      <w:r w:rsidR="00A52E1C">
        <w:noBreakHyphen/>
      </w:r>
      <w:r w:rsidRPr="00EE4C92">
        <w:t>17</w:t>
      </w:r>
      <w:r w:rsidR="00A52E1C">
        <w:t> </w:t>
      </w:r>
      <w:r w:rsidRPr="00EE4C92">
        <w:t>juillet 2026). En outre, la deuxième réunion du Groupe spécialisé sur l'intelligence artificielle incarnée dans le multimédia (</w:t>
      </w:r>
      <w:hyperlink r:id="rId16" w:anchor="/fr" w:history="1">
        <w:r w:rsidRPr="00A52E1C">
          <w:rPr>
            <w:rStyle w:val="Hyperlink"/>
          </w:rPr>
          <w:t>FG-E</w:t>
        </w:r>
        <w:r w:rsidRPr="00A52E1C">
          <w:rPr>
            <w:rStyle w:val="Hyperlink"/>
          </w:rPr>
          <w:t>A</w:t>
        </w:r>
        <w:r w:rsidRPr="00A52E1C">
          <w:rPr>
            <w:rStyle w:val="Hyperlink"/>
          </w:rPr>
          <w:t>I</w:t>
        </w:r>
      </w:hyperlink>
      <w:r w:rsidRPr="00EE4C92">
        <w:t>) doit se tenir le samedi 11 juillet dans les locaux de l'UIT (voir</w:t>
      </w:r>
      <w:r w:rsidR="00A52E1C">
        <w:t> </w:t>
      </w:r>
      <w:r w:rsidRPr="00EE4C92">
        <w:t>la</w:t>
      </w:r>
      <w:r w:rsidR="00A52E1C">
        <w:t> </w:t>
      </w:r>
      <w:r w:rsidRPr="00EE4C92">
        <w:t>Circulaire</w:t>
      </w:r>
      <w:r w:rsidR="00A52E1C">
        <w:t> </w:t>
      </w:r>
      <w:r w:rsidRPr="00EE4C92">
        <w:t>TSB</w:t>
      </w:r>
      <w:r w:rsidR="00A52E1C">
        <w:t> </w:t>
      </w:r>
      <w:hyperlink r:id="rId17" w:history="1">
        <w:r w:rsidRPr="00A52E1C">
          <w:rPr>
            <w:rStyle w:val="Hyperlink"/>
          </w:rPr>
          <w:t>1</w:t>
        </w:r>
        <w:r w:rsidRPr="00A52E1C">
          <w:rPr>
            <w:rStyle w:val="Hyperlink"/>
          </w:rPr>
          <w:t>2</w:t>
        </w:r>
        <w:r w:rsidRPr="00A52E1C">
          <w:rPr>
            <w:rStyle w:val="Hyperlink"/>
          </w:rPr>
          <w:t>0</w:t>
        </w:r>
      </w:hyperlink>
      <w:r w:rsidRPr="00EE4C92">
        <w:t xml:space="preserve">). En outre, le Sommet mondial sur l'intelligence artificielle au service du bien social aura lieu pendant la première de ces deux semaines (soit du 7 au 10 juillet 2026) à PALEXPO (Genève), dans le cadre duquel la Commission d'études 21 (CE 21) participe à l'organisation de divers ateliers. Il convient de noter que l'inscription à chacune de ces manifestations s'effectuera </w:t>
      </w:r>
      <w:r w:rsidRPr="00A52E1C">
        <w:rPr>
          <w:u w:val="single"/>
        </w:rPr>
        <w:t>séparément</w:t>
      </w:r>
      <w:r w:rsidRPr="00EE4C92">
        <w:t xml:space="preserve"> de l'inscription à la réunion de la Commission d'études 21.</w:t>
      </w:r>
    </w:p>
    <w:p w14:paraId="2A7F5D00" w14:textId="667C05B9" w:rsidR="00EE4C92" w:rsidRPr="00EE4C92" w:rsidRDefault="00EE4C92" w:rsidP="00F34321">
      <w:r w:rsidRPr="00EE4C92">
        <w:t>4</w:t>
      </w:r>
      <w:r w:rsidRPr="00EE4C92">
        <w:tab/>
        <w:t xml:space="preserve">Je souhaite appeler votre attention sur la Circulaire TSB </w:t>
      </w:r>
      <w:hyperlink r:id="rId18" w:history="1">
        <w:r w:rsidRPr="00A52E1C">
          <w:rPr>
            <w:rStyle w:val="Hyperlink"/>
          </w:rPr>
          <w:t>1</w:t>
        </w:r>
        <w:r w:rsidRPr="00A52E1C">
          <w:rPr>
            <w:rStyle w:val="Hyperlink"/>
          </w:rPr>
          <w:t>0</w:t>
        </w:r>
        <w:r w:rsidRPr="00A52E1C">
          <w:rPr>
            <w:rStyle w:val="Hyperlink"/>
          </w:rPr>
          <w:t>8</w:t>
        </w:r>
      </w:hyperlink>
      <w:r w:rsidRPr="00EE4C92">
        <w:t xml:space="preserve"> (en date du 21 janvier 2026), qui concerne la consultation des États Membres dans le cadre de la procédure TAP sur le texte déterminé des projets de Recommandation ci-dessous:</w:t>
      </w:r>
    </w:p>
    <w:p w14:paraId="731F8863" w14:textId="21DE33EA" w:rsidR="00EE4C92" w:rsidRPr="00EE4C92" w:rsidRDefault="00EE4C92" w:rsidP="00F34321">
      <w:pPr>
        <w:pStyle w:val="enumlev1"/>
      </w:pPr>
      <w:r w:rsidRPr="00EE4C92">
        <w:t>–</w:t>
      </w:r>
      <w:r w:rsidRPr="00EE4C92">
        <w:tab/>
        <w:t>Recommandation UIT-T H.862.9 (anciennement F.HR-AP), "Cadre pour les permissions d'accès aux données de santé dans les plates-formes de santé numérique"</w:t>
      </w:r>
      <w:r w:rsidR="00A52E1C">
        <w:t>.</w:t>
      </w:r>
    </w:p>
    <w:p w14:paraId="1BC0316F" w14:textId="647A6D0D" w:rsidR="00EE4C92" w:rsidRPr="00EE4C92" w:rsidRDefault="00EE4C92" w:rsidP="00F34321">
      <w:pPr>
        <w:pStyle w:val="enumlev1"/>
      </w:pPr>
      <w:r w:rsidRPr="00EE4C92">
        <w:t>–</w:t>
      </w:r>
      <w:r w:rsidRPr="00EE4C92">
        <w:tab/>
        <w:t>Recommandation UIT-T F.748.39 (anciennement F.AICP-FRRC), "Exigences fonctionnelles et architecture de référence de la plate-forme en nuage reposant sur l'intelligence artificielle pour la maintenance des installations des réseaux électriques intelligents"</w:t>
      </w:r>
      <w:r w:rsidR="00A52E1C">
        <w:t>.</w:t>
      </w:r>
    </w:p>
    <w:p w14:paraId="48201EF8" w14:textId="77777777" w:rsidR="001032F8" w:rsidRDefault="00EE4C92" w:rsidP="001032F8">
      <w:pPr>
        <w:pStyle w:val="enumlev1"/>
      </w:pPr>
      <w:r w:rsidRPr="00EE4C92">
        <w:t>–</w:t>
      </w:r>
      <w:r w:rsidRPr="00EE4C92">
        <w:tab/>
        <w:t xml:space="preserve">Recommandation UIT-T F.748.75 (anciennement </w:t>
      </w:r>
      <w:proofErr w:type="gramStart"/>
      <w:r w:rsidRPr="00EE4C92">
        <w:t>F.MTTIR</w:t>
      </w:r>
      <w:proofErr w:type="gramEnd"/>
      <w:r w:rsidRPr="00EE4C92">
        <w:t>), "Exigences et cadre des systèmes robotiques d'inspection des tunnels de transport fondés sur la vision et l'audition par ordinateur"</w:t>
      </w:r>
      <w:r w:rsidR="00A52E1C">
        <w:t>.</w:t>
      </w:r>
    </w:p>
    <w:p w14:paraId="3A554AB1" w14:textId="77777777" w:rsidR="001032F8" w:rsidRDefault="00EE4C92" w:rsidP="001032F8">
      <w:pPr>
        <w:pStyle w:val="enumlev1"/>
      </w:pPr>
      <w:r w:rsidRPr="00EE4C92">
        <w:t>–</w:t>
      </w:r>
      <w:r w:rsidRPr="00EE4C92">
        <w:tab/>
        <w:t>Recommandation UIT-T F.748.76 (anciennement F.AI-RFSSMA), "Exigences et cadre de gestion et d'analyse des signaux sonores fondés sur les technologies de l'intelligence artificielle pour les équipements électriques"</w:t>
      </w:r>
      <w:r w:rsidR="00A52E1C">
        <w:t>.</w:t>
      </w:r>
    </w:p>
    <w:p w14:paraId="108A31DD" w14:textId="6DADA9BB" w:rsidR="00EE4C92" w:rsidRPr="00EE4C92" w:rsidRDefault="00EE4C92" w:rsidP="001032F8">
      <w:pPr>
        <w:pStyle w:val="enumlev1"/>
      </w:pPr>
      <w:r w:rsidRPr="00EE4C92">
        <w:t>–</w:t>
      </w:r>
      <w:r w:rsidRPr="00EE4C92">
        <w:tab/>
        <w:t xml:space="preserve">Recommandation UIT-T J.1043 (anciennement </w:t>
      </w:r>
      <w:proofErr w:type="gramStart"/>
      <w:r w:rsidRPr="00EE4C92">
        <w:t>J.DRMVA</w:t>
      </w:r>
      <w:proofErr w:type="gramEnd"/>
      <w:r w:rsidRPr="00EE4C92">
        <w:t>-rbst), "Gestion des droits numériques pour la distribution de contenus vidéo et audio – Règles de conformité et de robustesse"</w:t>
      </w:r>
      <w:r w:rsidR="00A52E1C">
        <w:t>.</w:t>
      </w:r>
    </w:p>
    <w:p w14:paraId="20A7A847" w14:textId="4AB24021" w:rsidR="00EE4C92" w:rsidRPr="00EE4C92" w:rsidRDefault="00EE4C92" w:rsidP="00F34321">
      <w:r w:rsidRPr="00EE4C92">
        <w:t>Il est rappelé aux États Membres qu'ils doivent envoyer leurs réponses à cette consultation au plus tard le</w:t>
      </w:r>
      <w:r w:rsidR="00A52E1C">
        <w:t> </w:t>
      </w:r>
      <w:r w:rsidRPr="00A52E1C">
        <w:rPr>
          <w:b/>
          <w:bCs/>
        </w:rPr>
        <w:t>24</w:t>
      </w:r>
      <w:r w:rsidR="00A52E1C">
        <w:rPr>
          <w:b/>
          <w:bCs/>
        </w:rPr>
        <w:t> </w:t>
      </w:r>
      <w:r w:rsidRPr="00A52E1C">
        <w:rPr>
          <w:b/>
          <w:bCs/>
        </w:rPr>
        <w:t>juin 2026</w:t>
      </w:r>
      <w:r w:rsidRPr="00EE4C92">
        <w:t xml:space="preserve"> à 23 h 59 UTC.</w:t>
      </w:r>
    </w:p>
    <w:p w14:paraId="5AEF8016" w14:textId="4A4B782C" w:rsidR="00EE4C92" w:rsidRPr="00EE4C92" w:rsidRDefault="00EE4C92" w:rsidP="00F34321">
      <w:r w:rsidRPr="00EE4C92">
        <w:lastRenderedPageBreak/>
        <w:t>5</w:t>
      </w:r>
      <w:r w:rsidRPr="00EE4C92">
        <w:tab/>
        <w:t>La réunion s'ouvrira à 9 h 30 le premier jour. L'enregistrement des participants débutera à 8 h 30 à</w:t>
      </w:r>
      <w:r w:rsidR="00A52E1C">
        <w:t> </w:t>
      </w:r>
      <w:r w:rsidRPr="00EE4C92">
        <w:t>l'</w:t>
      </w:r>
      <w:hyperlink r:id="rId19" w:history="1">
        <w:r w:rsidRPr="00564C12">
          <w:rPr>
            <w:rStyle w:val="Hyperlink"/>
          </w:rPr>
          <w:t>entrée du bâtiment Mont</w:t>
        </w:r>
        <w:r w:rsidRPr="00564C12">
          <w:rPr>
            <w:rStyle w:val="Hyperlink"/>
          </w:rPr>
          <w:t>b</w:t>
        </w:r>
        <w:r w:rsidRPr="00564C12">
          <w:rPr>
            <w:rStyle w:val="Hyperlink"/>
          </w:rPr>
          <w:t>rillant</w:t>
        </w:r>
      </w:hyperlink>
      <w:r w:rsidRPr="00EE4C92">
        <w:t xml:space="preserve"> de l'UIT. L'attribution quotidienne des salles de réunion sera affichée sur les écrans placés dans les locaux du siège de l'UIT, et sera disponible en ligne </w:t>
      </w:r>
      <w:hyperlink r:id="rId20" w:history="1">
        <w:r w:rsidRPr="00564C12">
          <w:rPr>
            <w:rStyle w:val="Hyperlink"/>
          </w:rPr>
          <w:t>i</w:t>
        </w:r>
        <w:r w:rsidRPr="00564C12">
          <w:rPr>
            <w:rStyle w:val="Hyperlink"/>
          </w:rPr>
          <w:t>c</w:t>
        </w:r>
        <w:r w:rsidRPr="00564C12">
          <w:rPr>
            <w:rStyle w:val="Hyperlink"/>
          </w:rPr>
          <w:t>i</w:t>
        </w:r>
      </w:hyperlink>
      <w:r w:rsidRPr="00EE4C92">
        <w:t>.</w:t>
      </w:r>
    </w:p>
    <w:p w14:paraId="3111B318" w14:textId="3E140DD5" w:rsidR="00EE4C92" w:rsidRPr="00EE4C92" w:rsidRDefault="00EE4C92" w:rsidP="00F34321">
      <w:r w:rsidRPr="00EE4C92">
        <w:t>6</w:t>
      </w:r>
      <w:r w:rsidRPr="00EE4C92">
        <w:tab/>
        <w:t>Avant la réunion, une session de formation interactive en ligne sera organisée à l'intention des nouveaux délégués dans le cadre du programme Réduire l'écart en matière de normalisation. Cette session portera sur les méthodes de travail des commissions d'études de l'UIT-T et traitera principalement de l'élaboration, de la soumission et de la présentation des contributions. Tous les membres de l'UIT-T peuvent y</w:t>
      </w:r>
      <w:r w:rsidR="0038144C">
        <w:t> </w:t>
      </w:r>
      <w:r w:rsidRPr="00EE4C92">
        <w:t>participer et aucune inscription n'est nécessaire. La date et l'heure exactes de cette séance seront annoncées au moyen de la liste de diffusion de la CE 21.</w:t>
      </w:r>
    </w:p>
    <w:p w14:paraId="0F10772A" w14:textId="77777777" w:rsidR="00EE4C92" w:rsidRPr="00EE4C92" w:rsidRDefault="00EE4C92" w:rsidP="00F34321">
      <w:r w:rsidRPr="00EE4C92">
        <w:t>7</w:t>
      </w:r>
      <w:r w:rsidRPr="00EE4C92">
        <w:tab/>
        <w:t>Des informations pratiques concernant la réunion sont données dans l'</w:t>
      </w:r>
      <w:r w:rsidRPr="00320566">
        <w:rPr>
          <w:b/>
          <w:bCs/>
        </w:rPr>
        <w:t>Annexe A</w:t>
      </w:r>
      <w:r w:rsidRPr="00EE4C92">
        <w:t>. Il est rappelé aux délégués que, conformément aux dispositions en vigueur, les décisions seront prises par les participants physiquement présents dans la salle de réunion. Une participation interactive à distance sera possible pour les séances plénières d'ouverture et de clôture (on trouvera de plus amples informations dans l'Annexe A).</w:t>
      </w:r>
    </w:p>
    <w:p w14:paraId="42AB7C2B" w14:textId="5EBE37BD" w:rsidR="00EE4C92" w:rsidRDefault="00EE4C92" w:rsidP="00F34321">
      <w:pPr>
        <w:rPr>
          <w:b/>
        </w:rPr>
      </w:pPr>
      <w:r w:rsidRPr="00EE4C92">
        <w:t>8</w:t>
      </w:r>
      <w:r w:rsidRPr="00EE4C92">
        <w:tab/>
        <w:t xml:space="preserve">Un projet </w:t>
      </w:r>
      <w:r w:rsidRPr="00320566">
        <w:rPr>
          <w:b/>
          <w:bCs/>
        </w:rPr>
        <w:t>d'ordre du jour</w:t>
      </w:r>
      <w:r w:rsidRPr="00320566">
        <w:t xml:space="preserve"> </w:t>
      </w:r>
      <w:r w:rsidRPr="00EE4C92">
        <w:t xml:space="preserve">et un projet de </w:t>
      </w:r>
      <w:r w:rsidRPr="00320566">
        <w:rPr>
          <w:b/>
          <w:bCs/>
        </w:rPr>
        <w:t>calendrier</w:t>
      </w:r>
      <w:r w:rsidRPr="00EE4C92">
        <w:t xml:space="preserve"> de la réunion, établis par le Président de la</w:t>
      </w:r>
      <w:r w:rsidR="00320566">
        <w:t xml:space="preserve"> </w:t>
      </w:r>
      <w:r w:rsidRPr="00EE4C92">
        <w:t>CE</w:t>
      </w:r>
      <w:r w:rsidR="00320566">
        <w:t> </w:t>
      </w:r>
      <w:r w:rsidRPr="00EE4C92">
        <w:t xml:space="preserve">21, M. Noah Luo (République populaire de Chine), figurent dans les </w:t>
      </w:r>
      <w:r w:rsidRPr="00320566">
        <w:rPr>
          <w:b/>
          <w:bCs/>
        </w:rPr>
        <w:t>Annexes B et C</w:t>
      </w:r>
      <w:r w:rsidRPr="00EE4C92">
        <w:t xml:space="preserve">. L'ordre du jour détaillé, le projet de calendrier et des renseignements pratiques seront disponibles et mis à jour régulièrement sur la </w:t>
      </w:r>
      <w:hyperlink r:id="rId21" w:anchor="/fr" w:history="1">
        <w:r w:rsidR="0038144C">
          <w:rPr>
            <w:rStyle w:val="Hyperlink"/>
          </w:rPr>
          <w:t>pa</w:t>
        </w:r>
        <w:r w:rsidR="0038144C">
          <w:rPr>
            <w:rStyle w:val="Hyperlink"/>
          </w:rPr>
          <w:t>g</w:t>
        </w:r>
        <w:r w:rsidR="0038144C">
          <w:rPr>
            <w:rStyle w:val="Hyperlink"/>
          </w:rPr>
          <w:t>e d'accueil de la commission d'études</w:t>
        </w:r>
      </w:hyperlink>
      <w:r w:rsidRPr="00EE4C92">
        <w:t>.</w:t>
      </w:r>
    </w:p>
    <w:p w14:paraId="20B5CFD6" w14:textId="1BA5CCB8" w:rsidR="00815A6F" w:rsidRPr="00B95A2D" w:rsidRDefault="00815A6F" w:rsidP="001032F8">
      <w:pPr>
        <w:pStyle w:val="headingb"/>
        <w:spacing w:before="120" w:after="60"/>
      </w:pPr>
      <w:r w:rsidRPr="00B95A2D">
        <w:t>Principales échéances: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080"/>
      </w:tblGrid>
      <w:tr w:rsidR="00EE4C92" w:rsidRPr="00F60432" w14:paraId="4D4E2951" w14:textId="77777777" w:rsidTr="0038144C">
        <w:tc>
          <w:tcPr>
            <w:tcW w:w="1980" w:type="dxa"/>
          </w:tcPr>
          <w:p w14:paraId="58E56EC5" w14:textId="77777777" w:rsidR="00EE4C92" w:rsidRPr="00F34321" w:rsidRDefault="00EE4C92" w:rsidP="001032F8">
            <w:pPr>
              <w:pStyle w:val="TableText"/>
              <w:spacing w:before="20"/>
            </w:pPr>
            <w:r w:rsidRPr="00F34321">
              <w:t>6 mai 2026</w:t>
            </w:r>
          </w:p>
        </w:tc>
        <w:tc>
          <w:tcPr>
            <w:tcW w:w="8080" w:type="dxa"/>
          </w:tcPr>
          <w:p w14:paraId="74D75F25" w14:textId="723314DC" w:rsidR="00EE4C92" w:rsidRPr="00F34321" w:rsidRDefault="00564C12" w:rsidP="001032F8">
            <w:pPr>
              <w:pStyle w:val="enumlev1"/>
              <w:spacing w:before="20"/>
              <w:ind w:left="792" w:hanging="792"/>
            </w:pPr>
            <w:r>
              <w:t>–</w:t>
            </w:r>
            <w:r>
              <w:tab/>
            </w:r>
            <w:r w:rsidR="00EE4C92" w:rsidRPr="00F34321">
              <w:t>Soumission des demandes de sous-titrage en temps réel et/ou d'interprétation en langue des signes.</w:t>
            </w:r>
          </w:p>
          <w:p w14:paraId="0569F7A5" w14:textId="38512CFA" w:rsidR="00EE4C92" w:rsidRPr="00F34321" w:rsidRDefault="00564C12" w:rsidP="001032F8">
            <w:pPr>
              <w:pStyle w:val="enumlev1"/>
              <w:spacing w:before="20"/>
              <w:ind w:left="792" w:hanging="792"/>
            </w:pPr>
            <w:r>
              <w:t>–</w:t>
            </w:r>
            <w:r>
              <w:tab/>
            </w:r>
            <w:hyperlink r:id="rId22" w:history="1">
              <w:r w:rsidR="00EE4C92" w:rsidRPr="0038144C">
                <w:rPr>
                  <w:rStyle w:val="Hyperlink"/>
                </w:rPr>
                <w:t>Soumission des contributions des Me</w:t>
              </w:r>
              <w:r w:rsidR="00EE4C92" w:rsidRPr="0038144C">
                <w:rPr>
                  <w:rStyle w:val="Hyperlink"/>
                </w:rPr>
                <w:t>m</w:t>
              </w:r>
              <w:r w:rsidR="00EE4C92" w:rsidRPr="0038144C">
                <w:rPr>
                  <w:rStyle w:val="Hyperlink"/>
                </w:rPr>
                <w:t>bres de l'UIT-T</w:t>
              </w:r>
            </w:hyperlink>
            <w:r w:rsidR="00EE4C92" w:rsidRPr="00F34321">
              <w:t xml:space="preserve"> pour lesquelles une traduction est demandée.</w:t>
            </w:r>
            <w:hyperlink r:id="rId23" w:history="1"/>
          </w:p>
        </w:tc>
      </w:tr>
      <w:tr w:rsidR="00EE4C92" w:rsidRPr="00846B6A" w14:paraId="49D0737B" w14:textId="77777777" w:rsidTr="0038144C">
        <w:tc>
          <w:tcPr>
            <w:tcW w:w="1980" w:type="dxa"/>
          </w:tcPr>
          <w:p w14:paraId="4A93E0FE" w14:textId="77777777" w:rsidR="00EE4C92" w:rsidRPr="00F34321" w:rsidRDefault="00EE4C92" w:rsidP="001032F8">
            <w:pPr>
              <w:pStyle w:val="TableText"/>
              <w:spacing w:before="20"/>
            </w:pPr>
            <w:r w:rsidRPr="00F34321">
              <w:t>25 mai 2026</w:t>
            </w:r>
          </w:p>
        </w:tc>
        <w:tc>
          <w:tcPr>
            <w:tcW w:w="8080" w:type="dxa"/>
          </w:tcPr>
          <w:p w14:paraId="262B3E93" w14:textId="3835AE72" w:rsidR="00EE4C92" w:rsidRPr="00F34321" w:rsidRDefault="00564C12" w:rsidP="001032F8">
            <w:pPr>
              <w:pStyle w:val="enumlev1"/>
              <w:spacing w:before="20"/>
              <w:ind w:left="792" w:hanging="792"/>
            </w:pPr>
            <w:r>
              <w:t>–</w:t>
            </w:r>
            <w:r>
              <w:tab/>
            </w:r>
            <w:r w:rsidR="00EE4C92" w:rsidRPr="00F34321">
              <w:t xml:space="preserve">Soumission des demandes de bourses (au moyen des formulaires disponibles sur la </w:t>
            </w:r>
            <w:hyperlink r:id="rId24" w:anchor="/fr" w:history="1">
              <w:r w:rsidR="00EE4C92" w:rsidRPr="0038144C">
                <w:rPr>
                  <w:rStyle w:val="Hyperlink"/>
                </w:rPr>
                <w:t xml:space="preserve">page d'accueil </w:t>
              </w:r>
              <w:r w:rsidR="00EE4C92" w:rsidRPr="0038144C">
                <w:rPr>
                  <w:rStyle w:val="Hyperlink"/>
                </w:rPr>
                <w:t>d</w:t>
              </w:r>
              <w:r w:rsidR="00EE4C92" w:rsidRPr="0038144C">
                <w:rPr>
                  <w:rStyle w:val="Hyperlink"/>
                </w:rPr>
                <w:t>e la commission d'études</w:t>
              </w:r>
            </w:hyperlink>
            <w:r w:rsidR="00EE4C92" w:rsidRPr="00F34321">
              <w:t>; pour plus de précisions, voir l'Annexe</w:t>
            </w:r>
            <w:r w:rsidR="00320566">
              <w:t> </w:t>
            </w:r>
            <w:r w:rsidR="00EE4C92" w:rsidRPr="00F34321">
              <w:t>A).</w:t>
            </w:r>
            <w:hyperlink r:id="rId25" w:history="1"/>
          </w:p>
          <w:p w14:paraId="640C601F" w14:textId="51E094BE" w:rsidR="00EE4C92" w:rsidRPr="00F34321" w:rsidRDefault="00564C12" w:rsidP="001032F8">
            <w:pPr>
              <w:pStyle w:val="enumlev1"/>
              <w:spacing w:before="20"/>
              <w:ind w:left="792" w:hanging="792"/>
            </w:pPr>
            <w:r>
              <w:t>–</w:t>
            </w:r>
            <w:r>
              <w:tab/>
            </w:r>
            <w:r w:rsidR="00EE4C92" w:rsidRPr="00F34321">
              <w:t>Soumission des demandes de service d'interprétation (au moyen du formulaire d'inscription préalable).</w:t>
            </w:r>
          </w:p>
        </w:tc>
      </w:tr>
      <w:tr w:rsidR="00EE4C92" w:rsidRPr="00F60432" w14:paraId="24DA3D4B" w14:textId="77777777" w:rsidTr="0038144C">
        <w:tc>
          <w:tcPr>
            <w:tcW w:w="1980" w:type="dxa"/>
          </w:tcPr>
          <w:p w14:paraId="5CEB16F0" w14:textId="77777777" w:rsidR="00EE4C92" w:rsidRPr="00F34321" w:rsidRDefault="00EE4C92" w:rsidP="001032F8">
            <w:pPr>
              <w:pStyle w:val="TableText"/>
              <w:spacing w:before="20"/>
            </w:pPr>
            <w:r w:rsidRPr="00F34321">
              <w:t>6 juin 2026</w:t>
            </w:r>
          </w:p>
        </w:tc>
        <w:tc>
          <w:tcPr>
            <w:tcW w:w="8080" w:type="dxa"/>
          </w:tcPr>
          <w:p w14:paraId="41DBEC8C" w14:textId="2FE90E2F" w:rsidR="00EE4C92" w:rsidRPr="00F34321" w:rsidRDefault="00564C12" w:rsidP="001032F8">
            <w:pPr>
              <w:pStyle w:val="enumlev1"/>
              <w:spacing w:before="20"/>
              <w:ind w:left="792" w:hanging="792"/>
            </w:pPr>
            <w:r>
              <w:t>–</w:t>
            </w:r>
            <w:r>
              <w:tab/>
            </w:r>
            <w:r w:rsidR="00EE4C92" w:rsidRPr="00F34321">
              <w:t xml:space="preserve">Inscription préalable (au moyen du formulaire d'inscription en ligne disponible sur la </w:t>
            </w:r>
            <w:hyperlink r:id="rId26" w:anchor="/fr" w:history="1">
              <w:r w:rsidR="00EE4C92" w:rsidRPr="0038144C">
                <w:rPr>
                  <w:rStyle w:val="Hyperlink"/>
                </w:rPr>
                <w:t xml:space="preserve">page d'accueil de la commission </w:t>
              </w:r>
              <w:r w:rsidR="00EE4C92" w:rsidRPr="0038144C">
                <w:rPr>
                  <w:rStyle w:val="Hyperlink"/>
                </w:rPr>
                <w:t>d</w:t>
              </w:r>
              <w:r w:rsidR="00EE4C92" w:rsidRPr="0038144C">
                <w:rPr>
                  <w:rStyle w:val="Hyperlink"/>
                </w:rPr>
                <w:t>'études</w:t>
              </w:r>
            </w:hyperlink>
            <w:r w:rsidR="00EE4C92" w:rsidRPr="00F34321">
              <w:t>).</w:t>
            </w:r>
            <w:hyperlink r:id="rId27" w:history="1"/>
          </w:p>
          <w:p w14:paraId="2D0E9E43" w14:textId="1C376201" w:rsidR="00EE4C92" w:rsidRPr="00F34321" w:rsidRDefault="00564C12" w:rsidP="001032F8">
            <w:pPr>
              <w:pStyle w:val="enumlev1"/>
              <w:spacing w:before="20"/>
              <w:ind w:left="792" w:hanging="792"/>
            </w:pPr>
            <w:r>
              <w:t>–</w:t>
            </w:r>
            <w:r>
              <w:tab/>
            </w:r>
            <w:r w:rsidR="00EE4C92" w:rsidRPr="00F34321">
              <w:t>Soumission des demandes de lettres pour faciliter l'obtention du visa (au moyen du formulaire d'inscription en ligne; pour plus de précisions, voir l'Annexe A).</w:t>
            </w:r>
          </w:p>
        </w:tc>
      </w:tr>
      <w:tr w:rsidR="00EE4C92" w:rsidRPr="00846B6A" w14:paraId="2D08BBA0" w14:textId="77777777" w:rsidTr="0038144C">
        <w:tc>
          <w:tcPr>
            <w:tcW w:w="1980" w:type="dxa"/>
          </w:tcPr>
          <w:p w14:paraId="636E2EA0" w14:textId="77777777" w:rsidR="00EE4C92" w:rsidRPr="00F34321" w:rsidRDefault="00EE4C92" w:rsidP="001032F8">
            <w:pPr>
              <w:pStyle w:val="TableText"/>
              <w:spacing w:before="20"/>
            </w:pPr>
            <w:r w:rsidRPr="00F34321">
              <w:t>23 juin 2026</w:t>
            </w:r>
          </w:p>
        </w:tc>
        <w:tc>
          <w:tcPr>
            <w:tcW w:w="8080" w:type="dxa"/>
          </w:tcPr>
          <w:p w14:paraId="14FF9BCD" w14:textId="07C7189B" w:rsidR="00EE4C92" w:rsidRPr="00F34321" w:rsidRDefault="00564C12" w:rsidP="001032F8">
            <w:pPr>
              <w:pStyle w:val="enumlev1"/>
              <w:spacing w:before="20"/>
              <w:ind w:left="792" w:hanging="792"/>
            </w:pPr>
            <w:r>
              <w:t>–</w:t>
            </w:r>
            <w:r>
              <w:tab/>
            </w:r>
            <w:hyperlink r:id="rId28" w:history="1">
              <w:r w:rsidR="00EE4C92" w:rsidRPr="0038144C">
                <w:rPr>
                  <w:rStyle w:val="Hyperlink"/>
                </w:rPr>
                <w:t xml:space="preserve">Soumission des contributions </w:t>
              </w:r>
              <w:r w:rsidR="00EE4C92" w:rsidRPr="0038144C">
                <w:rPr>
                  <w:rStyle w:val="Hyperlink"/>
                </w:rPr>
                <w:t>d</w:t>
              </w:r>
              <w:r w:rsidR="00EE4C92" w:rsidRPr="0038144C">
                <w:rPr>
                  <w:rStyle w:val="Hyperlink"/>
                </w:rPr>
                <w:t>es Membres de l'UIT-T (au moyen du système direct de publication des documents en ligne)</w:t>
              </w:r>
            </w:hyperlink>
            <w:r w:rsidR="00EE4C92" w:rsidRPr="00F34321">
              <w:t>.</w:t>
            </w:r>
          </w:p>
        </w:tc>
      </w:tr>
      <w:tr w:rsidR="00EE4C92" w:rsidRPr="00F60432" w14:paraId="215E8C2C" w14:textId="77777777" w:rsidTr="0038144C">
        <w:tc>
          <w:tcPr>
            <w:tcW w:w="1980" w:type="dxa"/>
          </w:tcPr>
          <w:p w14:paraId="4312ACC9" w14:textId="77777777" w:rsidR="00EE4C92" w:rsidRPr="00F34321" w:rsidRDefault="00EE4C92" w:rsidP="001032F8">
            <w:pPr>
              <w:pStyle w:val="TableText"/>
              <w:spacing w:before="20"/>
            </w:pPr>
            <w:r w:rsidRPr="00F34321">
              <w:t>24 septembre 2026</w:t>
            </w:r>
          </w:p>
        </w:tc>
        <w:tc>
          <w:tcPr>
            <w:tcW w:w="8080" w:type="dxa"/>
          </w:tcPr>
          <w:p w14:paraId="3E7B75AF" w14:textId="67094321" w:rsidR="00EE4C92" w:rsidRPr="00F34321" w:rsidRDefault="00564C12" w:rsidP="001032F8">
            <w:pPr>
              <w:pStyle w:val="enumlev1"/>
              <w:spacing w:before="20"/>
              <w:ind w:left="792" w:hanging="792"/>
            </w:pPr>
            <w:r>
              <w:t>–</w:t>
            </w:r>
            <w:r>
              <w:tab/>
            </w:r>
            <w:r w:rsidR="00EE4C92" w:rsidRPr="00F34321">
              <w:t>Soumission du formulaire figurant dans l'Annexe 2 de la Circulaire TSB</w:t>
            </w:r>
            <w:r w:rsidR="0038144C">
              <w:t> </w:t>
            </w:r>
            <w:hyperlink r:id="rId29" w:history="1">
              <w:r w:rsidR="0038144C" w:rsidRPr="0038144C">
                <w:rPr>
                  <w:rStyle w:val="Hyperlink"/>
                </w:rPr>
                <w:t>1</w:t>
              </w:r>
              <w:r w:rsidR="0038144C" w:rsidRPr="0038144C">
                <w:rPr>
                  <w:rStyle w:val="Hyperlink"/>
                </w:rPr>
                <w:t>0</w:t>
              </w:r>
              <w:r w:rsidR="0038144C" w:rsidRPr="0038144C">
                <w:rPr>
                  <w:rStyle w:val="Hyperlink"/>
                </w:rPr>
                <w:t>8</w:t>
              </w:r>
            </w:hyperlink>
            <w:r w:rsidR="00EE4C92" w:rsidRPr="00F34321">
              <w:t xml:space="preserve"> concernant la consultation des États Membres dans le cadre de la procédure TAP sur le texte déterminé des projets de Recommandations UIT-T H.862.9 (anciennement F.HR-AP), UIT-T F.748.39 (anciennement F.AICP-FRRC), UIT</w:t>
            </w:r>
            <w:r w:rsidR="00320566">
              <w:noBreakHyphen/>
            </w:r>
            <w:r w:rsidR="00EE4C92" w:rsidRPr="00F34321">
              <w:t>T</w:t>
            </w:r>
            <w:r w:rsidR="00320566">
              <w:t> </w:t>
            </w:r>
            <w:r w:rsidR="00EE4C92" w:rsidRPr="00F34321">
              <w:t>F.748.75 (anciennement F.MTTIR), UIT-T F.748.76 (anciennement</w:t>
            </w:r>
            <w:r w:rsidR="00AC1A41">
              <w:t> </w:t>
            </w:r>
            <w:r w:rsidR="00EE4C92" w:rsidRPr="00F34321">
              <w:t>F.AI</w:t>
            </w:r>
            <w:r w:rsidR="00320566">
              <w:noBreakHyphen/>
            </w:r>
            <w:r w:rsidR="00EE4C92" w:rsidRPr="00F34321">
              <w:t>RFSSMA) et UIT-T J.1043 (anciennement J.DRMVA-</w:t>
            </w:r>
            <w:proofErr w:type="spellStart"/>
            <w:r w:rsidR="00EE4C92" w:rsidRPr="00F34321">
              <w:t>rbst</w:t>
            </w:r>
            <w:proofErr w:type="spellEnd"/>
            <w:r w:rsidR="00EE4C92" w:rsidRPr="00F34321">
              <w:t>).</w:t>
            </w:r>
            <w:hyperlink r:id="rId30" w:history="1">
              <w:hyperlink r:id="rId31" w:history="1"/>
            </w:hyperlink>
          </w:p>
        </w:tc>
      </w:tr>
    </w:tbl>
    <w:p w14:paraId="501B3A50" w14:textId="77777777" w:rsidR="001032F8" w:rsidRDefault="00EE4C92" w:rsidP="001032F8">
      <w:pPr>
        <w:rPr>
          <w:rFonts w:cstheme="minorHAnsi"/>
          <w:b/>
          <w:bCs/>
          <w:szCs w:val="22"/>
        </w:rPr>
      </w:pPr>
      <w:r>
        <w:t>Je vous souhaite une réunion constructive et agréable.</w:t>
      </w:r>
    </w:p>
    <w:p w14:paraId="7340390F" w14:textId="03B2E95F" w:rsidR="00815A6F" w:rsidRPr="001032F8" w:rsidRDefault="00815A6F" w:rsidP="001032F8">
      <w:pPr>
        <w:spacing w:after="60"/>
        <w:rPr>
          <w:rFonts w:cstheme="minorHAnsi"/>
          <w:b/>
          <w:bCs/>
          <w:szCs w:val="22"/>
        </w:rPr>
      </w:pPr>
      <w:r w:rsidRPr="00B95A2D">
        <w:rPr>
          <w:rFonts w:asciiTheme="minorHAnsi" w:hAnsiTheme="minorHAnsi"/>
        </w:rPr>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B95A2D" w14:paraId="18A51258" w14:textId="77777777" w:rsidTr="002C58A4">
        <w:trPr>
          <w:cantSplit/>
          <w:trHeight w:val="1955"/>
        </w:trPr>
        <w:tc>
          <w:tcPr>
            <w:tcW w:w="6615" w:type="dxa"/>
            <w:vMerge w:val="restart"/>
            <w:tcBorders>
              <w:right w:val="single" w:sz="4" w:space="0" w:color="auto"/>
            </w:tcBorders>
          </w:tcPr>
          <w:p w14:paraId="12C5E275" w14:textId="2D7D4F01" w:rsidR="00815A6F" w:rsidRDefault="0056358E" w:rsidP="001032F8">
            <w:pPr>
              <w:keepNext/>
              <w:keepLines/>
              <w:spacing w:before="840"/>
              <w:ind w:left="-110"/>
              <w:rPr>
                <w:rFonts w:asciiTheme="minorHAnsi" w:hAnsiTheme="minorHAnsi"/>
              </w:rPr>
            </w:pPr>
            <w:r>
              <w:rPr>
                <w:rFonts w:cstheme="minorHAnsi"/>
                <w:noProof/>
                <w:szCs w:val="22"/>
                <w:lang w:val="fr-CH"/>
              </w:rPr>
              <w:drawing>
                <wp:anchor distT="0" distB="0" distL="114300" distR="114300" simplePos="0" relativeHeight="251658240" behindDoc="1" locked="0" layoutInCell="1" allowOverlap="1" wp14:anchorId="3B4C965B" wp14:editId="2139B8E5">
                  <wp:simplePos x="0" y="0"/>
                  <wp:positionH relativeFrom="column">
                    <wp:posOffset>-69215</wp:posOffset>
                  </wp:positionH>
                  <wp:positionV relativeFrom="paragraph">
                    <wp:posOffset>36195</wp:posOffset>
                  </wp:positionV>
                  <wp:extent cx="692186" cy="330217"/>
                  <wp:effectExtent l="0" t="0" r="0" b="0"/>
                  <wp:wrapNone/>
                  <wp:docPr id="988107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07191" name="Picture 988107191"/>
                          <pic:cNvPicPr/>
                        </pic:nvPicPr>
                        <pic:blipFill>
                          <a:blip r:embed="rId32">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295B1F" w:rsidRPr="00295B1F">
              <w:rPr>
                <w:rFonts w:cstheme="minorHAnsi"/>
                <w:szCs w:val="22"/>
                <w:lang w:val="fr-CH"/>
              </w:rPr>
              <w:t>Seizo Onoe</w:t>
            </w:r>
            <w:r w:rsidR="00815A6F" w:rsidRPr="00B95A2D">
              <w:rPr>
                <w:rFonts w:asciiTheme="minorHAnsi" w:hAnsiTheme="minorHAnsi"/>
              </w:rPr>
              <w:br/>
              <w:t>Directeur du Bureau de la</w:t>
            </w:r>
            <w:r w:rsidR="00815A6F">
              <w:rPr>
                <w:rFonts w:asciiTheme="minorHAnsi" w:hAnsiTheme="minorHAnsi"/>
              </w:rPr>
              <w:t xml:space="preserve"> </w:t>
            </w:r>
            <w:r w:rsidR="00815A6F" w:rsidRPr="00B95A2D">
              <w:rPr>
                <w:rFonts w:asciiTheme="minorHAnsi" w:hAnsiTheme="minorHAnsi"/>
              </w:rPr>
              <w:t xml:space="preserve">normalisation </w:t>
            </w:r>
            <w:r w:rsidR="00815A6F">
              <w:rPr>
                <w:rFonts w:asciiTheme="minorHAnsi" w:hAnsiTheme="minorHAnsi"/>
              </w:rPr>
              <w:br/>
            </w:r>
            <w:r w:rsidR="00815A6F" w:rsidRPr="00B95A2D">
              <w:rPr>
                <w:rFonts w:asciiTheme="minorHAnsi" w:hAnsiTheme="minorHAnsi"/>
              </w:rPr>
              <w:t>des télécommunications</w:t>
            </w:r>
          </w:p>
          <w:p w14:paraId="01D9FA80" w14:textId="31068AA9" w:rsidR="001032F8" w:rsidRPr="001032F8" w:rsidRDefault="001032F8" w:rsidP="001032F8">
            <w:pPr>
              <w:spacing w:before="360"/>
              <w:ind w:left="-110"/>
              <w:rPr>
                <w:rFonts w:asciiTheme="minorHAnsi" w:hAnsiTheme="minorHAnsi"/>
                <w:lang w:val="fr-CH"/>
              </w:rPr>
            </w:pPr>
            <w:proofErr w:type="gramStart"/>
            <w:r w:rsidRPr="00A40FAD">
              <w:rPr>
                <w:rFonts w:asciiTheme="minorHAnsi" w:hAnsiTheme="minorHAnsi"/>
                <w:b/>
                <w:bCs/>
              </w:rPr>
              <w:t>Annexes</w:t>
            </w:r>
            <w:r w:rsidRPr="00A40FAD">
              <w:rPr>
                <w:rFonts w:asciiTheme="minorHAnsi" w:hAnsiTheme="minorHAnsi"/>
                <w:bCs/>
              </w:rPr>
              <w:t>:</w:t>
            </w:r>
            <w:proofErr w:type="gramEnd"/>
            <w:r w:rsidRPr="00A40FAD">
              <w:rPr>
                <w:rFonts w:asciiTheme="minorHAnsi" w:hAnsiTheme="minorHAnsi"/>
                <w:bCs/>
              </w:rPr>
              <w:t xml:space="preserve"> </w:t>
            </w:r>
            <w:r>
              <w:rPr>
                <w:rFonts w:asciiTheme="minorHAnsi" w:hAnsiTheme="minorHAnsi"/>
                <w:bCs/>
              </w:rPr>
              <w:t>3</w:t>
            </w:r>
          </w:p>
        </w:tc>
        <w:tc>
          <w:tcPr>
            <w:tcW w:w="3109" w:type="dxa"/>
            <w:tcBorders>
              <w:top w:val="single" w:sz="4" w:space="0" w:color="auto"/>
              <w:left w:val="single" w:sz="4" w:space="0" w:color="auto"/>
              <w:right w:val="single" w:sz="4" w:space="0" w:color="auto"/>
            </w:tcBorders>
            <w:textDirection w:val="btLr"/>
            <w:vAlign w:val="center"/>
          </w:tcPr>
          <w:p w14:paraId="226BB254" w14:textId="7590EFB2" w:rsidR="00815A6F" w:rsidRPr="00B95A2D" w:rsidRDefault="00EE4C92" w:rsidP="00F34321">
            <w:pPr>
              <w:keepNext/>
              <w:keepLines/>
              <w:spacing w:before="0"/>
              <w:ind w:left="113" w:right="113"/>
              <w:jc w:val="center"/>
              <w:rPr>
                <w:rFonts w:asciiTheme="minorHAnsi" w:hAnsiTheme="minorHAnsi"/>
              </w:rPr>
            </w:pPr>
            <w:r w:rsidRPr="00435A93">
              <w:rPr>
                <w:noProof/>
                <w:color w:val="000000"/>
              </w:rPr>
              <w:drawing>
                <wp:inline distT="0" distB="0" distL="0" distR="0" wp14:anchorId="1A40BE61" wp14:editId="74E15ED8">
                  <wp:extent cx="1012825" cy="1012825"/>
                  <wp:effectExtent l="0" t="0" r="0" b="0"/>
                  <wp:docPr id="2" name="Picture 2">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33"/>
                          </pic:cNvPr>
                          <pic:cNvPicPr/>
                        </pic:nvPicPr>
                        <pic:blipFill>
                          <a:blip r:embed="rId34">
                            <a:extLst>
                              <a:ext uri="{96DAC541-7B7A-43D3-8B79-37D633B846F1}">
                                <asvg:svgBlip xmlns:asvg="http://schemas.microsoft.com/office/drawing/2016/SVG/main" r:embed="rId35"/>
                              </a:ext>
                            </a:extLst>
                          </a:blip>
                          <a:srcRect/>
                          <a:stretch>
                            <a:fillRect/>
                          </a:stretch>
                        </pic:blipFill>
                        <pic:spPr>
                          <a:xfrm>
                            <a:off x="0" y="0"/>
                            <a:ext cx="1013209" cy="1013209"/>
                          </a:xfrm>
                          <a:prstGeom prst="rect">
                            <a:avLst/>
                          </a:prstGeom>
                        </pic:spPr>
                      </pic:pic>
                    </a:graphicData>
                  </a:graphic>
                </wp:inline>
              </w:drawing>
            </w:r>
            <w:r>
              <w:rPr>
                <w:color w:val="000000"/>
              </w:rPr>
              <w:t xml:space="preserve"> CE 21 de l'UIT-T</w:t>
            </w:r>
          </w:p>
        </w:tc>
      </w:tr>
      <w:tr w:rsidR="00815A6F" w:rsidRPr="00B95A2D" w14:paraId="288A4E1E" w14:textId="77777777" w:rsidTr="001032F8">
        <w:trPr>
          <w:cantSplit/>
          <w:trHeight w:val="288"/>
        </w:trPr>
        <w:tc>
          <w:tcPr>
            <w:tcW w:w="6615" w:type="dxa"/>
            <w:vMerge/>
            <w:tcBorders>
              <w:right w:val="single" w:sz="4" w:space="0" w:color="auto"/>
            </w:tcBorders>
          </w:tcPr>
          <w:p w14:paraId="0FBD6B93" w14:textId="77777777" w:rsidR="00815A6F" w:rsidRPr="00B95A2D"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B95A2D" w:rsidRDefault="00815A6F" w:rsidP="002C58A4">
            <w:pPr>
              <w:spacing w:before="0"/>
              <w:jc w:val="center"/>
              <w:rPr>
                <w:rFonts w:asciiTheme="minorHAnsi" w:eastAsia="SimSun" w:hAnsiTheme="minorHAnsi" w:cs="Arial"/>
                <w:noProof/>
                <w:sz w:val="16"/>
                <w:szCs w:val="16"/>
                <w:lang w:eastAsia="zh-CN"/>
              </w:rPr>
            </w:pPr>
            <w:r w:rsidRPr="001032F8">
              <w:rPr>
                <w:rFonts w:asciiTheme="minorHAnsi" w:hAnsiTheme="minorHAnsi"/>
                <w:sz w:val="20"/>
                <w:szCs w:val="18"/>
              </w:rPr>
              <w:t>Informations les plus récentes concernant la réunion</w:t>
            </w:r>
          </w:p>
        </w:tc>
      </w:tr>
    </w:tbl>
    <w:p w14:paraId="5413DC0B" w14:textId="4F11BE45" w:rsidR="00EE4C92" w:rsidRPr="00846B6A" w:rsidRDefault="00EE4C92" w:rsidP="00F34321">
      <w:pPr>
        <w:pStyle w:val="Annextitle0"/>
        <w:rPr>
          <w:lang w:val="fr-FR"/>
        </w:rPr>
      </w:pPr>
      <w:r>
        <w:rPr>
          <w:lang w:val="fr-FR"/>
        </w:rPr>
        <w:lastRenderedPageBreak/>
        <w:t>ANNEXE A</w:t>
      </w:r>
      <w:r w:rsidR="00AC1A41">
        <w:rPr>
          <w:lang w:val="fr-FR"/>
        </w:rPr>
        <w:br/>
      </w:r>
      <w:r w:rsidRPr="0038144C">
        <w:rPr>
          <w:lang w:val="fr-FR"/>
        </w:rPr>
        <w:t>Informations</w:t>
      </w:r>
      <w:r>
        <w:rPr>
          <w:lang w:val="fr-FR"/>
        </w:rPr>
        <w:t xml:space="preserve"> pratiques concernant la réunion</w:t>
      </w:r>
    </w:p>
    <w:p w14:paraId="18ED7069" w14:textId="77777777" w:rsidR="00EE4C92" w:rsidRPr="00435A93" w:rsidRDefault="00EE4C92" w:rsidP="00F34321">
      <w:pPr>
        <w:pStyle w:val="AnnexTitle"/>
        <w:rPr>
          <w:szCs w:val="22"/>
        </w:rPr>
      </w:pPr>
      <w:r>
        <w:t>MÉTHODES DE TRAVAIL ET INSTALLATIONS</w:t>
      </w:r>
    </w:p>
    <w:p w14:paraId="67FE1A86" w14:textId="07CDBB6F" w:rsidR="00EE4C92" w:rsidRPr="00846B6A" w:rsidRDefault="00EE4C92" w:rsidP="00F34321">
      <w:pPr>
        <w:rPr>
          <w:rFonts w:eastAsia="SimSun"/>
          <w:b/>
          <w:bCs/>
          <w:szCs w:val="22"/>
        </w:rPr>
      </w:pPr>
      <w:r>
        <w:rPr>
          <w:b/>
          <w:bCs/>
        </w:rPr>
        <w:t>SOUMISSION DES DOCUMENTS ET ACCÈS</w:t>
      </w:r>
      <w:r>
        <w:t xml:space="preserve">: la réunion se déroulera sans document papier. Les contributions des Membres doivent être soumises au moyen du </w:t>
      </w:r>
      <w:hyperlink r:id="rId36" w:history="1">
        <w:r w:rsidRPr="00564C12">
          <w:rPr>
            <w:rStyle w:val="Hyperlink"/>
          </w:rPr>
          <w:t>système direct de publication des documents en ligne</w:t>
        </w:r>
      </w:hyperlink>
      <w:r>
        <w:t xml:space="preserve">; les projets de document temporaire (TD) doivent être soumis par courrier électronique au secrétariat de la commission d'études en utilisant le </w:t>
      </w:r>
      <w:hyperlink r:id="rId37" w:history="1">
        <w:r w:rsidRPr="00564C12">
          <w:rPr>
            <w:rStyle w:val="Hyperlink"/>
          </w:rPr>
          <w:t>gabarit approprié</w:t>
        </w:r>
      </w:hyperlink>
      <w:r>
        <w:t xml:space="preserve">. Les documents de réunion sont accessibles depuis la page d'accueil de la commission d'études, et l'accès est réservé aux Membres de l'UIT-T disposant d'un </w:t>
      </w:r>
      <w:hyperlink r:id="rId38" w:anchor="/fr" w:history="1">
        <w:r w:rsidRPr="00564C12">
          <w:rPr>
            <w:rStyle w:val="Hyperlink"/>
          </w:rPr>
          <w:t>compte utilisateur UIT</w:t>
        </w:r>
      </w:hyperlink>
      <w:r>
        <w:t xml:space="preserve"> avec accès TIES.</w:t>
      </w:r>
      <w:hyperlink r:id="rId39" w:history="1"/>
      <w:hyperlink r:id="rId40" w:history="1"/>
      <w:hyperlink r:id="rId41" w:history="1"/>
    </w:p>
    <w:p w14:paraId="1A4C713B" w14:textId="4067A6AD" w:rsidR="00EE4C92" w:rsidRPr="00846B6A" w:rsidRDefault="00EE4C92" w:rsidP="00F34321">
      <w:r>
        <w:rPr>
          <w:b/>
          <w:bCs/>
        </w:rPr>
        <w:t>INTERPRÉTATION</w:t>
      </w:r>
      <w:r>
        <w:t xml:space="preserve">: en raison de restrictions budgétaires, l'interprétation sera </w:t>
      </w:r>
      <w:r w:rsidR="00320566">
        <w:t>assurée</w:t>
      </w:r>
      <w:r>
        <w:t xml:space="preserve"> lors de la séance plénière de clôture si des États Membres en font la demande. Les demandes doivent être effectuées en cochant la case correspondante sur le formulaire d'inscription, </w:t>
      </w:r>
      <w:r>
        <w:rPr>
          <w:b/>
          <w:bCs/>
        </w:rPr>
        <w:t>six semaines au moins avant le premier jour de la réunion</w:t>
      </w:r>
      <w:r>
        <w:t>.</w:t>
      </w:r>
    </w:p>
    <w:p w14:paraId="01A0A327" w14:textId="656E948B" w:rsidR="00EE4C92" w:rsidRPr="00846B6A" w:rsidRDefault="00EE4C92" w:rsidP="00F34321">
      <w:pPr>
        <w:rPr>
          <w:szCs w:val="22"/>
        </w:rPr>
      </w:pPr>
      <w:r>
        <w:t xml:space="preserve">Des équipements de </w:t>
      </w:r>
      <w:r>
        <w:rPr>
          <w:b/>
          <w:bCs/>
        </w:rPr>
        <w:t>RÉSEAU LOCAL SANS FIL</w:t>
      </w:r>
      <w:r>
        <w:t xml:space="preserve"> sont à la disposition des délégués dans toutes les salles de réunion de l'UIT. Des informations détaillées sont disponibles sur place et sur le site web de l'UIT-T (</w:t>
      </w:r>
      <w:hyperlink r:id="rId42" w:anchor="/fr" w:history="1">
        <w:r w:rsidRPr="00B61BFD">
          <w:rPr>
            <w:rStyle w:val="Hyperlink"/>
          </w:rPr>
          <w:t>https://www.itu.int/en/general-secretariat/ICT-Services</w:t>
        </w:r>
      </w:hyperlink>
      <w:r>
        <w:t>).</w:t>
      </w:r>
      <w:hyperlink r:id="rId43" w:history="1"/>
    </w:p>
    <w:p w14:paraId="0A9FC3EC" w14:textId="3940B2C6" w:rsidR="00EE4C92" w:rsidRPr="00846B6A" w:rsidRDefault="00EE4C92" w:rsidP="00F34321">
      <w:pPr>
        <w:rPr>
          <w:rFonts w:eastAsia="SimSun"/>
        </w:rPr>
      </w:pPr>
      <w:r>
        <w:t xml:space="preserve">Les délégués de l'UIT-T ont accès, pendant la durée de la réunion, à des </w:t>
      </w:r>
      <w:r>
        <w:rPr>
          <w:b/>
          <w:bCs/>
        </w:rPr>
        <w:t>CONSIGNES ÉLECTRONIQUES</w:t>
      </w:r>
      <w:r>
        <w:t xml:space="preserve"> au moyen de leur badge d'identification RFID. Les casiers sont situés à l'entrée et au 1er sous-sol de la</w:t>
      </w:r>
      <w:r w:rsidR="00F86745">
        <w:t> </w:t>
      </w:r>
      <w:r>
        <w:t>Tour</w:t>
      </w:r>
      <w:r w:rsidR="00F86745">
        <w:t> </w:t>
      </w:r>
      <w:r>
        <w:t>de</w:t>
      </w:r>
      <w:r w:rsidR="00F86745">
        <w:t> </w:t>
      </w:r>
      <w:r>
        <w:t>l'UIT, ainsi qu'au rez-de-chaussée du bâtiment Montbrillant.</w:t>
      </w:r>
    </w:p>
    <w:p w14:paraId="2E2BE36B" w14:textId="206034DC" w:rsidR="00EE4C92" w:rsidRPr="00846B6A" w:rsidRDefault="00EE4C92" w:rsidP="00F34321">
      <w:r>
        <w:t xml:space="preserve">Des </w:t>
      </w:r>
      <w:r>
        <w:rPr>
          <w:b/>
          <w:bCs/>
        </w:rPr>
        <w:t>IMPRIMANTES</w:t>
      </w:r>
      <w:r>
        <w:t xml:space="preserve"> sont disponibles dans les salons des délégués et près de toutes les </w:t>
      </w:r>
      <w:hyperlink r:id="rId44" w:history="1">
        <w:r w:rsidRPr="00564C12">
          <w:rPr>
            <w:rStyle w:val="Hyperlink"/>
          </w:rPr>
          <w:t>principales salles de réunion</w:t>
        </w:r>
      </w:hyperlink>
      <w:r>
        <w:t xml:space="preserve">. Pour éviter de devoir installer des pilotes sur leur ordinateur, les délégués peuvent imprimer des documents en les envoyant par courrier électronique à l'imprimante souhaitée. Voir les détails à </w:t>
      </w:r>
      <w:proofErr w:type="gramStart"/>
      <w:r>
        <w:t>l'adresse:</w:t>
      </w:r>
      <w:proofErr w:type="gramEnd"/>
      <w:r>
        <w:t xml:space="preserve"> </w:t>
      </w:r>
      <w:hyperlink r:id="rId45" w:anchor="/fr" w:history="1">
        <w:r w:rsidRPr="00B61BFD">
          <w:rPr>
            <w:rStyle w:val="Hyperlink"/>
          </w:rPr>
          <w:t>https://itu.int/go/e-print</w:t>
        </w:r>
      </w:hyperlink>
      <w:r>
        <w:t>.</w:t>
      </w:r>
      <w:hyperlink r:id="rId46" w:history="1"/>
      <w:bookmarkStart w:id="0" w:name="_Hlk94878660"/>
      <w:bookmarkEnd w:id="0"/>
    </w:p>
    <w:p w14:paraId="64C04511" w14:textId="77777777" w:rsidR="00EE4C92" w:rsidRPr="00846B6A" w:rsidRDefault="00EE4C92" w:rsidP="00F34321">
      <w:r>
        <w:t>Le Service d'assistance informatique de l'UIT (</w:t>
      </w:r>
      <w:hyperlink r:id="rId47" w:history="1">
        <w:r w:rsidRPr="00B61BFD">
          <w:rPr>
            <w:rStyle w:val="Hyperlink"/>
          </w:rPr>
          <w:t>servicedesk@itu.int</w:t>
        </w:r>
      </w:hyperlink>
      <w:r>
        <w:t xml:space="preserve">) peut </w:t>
      </w:r>
      <w:r>
        <w:rPr>
          <w:b/>
          <w:bCs/>
        </w:rPr>
        <w:t>PRÊTER DES ORDINATEURS PORTABLES</w:t>
      </w:r>
      <w:r>
        <w:t xml:space="preserve"> aux délégués, dans l'ordre des demandes.</w:t>
      </w:r>
      <w:hyperlink r:id="rId48" w:history="1"/>
    </w:p>
    <w:p w14:paraId="3F26806B" w14:textId="77777777" w:rsidR="00EE4C92" w:rsidRPr="00846B6A" w:rsidRDefault="00EE4C92" w:rsidP="00F34321">
      <w:pPr>
        <w:rPr>
          <w:rFonts w:cstheme="minorHAnsi"/>
          <w:szCs w:val="22"/>
        </w:rPr>
      </w:pPr>
      <w:r>
        <w:rPr>
          <w:b/>
          <w:bCs/>
        </w:rPr>
        <w:t>PARTICIPATION À DISTANCE</w:t>
      </w:r>
      <w:r>
        <w:t>: un service de participation à distance sera assuré au mieux. Une participation interactive à distance sera possible pour les séances plénières d'ouverture et de clôture de la commission d'études. Conformément aux dispositions en vigueur, les décisions seront prises par les participants physiquement présents dans la salle de réunion.</w:t>
      </w:r>
    </w:p>
    <w:p w14:paraId="431965EF" w14:textId="77777777" w:rsidR="00EE4C92" w:rsidRPr="00846B6A" w:rsidRDefault="00EE4C92" w:rsidP="00F34321">
      <w:pPr>
        <w:rPr>
          <w:szCs w:val="22"/>
        </w:rPr>
      </w:pPr>
      <w:r>
        <w:t xml:space="preserve">Un service de participation interactive à distance sera aussi assuré pour toutes les autres séances. Pour pouvoir accéder aux séances à distance, les délégués </w:t>
      </w:r>
      <w:r>
        <w:rPr>
          <w:b/>
          <w:bCs/>
        </w:rPr>
        <w:t>doivent</w:t>
      </w:r>
      <w:r>
        <w:t xml:space="preserve"> s'inscrire à la réunion. Les participants devraient prendre note du fait que, conformément à la pratique habituelle, la réunion ne sera pas retardée ou interrompue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 la réunion; l'utilisation de l'outil de discussion est encouragée pour faciliter la gestion efficace du temps au cours des séances, si le Président le juge bon.</w:t>
      </w:r>
    </w:p>
    <w:p w14:paraId="40684C3A" w14:textId="7C4D6BB4" w:rsidR="00EE4C92" w:rsidRPr="00846B6A" w:rsidRDefault="00EE4C92" w:rsidP="00F34321">
      <w:pPr>
        <w:rPr>
          <w:szCs w:val="22"/>
        </w:rPr>
      </w:pPr>
      <w:r>
        <w:rPr>
          <w:b/>
          <w:bCs/>
        </w:rPr>
        <w:t>ACCESSIBILITÉ</w:t>
      </w:r>
      <w:r>
        <w:t>: un sous-titrage en temps réel ou une interprétation en langue des signes pourront être mis</w:t>
      </w:r>
      <w:r w:rsidR="00320566">
        <w:t> </w:t>
      </w:r>
      <w:r>
        <w:t>à</w:t>
      </w:r>
      <w:r w:rsidR="00320566">
        <w:t> </w:t>
      </w:r>
      <w:r>
        <w:t>disposition sur demande aux participants qui en ont besoin, pour les séances portant sur le thème de l</w:t>
      </w:r>
      <w:r w:rsidR="00067416">
        <w:t>'</w:t>
      </w:r>
      <w:r>
        <w:t xml:space="preserve">accessibilité (par exemple, pour l'étude de la Question 1/21), sous réserve de la disponibilité d'interprètes et en fonction des ressources financières disponibles. Ces services d'accessibilité doivent être demandés </w:t>
      </w:r>
      <w:r>
        <w:rPr>
          <w:b/>
          <w:bCs/>
        </w:rPr>
        <w:t>au</w:t>
      </w:r>
      <w:r w:rsidR="00564C12">
        <w:rPr>
          <w:b/>
          <w:bCs/>
        </w:rPr>
        <w:t> </w:t>
      </w:r>
      <w:r>
        <w:rPr>
          <w:b/>
          <w:bCs/>
        </w:rPr>
        <w:t>moins deux mois avant le début de la réunion</w:t>
      </w:r>
      <w:r>
        <w:t>, en cochant la case correspondante sur le formulaire d'inscription.</w:t>
      </w:r>
    </w:p>
    <w:p w14:paraId="7C413511" w14:textId="5083F36E" w:rsidR="00EE4C92" w:rsidRPr="00846B6A" w:rsidRDefault="00EE4C92" w:rsidP="004419C6">
      <w:pPr>
        <w:pStyle w:val="AnnexTitle"/>
        <w:rPr>
          <w:szCs w:val="22"/>
        </w:rPr>
      </w:pPr>
      <w:r>
        <w:lastRenderedPageBreak/>
        <w:t xml:space="preserve">INSCRIPTION PRÉALABLE, NOUVEAUX DÉLÉGUÉS </w:t>
      </w:r>
      <w:r w:rsidR="004419C6">
        <w:t xml:space="preserve">ET </w:t>
      </w:r>
      <w:r>
        <w:t>BOURSES</w:t>
      </w:r>
    </w:p>
    <w:p w14:paraId="6C9DD1DF" w14:textId="5EC7E3C8" w:rsidR="00EE4C92" w:rsidRPr="00846B6A" w:rsidRDefault="00EE4C92" w:rsidP="004419C6">
      <w:pPr>
        <w:keepNext/>
        <w:keepLines/>
        <w:rPr>
          <w:b/>
          <w:bCs/>
          <w:szCs w:val="22"/>
        </w:rPr>
      </w:pPr>
      <w:r>
        <w:rPr>
          <w:b/>
          <w:bCs/>
        </w:rPr>
        <w:t>INSCRIPTION PRÉALABLE</w:t>
      </w:r>
      <w:r>
        <w:t xml:space="preserve">: l'inscription préalable est obligatoire </w:t>
      </w:r>
      <w:r w:rsidRPr="00320566">
        <w:rPr>
          <w:u w:val="single"/>
        </w:rPr>
        <w:t>pour tous les participants</w:t>
      </w:r>
      <w:r w:rsidRPr="004419C6">
        <w:rPr>
          <w:u w:val="single"/>
        </w:rPr>
        <w:t>, s</w:t>
      </w:r>
      <w:r w:rsidRPr="00320566">
        <w:rPr>
          <w:u w:val="single"/>
        </w:rPr>
        <w:t>ur place ou à</w:t>
      </w:r>
      <w:r w:rsidR="00564C12" w:rsidRPr="00320566">
        <w:rPr>
          <w:u w:val="single"/>
        </w:rPr>
        <w:t> </w:t>
      </w:r>
      <w:r w:rsidRPr="00320566">
        <w:rPr>
          <w:u w:val="single"/>
        </w:rPr>
        <w:t>distance</w:t>
      </w:r>
      <w:r>
        <w:t xml:space="preserve">, et doit se faire en ligne depuis la page d'accueil de la commission d'études, </w:t>
      </w:r>
      <w:r>
        <w:rPr>
          <w:b/>
          <w:bCs/>
        </w:rPr>
        <w:t>au moins un mois avant le début de la réunion</w:t>
      </w:r>
      <w:r>
        <w:t xml:space="preserve">. Dans le cadre du système d'inscription de l'UIT-T, le coordonnateur responsable doit approuver les demandes d'inscription. Toutefois, ce point peut être modifié en vue de permettre l'approbation automatique de ces demandes comme indiqué dans la </w:t>
      </w:r>
      <w:r w:rsidRPr="004419C6">
        <w:t>Circulaire TSB</w:t>
      </w:r>
      <w:r w:rsidRPr="00F86745">
        <w:rPr>
          <w:u w:val="single"/>
        </w:rPr>
        <w:t xml:space="preserve"> </w:t>
      </w:r>
      <w:hyperlink r:id="rId49" w:history="1">
        <w:r w:rsidRPr="00564C12">
          <w:rPr>
            <w:rStyle w:val="Hyperlink"/>
          </w:rPr>
          <w:t>1</w:t>
        </w:r>
      </w:hyperlink>
      <w:r>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hyperlink r:id="rId50" w:history="1"/>
    </w:p>
    <w:p w14:paraId="7D894C39" w14:textId="5D94502E" w:rsidR="00EE4C92" w:rsidRPr="00846B6A" w:rsidRDefault="00EE4C92" w:rsidP="00F34321">
      <w:pPr>
        <w:rPr>
          <w:b/>
          <w:bCs/>
        </w:rPr>
      </w:pPr>
      <w:r>
        <w:t xml:space="preserve">Les </w:t>
      </w:r>
      <w:r>
        <w:rPr>
          <w:b/>
          <w:bCs/>
        </w:rPr>
        <w:t>NOUVEAUX DÉLÉGUÉS</w:t>
      </w:r>
      <w:r>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51" w:history="1">
        <w:r w:rsidR="00564C12" w:rsidRPr="003B1F17">
          <w:rPr>
            <w:rStyle w:val="Hyperlink"/>
          </w:rPr>
          <w:t>ITU</w:t>
        </w:r>
        <w:r w:rsidR="00564C12" w:rsidRPr="003B1F17">
          <w:rPr>
            <w:rStyle w:val="Hyperlink"/>
          </w:rPr>
          <w:noBreakHyphen/>
          <w:t>Tmembership@itu.int</w:t>
        </w:r>
      </w:hyperlink>
      <w:r>
        <w:t xml:space="preserve">. Un guide rapide pour les nouveaux délégués est disponible </w:t>
      </w:r>
      <w:hyperlink r:id="rId52" w:history="1">
        <w:r w:rsidRPr="00564C12">
          <w:rPr>
            <w:rStyle w:val="Hyperlink"/>
          </w:rPr>
          <w:t>ici</w:t>
        </w:r>
      </w:hyperlink>
      <w:r>
        <w:t>.</w:t>
      </w:r>
      <w:hyperlink r:id="rId53" w:history="1"/>
      <w:hyperlink r:id="rId54" w:history="1"/>
    </w:p>
    <w:p w14:paraId="173E1C6C" w14:textId="70D27747" w:rsidR="00EE4C92" w:rsidRPr="00846B6A" w:rsidRDefault="00EE4C92" w:rsidP="00F34321">
      <w:r>
        <w:rPr>
          <w:b/>
          <w:bCs/>
        </w:rPr>
        <w:t>BOURSES</w:t>
      </w:r>
      <w:r>
        <w:t xml:space="preserve">: afin de faciliter la participation des </w:t>
      </w:r>
      <w:hyperlink r:id="rId55" w:history="1">
        <w:r w:rsidRPr="00564C12">
          <w:rPr>
            <w:rStyle w:val="Hyperlink"/>
          </w:rPr>
          <w:t>pays remplissant les conditions requises</w:t>
        </w:r>
      </w:hyperlink>
      <w:r>
        <w:t xml:space="preserve">, jusqu'à deux bourses partielles pour la participation en présentiel par pays pourront être accordées, en fonction des ressources financières disponibles. Les bourses partielles couvrent a) un </w:t>
      </w:r>
      <w:r>
        <w:rPr>
          <w:b/>
          <w:bCs/>
        </w:rPr>
        <w:t>billet d'avion</w:t>
      </w:r>
      <w:r>
        <w:t xml:space="preserve"> (billet aller-retour en classe économique selon le trajet le plus direct/économique depuis le pays d'origine jusqu'au lieu de la réunion) ou</w:t>
      </w:r>
      <w:r w:rsidR="004419C6">
        <w:t> </w:t>
      </w:r>
      <w:r>
        <w:t xml:space="preserve">b) une </w:t>
      </w:r>
      <w:r>
        <w:rPr>
          <w:b/>
          <w:bCs/>
        </w:rPr>
        <w:t>indemnité journalière de subsistance</w:t>
      </w:r>
      <w:r>
        <w:t xml:space="preserve"> appropriée (destinée à couvrir les frais d'hébergement, les repas et les autres frais). Lorsque deux bourses partielles sont demandées, l'une au moins devrait être sollicitée pour un billet d'avion. Il incombe à l'organisation d'affiliation du candidat de financer le reste des coûts de participation.</w:t>
      </w:r>
      <w:hyperlink r:id="rId56"/>
    </w:p>
    <w:p w14:paraId="44D51C7F" w14:textId="77777777" w:rsidR="00EE4C92" w:rsidRPr="00846B6A" w:rsidRDefault="00EE4C92" w:rsidP="00F34321">
      <w:pPr>
        <w:rPr>
          <w:szCs w:val="22"/>
        </w:rPr>
      </w:pPr>
      <w:r>
        <w:t>Conformément à la Résolution 213 (Dubaï, 2018) de la Conférence de plénipotentiaires, les candidats aux bourses devraient être choisis dans un souci d'équilibre entre les hommes et les femmes et d'inclusion des personnes en situation de handicap et des personnes ayant des besoins particuliers. Les critères sur la base desquels il est décidé d'attribuer une bourse sont les suivants: budget disponible à l'UIT; participation active, et notamment soumission de contributions écrites pertinentes; répartition équitable entre les pays et les régions; demandes émanant de personnes en situation de handicap ou ayant des besoins particuliers; et parité hommes-femmes.</w:t>
      </w:r>
    </w:p>
    <w:p w14:paraId="3EB315FE" w14:textId="74B751B4" w:rsidR="00EE4C92" w:rsidRPr="00846B6A" w:rsidRDefault="00EE4C92" w:rsidP="00F34321">
      <w:pPr>
        <w:rPr>
          <w:b/>
          <w:bCs/>
        </w:rPr>
      </w:pPr>
      <w:r>
        <w:t xml:space="preserve">Le formulaire de demande de bourse est disponible sur la </w:t>
      </w:r>
      <w:hyperlink r:id="rId57" w:anchor="/fr" w:history="1">
        <w:r w:rsidRPr="00564C12">
          <w:rPr>
            <w:rStyle w:val="Hyperlink"/>
          </w:rPr>
          <w:t>page d'accueil de la commission d'études</w:t>
        </w:r>
      </w:hyperlink>
      <w:r>
        <w:t xml:space="preserve">. </w:t>
      </w:r>
      <w:r>
        <w:rPr>
          <w:b/>
          <w:bCs/>
        </w:rPr>
        <w:t>Les</w:t>
      </w:r>
      <w:r w:rsidR="00320566">
        <w:rPr>
          <w:b/>
          <w:bCs/>
        </w:rPr>
        <w:t> </w:t>
      </w:r>
      <w:r>
        <w:rPr>
          <w:b/>
          <w:bCs/>
        </w:rPr>
        <w:t>demandes de bourse doivent parvenir le 25 mai 2026 au plus tard.</w:t>
      </w:r>
      <w:r>
        <w:t xml:space="preserve"> Elles doivent être envoyées par courrier électronique à l'adresse </w:t>
      </w:r>
      <w:hyperlink r:id="rId58" w:history="1">
        <w:r w:rsidRPr="00B61BFD">
          <w:rPr>
            <w:rStyle w:val="Hyperlink"/>
          </w:rPr>
          <w:t>fellowships@itu.int</w:t>
        </w:r>
      </w:hyperlink>
      <w:r>
        <w:t xml:space="preserve"> ou par télécopie au +41 22 730 57 78. </w:t>
      </w:r>
      <w:r>
        <w:rPr>
          <w:b/>
          <w:bCs/>
        </w:rPr>
        <w:t>L'inscription (approuvée</w:t>
      </w:r>
      <w:r w:rsidR="00320566">
        <w:rPr>
          <w:b/>
          <w:bCs/>
        </w:rPr>
        <w:t> </w:t>
      </w:r>
      <w:r>
        <w:rPr>
          <w:b/>
          <w:bCs/>
        </w:rPr>
        <w:t>par le coordonnateur responsable) doit être effectuée avant de soumettre une demande de bourse</w:t>
      </w:r>
      <w:r>
        <w:t>, et il est vivement conseillé de s'inscrire à la manifestation et d'engager le processus de demande sept semaines au moins avant la date de la réunion.</w:t>
      </w:r>
      <w:hyperlink r:id="rId59" w:history="1"/>
      <w:hyperlink r:id="rId60"/>
    </w:p>
    <w:p w14:paraId="775F93A7" w14:textId="77777777" w:rsidR="00EE4C92" w:rsidRPr="00846B6A" w:rsidRDefault="00EE4C92" w:rsidP="00F34321">
      <w:pPr>
        <w:rPr>
          <w:bCs/>
          <w:szCs w:val="22"/>
        </w:rPr>
      </w:pPr>
      <w:r>
        <w:rPr>
          <w:b/>
          <w:bCs/>
        </w:rPr>
        <w:t>DEMANDE DE VISA</w:t>
      </w:r>
      <w:r>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28B05A77" w14:textId="77777777" w:rsidR="00EE4C92" w:rsidRPr="00846B6A" w:rsidRDefault="00EE4C92" w:rsidP="00F34321">
      <w:pPr>
        <w:rPr>
          <w:szCs w:val="22"/>
        </w:rPr>
      </w:pPr>
      <w:r>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Pr>
          <w:b/>
          <w:bCs/>
        </w:rPr>
        <w:t>au plus tard un mois avant la date de la réunion</w:t>
      </w:r>
      <w:r>
        <w:t>. Les demandes sont à envoyer à la Section des voyages de l'UIT (</w:t>
      </w:r>
      <w:hyperlink r:id="rId61" w:history="1">
        <w:r w:rsidRPr="00B61BFD">
          <w:rPr>
            <w:rStyle w:val="Hyperlink"/>
          </w:rPr>
          <w:t>travel@itu.int</w:t>
        </w:r>
      </w:hyperlink>
      <w:r>
        <w:t>), avec la mention "</w:t>
      </w:r>
      <w:r>
        <w:rPr>
          <w:b/>
          <w:bCs/>
        </w:rPr>
        <w:t>assistance pour le visa</w:t>
      </w:r>
      <w:r>
        <w:t>".</w:t>
      </w:r>
      <w:hyperlink r:id="rId62" w:history="1"/>
    </w:p>
    <w:p w14:paraId="108B572F" w14:textId="77777777" w:rsidR="00EE4C92" w:rsidRPr="00846B6A" w:rsidRDefault="00EE4C92" w:rsidP="004419C6">
      <w:pPr>
        <w:pStyle w:val="AnnexTitle"/>
      </w:pPr>
      <w:r>
        <w:lastRenderedPageBreak/>
        <w:t>FORMATION SUR LA RÉDUCTION DE L'ÉCART EN MATIÈRE DE NORMALISATION</w:t>
      </w:r>
    </w:p>
    <w:p w14:paraId="4C9C5248" w14:textId="4D21D797" w:rsidR="00EE4C92" w:rsidRPr="00846B6A" w:rsidRDefault="00EE4C92" w:rsidP="004419C6">
      <w:pPr>
        <w:keepNext/>
        <w:keepLines/>
      </w:pPr>
      <w:r>
        <w:t>Une formation en ligne sur l'élaboration des contributions ("Formation pratique sur les contributions"), ainsi</w:t>
      </w:r>
      <w:r w:rsidR="004419C6">
        <w:t> </w:t>
      </w:r>
      <w:r>
        <w:t>qu'une séance à l'intention des nouveaux délégués et une séance sur la réduction de l'écart en matière de normalisation seront dispensées environ trois semaines avant la réunion. La date et l'heure exactes de ces séances seront annoncées en temps utile au moyen de la liste de diffusion et sur la page web de la CE 21.</w:t>
      </w:r>
    </w:p>
    <w:p w14:paraId="240D7471" w14:textId="0F323F65" w:rsidR="00EE4C92" w:rsidRPr="00846B6A" w:rsidRDefault="00EE4C92" w:rsidP="00F34321">
      <w:r>
        <w:t>Vous trouverez des informations pratiques sur le site web de la commission d'études concernée. L'accès</w:t>
      </w:r>
      <w:r w:rsidR="00F86745">
        <w:t> </w:t>
      </w:r>
      <w:r>
        <w:t>à</w:t>
      </w:r>
      <w:r w:rsidR="00F86745">
        <w:t> </w:t>
      </w:r>
      <w:r>
        <w:t xml:space="preserve">distance est assuré depuis la plate-forme MyWorkspace à l'adresse </w:t>
      </w:r>
      <w:proofErr w:type="gramStart"/>
      <w:r>
        <w:t>https:</w:t>
      </w:r>
      <w:proofErr w:type="gramEnd"/>
      <w:r>
        <w:t xml:space="preserve"> </w:t>
      </w:r>
      <w:hyperlink r:id="rId63" w:history="1">
        <w:r w:rsidRPr="00B61BFD">
          <w:rPr>
            <w:rStyle w:val="Hyperlink"/>
          </w:rPr>
          <w:t>https://remote.itu.int</w:t>
        </w:r>
      </w:hyperlink>
      <w:r>
        <w:t>.</w:t>
      </w:r>
      <w:hyperlink r:id="rId64" w:anchor="/E-meetings" w:history="1"/>
    </w:p>
    <w:p w14:paraId="267DBFB0" w14:textId="77777777" w:rsidR="00EE4C92" w:rsidRPr="00846B6A" w:rsidRDefault="00EE4C92" w:rsidP="00F34321">
      <w:pPr>
        <w:pStyle w:val="AnnexTitle"/>
      </w:pPr>
      <w:r>
        <w:t>SÉJOUR À GENÈVE: HÔTELS, TRANSPORTS PUBLICS</w:t>
      </w:r>
    </w:p>
    <w:p w14:paraId="412F8B05" w14:textId="1ABC7379" w:rsidR="00EE4C92" w:rsidRPr="00846B6A" w:rsidRDefault="00EE4C92" w:rsidP="00F34321">
      <w:r>
        <w:rPr>
          <w:b/>
          <w:bCs/>
        </w:rPr>
        <w:t xml:space="preserve">SÉJOUR À </w:t>
      </w:r>
      <w:proofErr w:type="gramStart"/>
      <w:r>
        <w:rPr>
          <w:b/>
          <w:bCs/>
        </w:rPr>
        <w:t>GENÈVE</w:t>
      </w:r>
      <w:r>
        <w:t>:</w:t>
      </w:r>
      <w:proofErr w:type="gramEnd"/>
      <w:r>
        <w:t xml:space="preserve"> des informations pratiques à l'intention des délégués assistant aux réunions de l'UIT à</w:t>
      </w:r>
      <w:r w:rsidR="00320566">
        <w:t> </w:t>
      </w:r>
      <w:r>
        <w:t xml:space="preserve">Genève sont disponibles à </w:t>
      </w:r>
      <w:proofErr w:type="gramStart"/>
      <w:r>
        <w:t>l'adresse:</w:t>
      </w:r>
      <w:proofErr w:type="gramEnd"/>
      <w:r>
        <w:t xml:space="preserve"> </w:t>
      </w:r>
      <w:hyperlink r:id="rId65" w:history="1">
        <w:r w:rsidRPr="00B61BFD">
          <w:rPr>
            <w:rStyle w:val="Hyperlink"/>
          </w:rPr>
          <w:t>http://itu.int/en/delegates-corner</w:t>
        </w:r>
      </w:hyperlink>
      <w:r>
        <w:t>.</w:t>
      </w:r>
      <w:hyperlink r:id="rId66"/>
    </w:p>
    <w:p w14:paraId="77C9070E" w14:textId="4E3036D2" w:rsidR="00FB7221" w:rsidRPr="00FB7221" w:rsidRDefault="00EE4C92" w:rsidP="00FB7221">
      <w:pPr>
        <w:rPr>
          <w:szCs w:val="22"/>
        </w:rPr>
      </w:pPr>
      <w:r>
        <w:rPr>
          <w:b/>
          <w:bCs/>
        </w:rPr>
        <w:t>HÔTELS OFFRANT DES TARIFS RÉDUITS</w:t>
      </w:r>
      <w: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t>l'adresse:</w:t>
      </w:r>
      <w:proofErr w:type="gramEnd"/>
      <w:r>
        <w:t xml:space="preserve"> </w:t>
      </w:r>
      <w:hyperlink r:id="rId67" w:history="1">
        <w:r w:rsidRPr="00B61BFD">
          <w:rPr>
            <w:rStyle w:val="Hyperlink"/>
          </w:rPr>
          <w:t>http://itu.int/travel/</w:t>
        </w:r>
      </w:hyperlink>
      <w:r>
        <w:t>.</w:t>
      </w:r>
      <w:hyperlink r:id="rId68" w:history="1"/>
    </w:p>
    <w:p w14:paraId="6F3E8808" w14:textId="36FF360B" w:rsidR="00EE4C92" w:rsidRPr="00846B6A" w:rsidRDefault="00EE4C92" w:rsidP="00EE4C92">
      <w:pPr>
        <w:spacing w:before="60"/>
        <w:rPr>
          <w:b/>
          <w:bCs/>
          <w:szCs w:val="22"/>
        </w:rPr>
      </w:pPr>
      <w:r w:rsidRPr="00846B6A">
        <w:rPr>
          <w:b/>
          <w:bCs/>
          <w:szCs w:val="22"/>
        </w:rPr>
        <w:br w:type="page"/>
      </w:r>
    </w:p>
    <w:p w14:paraId="07F08AD2" w14:textId="77777777" w:rsidR="00F34321" w:rsidRDefault="00EE4C92" w:rsidP="00F34321">
      <w:pPr>
        <w:pStyle w:val="Annextitle0"/>
        <w:rPr>
          <w:szCs w:val="28"/>
        </w:rPr>
      </w:pPr>
      <w:r w:rsidRPr="00F34321">
        <w:lastRenderedPageBreak/>
        <w:t>ANNEX</w:t>
      </w:r>
      <w:r w:rsidRPr="00846B6A">
        <w:rPr>
          <w:szCs w:val="28"/>
        </w:rPr>
        <w:t xml:space="preserve"> B</w:t>
      </w:r>
    </w:p>
    <w:p w14:paraId="4CF5836E" w14:textId="44BFAA2E" w:rsidR="00EE4C92" w:rsidRPr="0038144C" w:rsidRDefault="00EE4C92" w:rsidP="00F34321">
      <w:pPr>
        <w:pStyle w:val="AnnexTitle"/>
        <w:rPr>
          <w:lang w:val="en-US"/>
        </w:rPr>
      </w:pPr>
      <w:r w:rsidRPr="0038144C">
        <w:rPr>
          <w:lang w:val="en-US"/>
        </w:rPr>
        <w:t>Draft agenda of Study Group 21 meeting (Geneva, 6-17 July 2026)</w:t>
      </w:r>
    </w:p>
    <w:tbl>
      <w:tblPr>
        <w:tblW w:w="9855" w:type="dxa"/>
        <w:jc w:val="center"/>
        <w:tblLayout w:type="fixed"/>
        <w:tblLook w:val="04A0" w:firstRow="1" w:lastRow="0" w:firstColumn="1" w:lastColumn="0" w:noHBand="0" w:noVBand="1"/>
      </w:tblPr>
      <w:tblGrid>
        <w:gridCol w:w="426"/>
        <w:gridCol w:w="8754"/>
        <w:gridCol w:w="675"/>
      </w:tblGrid>
      <w:tr w:rsidR="00EE4C92" w:rsidRPr="00846B6A" w14:paraId="2C82C329" w14:textId="77777777" w:rsidTr="00FB7221">
        <w:trPr>
          <w:trHeight w:val="242"/>
          <w:jc w:val="center"/>
        </w:trPr>
        <w:tc>
          <w:tcPr>
            <w:tcW w:w="426" w:type="dxa"/>
            <w:shd w:val="clear" w:color="auto" w:fill="D6E3BC" w:themeFill="accent3" w:themeFillTint="66"/>
            <w:vAlign w:val="bottom"/>
            <w:hideMark/>
          </w:tcPr>
          <w:p w14:paraId="01BFFBCA" w14:textId="77777777" w:rsidR="00EE4C92" w:rsidRPr="00FB7221" w:rsidRDefault="00EE4C92" w:rsidP="00FB7221">
            <w:pPr>
              <w:pStyle w:val="TableHead"/>
              <w:spacing w:after="0"/>
              <w:jc w:val="left"/>
              <w:rPr>
                <w:sz w:val="20"/>
                <w:szCs w:val="18"/>
              </w:rPr>
            </w:pPr>
            <w:r w:rsidRPr="00FB7221">
              <w:rPr>
                <w:sz w:val="20"/>
                <w:szCs w:val="18"/>
              </w:rPr>
              <w:t>#</w:t>
            </w:r>
          </w:p>
        </w:tc>
        <w:tc>
          <w:tcPr>
            <w:tcW w:w="8754" w:type="dxa"/>
            <w:shd w:val="clear" w:color="auto" w:fill="D6E3BC" w:themeFill="accent3" w:themeFillTint="66"/>
            <w:vAlign w:val="bottom"/>
            <w:hideMark/>
          </w:tcPr>
          <w:p w14:paraId="3D2B2C48" w14:textId="77777777" w:rsidR="00EE4C92" w:rsidRPr="00FB7221" w:rsidRDefault="00EE4C92" w:rsidP="00FB7221">
            <w:pPr>
              <w:pStyle w:val="TableHead"/>
              <w:spacing w:after="0"/>
              <w:jc w:val="left"/>
              <w:rPr>
                <w:sz w:val="20"/>
                <w:szCs w:val="18"/>
              </w:rPr>
            </w:pPr>
            <w:r w:rsidRPr="00FB7221">
              <w:rPr>
                <w:sz w:val="20"/>
                <w:szCs w:val="18"/>
              </w:rPr>
              <w:t>Agenda items</w:t>
            </w:r>
          </w:p>
        </w:tc>
        <w:tc>
          <w:tcPr>
            <w:tcW w:w="675" w:type="dxa"/>
            <w:shd w:val="clear" w:color="auto" w:fill="D6E3BC" w:themeFill="accent3" w:themeFillTint="66"/>
          </w:tcPr>
          <w:p w14:paraId="3C4E8CF7" w14:textId="77777777" w:rsidR="00EE4C92" w:rsidRPr="00846B6A" w:rsidRDefault="00EE4C92" w:rsidP="00F34321">
            <w:pPr>
              <w:pStyle w:val="TableHead"/>
              <w:rPr>
                <w:lang w:val="en-GB"/>
              </w:rPr>
            </w:pPr>
          </w:p>
        </w:tc>
      </w:tr>
      <w:tr w:rsidR="00782EFF" w:rsidRPr="00782EFF" w14:paraId="64991DF1" w14:textId="77777777" w:rsidTr="008423D6">
        <w:trPr>
          <w:jc w:val="center"/>
        </w:trPr>
        <w:tc>
          <w:tcPr>
            <w:tcW w:w="9180" w:type="dxa"/>
            <w:gridSpan w:val="2"/>
          </w:tcPr>
          <w:p w14:paraId="3C9BFC83" w14:textId="61BBAD4B" w:rsidR="00782EFF" w:rsidRPr="00FB7221" w:rsidRDefault="00782EFF"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w:t>
            </w:r>
            <w:r w:rsidRPr="00FB7221">
              <w:rPr>
                <w:sz w:val="20"/>
                <w:lang w:val="en-GB"/>
              </w:rPr>
              <w:tab/>
              <w:t>Opening of the SG21 meeting</w:t>
            </w:r>
          </w:p>
          <w:p w14:paraId="47330568" w14:textId="1A8096DD"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rPr>
            </w:pPr>
            <w:r w:rsidRPr="00FB7221">
              <w:rPr>
                <w:sz w:val="20"/>
                <w:lang w:val="en-GB" w:eastAsia="ja-JP"/>
              </w:rPr>
              <w:t>1.1</w:t>
            </w:r>
            <w:r w:rsidRPr="00FB7221">
              <w:rPr>
                <w:sz w:val="20"/>
                <w:lang w:val="en-GB" w:eastAsia="ja-JP"/>
              </w:rPr>
              <w:tab/>
              <w:t>Opening remarks</w:t>
            </w:r>
          </w:p>
          <w:p w14:paraId="0B633C21" w14:textId="60B242ED"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eastAsia="ja-JP"/>
              </w:rPr>
            </w:pPr>
            <w:r w:rsidRPr="00FB7221">
              <w:rPr>
                <w:sz w:val="20"/>
                <w:lang w:val="en-GB" w:eastAsia="ja-JP"/>
              </w:rPr>
              <w:t>1.2</w:t>
            </w:r>
            <w:r w:rsidRPr="00FB7221">
              <w:rPr>
                <w:sz w:val="20"/>
                <w:lang w:val="en-GB" w:eastAsia="ja-JP"/>
              </w:rPr>
              <w:tab/>
              <w:t>Approval of the agenda</w:t>
            </w:r>
          </w:p>
          <w:p w14:paraId="79066D31" w14:textId="14C8D09F"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eastAsia="ja-JP"/>
              </w:rPr>
            </w:pPr>
            <w:r w:rsidRPr="00FB7221">
              <w:rPr>
                <w:sz w:val="20"/>
                <w:lang w:val="en-GB" w:eastAsia="ja-JP"/>
              </w:rPr>
              <w:t>1.3</w:t>
            </w:r>
            <w:r w:rsidRPr="00FB7221">
              <w:rPr>
                <w:sz w:val="20"/>
                <w:lang w:val="en-GB" w:eastAsia="ja-JP"/>
              </w:rPr>
              <w:tab/>
              <w:t>Approval of the meeting time schedule</w:t>
            </w:r>
          </w:p>
          <w:p w14:paraId="0697DB47" w14:textId="2FEFEAB4" w:rsidR="00782EFF" w:rsidRPr="0038144C" w:rsidRDefault="00782EFF" w:rsidP="00FB7221">
            <w:pPr>
              <w:pStyle w:val="enumlev2"/>
              <w:tabs>
                <w:tab w:val="clear" w:pos="794"/>
                <w:tab w:val="clear" w:pos="1191"/>
                <w:tab w:val="clear" w:pos="1588"/>
                <w:tab w:val="clear" w:pos="1985"/>
              </w:tabs>
              <w:spacing w:before="0"/>
              <w:ind w:left="1021" w:hanging="567"/>
              <w:rPr>
                <w:sz w:val="20"/>
                <w:lang w:val="en-US" w:eastAsia="ja-JP"/>
              </w:rPr>
            </w:pPr>
            <w:r w:rsidRPr="0038144C">
              <w:rPr>
                <w:sz w:val="20"/>
                <w:lang w:val="en-US" w:eastAsia="ja-JP"/>
              </w:rPr>
              <w:t>1.4</w:t>
            </w:r>
            <w:r w:rsidRPr="0038144C">
              <w:rPr>
                <w:sz w:val="20"/>
                <w:lang w:val="en-US" w:eastAsia="ja-JP"/>
              </w:rPr>
              <w:tab/>
              <w:t>Document allocation</w:t>
            </w:r>
          </w:p>
          <w:p w14:paraId="0AC3EA9E" w14:textId="3D474D2A"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eastAsia="ja-JP"/>
              </w:rPr>
            </w:pPr>
            <w:r w:rsidRPr="00FB7221">
              <w:rPr>
                <w:sz w:val="20"/>
                <w:lang w:val="en-GB" w:eastAsia="ja-JP"/>
              </w:rPr>
              <w:t>1.5</w:t>
            </w:r>
            <w:r w:rsidRPr="00FB7221">
              <w:rPr>
                <w:sz w:val="20"/>
                <w:lang w:val="en-GB" w:eastAsia="ja-JP"/>
              </w:rPr>
              <w:tab/>
              <w:t>Incoming liaison statements</w:t>
            </w:r>
          </w:p>
          <w:p w14:paraId="190C6F3D" w14:textId="24E2F638"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eastAsia="ja-JP"/>
              </w:rPr>
            </w:pPr>
            <w:r w:rsidRPr="00FB7221">
              <w:rPr>
                <w:sz w:val="20"/>
                <w:lang w:val="en-GB"/>
              </w:rPr>
              <w:t>1.6</w:t>
            </w:r>
            <w:r w:rsidRPr="00FB7221">
              <w:rPr>
                <w:sz w:val="20"/>
                <w:lang w:val="en-GB"/>
              </w:rPr>
              <w:tab/>
              <w:t>List of stale work items of ITU-T SG21</w:t>
            </w:r>
          </w:p>
          <w:p w14:paraId="0D1447B6" w14:textId="00372761"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rPr>
            </w:pPr>
            <w:r w:rsidRPr="00FB7221">
              <w:rPr>
                <w:sz w:val="20"/>
                <w:lang w:val="en-GB" w:eastAsia="ja-JP"/>
              </w:rPr>
              <w:t>1.7</w:t>
            </w:r>
            <w:r w:rsidRPr="00FB7221">
              <w:rPr>
                <w:sz w:val="20"/>
                <w:lang w:val="en-GB" w:eastAsia="ja-JP"/>
              </w:rPr>
              <w:tab/>
              <w:t>Meeting facilities and useful information</w:t>
            </w:r>
          </w:p>
          <w:p w14:paraId="5E0FCEB5" w14:textId="7B0E4C11"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rPr>
            </w:pPr>
            <w:r w:rsidRPr="00FB7221">
              <w:rPr>
                <w:sz w:val="20"/>
                <w:lang w:val="en-GB" w:eastAsia="ja-JP"/>
              </w:rPr>
              <w:t>1.8</w:t>
            </w:r>
            <w:r w:rsidRPr="00FB7221">
              <w:rPr>
                <w:sz w:val="20"/>
                <w:lang w:val="en-GB" w:eastAsia="ja-JP"/>
              </w:rPr>
              <w:tab/>
              <w:t>Newcomers</w:t>
            </w:r>
            <w:r w:rsidR="00067416">
              <w:rPr>
                <w:sz w:val="20"/>
                <w:lang w:val="en-GB" w:eastAsia="ja-JP"/>
              </w:rPr>
              <w:t>'</w:t>
            </w:r>
            <w:r w:rsidRPr="00FB7221">
              <w:rPr>
                <w:sz w:val="20"/>
                <w:lang w:val="en-GB" w:eastAsia="ja-JP"/>
              </w:rPr>
              <w:t xml:space="preserve"> training and welcome pack</w:t>
            </w:r>
          </w:p>
          <w:p w14:paraId="1F79DB6F" w14:textId="0BD37528" w:rsidR="00782EFF" w:rsidRPr="00FB7221" w:rsidRDefault="00782EFF" w:rsidP="00FB7221">
            <w:pPr>
              <w:pStyle w:val="enumlev2"/>
              <w:tabs>
                <w:tab w:val="clear" w:pos="794"/>
                <w:tab w:val="clear" w:pos="1191"/>
                <w:tab w:val="clear" w:pos="1588"/>
                <w:tab w:val="clear" w:pos="1985"/>
              </w:tabs>
              <w:spacing w:before="0"/>
              <w:ind w:left="1021" w:hanging="567"/>
              <w:rPr>
                <w:sz w:val="20"/>
                <w:lang w:val="en-GB"/>
              </w:rPr>
            </w:pPr>
            <w:r w:rsidRPr="00FB7221">
              <w:rPr>
                <w:sz w:val="20"/>
                <w:lang w:val="en-GB"/>
              </w:rPr>
              <w:t>1.9</w:t>
            </w:r>
            <w:r w:rsidRPr="00FB7221">
              <w:rPr>
                <w:sz w:val="20"/>
                <w:lang w:val="en-GB"/>
              </w:rPr>
              <w:tab/>
              <w:t>Bridging the standardization gap</w:t>
            </w:r>
          </w:p>
        </w:tc>
        <w:tc>
          <w:tcPr>
            <w:tcW w:w="675" w:type="dxa"/>
          </w:tcPr>
          <w:p w14:paraId="20E3F776" w14:textId="77777777" w:rsidR="00782EFF" w:rsidRPr="00846B6A" w:rsidRDefault="00782EFF" w:rsidP="00A9667A">
            <w:pPr>
              <w:pStyle w:val="AgendaItem"/>
              <w:rPr>
                <w:lang w:val="en-GB"/>
              </w:rPr>
            </w:pPr>
          </w:p>
        </w:tc>
      </w:tr>
      <w:tr w:rsidR="00782EFF" w:rsidRPr="001032F8" w14:paraId="4F4819A5" w14:textId="77777777" w:rsidTr="00B63CF6">
        <w:trPr>
          <w:jc w:val="center"/>
        </w:trPr>
        <w:tc>
          <w:tcPr>
            <w:tcW w:w="9180" w:type="dxa"/>
            <w:gridSpan w:val="2"/>
          </w:tcPr>
          <w:p w14:paraId="6B91DE17" w14:textId="35C69F58" w:rsidR="00782EFF" w:rsidRPr="00FB7221" w:rsidRDefault="00782EFF" w:rsidP="00FB7221">
            <w:pPr>
              <w:pStyle w:val="enumlev1"/>
              <w:tabs>
                <w:tab w:val="clear" w:pos="794"/>
                <w:tab w:val="clear" w:pos="1191"/>
                <w:tab w:val="clear" w:pos="1588"/>
                <w:tab w:val="clear" w:pos="1985"/>
              </w:tabs>
              <w:spacing w:before="0"/>
              <w:ind w:left="454" w:hanging="454"/>
              <w:rPr>
                <w:sz w:val="20"/>
                <w:szCs w:val="18"/>
                <w:lang w:val="en-GB"/>
              </w:rPr>
            </w:pPr>
            <w:r w:rsidRPr="00FB7221">
              <w:rPr>
                <w:color w:val="000000"/>
                <w:sz w:val="20"/>
                <w:szCs w:val="18"/>
                <w:lang w:val="en-GB"/>
              </w:rPr>
              <w:t>2</w:t>
            </w:r>
            <w:r w:rsidRPr="00FB7221">
              <w:rPr>
                <w:color w:val="000000"/>
                <w:sz w:val="20"/>
                <w:szCs w:val="18"/>
                <w:lang w:val="en-GB"/>
              </w:rPr>
              <w:tab/>
              <w:t>Approval of SG21 Reports (</w:t>
            </w:r>
            <w:hyperlink r:id="rId69" w:history="1">
              <w:r w:rsidRPr="00FB7221">
                <w:rPr>
                  <w:rStyle w:val="Hyperlink"/>
                  <w:color w:val="000000"/>
                  <w:sz w:val="20"/>
                  <w:szCs w:val="18"/>
                  <w:lang w:val="en-GB"/>
                </w:rPr>
                <w:t>R10 to R19</w:t>
              </w:r>
            </w:hyperlink>
            <w:r w:rsidRPr="00FB7221">
              <w:rPr>
                <w:color w:val="000000"/>
                <w:sz w:val="20"/>
                <w:szCs w:val="18"/>
                <w:lang w:val="en-GB"/>
              </w:rPr>
              <w:t>)</w:t>
            </w:r>
          </w:p>
          <w:p w14:paraId="56020FF1" w14:textId="3A4CF0C1"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2.1</w:t>
            </w:r>
            <w:r w:rsidRPr="00FB7221">
              <w:rPr>
                <w:sz w:val="20"/>
                <w:szCs w:val="18"/>
                <w:lang w:val="en-GB"/>
              </w:rPr>
              <w:tab/>
              <w:t xml:space="preserve">R10 </w:t>
            </w:r>
            <w:r w:rsidR="00FF1A08" w:rsidRPr="00FF1A08">
              <w:rPr>
                <w:sz w:val="20"/>
                <w:szCs w:val="18"/>
                <w:lang w:val="en-GB"/>
              </w:rPr>
              <w:t>–</w:t>
            </w:r>
            <w:r w:rsidRPr="00FB7221">
              <w:rPr>
                <w:sz w:val="20"/>
                <w:szCs w:val="18"/>
                <w:lang w:val="en-GB"/>
              </w:rPr>
              <w:t xml:space="preserve"> Report of the second meeting of Study Group 21 (Geneva, 6-17 October 2025)</w:t>
            </w:r>
          </w:p>
          <w:p w14:paraId="282A667F" w14:textId="22B06A97"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2.2</w:t>
            </w:r>
            <w:r w:rsidRPr="00FB7221">
              <w:rPr>
                <w:sz w:val="20"/>
                <w:szCs w:val="18"/>
                <w:lang w:val="en-GB"/>
              </w:rPr>
              <w:tab/>
              <w:t xml:space="preserve">R11 </w:t>
            </w:r>
            <w:r w:rsidR="00FF1A08" w:rsidRPr="00FF1A08">
              <w:rPr>
                <w:sz w:val="20"/>
                <w:szCs w:val="18"/>
                <w:lang w:val="en-GB"/>
              </w:rPr>
              <w:t>–</w:t>
            </w:r>
            <w:r w:rsidRPr="00FB7221">
              <w:rPr>
                <w:sz w:val="20"/>
                <w:szCs w:val="18"/>
                <w:lang w:val="en-GB"/>
              </w:rPr>
              <w:t xml:space="preserve"> Report of Working Party 1/21 (Geneva, 6-17 October 2025) </w:t>
            </w:r>
          </w:p>
          <w:p w14:paraId="7DAAD6B9" w14:textId="461B0D54"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2.3</w:t>
            </w:r>
            <w:r w:rsidRPr="00FB7221">
              <w:rPr>
                <w:sz w:val="20"/>
                <w:szCs w:val="18"/>
                <w:lang w:val="en-GB"/>
              </w:rPr>
              <w:tab/>
              <w:t xml:space="preserve">R12 </w:t>
            </w:r>
            <w:r w:rsidR="00FF1A08" w:rsidRPr="00FF1A08">
              <w:rPr>
                <w:sz w:val="20"/>
                <w:szCs w:val="18"/>
                <w:lang w:val="en-GB"/>
              </w:rPr>
              <w:t>–</w:t>
            </w:r>
            <w:r w:rsidRPr="00FB7221">
              <w:rPr>
                <w:sz w:val="20"/>
                <w:szCs w:val="18"/>
                <w:lang w:val="en-GB"/>
              </w:rPr>
              <w:t xml:space="preserve"> Report of Working Party 2/21 (Geneva, 6-17 October 2025)</w:t>
            </w:r>
          </w:p>
          <w:p w14:paraId="1DFC6714" w14:textId="6EB1F20B"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2.4</w:t>
            </w:r>
            <w:r w:rsidRPr="00FB7221">
              <w:rPr>
                <w:sz w:val="20"/>
                <w:szCs w:val="18"/>
                <w:lang w:val="en-GB"/>
              </w:rPr>
              <w:tab/>
              <w:t xml:space="preserve">R13 </w:t>
            </w:r>
            <w:r w:rsidR="00FF1A08" w:rsidRPr="00FF1A08">
              <w:rPr>
                <w:sz w:val="20"/>
                <w:szCs w:val="18"/>
                <w:lang w:val="en-GB"/>
              </w:rPr>
              <w:t>–</w:t>
            </w:r>
            <w:r w:rsidRPr="00FB7221">
              <w:rPr>
                <w:sz w:val="20"/>
                <w:szCs w:val="18"/>
                <w:lang w:val="en-GB"/>
              </w:rPr>
              <w:t xml:space="preserve"> Report of Working Party 3/21 (Geneva, 6-17 October 2025)</w:t>
            </w:r>
          </w:p>
          <w:p w14:paraId="770B2515" w14:textId="6EBA3C54"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2.5</w:t>
            </w:r>
            <w:r w:rsidRPr="00FB7221">
              <w:rPr>
                <w:sz w:val="20"/>
                <w:szCs w:val="18"/>
                <w:lang w:val="en-GB"/>
              </w:rPr>
              <w:tab/>
              <w:t xml:space="preserve">R14 </w:t>
            </w:r>
            <w:r w:rsidR="00FF1A08" w:rsidRPr="00FF1A08">
              <w:rPr>
                <w:sz w:val="20"/>
                <w:szCs w:val="18"/>
                <w:lang w:val="en-GB"/>
              </w:rPr>
              <w:t>–</w:t>
            </w:r>
            <w:r w:rsidRPr="00FB7221">
              <w:rPr>
                <w:sz w:val="20"/>
                <w:szCs w:val="18"/>
                <w:lang w:val="en-GB"/>
              </w:rPr>
              <w:t xml:space="preserve"> Report of Working Party 4/21 (Geneva, 6-17 October 2025)</w:t>
            </w:r>
          </w:p>
          <w:p w14:paraId="019A8707" w14:textId="72A759BA"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2.6</w:t>
            </w:r>
            <w:r w:rsidRPr="00FB7221">
              <w:rPr>
                <w:sz w:val="20"/>
                <w:szCs w:val="18"/>
                <w:lang w:val="en-GB"/>
              </w:rPr>
              <w:tab/>
              <w:t xml:space="preserve">R15 </w:t>
            </w:r>
            <w:r w:rsidR="00FF1A08" w:rsidRPr="00FF1A08">
              <w:rPr>
                <w:sz w:val="20"/>
                <w:szCs w:val="18"/>
                <w:lang w:val="en-GB"/>
              </w:rPr>
              <w:t>–</w:t>
            </w:r>
            <w:r w:rsidRPr="00FB7221">
              <w:rPr>
                <w:sz w:val="20"/>
                <w:szCs w:val="18"/>
                <w:lang w:val="en-GB"/>
              </w:rPr>
              <w:t xml:space="preserve"> Determined new Recommendation ITU-T H.862.9 (ex F.HR-AP) "Framework for access permissions to health data in digital health platforms"</w:t>
            </w:r>
          </w:p>
          <w:p w14:paraId="203AB657" w14:textId="034E60A5"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2.7</w:t>
            </w:r>
            <w:r w:rsidRPr="00FB7221">
              <w:rPr>
                <w:sz w:val="20"/>
                <w:szCs w:val="18"/>
                <w:lang w:val="en-GB"/>
              </w:rPr>
              <w:tab/>
              <w:t xml:space="preserve">R16 </w:t>
            </w:r>
            <w:r w:rsidR="00FF1A08" w:rsidRPr="00FF1A08">
              <w:rPr>
                <w:sz w:val="20"/>
                <w:szCs w:val="18"/>
                <w:lang w:val="en-GB"/>
              </w:rPr>
              <w:t>–</w:t>
            </w:r>
            <w:r w:rsidRPr="00FB7221">
              <w:rPr>
                <w:sz w:val="20"/>
                <w:szCs w:val="18"/>
                <w:lang w:val="en-GB"/>
              </w:rPr>
              <w:t xml:space="preserve"> Determined new Recommendation ITU-T F.748.39 (ex </w:t>
            </w:r>
            <w:proofErr w:type="gramStart"/>
            <w:r w:rsidRPr="00FB7221">
              <w:rPr>
                <w:sz w:val="20"/>
                <w:szCs w:val="18"/>
                <w:lang w:val="en-GB"/>
              </w:rPr>
              <w:t>F.AICP</w:t>
            </w:r>
            <w:proofErr w:type="gramEnd"/>
            <w:r w:rsidRPr="00FB7221">
              <w:rPr>
                <w:sz w:val="20"/>
                <w:szCs w:val="18"/>
                <w:lang w:val="en-GB"/>
              </w:rPr>
              <w:t>-FRRC) "Functional requirements and reference architecture of artificial intelligence cloud platform for intelligent power grid facilities maintenance"</w:t>
            </w:r>
          </w:p>
          <w:p w14:paraId="0771F430" w14:textId="1D15DEFC"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2.8</w:t>
            </w:r>
            <w:r w:rsidRPr="00FB7221">
              <w:rPr>
                <w:sz w:val="20"/>
                <w:szCs w:val="18"/>
                <w:lang w:val="en-GB"/>
              </w:rPr>
              <w:tab/>
              <w:t xml:space="preserve">R17 </w:t>
            </w:r>
            <w:r w:rsidR="00FF1A08" w:rsidRPr="00FF1A08">
              <w:rPr>
                <w:sz w:val="20"/>
                <w:szCs w:val="18"/>
                <w:lang w:val="en-GB"/>
              </w:rPr>
              <w:t>–</w:t>
            </w:r>
            <w:r w:rsidRPr="00FB7221">
              <w:rPr>
                <w:sz w:val="20"/>
                <w:szCs w:val="18"/>
                <w:lang w:val="en-GB"/>
              </w:rPr>
              <w:t xml:space="preserve"> Determined new Recommendation ITU-T F.748.75 (ex </w:t>
            </w:r>
            <w:proofErr w:type="gramStart"/>
            <w:r w:rsidRPr="00FB7221">
              <w:rPr>
                <w:sz w:val="20"/>
                <w:szCs w:val="18"/>
                <w:lang w:val="en-GB"/>
              </w:rPr>
              <w:t>F.MTTIR</w:t>
            </w:r>
            <w:proofErr w:type="gramEnd"/>
            <w:r w:rsidRPr="00FB7221">
              <w:rPr>
                <w:sz w:val="20"/>
                <w:szCs w:val="18"/>
                <w:lang w:val="en-GB"/>
              </w:rPr>
              <w:t>) "Requirements and framework of computer vision and audition-based transportation tunnel inspection robotic systems"</w:t>
            </w:r>
          </w:p>
          <w:p w14:paraId="39B1867B" w14:textId="1A099F3B"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2.9</w:t>
            </w:r>
            <w:r w:rsidRPr="00FB7221">
              <w:rPr>
                <w:sz w:val="20"/>
                <w:szCs w:val="18"/>
                <w:lang w:val="en-GB"/>
              </w:rPr>
              <w:tab/>
              <w:t xml:space="preserve">R18 </w:t>
            </w:r>
            <w:r w:rsidR="00FF1A08" w:rsidRPr="00FF1A08">
              <w:rPr>
                <w:sz w:val="20"/>
                <w:szCs w:val="18"/>
                <w:lang w:val="en-GB"/>
              </w:rPr>
              <w:t>–</w:t>
            </w:r>
            <w:r w:rsidRPr="00FB7221">
              <w:rPr>
                <w:sz w:val="20"/>
                <w:szCs w:val="18"/>
                <w:lang w:val="en-GB"/>
              </w:rPr>
              <w:t xml:space="preserve"> Determined new Recommendation ITU-T F.748.76 (ex F.AI-RFSSMA) "Requirements and framework of sound signal management and analysis based on artificial intelligence technology for electrical equipment"</w:t>
            </w:r>
          </w:p>
          <w:p w14:paraId="6A80DEE1" w14:textId="04CACB93" w:rsidR="00782EFF" w:rsidRPr="00FB7221" w:rsidRDefault="00782EFF" w:rsidP="00FB7221">
            <w:pPr>
              <w:pStyle w:val="enumlev2"/>
              <w:tabs>
                <w:tab w:val="clear" w:pos="794"/>
                <w:tab w:val="clear" w:pos="1191"/>
                <w:tab w:val="clear" w:pos="1588"/>
                <w:tab w:val="clear" w:pos="1985"/>
              </w:tabs>
              <w:spacing w:before="0"/>
              <w:ind w:left="1021" w:hanging="567"/>
              <w:rPr>
                <w:sz w:val="20"/>
                <w:szCs w:val="18"/>
                <w:lang w:val="en-GB"/>
              </w:rPr>
            </w:pPr>
            <w:r w:rsidRPr="00FB7221">
              <w:rPr>
                <w:sz w:val="20"/>
                <w:szCs w:val="18"/>
                <w:lang w:val="en-GB"/>
              </w:rPr>
              <w:t>2.10</w:t>
            </w:r>
            <w:r w:rsidRPr="00FB7221">
              <w:rPr>
                <w:sz w:val="20"/>
                <w:szCs w:val="18"/>
                <w:lang w:val="en-GB"/>
              </w:rPr>
              <w:tab/>
              <w:t xml:space="preserve">R19 </w:t>
            </w:r>
            <w:r w:rsidR="00FF1A08" w:rsidRPr="00FF1A08">
              <w:rPr>
                <w:sz w:val="20"/>
                <w:szCs w:val="18"/>
                <w:lang w:val="en-GB"/>
              </w:rPr>
              <w:t>–</w:t>
            </w:r>
            <w:r w:rsidRPr="00FB7221">
              <w:rPr>
                <w:sz w:val="20"/>
                <w:szCs w:val="18"/>
                <w:lang w:val="en-GB"/>
              </w:rPr>
              <w:t xml:space="preserve"> Determined new Recommendation ITU-T J.1043 (ex </w:t>
            </w:r>
            <w:proofErr w:type="gramStart"/>
            <w:r w:rsidRPr="00FB7221">
              <w:rPr>
                <w:sz w:val="20"/>
                <w:szCs w:val="18"/>
                <w:lang w:val="en-GB"/>
              </w:rPr>
              <w:t>J.DRMVA</w:t>
            </w:r>
            <w:proofErr w:type="gramEnd"/>
            <w:r w:rsidRPr="00FB7221">
              <w:rPr>
                <w:sz w:val="20"/>
                <w:szCs w:val="18"/>
                <w:lang w:val="en-GB"/>
              </w:rPr>
              <w:t xml:space="preserve">-rbst) "Digital rights management for video and audio content distribution </w:t>
            </w:r>
            <w:r w:rsidR="00C41797" w:rsidRPr="00FF1A08">
              <w:rPr>
                <w:sz w:val="20"/>
                <w:szCs w:val="18"/>
                <w:lang w:val="en-GB"/>
              </w:rPr>
              <w:t>–</w:t>
            </w:r>
            <w:r w:rsidRPr="00FB7221">
              <w:rPr>
                <w:sz w:val="20"/>
                <w:szCs w:val="18"/>
                <w:lang w:val="en-GB"/>
              </w:rPr>
              <w:t xml:space="preserve"> Compliance and Robustness Rules"</w:t>
            </w:r>
          </w:p>
        </w:tc>
        <w:tc>
          <w:tcPr>
            <w:tcW w:w="675" w:type="dxa"/>
          </w:tcPr>
          <w:p w14:paraId="6CF35D1D" w14:textId="77777777" w:rsidR="00782EFF" w:rsidRPr="00846B6A" w:rsidRDefault="00782EFF" w:rsidP="00A9667A">
            <w:pPr>
              <w:pStyle w:val="AgendaItem"/>
              <w:rPr>
                <w:lang w:val="en-GB"/>
              </w:rPr>
            </w:pPr>
          </w:p>
        </w:tc>
      </w:tr>
      <w:tr w:rsidR="00A52E1C" w:rsidRPr="00846B6A" w14:paraId="655C5959" w14:textId="77777777" w:rsidTr="0085503C">
        <w:trPr>
          <w:jc w:val="center"/>
        </w:trPr>
        <w:tc>
          <w:tcPr>
            <w:tcW w:w="9180" w:type="dxa"/>
            <w:gridSpan w:val="2"/>
          </w:tcPr>
          <w:p w14:paraId="2DB0C6F3" w14:textId="6A14EA95" w:rsidR="00A52E1C" w:rsidRPr="00FB7221" w:rsidRDefault="00A52E1C" w:rsidP="00FB7221">
            <w:pPr>
              <w:pStyle w:val="enumlev1"/>
              <w:tabs>
                <w:tab w:val="clear" w:pos="794"/>
                <w:tab w:val="clear" w:pos="1191"/>
                <w:tab w:val="clear" w:pos="1588"/>
                <w:tab w:val="clear" w:pos="1985"/>
              </w:tabs>
              <w:spacing w:before="0"/>
              <w:ind w:left="454" w:hanging="454"/>
              <w:rPr>
                <w:sz w:val="20"/>
                <w:szCs w:val="18"/>
                <w:lang w:val="en-GB"/>
              </w:rPr>
            </w:pPr>
            <w:r w:rsidRPr="00FB7221">
              <w:rPr>
                <w:sz w:val="20"/>
                <w:szCs w:val="18"/>
                <w:lang w:val="en-GB"/>
              </w:rPr>
              <w:t>3</w:t>
            </w:r>
            <w:r w:rsidRPr="00FB7221">
              <w:rPr>
                <w:sz w:val="20"/>
                <w:szCs w:val="18"/>
                <w:lang w:val="en-GB"/>
              </w:rPr>
              <w:tab/>
              <w:t>TSAG results and feedback</w:t>
            </w:r>
          </w:p>
        </w:tc>
        <w:tc>
          <w:tcPr>
            <w:tcW w:w="675" w:type="dxa"/>
          </w:tcPr>
          <w:p w14:paraId="71CD2048" w14:textId="77777777" w:rsidR="00A52E1C" w:rsidRPr="00846B6A" w:rsidRDefault="00A52E1C" w:rsidP="00A9667A">
            <w:pPr>
              <w:pStyle w:val="AgendaItem"/>
              <w:rPr>
                <w:lang w:val="en-GB"/>
              </w:rPr>
            </w:pPr>
          </w:p>
        </w:tc>
      </w:tr>
      <w:tr w:rsidR="00A52E1C" w:rsidRPr="001032F8" w14:paraId="48732F0C" w14:textId="77777777" w:rsidTr="00D97DAE">
        <w:trPr>
          <w:jc w:val="center"/>
        </w:trPr>
        <w:tc>
          <w:tcPr>
            <w:tcW w:w="9180" w:type="dxa"/>
            <w:gridSpan w:val="2"/>
          </w:tcPr>
          <w:p w14:paraId="041E15EF" w14:textId="0D4D8D6F" w:rsidR="00A52E1C" w:rsidRPr="00FB7221" w:rsidRDefault="00A52E1C" w:rsidP="00FB7221">
            <w:pPr>
              <w:pStyle w:val="enumlev1"/>
              <w:tabs>
                <w:tab w:val="clear" w:pos="794"/>
                <w:tab w:val="clear" w:pos="1191"/>
                <w:tab w:val="clear" w:pos="1588"/>
                <w:tab w:val="clear" w:pos="1985"/>
              </w:tabs>
              <w:spacing w:before="0"/>
              <w:ind w:left="454" w:hanging="454"/>
              <w:rPr>
                <w:sz w:val="20"/>
                <w:szCs w:val="18"/>
                <w:lang w:val="en-GB"/>
              </w:rPr>
            </w:pPr>
            <w:r w:rsidRPr="00FB7221">
              <w:rPr>
                <w:sz w:val="20"/>
                <w:szCs w:val="18"/>
                <w:lang w:val="en-GB"/>
              </w:rPr>
              <w:t>4</w:t>
            </w:r>
            <w:r w:rsidRPr="00FB7221">
              <w:rPr>
                <w:sz w:val="20"/>
                <w:szCs w:val="18"/>
                <w:lang w:val="en-GB"/>
              </w:rPr>
              <w:tab/>
              <w:t>Focus Group on Embodied Artificial Intelligence for multimedia technologies (FG-EAI)</w:t>
            </w:r>
          </w:p>
        </w:tc>
        <w:tc>
          <w:tcPr>
            <w:tcW w:w="675" w:type="dxa"/>
          </w:tcPr>
          <w:p w14:paraId="113C115F" w14:textId="77777777" w:rsidR="00A52E1C" w:rsidRPr="00846B6A" w:rsidRDefault="00A52E1C" w:rsidP="00A9667A">
            <w:pPr>
              <w:pStyle w:val="AgendaItem"/>
              <w:rPr>
                <w:lang w:val="en-GB"/>
              </w:rPr>
            </w:pPr>
          </w:p>
        </w:tc>
      </w:tr>
      <w:tr w:rsidR="00A52E1C" w:rsidRPr="001032F8" w14:paraId="7E956BA0" w14:textId="77777777" w:rsidTr="004B06A2">
        <w:trPr>
          <w:jc w:val="center"/>
        </w:trPr>
        <w:tc>
          <w:tcPr>
            <w:tcW w:w="9180" w:type="dxa"/>
            <w:gridSpan w:val="2"/>
          </w:tcPr>
          <w:p w14:paraId="16A9C82C" w14:textId="7F9FE4F1" w:rsidR="00A52E1C" w:rsidRPr="00FB7221" w:rsidRDefault="00A52E1C" w:rsidP="00FB7221">
            <w:pPr>
              <w:pStyle w:val="enumlev1"/>
              <w:tabs>
                <w:tab w:val="clear" w:pos="794"/>
                <w:tab w:val="clear" w:pos="1191"/>
                <w:tab w:val="clear" w:pos="1588"/>
                <w:tab w:val="clear" w:pos="1985"/>
              </w:tabs>
              <w:spacing w:before="0"/>
              <w:ind w:left="454" w:hanging="454"/>
              <w:rPr>
                <w:sz w:val="20"/>
                <w:szCs w:val="18"/>
                <w:lang w:val="en-GB"/>
              </w:rPr>
            </w:pPr>
            <w:r w:rsidRPr="00FB7221">
              <w:rPr>
                <w:sz w:val="20"/>
                <w:szCs w:val="18"/>
                <w:lang w:val="en-GB"/>
              </w:rPr>
              <w:t>5</w:t>
            </w:r>
            <w:r w:rsidRPr="00FB7221">
              <w:rPr>
                <w:sz w:val="20"/>
                <w:szCs w:val="18"/>
                <w:lang w:val="en-GB"/>
              </w:rPr>
              <w:tab/>
              <w:t>SG21 organization</w:t>
            </w:r>
          </w:p>
          <w:p w14:paraId="0A70F569" w14:textId="67733950" w:rsidR="00A52E1C" w:rsidRPr="00FB7221" w:rsidRDefault="00A52E1C" w:rsidP="00FB7221">
            <w:pPr>
              <w:pStyle w:val="enumlev2"/>
              <w:tabs>
                <w:tab w:val="clear" w:pos="794"/>
                <w:tab w:val="clear" w:pos="1191"/>
                <w:tab w:val="clear" w:pos="1588"/>
                <w:tab w:val="clear" w:pos="1985"/>
              </w:tabs>
              <w:spacing w:before="0"/>
              <w:ind w:left="880"/>
              <w:rPr>
                <w:sz w:val="20"/>
                <w:szCs w:val="18"/>
                <w:lang w:val="en-GB" w:eastAsia="ja-JP"/>
              </w:rPr>
            </w:pPr>
            <w:r w:rsidRPr="00FB7221">
              <w:rPr>
                <w:sz w:val="20"/>
                <w:szCs w:val="18"/>
                <w:lang w:val="en-GB" w:eastAsia="ja-JP"/>
              </w:rPr>
              <w:t>5.1</w:t>
            </w:r>
            <w:r w:rsidRPr="00FB7221">
              <w:rPr>
                <w:sz w:val="20"/>
                <w:szCs w:val="18"/>
                <w:lang w:val="en-GB" w:eastAsia="ja-JP"/>
              </w:rPr>
              <w:tab/>
              <w:t>Working party structure and SG management</w:t>
            </w:r>
          </w:p>
          <w:p w14:paraId="2A83842E" w14:textId="2F923007" w:rsidR="00A52E1C" w:rsidRPr="00FB7221" w:rsidRDefault="00A52E1C" w:rsidP="00FB7221">
            <w:pPr>
              <w:pStyle w:val="enumlev2"/>
              <w:tabs>
                <w:tab w:val="clear" w:pos="794"/>
                <w:tab w:val="clear" w:pos="1191"/>
                <w:tab w:val="clear" w:pos="1588"/>
                <w:tab w:val="clear" w:pos="1985"/>
              </w:tabs>
              <w:spacing w:before="0"/>
              <w:ind w:left="880"/>
              <w:rPr>
                <w:sz w:val="20"/>
                <w:szCs w:val="18"/>
                <w:lang w:val="en-GB" w:eastAsia="ja-JP"/>
              </w:rPr>
            </w:pPr>
            <w:r w:rsidRPr="00FB7221">
              <w:rPr>
                <w:sz w:val="20"/>
                <w:szCs w:val="18"/>
                <w:lang w:val="en-GB" w:eastAsia="ja-JP"/>
              </w:rPr>
              <w:t>5.2</w:t>
            </w:r>
            <w:r w:rsidRPr="00FB7221">
              <w:rPr>
                <w:sz w:val="20"/>
                <w:szCs w:val="18"/>
                <w:lang w:val="en-GB" w:eastAsia="ja-JP"/>
              </w:rPr>
              <w:tab/>
              <w:t>Rapporteurs and Associate Rapporteurs</w:t>
            </w:r>
          </w:p>
          <w:p w14:paraId="127293AF" w14:textId="41A7328E" w:rsidR="00A52E1C" w:rsidRPr="00FB7221" w:rsidRDefault="00A52E1C" w:rsidP="00FB7221">
            <w:pPr>
              <w:pStyle w:val="enumlev2"/>
              <w:tabs>
                <w:tab w:val="clear" w:pos="794"/>
                <w:tab w:val="clear" w:pos="1191"/>
                <w:tab w:val="clear" w:pos="1588"/>
                <w:tab w:val="clear" w:pos="1985"/>
              </w:tabs>
              <w:spacing w:before="0"/>
              <w:ind w:left="880"/>
              <w:rPr>
                <w:sz w:val="20"/>
                <w:szCs w:val="18"/>
                <w:lang w:val="en-GB"/>
              </w:rPr>
            </w:pPr>
            <w:r w:rsidRPr="00FB7221">
              <w:rPr>
                <w:sz w:val="20"/>
                <w:szCs w:val="18"/>
                <w:lang w:val="en-GB" w:eastAsia="ja-JP"/>
              </w:rPr>
              <w:t>5.3</w:t>
            </w:r>
            <w:r w:rsidRPr="00FB7221">
              <w:rPr>
                <w:sz w:val="20"/>
                <w:szCs w:val="18"/>
                <w:lang w:val="en-GB" w:eastAsia="ja-JP"/>
              </w:rPr>
              <w:tab/>
              <w:t>Liaison officers</w:t>
            </w:r>
            <w:r w:rsidRPr="00FB7221">
              <w:rPr>
                <w:sz w:val="20"/>
                <w:szCs w:val="18"/>
                <w:lang w:val="en-GB"/>
              </w:rPr>
              <w:t>, representatives and other roles</w:t>
            </w:r>
          </w:p>
        </w:tc>
        <w:tc>
          <w:tcPr>
            <w:tcW w:w="675" w:type="dxa"/>
          </w:tcPr>
          <w:p w14:paraId="5098522D" w14:textId="77777777" w:rsidR="00A52E1C" w:rsidRPr="00846B6A" w:rsidRDefault="00A52E1C" w:rsidP="00A9667A">
            <w:pPr>
              <w:pStyle w:val="AgendaItem"/>
              <w:rPr>
                <w:lang w:val="en-GB"/>
              </w:rPr>
            </w:pPr>
          </w:p>
        </w:tc>
      </w:tr>
      <w:tr w:rsidR="00A52E1C" w:rsidRPr="001032F8" w14:paraId="33F4C888" w14:textId="77777777" w:rsidTr="006557AF">
        <w:trPr>
          <w:jc w:val="center"/>
        </w:trPr>
        <w:tc>
          <w:tcPr>
            <w:tcW w:w="9180" w:type="dxa"/>
            <w:gridSpan w:val="2"/>
          </w:tcPr>
          <w:p w14:paraId="7B1432C8" w14:textId="6F4CEB41" w:rsidR="00A52E1C" w:rsidRPr="00FB7221" w:rsidRDefault="00A52E1C" w:rsidP="00FB7221">
            <w:pPr>
              <w:pStyle w:val="enumlev1"/>
              <w:tabs>
                <w:tab w:val="clear" w:pos="794"/>
                <w:tab w:val="clear" w:pos="1191"/>
                <w:tab w:val="clear" w:pos="1588"/>
                <w:tab w:val="clear" w:pos="1985"/>
              </w:tabs>
              <w:spacing w:before="0"/>
              <w:ind w:left="454" w:hanging="454"/>
              <w:rPr>
                <w:rFonts w:cstheme="majorBidi"/>
                <w:sz w:val="20"/>
                <w:szCs w:val="18"/>
                <w:lang w:val="en-GB"/>
              </w:rPr>
            </w:pPr>
            <w:r w:rsidRPr="00FB7221">
              <w:rPr>
                <w:sz w:val="20"/>
                <w:szCs w:val="18"/>
                <w:lang w:val="en-GB"/>
              </w:rPr>
              <w:t>6</w:t>
            </w:r>
            <w:r w:rsidRPr="00FB7221">
              <w:rPr>
                <w:sz w:val="20"/>
                <w:szCs w:val="18"/>
                <w:lang w:val="en-GB"/>
              </w:rPr>
              <w:tab/>
              <w:t>Status of texts determined and consented since the previous SG21 meeting</w:t>
            </w:r>
          </w:p>
        </w:tc>
        <w:tc>
          <w:tcPr>
            <w:tcW w:w="675" w:type="dxa"/>
          </w:tcPr>
          <w:p w14:paraId="50ED2016" w14:textId="77777777" w:rsidR="00A52E1C" w:rsidRPr="00846B6A" w:rsidRDefault="00A52E1C" w:rsidP="00A9667A">
            <w:pPr>
              <w:pStyle w:val="AgendaItem"/>
              <w:rPr>
                <w:lang w:val="en-GB"/>
              </w:rPr>
            </w:pPr>
          </w:p>
        </w:tc>
      </w:tr>
      <w:tr w:rsidR="00A52E1C" w:rsidRPr="001032F8" w14:paraId="1280CDE1" w14:textId="77777777" w:rsidTr="002F5C30">
        <w:trPr>
          <w:jc w:val="center"/>
        </w:trPr>
        <w:tc>
          <w:tcPr>
            <w:tcW w:w="9180" w:type="dxa"/>
            <w:gridSpan w:val="2"/>
          </w:tcPr>
          <w:p w14:paraId="1BE4062E" w14:textId="72BDA6D7" w:rsidR="00A52E1C" w:rsidRPr="00FB7221" w:rsidRDefault="00A52E1C" w:rsidP="00FB7221">
            <w:pPr>
              <w:pStyle w:val="enumlev1"/>
              <w:tabs>
                <w:tab w:val="clear" w:pos="794"/>
                <w:tab w:val="clear" w:pos="1191"/>
                <w:tab w:val="clear" w:pos="1588"/>
                <w:tab w:val="clear" w:pos="1985"/>
              </w:tabs>
              <w:spacing w:before="0"/>
              <w:ind w:left="454" w:hanging="454"/>
              <w:rPr>
                <w:sz w:val="20"/>
                <w:szCs w:val="18"/>
                <w:lang w:val="en-GB"/>
              </w:rPr>
            </w:pPr>
            <w:r w:rsidRPr="00FB7221">
              <w:rPr>
                <w:sz w:val="20"/>
                <w:szCs w:val="18"/>
                <w:lang w:val="en-GB"/>
              </w:rPr>
              <w:t>7</w:t>
            </w:r>
            <w:r w:rsidRPr="00FB7221">
              <w:rPr>
                <w:sz w:val="20"/>
                <w:szCs w:val="18"/>
                <w:lang w:val="en-GB"/>
              </w:rPr>
              <w:tab/>
              <w:t>TAP and AAP texts for approval at this meeting</w:t>
            </w:r>
          </w:p>
        </w:tc>
        <w:tc>
          <w:tcPr>
            <w:tcW w:w="675" w:type="dxa"/>
          </w:tcPr>
          <w:p w14:paraId="15CDC810" w14:textId="77777777" w:rsidR="00A52E1C" w:rsidRPr="00846B6A" w:rsidRDefault="00A52E1C" w:rsidP="00A9667A">
            <w:pPr>
              <w:pStyle w:val="AgendaItem"/>
              <w:rPr>
                <w:lang w:val="en-GB"/>
              </w:rPr>
            </w:pPr>
          </w:p>
        </w:tc>
      </w:tr>
      <w:tr w:rsidR="00A52E1C" w:rsidRPr="001032F8" w14:paraId="2107180D" w14:textId="77777777" w:rsidTr="00D27F4B">
        <w:trPr>
          <w:jc w:val="center"/>
        </w:trPr>
        <w:tc>
          <w:tcPr>
            <w:tcW w:w="9180" w:type="dxa"/>
            <w:gridSpan w:val="2"/>
          </w:tcPr>
          <w:p w14:paraId="720B6F9B" w14:textId="49907C4C" w:rsidR="00A52E1C" w:rsidRPr="00FB7221" w:rsidRDefault="00A52E1C" w:rsidP="00FB7221">
            <w:pPr>
              <w:pStyle w:val="enumlev1"/>
              <w:tabs>
                <w:tab w:val="clear" w:pos="794"/>
                <w:tab w:val="clear" w:pos="1191"/>
                <w:tab w:val="clear" w:pos="1588"/>
                <w:tab w:val="clear" w:pos="1985"/>
              </w:tabs>
              <w:spacing w:before="0"/>
              <w:ind w:left="454" w:hanging="454"/>
              <w:rPr>
                <w:sz w:val="20"/>
                <w:szCs w:val="18"/>
                <w:lang w:val="en-GB"/>
              </w:rPr>
            </w:pPr>
            <w:r w:rsidRPr="00FB7221">
              <w:rPr>
                <w:sz w:val="20"/>
                <w:szCs w:val="18"/>
                <w:lang w:val="en-GB"/>
              </w:rPr>
              <w:t>8</w:t>
            </w:r>
            <w:r w:rsidRPr="00FB7221">
              <w:rPr>
                <w:sz w:val="20"/>
                <w:szCs w:val="18"/>
                <w:lang w:val="en-GB"/>
              </w:rPr>
              <w:tab/>
              <w:t>Feedback and status reports on interim activities</w:t>
            </w:r>
          </w:p>
        </w:tc>
        <w:tc>
          <w:tcPr>
            <w:tcW w:w="675" w:type="dxa"/>
          </w:tcPr>
          <w:p w14:paraId="3BC57430" w14:textId="77777777" w:rsidR="00A52E1C" w:rsidRPr="00846B6A" w:rsidRDefault="00A52E1C" w:rsidP="00A9667A">
            <w:pPr>
              <w:pStyle w:val="AgendaItem"/>
              <w:rPr>
                <w:lang w:val="en-GB"/>
              </w:rPr>
            </w:pPr>
          </w:p>
        </w:tc>
      </w:tr>
      <w:tr w:rsidR="00A52E1C" w:rsidRPr="001032F8" w14:paraId="28D2AC47" w14:textId="77777777" w:rsidTr="009B19C7">
        <w:trPr>
          <w:jc w:val="center"/>
        </w:trPr>
        <w:tc>
          <w:tcPr>
            <w:tcW w:w="9180" w:type="dxa"/>
            <w:gridSpan w:val="2"/>
          </w:tcPr>
          <w:p w14:paraId="3214DC84" w14:textId="77EDAF62" w:rsidR="00A52E1C" w:rsidRPr="00FB7221" w:rsidRDefault="00A52E1C" w:rsidP="00FB7221">
            <w:pPr>
              <w:pStyle w:val="enumlev1"/>
              <w:tabs>
                <w:tab w:val="clear" w:pos="794"/>
                <w:tab w:val="clear" w:pos="1191"/>
                <w:tab w:val="clear" w:pos="1588"/>
                <w:tab w:val="clear" w:pos="1985"/>
              </w:tabs>
              <w:spacing w:before="0"/>
              <w:ind w:left="454" w:hanging="454"/>
              <w:rPr>
                <w:rFonts w:cstheme="majorBidi"/>
                <w:sz w:val="20"/>
                <w:szCs w:val="18"/>
                <w:lang w:val="en-GB"/>
              </w:rPr>
            </w:pPr>
            <w:r w:rsidRPr="00FB7221">
              <w:rPr>
                <w:sz w:val="20"/>
                <w:szCs w:val="18"/>
                <w:lang w:val="en-GB"/>
              </w:rPr>
              <w:t>9</w:t>
            </w:r>
            <w:r w:rsidRPr="00FB7221">
              <w:rPr>
                <w:sz w:val="20"/>
                <w:szCs w:val="18"/>
                <w:lang w:val="en-GB"/>
              </w:rPr>
              <w:tab/>
              <w:t>Contributions for review at the opening plenary, if any</w:t>
            </w:r>
          </w:p>
        </w:tc>
        <w:tc>
          <w:tcPr>
            <w:tcW w:w="675" w:type="dxa"/>
          </w:tcPr>
          <w:p w14:paraId="655C8121" w14:textId="77777777" w:rsidR="00A52E1C" w:rsidRPr="00846B6A" w:rsidRDefault="00A52E1C" w:rsidP="00A9667A">
            <w:pPr>
              <w:pStyle w:val="AgendaItem"/>
              <w:rPr>
                <w:lang w:val="en-GB"/>
              </w:rPr>
            </w:pPr>
          </w:p>
        </w:tc>
      </w:tr>
      <w:tr w:rsidR="00FB7221" w:rsidRPr="001032F8" w14:paraId="4BA422C0" w14:textId="77777777" w:rsidTr="003A489B">
        <w:trPr>
          <w:jc w:val="center"/>
        </w:trPr>
        <w:tc>
          <w:tcPr>
            <w:tcW w:w="9180" w:type="dxa"/>
            <w:gridSpan w:val="2"/>
          </w:tcPr>
          <w:p w14:paraId="54B2A64C" w14:textId="3361A09C" w:rsidR="00FB7221" w:rsidRPr="00FB7221" w:rsidRDefault="00FB7221"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10</w:t>
            </w:r>
            <w:r w:rsidRPr="00FB7221">
              <w:rPr>
                <w:sz w:val="20"/>
                <w:lang w:val="en-GB"/>
              </w:rPr>
              <w:tab/>
              <w:t>Liaison Officer reports to SG21</w:t>
            </w:r>
          </w:p>
        </w:tc>
        <w:tc>
          <w:tcPr>
            <w:tcW w:w="675" w:type="dxa"/>
          </w:tcPr>
          <w:p w14:paraId="64A29111" w14:textId="77777777" w:rsidR="00FB7221" w:rsidRPr="00846B6A" w:rsidRDefault="00FB7221" w:rsidP="00A9667A">
            <w:pPr>
              <w:pStyle w:val="AgendaItem"/>
              <w:rPr>
                <w:lang w:val="en-GB"/>
              </w:rPr>
            </w:pPr>
          </w:p>
        </w:tc>
      </w:tr>
      <w:tr w:rsidR="00FB7221" w:rsidRPr="001032F8" w14:paraId="1761FC53" w14:textId="77777777" w:rsidTr="00990A80">
        <w:trPr>
          <w:jc w:val="center"/>
        </w:trPr>
        <w:tc>
          <w:tcPr>
            <w:tcW w:w="9180" w:type="dxa"/>
            <w:gridSpan w:val="2"/>
          </w:tcPr>
          <w:p w14:paraId="15704C0F" w14:textId="63996001" w:rsidR="00FB7221" w:rsidRPr="00FB7221" w:rsidRDefault="00FB7221"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11</w:t>
            </w:r>
            <w:r w:rsidRPr="00FB7221">
              <w:rPr>
                <w:sz w:val="20"/>
                <w:lang w:val="en-GB"/>
              </w:rPr>
              <w:tab/>
              <w:t xml:space="preserve">Reports and </w:t>
            </w:r>
            <w:r w:rsidRPr="00FB7221">
              <w:rPr>
                <w:rFonts w:cstheme="majorBidi"/>
                <w:sz w:val="20"/>
                <w:lang w:val="en-GB"/>
              </w:rPr>
              <w:t>liaison statements</w:t>
            </w:r>
            <w:r w:rsidRPr="00FB7221">
              <w:rPr>
                <w:sz w:val="20"/>
                <w:lang w:val="en-GB"/>
              </w:rPr>
              <w:t xml:space="preserve"> from other groups/workshops</w:t>
            </w:r>
          </w:p>
        </w:tc>
        <w:tc>
          <w:tcPr>
            <w:tcW w:w="675" w:type="dxa"/>
          </w:tcPr>
          <w:p w14:paraId="10228556" w14:textId="77777777" w:rsidR="00FB7221" w:rsidRPr="00846B6A" w:rsidRDefault="00FB7221" w:rsidP="00A9667A">
            <w:pPr>
              <w:pStyle w:val="AgendaItem"/>
              <w:rPr>
                <w:lang w:val="en-GB"/>
              </w:rPr>
            </w:pPr>
          </w:p>
        </w:tc>
      </w:tr>
      <w:tr w:rsidR="00FB7221" w:rsidRPr="001032F8" w14:paraId="4D44DE64" w14:textId="77777777" w:rsidTr="00DA13A8">
        <w:trPr>
          <w:jc w:val="center"/>
        </w:trPr>
        <w:tc>
          <w:tcPr>
            <w:tcW w:w="9180" w:type="dxa"/>
            <w:gridSpan w:val="2"/>
          </w:tcPr>
          <w:p w14:paraId="69B21446" w14:textId="0E38D05F" w:rsidR="00FB7221" w:rsidRPr="00FB7221" w:rsidRDefault="00FB7221"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12</w:t>
            </w:r>
            <w:r w:rsidRPr="00FB7221">
              <w:rPr>
                <w:sz w:val="20"/>
                <w:lang w:val="en-GB"/>
              </w:rPr>
              <w:tab/>
              <w:t>Future meetings, workshops and other events, and promotion strategy</w:t>
            </w:r>
          </w:p>
        </w:tc>
        <w:tc>
          <w:tcPr>
            <w:tcW w:w="675" w:type="dxa"/>
          </w:tcPr>
          <w:p w14:paraId="6FC0A9F4" w14:textId="77777777" w:rsidR="00FB7221" w:rsidRPr="00846B6A" w:rsidRDefault="00FB7221" w:rsidP="00A9667A">
            <w:pPr>
              <w:pStyle w:val="AgendaItem"/>
              <w:rPr>
                <w:lang w:val="en-GB"/>
              </w:rPr>
            </w:pPr>
          </w:p>
        </w:tc>
      </w:tr>
      <w:tr w:rsidR="00FB7221" w:rsidRPr="001032F8" w14:paraId="477C39F4" w14:textId="77777777" w:rsidTr="004D404D">
        <w:trPr>
          <w:jc w:val="center"/>
        </w:trPr>
        <w:tc>
          <w:tcPr>
            <w:tcW w:w="9180" w:type="dxa"/>
            <w:gridSpan w:val="2"/>
          </w:tcPr>
          <w:p w14:paraId="3A90536F" w14:textId="2712EAD1" w:rsidR="00FB7221" w:rsidRPr="00FB7221" w:rsidRDefault="00FB7221" w:rsidP="00FB7221">
            <w:pPr>
              <w:pStyle w:val="enumlev1"/>
              <w:tabs>
                <w:tab w:val="clear" w:pos="794"/>
                <w:tab w:val="clear" w:pos="1191"/>
                <w:tab w:val="clear" w:pos="1588"/>
                <w:tab w:val="clear" w:pos="1985"/>
              </w:tabs>
              <w:spacing w:before="0"/>
              <w:ind w:left="454" w:hanging="454"/>
              <w:rPr>
                <w:rFonts w:cstheme="majorBidi"/>
                <w:sz w:val="20"/>
                <w:lang w:val="en-GB"/>
              </w:rPr>
            </w:pPr>
            <w:r w:rsidRPr="00FB7221">
              <w:rPr>
                <w:sz w:val="20"/>
                <w:lang w:val="en-GB"/>
              </w:rPr>
              <w:t>13</w:t>
            </w:r>
            <w:r w:rsidRPr="00FB7221">
              <w:rPr>
                <w:sz w:val="20"/>
                <w:lang w:val="en-GB"/>
              </w:rPr>
              <w:tab/>
              <w:t xml:space="preserve">Documents planned for </w:t>
            </w:r>
            <w:r w:rsidRPr="00FB7221">
              <w:rPr>
                <w:rFonts w:cstheme="majorBidi"/>
                <w:sz w:val="20"/>
                <w:lang w:val="en-GB" w:eastAsia="ja-JP"/>
              </w:rPr>
              <w:t>Approval/Consent/Determination/Agreement at this meeting</w:t>
            </w:r>
          </w:p>
        </w:tc>
        <w:tc>
          <w:tcPr>
            <w:tcW w:w="675" w:type="dxa"/>
          </w:tcPr>
          <w:p w14:paraId="4DDD8D22" w14:textId="77777777" w:rsidR="00FB7221" w:rsidRPr="00846B6A" w:rsidRDefault="00FB7221" w:rsidP="00A9667A">
            <w:pPr>
              <w:pStyle w:val="AgendaItem"/>
              <w:rPr>
                <w:lang w:val="en-GB"/>
              </w:rPr>
            </w:pPr>
          </w:p>
        </w:tc>
      </w:tr>
      <w:tr w:rsidR="00FB7221" w:rsidRPr="00846B6A" w14:paraId="227A0465" w14:textId="77777777" w:rsidTr="00733631">
        <w:trPr>
          <w:jc w:val="center"/>
        </w:trPr>
        <w:tc>
          <w:tcPr>
            <w:tcW w:w="9180" w:type="dxa"/>
            <w:gridSpan w:val="2"/>
          </w:tcPr>
          <w:p w14:paraId="2CF41FCF" w14:textId="1B0A1C83" w:rsidR="00FB7221" w:rsidRPr="00FB7221" w:rsidRDefault="00FB7221"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14</w:t>
            </w:r>
            <w:r w:rsidRPr="00FB7221">
              <w:rPr>
                <w:sz w:val="20"/>
                <w:lang w:val="en-GB"/>
              </w:rPr>
              <w:tab/>
              <w:t>AOB for opening plenary</w:t>
            </w:r>
          </w:p>
        </w:tc>
        <w:tc>
          <w:tcPr>
            <w:tcW w:w="675" w:type="dxa"/>
          </w:tcPr>
          <w:p w14:paraId="2C751381" w14:textId="77777777" w:rsidR="00FB7221" w:rsidRPr="00846B6A" w:rsidRDefault="00FB7221" w:rsidP="00A9667A">
            <w:pPr>
              <w:pStyle w:val="AgendaItem"/>
              <w:rPr>
                <w:lang w:val="en-GB"/>
              </w:rPr>
            </w:pPr>
          </w:p>
        </w:tc>
      </w:tr>
      <w:tr w:rsidR="00FB7221" w:rsidRPr="00846B6A" w14:paraId="5A191C69" w14:textId="77777777" w:rsidTr="00B400B7">
        <w:trPr>
          <w:jc w:val="center"/>
        </w:trPr>
        <w:tc>
          <w:tcPr>
            <w:tcW w:w="9180" w:type="dxa"/>
            <w:gridSpan w:val="2"/>
          </w:tcPr>
          <w:p w14:paraId="3D77EE76" w14:textId="032051AC" w:rsidR="00FB7221" w:rsidRPr="00FB7221" w:rsidRDefault="00FB7221" w:rsidP="00FB7221">
            <w:pPr>
              <w:pStyle w:val="enumlev1"/>
              <w:tabs>
                <w:tab w:val="clear" w:pos="794"/>
                <w:tab w:val="clear" w:pos="1191"/>
                <w:tab w:val="clear" w:pos="1588"/>
                <w:tab w:val="clear" w:pos="1985"/>
              </w:tabs>
              <w:spacing w:before="0"/>
              <w:ind w:left="454" w:hanging="454"/>
              <w:rPr>
                <w:sz w:val="20"/>
                <w:lang w:val="en-GB"/>
              </w:rPr>
            </w:pPr>
            <w:r w:rsidRPr="00FB7221">
              <w:rPr>
                <w:sz w:val="20"/>
                <w:lang w:val="en-GB"/>
              </w:rPr>
              <w:t>15</w:t>
            </w:r>
            <w:r w:rsidRPr="00FB7221">
              <w:rPr>
                <w:sz w:val="20"/>
                <w:lang w:val="en-GB"/>
              </w:rPr>
              <w:tab/>
              <w:t>Intellectual property rights inquiry</w:t>
            </w:r>
          </w:p>
        </w:tc>
        <w:tc>
          <w:tcPr>
            <w:tcW w:w="675" w:type="dxa"/>
          </w:tcPr>
          <w:p w14:paraId="3D03E947" w14:textId="77777777" w:rsidR="00FB7221" w:rsidRPr="00846B6A" w:rsidRDefault="00FB7221" w:rsidP="00A9667A">
            <w:pPr>
              <w:pStyle w:val="AgendaItem"/>
              <w:rPr>
                <w:lang w:val="en-GB"/>
              </w:rPr>
            </w:pPr>
          </w:p>
        </w:tc>
      </w:tr>
      <w:tr w:rsidR="00FB7221" w:rsidRPr="001032F8" w14:paraId="5F4F5129" w14:textId="77777777" w:rsidTr="005523FA">
        <w:trPr>
          <w:jc w:val="center"/>
        </w:trPr>
        <w:tc>
          <w:tcPr>
            <w:tcW w:w="9180" w:type="dxa"/>
            <w:gridSpan w:val="2"/>
          </w:tcPr>
          <w:p w14:paraId="622C0324" w14:textId="2CBA5365" w:rsidR="00FB7221" w:rsidRPr="00FB7221" w:rsidRDefault="00FB7221" w:rsidP="00F86745">
            <w:pPr>
              <w:pStyle w:val="enumlev1"/>
              <w:keepNext/>
              <w:keepLines/>
              <w:tabs>
                <w:tab w:val="clear" w:pos="794"/>
                <w:tab w:val="clear" w:pos="1191"/>
                <w:tab w:val="clear" w:pos="1588"/>
                <w:tab w:val="clear" w:pos="1985"/>
              </w:tabs>
              <w:spacing w:before="0"/>
              <w:ind w:left="454" w:hanging="454"/>
              <w:rPr>
                <w:sz w:val="20"/>
                <w:lang w:val="en-GB"/>
              </w:rPr>
            </w:pPr>
            <w:r w:rsidRPr="00FB7221">
              <w:rPr>
                <w:sz w:val="20"/>
                <w:lang w:val="en-GB"/>
              </w:rPr>
              <w:lastRenderedPageBreak/>
              <w:t>16</w:t>
            </w:r>
            <w:r w:rsidRPr="00FB7221">
              <w:rPr>
                <w:sz w:val="20"/>
                <w:lang w:val="en-GB"/>
              </w:rPr>
              <w:tab/>
              <w:t>Review and approval of SG21 meeting results</w:t>
            </w:r>
          </w:p>
          <w:p w14:paraId="4D8177EF" w14:textId="13A4F77B" w:rsidR="00FB7221" w:rsidRPr="00FB7221" w:rsidRDefault="00FB7221" w:rsidP="00F86745">
            <w:pPr>
              <w:pStyle w:val="enumlev2"/>
              <w:keepNext/>
              <w:keepLines/>
              <w:tabs>
                <w:tab w:val="clear" w:pos="794"/>
                <w:tab w:val="clear" w:pos="1191"/>
                <w:tab w:val="clear" w:pos="1588"/>
                <w:tab w:val="clear" w:pos="1985"/>
              </w:tabs>
              <w:spacing w:before="0"/>
              <w:ind w:left="880"/>
              <w:rPr>
                <w:sz w:val="20"/>
                <w:lang w:val="en-GB"/>
              </w:rPr>
            </w:pPr>
            <w:r w:rsidRPr="00FB7221">
              <w:rPr>
                <w:sz w:val="20"/>
                <w:lang w:val="en-GB"/>
              </w:rPr>
              <w:t>16.1</w:t>
            </w:r>
            <w:r w:rsidRPr="00FB7221">
              <w:rPr>
                <w:sz w:val="20"/>
                <w:lang w:val="en-GB"/>
              </w:rPr>
              <w:tab/>
              <w:t>Approval of reports of working parties and of Questions assigned to the plenary</w:t>
            </w:r>
          </w:p>
          <w:p w14:paraId="7AE2EF53" w14:textId="4C2E44ED" w:rsidR="00FB7221" w:rsidRPr="00FB7221" w:rsidRDefault="00FB7221" w:rsidP="00F86745">
            <w:pPr>
              <w:pStyle w:val="enumlev3"/>
              <w:keepNext/>
              <w:keepLines/>
              <w:tabs>
                <w:tab w:val="clear" w:pos="794"/>
                <w:tab w:val="clear" w:pos="1191"/>
                <w:tab w:val="clear" w:pos="1588"/>
                <w:tab w:val="clear" w:pos="1985"/>
              </w:tabs>
              <w:spacing w:before="0"/>
              <w:ind w:left="1163"/>
              <w:rPr>
                <w:sz w:val="20"/>
                <w:lang w:val="en-GB"/>
              </w:rPr>
            </w:pPr>
            <w:r w:rsidRPr="00FB7221">
              <w:rPr>
                <w:sz w:val="20"/>
                <w:lang w:val="en-GB" w:eastAsia="ja-JP"/>
              </w:rPr>
              <w:t>•</w:t>
            </w:r>
            <w:r w:rsidRPr="00FB7221">
              <w:rPr>
                <w:sz w:val="20"/>
                <w:lang w:val="en-GB" w:eastAsia="ja-JP"/>
              </w:rPr>
              <w:tab/>
              <w:t>Approval/Consent/Determination of draft Recommendations and agreement of other deliverables</w:t>
            </w:r>
          </w:p>
          <w:p w14:paraId="6F044BBE" w14:textId="5C0CCD65" w:rsidR="00FB7221" w:rsidRPr="00FB7221" w:rsidRDefault="00FB7221" w:rsidP="00F86745">
            <w:pPr>
              <w:pStyle w:val="enumlev3"/>
              <w:keepNext/>
              <w:keepLines/>
              <w:tabs>
                <w:tab w:val="clear" w:pos="794"/>
                <w:tab w:val="clear" w:pos="1191"/>
                <w:tab w:val="clear" w:pos="1588"/>
                <w:tab w:val="clear" w:pos="1985"/>
              </w:tabs>
              <w:spacing w:before="0"/>
              <w:ind w:left="1163"/>
              <w:rPr>
                <w:sz w:val="20"/>
              </w:rPr>
            </w:pPr>
            <w:r w:rsidRPr="00FB7221">
              <w:rPr>
                <w:sz w:val="20"/>
                <w:lang w:eastAsia="ja-JP"/>
              </w:rPr>
              <w:t>•</w:t>
            </w:r>
            <w:r w:rsidRPr="00FB7221">
              <w:rPr>
                <w:sz w:val="20"/>
                <w:lang w:eastAsia="ja-JP"/>
              </w:rPr>
              <w:tab/>
            </w:r>
            <w:r w:rsidRPr="00FB7221">
              <w:rPr>
                <w:sz w:val="20"/>
              </w:rPr>
              <w:t>Outgoing liaison statements</w:t>
            </w:r>
          </w:p>
          <w:p w14:paraId="12DABD53" w14:textId="72308A35" w:rsidR="00FB7221" w:rsidRPr="00FB7221" w:rsidRDefault="00FB7221" w:rsidP="00F86745">
            <w:pPr>
              <w:pStyle w:val="enumlev3"/>
              <w:keepNext/>
              <w:keepLines/>
              <w:tabs>
                <w:tab w:val="clear" w:pos="794"/>
                <w:tab w:val="clear" w:pos="1191"/>
                <w:tab w:val="clear" w:pos="1588"/>
                <w:tab w:val="clear" w:pos="1985"/>
              </w:tabs>
              <w:spacing w:before="0"/>
              <w:ind w:left="1163"/>
              <w:rPr>
                <w:sz w:val="20"/>
              </w:rPr>
            </w:pPr>
            <w:r w:rsidRPr="00FB7221">
              <w:rPr>
                <w:sz w:val="20"/>
                <w:lang w:eastAsia="ja-JP"/>
              </w:rPr>
              <w:t>•</w:t>
            </w:r>
            <w:r w:rsidRPr="00FB7221">
              <w:rPr>
                <w:sz w:val="20"/>
                <w:lang w:eastAsia="ja-JP"/>
              </w:rPr>
              <w:tab/>
            </w:r>
            <w:r w:rsidRPr="00FB7221">
              <w:rPr>
                <w:sz w:val="20"/>
              </w:rPr>
              <w:t>Appointement of Rapporteurs, Associate Rapporteurs, Liaison Officers</w:t>
            </w:r>
          </w:p>
          <w:p w14:paraId="6C9DD205" w14:textId="1DF7076D" w:rsidR="00FB7221" w:rsidRPr="00FB7221" w:rsidRDefault="00FB7221" w:rsidP="00F86745">
            <w:pPr>
              <w:pStyle w:val="enumlev2"/>
              <w:keepNext/>
              <w:keepLines/>
              <w:tabs>
                <w:tab w:val="clear" w:pos="794"/>
                <w:tab w:val="clear" w:pos="1191"/>
                <w:tab w:val="clear" w:pos="1588"/>
                <w:tab w:val="clear" w:pos="1985"/>
              </w:tabs>
              <w:spacing w:before="0"/>
              <w:ind w:left="880"/>
              <w:rPr>
                <w:sz w:val="20"/>
                <w:lang w:val="en-GB"/>
              </w:rPr>
            </w:pPr>
            <w:r w:rsidRPr="00FB7221">
              <w:rPr>
                <w:sz w:val="20"/>
                <w:lang w:val="en-GB"/>
              </w:rPr>
              <w:t>16.2</w:t>
            </w:r>
            <w:r w:rsidRPr="00FB7221">
              <w:rPr>
                <w:sz w:val="20"/>
                <w:lang w:val="en-GB"/>
              </w:rPr>
              <w:tab/>
              <w:t>Reports from ad hoc groups (AHG)</w:t>
            </w:r>
          </w:p>
          <w:p w14:paraId="7D8F04D8" w14:textId="67B9C793" w:rsidR="00FB7221" w:rsidRPr="00846B6A" w:rsidRDefault="00FB7221" w:rsidP="00F86745">
            <w:pPr>
              <w:pStyle w:val="enumlev2"/>
              <w:keepNext/>
              <w:keepLines/>
              <w:tabs>
                <w:tab w:val="clear" w:pos="794"/>
                <w:tab w:val="clear" w:pos="1191"/>
                <w:tab w:val="clear" w:pos="1588"/>
                <w:tab w:val="clear" w:pos="1985"/>
              </w:tabs>
              <w:spacing w:before="0"/>
              <w:ind w:left="880"/>
              <w:rPr>
                <w:lang w:val="en-GB"/>
              </w:rPr>
            </w:pPr>
            <w:r w:rsidRPr="00FB7221">
              <w:rPr>
                <w:rFonts w:cstheme="majorBidi"/>
                <w:sz w:val="20"/>
                <w:lang w:val="en-GB"/>
              </w:rPr>
              <w:t>16.3</w:t>
            </w:r>
            <w:r w:rsidRPr="00FB7221">
              <w:rPr>
                <w:rFonts w:cstheme="majorBidi"/>
                <w:sz w:val="20"/>
                <w:lang w:val="en-GB"/>
              </w:rPr>
              <w:tab/>
              <w:t>Future Interim Activities (Working party and Rapporteur meetings)</w:t>
            </w:r>
          </w:p>
        </w:tc>
        <w:tc>
          <w:tcPr>
            <w:tcW w:w="675" w:type="dxa"/>
          </w:tcPr>
          <w:p w14:paraId="72B9DC8F" w14:textId="77777777" w:rsidR="00FB7221" w:rsidRPr="00846B6A" w:rsidRDefault="00FB7221" w:rsidP="00A9667A">
            <w:pPr>
              <w:pStyle w:val="AgendaItem"/>
              <w:rPr>
                <w:lang w:val="en-GB"/>
              </w:rPr>
            </w:pPr>
          </w:p>
        </w:tc>
      </w:tr>
      <w:tr w:rsidR="00FB7221" w:rsidRPr="001032F8" w14:paraId="45AA00F6" w14:textId="77777777" w:rsidTr="00E83031">
        <w:trPr>
          <w:jc w:val="center"/>
        </w:trPr>
        <w:tc>
          <w:tcPr>
            <w:tcW w:w="9180" w:type="dxa"/>
            <w:gridSpan w:val="2"/>
          </w:tcPr>
          <w:p w14:paraId="15CB5D7D" w14:textId="0E977EEF" w:rsidR="00FB7221" w:rsidRPr="00FB7221" w:rsidRDefault="00FB7221" w:rsidP="005868DB">
            <w:pPr>
              <w:pStyle w:val="enumlev1"/>
              <w:tabs>
                <w:tab w:val="clear" w:pos="794"/>
                <w:tab w:val="clear" w:pos="1191"/>
                <w:tab w:val="clear" w:pos="1588"/>
                <w:tab w:val="clear" w:pos="1985"/>
              </w:tabs>
              <w:spacing w:before="0"/>
              <w:ind w:left="454" w:hanging="454"/>
              <w:rPr>
                <w:sz w:val="20"/>
                <w:lang w:val="en-GB"/>
              </w:rPr>
            </w:pPr>
            <w:r w:rsidRPr="00FB7221">
              <w:rPr>
                <w:sz w:val="20"/>
                <w:lang w:val="en-GB"/>
              </w:rPr>
              <w:t>17</w:t>
            </w:r>
            <w:r w:rsidRPr="00FB7221">
              <w:rPr>
                <w:sz w:val="20"/>
                <w:lang w:val="en-GB"/>
              </w:rPr>
              <w:tab/>
              <w:t>New/revised Questions (if any) and working party structure</w:t>
            </w:r>
          </w:p>
        </w:tc>
        <w:tc>
          <w:tcPr>
            <w:tcW w:w="675" w:type="dxa"/>
          </w:tcPr>
          <w:p w14:paraId="35CE47EC" w14:textId="77777777" w:rsidR="00FB7221" w:rsidRPr="00846B6A" w:rsidRDefault="00FB7221" w:rsidP="00A9667A">
            <w:pPr>
              <w:pStyle w:val="AgendaItem"/>
              <w:rPr>
                <w:lang w:val="en-GB"/>
              </w:rPr>
            </w:pPr>
          </w:p>
        </w:tc>
      </w:tr>
      <w:tr w:rsidR="00FB7221" w:rsidRPr="001032F8" w14:paraId="7AE14F2C" w14:textId="77777777" w:rsidTr="00623517">
        <w:trPr>
          <w:jc w:val="center"/>
        </w:trPr>
        <w:tc>
          <w:tcPr>
            <w:tcW w:w="9180" w:type="dxa"/>
            <w:gridSpan w:val="2"/>
          </w:tcPr>
          <w:p w14:paraId="13F8C4B6" w14:textId="0FB0ED25" w:rsidR="00FB7221" w:rsidRPr="00FB7221" w:rsidRDefault="00FB7221" w:rsidP="005868DB">
            <w:pPr>
              <w:pStyle w:val="enumlev1"/>
              <w:tabs>
                <w:tab w:val="clear" w:pos="794"/>
                <w:tab w:val="clear" w:pos="1191"/>
                <w:tab w:val="clear" w:pos="1588"/>
                <w:tab w:val="clear" w:pos="1985"/>
              </w:tabs>
              <w:spacing w:before="0"/>
              <w:ind w:left="454" w:hanging="454"/>
              <w:rPr>
                <w:sz w:val="20"/>
                <w:lang w:val="en-GB"/>
              </w:rPr>
            </w:pPr>
            <w:r w:rsidRPr="00FB7221">
              <w:rPr>
                <w:sz w:val="20"/>
                <w:lang w:val="en-GB"/>
              </w:rPr>
              <w:t>18</w:t>
            </w:r>
            <w:r w:rsidRPr="00FB7221">
              <w:rPr>
                <w:sz w:val="20"/>
                <w:lang w:val="en-GB"/>
              </w:rPr>
              <w:tab/>
              <w:t>Date and place of the next SG21 meeting</w:t>
            </w:r>
          </w:p>
        </w:tc>
        <w:tc>
          <w:tcPr>
            <w:tcW w:w="675" w:type="dxa"/>
          </w:tcPr>
          <w:p w14:paraId="499F2F2B" w14:textId="77777777" w:rsidR="00FB7221" w:rsidRPr="00846B6A" w:rsidRDefault="00FB7221" w:rsidP="00A9667A">
            <w:pPr>
              <w:pStyle w:val="AgendaItem"/>
              <w:rPr>
                <w:lang w:val="en-GB"/>
              </w:rPr>
            </w:pPr>
          </w:p>
        </w:tc>
      </w:tr>
      <w:tr w:rsidR="00FB7221" w:rsidRPr="00846B6A" w14:paraId="4D751B8A" w14:textId="77777777" w:rsidTr="00235DDF">
        <w:trPr>
          <w:jc w:val="center"/>
        </w:trPr>
        <w:tc>
          <w:tcPr>
            <w:tcW w:w="9180" w:type="dxa"/>
            <w:gridSpan w:val="2"/>
          </w:tcPr>
          <w:p w14:paraId="1B7273FB" w14:textId="7E1011ED" w:rsidR="00FB7221" w:rsidRPr="00FB7221" w:rsidRDefault="00FB7221" w:rsidP="005868DB">
            <w:pPr>
              <w:pStyle w:val="enumlev1"/>
              <w:tabs>
                <w:tab w:val="clear" w:pos="794"/>
                <w:tab w:val="clear" w:pos="1191"/>
                <w:tab w:val="clear" w:pos="1588"/>
                <w:tab w:val="clear" w:pos="1985"/>
              </w:tabs>
              <w:spacing w:before="0"/>
              <w:ind w:left="454" w:hanging="454"/>
              <w:rPr>
                <w:sz w:val="20"/>
                <w:lang w:val="en-GB"/>
              </w:rPr>
            </w:pPr>
            <w:r w:rsidRPr="00FB7221">
              <w:rPr>
                <w:sz w:val="20"/>
                <w:lang w:val="en-GB" w:eastAsia="ja-JP"/>
              </w:rPr>
              <w:t>19</w:t>
            </w:r>
            <w:r w:rsidRPr="00FB7221">
              <w:rPr>
                <w:sz w:val="20"/>
                <w:lang w:val="en-GB" w:eastAsia="ja-JP"/>
              </w:rPr>
              <w:tab/>
              <w:t>AOB</w:t>
            </w:r>
            <w:r w:rsidRPr="00FB7221">
              <w:rPr>
                <w:sz w:val="20"/>
                <w:lang w:val="en-GB"/>
              </w:rPr>
              <w:t xml:space="preserve"> for closing Plenary</w:t>
            </w:r>
          </w:p>
        </w:tc>
        <w:tc>
          <w:tcPr>
            <w:tcW w:w="675" w:type="dxa"/>
          </w:tcPr>
          <w:p w14:paraId="10D81A49" w14:textId="77777777" w:rsidR="00FB7221" w:rsidRPr="00846B6A" w:rsidRDefault="00FB7221" w:rsidP="00A9667A">
            <w:pPr>
              <w:pStyle w:val="AgendaItem"/>
              <w:rPr>
                <w:lang w:val="en-GB"/>
              </w:rPr>
            </w:pPr>
          </w:p>
        </w:tc>
      </w:tr>
      <w:tr w:rsidR="00FB7221" w:rsidRPr="00846B6A" w14:paraId="0AA31E31" w14:textId="77777777" w:rsidTr="0006250F">
        <w:trPr>
          <w:trHeight w:val="241"/>
          <w:jc w:val="center"/>
        </w:trPr>
        <w:tc>
          <w:tcPr>
            <w:tcW w:w="9180" w:type="dxa"/>
            <w:gridSpan w:val="2"/>
          </w:tcPr>
          <w:p w14:paraId="5C9BB0FF" w14:textId="3CDD13E5" w:rsidR="00FB7221" w:rsidRPr="00FB7221" w:rsidRDefault="00FB7221" w:rsidP="005868DB">
            <w:pPr>
              <w:pStyle w:val="enumlev1"/>
              <w:tabs>
                <w:tab w:val="clear" w:pos="794"/>
                <w:tab w:val="clear" w:pos="1191"/>
                <w:tab w:val="clear" w:pos="1588"/>
                <w:tab w:val="clear" w:pos="1985"/>
              </w:tabs>
              <w:spacing w:before="0"/>
              <w:ind w:left="454" w:hanging="454"/>
              <w:rPr>
                <w:sz w:val="20"/>
                <w:lang w:val="en-GB" w:eastAsia="ja-JP"/>
              </w:rPr>
            </w:pPr>
            <w:r w:rsidRPr="00FB7221">
              <w:rPr>
                <w:sz w:val="20"/>
                <w:lang w:val="en-GB"/>
              </w:rPr>
              <w:t>20</w:t>
            </w:r>
            <w:r w:rsidRPr="00FB7221">
              <w:rPr>
                <w:sz w:val="20"/>
                <w:lang w:val="en-GB"/>
              </w:rPr>
              <w:tab/>
              <w:t>Closing</w:t>
            </w:r>
          </w:p>
        </w:tc>
        <w:tc>
          <w:tcPr>
            <w:tcW w:w="675" w:type="dxa"/>
          </w:tcPr>
          <w:p w14:paraId="5BE21095" w14:textId="77777777" w:rsidR="00FB7221" w:rsidRPr="00846B6A" w:rsidRDefault="00FB7221" w:rsidP="00A9667A">
            <w:pPr>
              <w:pStyle w:val="AgendaItem"/>
              <w:rPr>
                <w:lang w:val="en-GB" w:eastAsia="ja-JP"/>
              </w:rPr>
            </w:pPr>
          </w:p>
        </w:tc>
      </w:tr>
    </w:tbl>
    <w:p w14:paraId="2EC9ED28" w14:textId="77777777" w:rsidR="00EE4C92" w:rsidRPr="00846B6A" w:rsidRDefault="00EE4C92" w:rsidP="00F34321">
      <w:pPr>
        <w:pStyle w:val="Note"/>
        <w:rPr>
          <w:lang w:val="en-GB"/>
        </w:rPr>
      </w:pPr>
      <w:r w:rsidRPr="00846B6A">
        <w:rPr>
          <w:b/>
          <w:bCs/>
          <w:lang w:val="en-GB"/>
        </w:rPr>
        <w:t>Note 1:</w:t>
      </w:r>
      <w:r w:rsidRPr="00846B6A">
        <w:rPr>
          <w:lang w:val="en-GB"/>
        </w:rPr>
        <w:t xml:space="preserve"> Items 1 to 14 are expected to be addressed in the opening Plenary (6 July 2026) and items 15 to 20 are expected to be addressed in the closing Plenary (17 July 2026).</w:t>
      </w:r>
    </w:p>
    <w:p w14:paraId="139BE995" w14:textId="0A338B61" w:rsidR="00EE4C92" w:rsidRPr="00846B6A" w:rsidRDefault="00EE4C92" w:rsidP="00F34321">
      <w:pPr>
        <w:pStyle w:val="Note"/>
        <w:rPr>
          <w:szCs w:val="22"/>
          <w:lang w:val="en-GB"/>
        </w:rPr>
      </w:pPr>
      <w:r w:rsidRPr="00846B6A">
        <w:rPr>
          <w:b/>
          <w:bCs/>
          <w:lang w:val="en-GB"/>
        </w:rPr>
        <w:t>Note 2:</w:t>
      </w:r>
      <w:r w:rsidRPr="00846B6A">
        <w:rPr>
          <w:lang w:val="en-GB"/>
        </w:rPr>
        <w:t xml:space="preserve"> Updates to the agenda can be found </w:t>
      </w:r>
      <w:r w:rsidRPr="00F86745">
        <w:rPr>
          <w:szCs w:val="22"/>
          <w:lang w:val="en-GB"/>
        </w:rPr>
        <w:t xml:space="preserve">in </w:t>
      </w:r>
      <w:hyperlink r:id="rId70" w:history="1">
        <w:r w:rsidRPr="00F86745">
          <w:rPr>
            <w:rStyle w:val="Hyperlink"/>
            <w:i/>
            <w:iCs/>
            <w:szCs w:val="22"/>
            <w:lang w:val="en-GB"/>
          </w:rPr>
          <w:t>SG21-TD235/PLEN</w:t>
        </w:r>
      </w:hyperlink>
      <w:r w:rsidRPr="00F86745">
        <w:rPr>
          <w:szCs w:val="22"/>
          <w:lang w:val="en-GB"/>
        </w:rPr>
        <w:t>.</w:t>
      </w:r>
    </w:p>
    <w:p w14:paraId="5F5CA8A2" w14:textId="77777777" w:rsidR="00EE4C92" w:rsidRPr="00846B6A" w:rsidRDefault="00EE4C92" w:rsidP="00EE4C92">
      <w:pPr>
        <w:tabs>
          <w:tab w:val="clear" w:pos="794"/>
          <w:tab w:val="clear" w:pos="1191"/>
          <w:tab w:val="clear" w:pos="1588"/>
          <w:tab w:val="clear" w:pos="1985"/>
        </w:tabs>
        <w:overflowPunct/>
        <w:autoSpaceDE/>
        <w:autoSpaceDN/>
        <w:adjustRightInd/>
        <w:spacing w:before="0"/>
        <w:textAlignment w:val="auto"/>
        <w:rPr>
          <w:b/>
          <w:sz w:val="28"/>
          <w:szCs w:val="28"/>
          <w:lang w:val="en-GB"/>
        </w:rPr>
      </w:pPr>
      <w:r w:rsidRPr="00846B6A">
        <w:rPr>
          <w:szCs w:val="28"/>
          <w:lang w:val="en-GB"/>
        </w:rPr>
        <w:br w:type="page"/>
      </w:r>
    </w:p>
    <w:p w14:paraId="63D887DC" w14:textId="77777777" w:rsidR="00F34321" w:rsidRDefault="00EE4C92" w:rsidP="00EE4C92">
      <w:pPr>
        <w:pStyle w:val="Annextitle0"/>
        <w:rPr>
          <w:szCs w:val="28"/>
        </w:rPr>
      </w:pPr>
      <w:r w:rsidRPr="00846B6A">
        <w:rPr>
          <w:szCs w:val="28"/>
        </w:rPr>
        <w:lastRenderedPageBreak/>
        <w:t>ANNEX C</w:t>
      </w:r>
    </w:p>
    <w:p w14:paraId="00BE2ED7" w14:textId="612F04D0" w:rsidR="00EE4C92" w:rsidRPr="0038144C" w:rsidRDefault="00EE4C92" w:rsidP="00F34321">
      <w:pPr>
        <w:pStyle w:val="AnnexTitle"/>
        <w:rPr>
          <w:lang w:val="en-US"/>
        </w:rPr>
      </w:pPr>
      <w:r w:rsidRPr="0038144C">
        <w:rPr>
          <w:lang w:val="en-US"/>
        </w:rPr>
        <w:t>Draft time plan of Study Group 21 meeting (Geneva, 6-17 July 2026)</w:t>
      </w:r>
    </w:p>
    <w:bookmarkStart w:id="1" w:name="_MON_1764423108"/>
    <w:bookmarkEnd w:id="1"/>
    <w:p w14:paraId="1B17955F" w14:textId="77777777" w:rsidR="00EE4C92" w:rsidRPr="00846B6A" w:rsidRDefault="00EE4C92" w:rsidP="00F34321">
      <w:pPr>
        <w:pStyle w:val="Figure"/>
        <w:rPr>
          <w:lang w:val="en-GB"/>
        </w:rPr>
      </w:pPr>
      <w:r w:rsidRPr="00846B6A">
        <w:rPr>
          <w:lang w:val="en-GB"/>
        </w:rPr>
        <w:object w:dxaOrig="14095" w:dyaOrig="3607" w14:anchorId="4629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137pt" o:ole="">
            <v:imagedata r:id="rId71" o:title=""/>
            <o:lock v:ext="edit" aspectratio="f"/>
          </v:shape>
          <o:OLEObject Type="Embed" ProgID="Excel.Sheet.12" ShapeID="_x0000_i1025" DrawAspect="Content" ObjectID="_1835415353" r:id="rId72"/>
        </w:object>
      </w:r>
    </w:p>
    <w:p w14:paraId="72CA17E1" w14:textId="77777777" w:rsidR="00EE4C92" w:rsidRPr="00846B6A" w:rsidRDefault="00EE4C92" w:rsidP="00F34321">
      <w:pPr>
        <w:pStyle w:val="headingb"/>
        <w:rPr>
          <w:lang w:val="en-GB"/>
        </w:rPr>
      </w:pPr>
      <w:r w:rsidRPr="00846B6A">
        <w:rPr>
          <w:lang w:val="en-GB"/>
        </w:rPr>
        <w:t>Notes:</w:t>
      </w:r>
    </w:p>
    <w:tbl>
      <w:tblPr>
        <w:tblW w:w="5000" w:type="pct"/>
        <w:tblLayout w:type="fixed"/>
        <w:tblLook w:val="0000" w:firstRow="0" w:lastRow="0" w:firstColumn="0" w:lastColumn="0" w:noHBand="0" w:noVBand="0"/>
      </w:tblPr>
      <w:tblGrid>
        <w:gridCol w:w="10039"/>
      </w:tblGrid>
      <w:tr w:rsidR="005868DB" w:rsidRPr="001032F8" w14:paraId="1C92F95A" w14:textId="77777777" w:rsidTr="005868DB">
        <w:tc>
          <w:tcPr>
            <w:tcW w:w="5000" w:type="pct"/>
            <w:tcBorders>
              <w:top w:val="nil"/>
              <w:left w:val="nil"/>
              <w:bottom w:val="nil"/>
              <w:right w:val="nil"/>
            </w:tcBorders>
            <w:noWrap/>
          </w:tcPr>
          <w:p w14:paraId="65D0F6A5" w14:textId="58CDAFF8" w:rsidR="005868DB" w:rsidRPr="00846B6A" w:rsidRDefault="005868DB" w:rsidP="005868DB">
            <w:pPr>
              <w:pStyle w:val="enumlev1"/>
              <w:rPr>
                <w:lang w:val="en-GB"/>
              </w:rPr>
            </w:pPr>
            <w:r>
              <w:rPr>
                <w:lang w:val="en-GB"/>
              </w:rPr>
              <w:t>1</w:t>
            </w:r>
            <w:r>
              <w:rPr>
                <w:lang w:val="en-GB"/>
              </w:rPr>
              <w:tab/>
            </w:r>
            <w:r w:rsidRPr="00846B6A">
              <w:rPr>
                <w:color w:val="000000"/>
                <w:lang w:val="en-GB"/>
              </w:rPr>
              <w:t>"P" stands for plenary sessions, including working party plenaries.</w:t>
            </w:r>
          </w:p>
        </w:tc>
      </w:tr>
      <w:tr w:rsidR="005868DB" w:rsidRPr="001032F8" w14:paraId="0E6B6B7E" w14:textId="77777777" w:rsidTr="005868DB">
        <w:tc>
          <w:tcPr>
            <w:tcW w:w="5000" w:type="pct"/>
            <w:tcBorders>
              <w:top w:val="nil"/>
              <w:left w:val="nil"/>
              <w:bottom w:val="nil"/>
              <w:right w:val="nil"/>
            </w:tcBorders>
            <w:noWrap/>
          </w:tcPr>
          <w:p w14:paraId="0FB4D1DE" w14:textId="22930D86" w:rsidR="005868DB" w:rsidRPr="00846B6A" w:rsidRDefault="005868DB" w:rsidP="005868DB">
            <w:pPr>
              <w:pStyle w:val="enumlev1"/>
              <w:rPr>
                <w:lang w:val="en-GB"/>
              </w:rPr>
            </w:pPr>
            <w:r>
              <w:rPr>
                <w:color w:val="000000"/>
                <w:lang w:val="en-GB"/>
              </w:rPr>
              <w:t>2</w:t>
            </w:r>
            <w:r>
              <w:rPr>
                <w:color w:val="000000"/>
                <w:lang w:val="en-GB"/>
              </w:rPr>
              <w:tab/>
            </w:r>
            <w:r w:rsidRPr="00846B6A">
              <w:rPr>
                <w:color w:val="000000"/>
                <w:lang w:val="en-GB"/>
              </w:rPr>
              <w:t>The following session structure is adopted for this SG21 meeting:</w:t>
            </w:r>
          </w:p>
          <w:p w14:paraId="26E3D8FD" w14:textId="77777777" w:rsidR="005868DB" w:rsidRPr="00846B6A" w:rsidRDefault="005868DB" w:rsidP="005868DB">
            <w:pPr>
              <w:pStyle w:val="enumlev2"/>
              <w:rPr>
                <w:lang w:val="en-GB"/>
              </w:rPr>
            </w:pPr>
            <w:r w:rsidRPr="00846B6A">
              <w:rPr>
                <w:lang w:val="en-GB"/>
              </w:rPr>
              <w:t>–</w:t>
            </w:r>
            <w:r w:rsidRPr="00846B6A">
              <w:rPr>
                <w:lang w:val="en-GB"/>
              </w:rPr>
              <w:tab/>
            </w:r>
            <w:r w:rsidRPr="00846B6A">
              <w:rPr>
                <w:b/>
                <w:bCs/>
                <w:lang w:val="en-GB"/>
              </w:rPr>
              <w:t>Session 0</w:t>
            </w:r>
            <w:r w:rsidRPr="00846B6A">
              <w:rPr>
                <w:lang w:val="en-GB"/>
              </w:rPr>
              <w:t xml:space="preserve">: 0830 – 0930 hours (Geneva time) – </w:t>
            </w:r>
            <w:r w:rsidRPr="00846B6A">
              <w:rPr>
                <w:color w:val="943634" w:themeColor="accent2" w:themeShade="BF"/>
                <w:lang w:val="en-GB"/>
              </w:rPr>
              <w:t>will be used if needed</w:t>
            </w:r>
          </w:p>
          <w:p w14:paraId="0E082340" w14:textId="77777777" w:rsidR="005868DB" w:rsidRPr="00846B6A" w:rsidRDefault="005868DB" w:rsidP="005868DB">
            <w:pPr>
              <w:pStyle w:val="enumlev2"/>
              <w:rPr>
                <w:lang w:val="en-GB"/>
              </w:rPr>
            </w:pPr>
            <w:r w:rsidRPr="00846B6A">
              <w:rPr>
                <w:lang w:val="en-GB"/>
              </w:rPr>
              <w:t>–</w:t>
            </w:r>
            <w:r w:rsidRPr="00846B6A">
              <w:rPr>
                <w:b/>
                <w:bCs/>
                <w:lang w:val="en-GB"/>
              </w:rPr>
              <w:tab/>
              <w:t>Session 1</w:t>
            </w:r>
            <w:r w:rsidRPr="00846B6A">
              <w:rPr>
                <w:lang w:val="en-GB"/>
              </w:rPr>
              <w:t>: 0930 – 1045 hours (Geneva time)</w:t>
            </w:r>
          </w:p>
          <w:p w14:paraId="693D10B6" w14:textId="77777777" w:rsidR="005868DB" w:rsidRPr="00846B6A" w:rsidRDefault="005868DB" w:rsidP="005868DB">
            <w:pPr>
              <w:pStyle w:val="enumlev2"/>
              <w:rPr>
                <w:lang w:val="en-GB"/>
              </w:rPr>
            </w:pPr>
            <w:r w:rsidRPr="00846B6A">
              <w:rPr>
                <w:lang w:val="en-GB"/>
              </w:rPr>
              <w:t>–</w:t>
            </w:r>
            <w:r w:rsidRPr="00846B6A">
              <w:rPr>
                <w:b/>
                <w:bCs/>
                <w:lang w:val="en-GB"/>
              </w:rPr>
              <w:tab/>
              <w:t>Session 2</w:t>
            </w:r>
            <w:r w:rsidRPr="00846B6A">
              <w:rPr>
                <w:lang w:val="en-GB"/>
              </w:rPr>
              <w:t>: 1115 – 1230 hours (Geneva time)</w:t>
            </w:r>
          </w:p>
          <w:p w14:paraId="66B6F460" w14:textId="77777777" w:rsidR="005868DB" w:rsidRPr="00846B6A" w:rsidRDefault="005868DB" w:rsidP="005868DB">
            <w:pPr>
              <w:pStyle w:val="enumlev2"/>
              <w:rPr>
                <w:color w:val="365F91" w:themeColor="accent1" w:themeShade="BF"/>
                <w:lang w:val="en-GB"/>
              </w:rPr>
            </w:pPr>
            <w:r w:rsidRPr="00846B6A">
              <w:rPr>
                <w:color w:val="365F91" w:themeColor="accent1" w:themeShade="BF"/>
                <w:lang w:val="en-GB"/>
              </w:rPr>
              <w:t>–</w:t>
            </w:r>
            <w:r w:rsidRPr="00846B6A">
              <w:rPr>
                <w:color w:val="365F91" w:themeColor="accent1" w:themeShade="BF"/>
                <w:lang w:val="en-GB"/>
              </w:rPr>
              <w:tab/>
            </w:r>
            <w:r w:rsidRPr="00846B6A">
              <w:rPr>
                <w:b/>
                <w:bCs/>
                <w:color w:val="365F91" w:themeColor="accent1" w:themeShade="BF"/>
                <w:lang w:val="en-GB"/>
              </w:rPr>
              <w:t>Lunch break</w:t>
            </w:r>
            <w:r w:rsidRPr="00846B6A">
              <w:rPr>
                <w:color w:val="365F91" w:themeColor="accent1" w:themeShade="BF"/>
                <w:lang w:val="en-GB"/>
              </w:rPr>
              <w:t>: 1230 – 1430 hours (Geneva time)</w:t>
            </w:r>
          </w:p>
          <w:p w14:paraId="13C9F40C" w14:textId="77777777" w:rsidR="005868DB" w:rsidRPr="00846B6A" w:rsidRDefault="005868DB" w:rsidP="005868DB">
            <w:pPr>
              <w:pStyle w:val="enumlev2"/>
              <w:rPr>
                <w:lang w:val="en-GB"/>
              </w:rPr>
            </w:pPr>
            <w:r w:rsidRPr="00846B6A">
              <w:rPr>
                <w:lang w:val="en-GB"/>
              </w:rPr>
              <w:t>–</w:t>
            </w:r>
            <w:r w:rsidRPr="00846B6A">
              <w:rPr>
                <w:b/>
                <w:bCs/>
                <w:lang w:val="en-GB"/>
              </w:rPr>
              <w:tab/>
              <w:t>Session 3</w:t>
            </w:r>
            <w:r w:rsidRPr="00846B6A">
              <w:rPr>
                <w:lang w:val="en-GB"/>
              </w:rPr>
              <w:t>: 1430 – 1545 hours (Geneva time)</w:t>
            </w:r>
          </w:p>
          <w:p w14:paraId="45A43CC9" w14:textId="77777777" w:rsidR="005868DB" w:rsidRPr="00846B6A" w:rsidRDefault="005868DB" w:rsidP="005868DB">
            <w:pPr>
              <w:pStyle w:val="enumlev2"/>
              <w:rPr>
                <w:lang w:val="en-GB"/>
              </w:rPr>
            </w:pPr>
            <w:r w:rsidRPr="00846B6A">
              <w:rPr>
                <w:lang w:val="en-GB"/>
              </w:rPr>
              <w:t>–</w:t>
            </w:r>
            <w:r w:rsidRPr="00846B6A">
              <w:rPr>
                <w:b/>
                <w:bCs/>
                <w:lang w:val="en-GB"/>
              </w:rPr>
              <w:tab/>
              <w:t>Session 4</w:t>
            </w:r>
            <w:r w:rsidRPr="00846B6A">
              <w:rPr>
                <w:lang w:val="en-GB"/>
              </w:rPr>
              <w:t>: 1615 – 1730 hours (Geneva time)</w:t>
            </w:r>
          </w:p>
          <w:p w14:paraId="48BCCF59" w14:textId="7115BBFF" w:rsidR="005868DB" w:rsidRPr="00846B6A" w:rsidRDefault="005868DB" w:rsidP="005868DB">
            <w:pPr>
              <w:pStyle w:val="enumlev2"/>
              <w:rPr>
                <w:lang w:val="en-GB"/>
              </w:rPr>
            </w:pPr>
            <w:r w:rsidRPr="00846B6A">
              <w:rPr>
                <w:lang w:val="en-GB"/>
              </w:rPr>
              <w:t>–</w:t>
            </w:r>
            <w:r w:rsidRPr="00846B6A">
              <w:rPr>
                <w:b/>
                <w:bCs/>
                <w:lang w:val="en-GB"/>
              </w:rPr>
              <w:tab/>
              <w:t>Session 5</w:t>
            </w:r>
            <w:r w:rsidRPr="00846B6A">
              <w:rPr>
                <w:lang w:val="en-GB"/>
              </w:rPr>
              <w:t>: 1800</w:t>
            </w:r>
            <w:r w:rsidR="00C41797">
              <w:rPr>
                <w:lang w:val="en-GB"/>
              </w:rPr>
              <w:t xml:space="preserve"> </w:t>
            </w:r>
            <w:r w:rsidR="00C41797" w:rsidRPr="00FF1A08">
              <w:rPr>
                <w:sz w:val="20"/>
                <w:szCs w:val="18"/>
                <w:lang w:val="en-GB"/>
              </w:rPr>
              <w:t>–</w:t>
            </w:r>
            <w:r w:rsidR="00C41797">
              <w:rPr>
                <w:sz w:val="20"/>
                <w:szCs w:val="18"/>
                <w:lang w:val="en-GB"/>
              </w:rPr>
              <w:t xml:space="preserve"> </w:t>
            </w:r>
            <w:r w:rsidRPr="00846B6A">
              <w:rPr>
                <w:lang w:val="en-GB"/>
              </w:rPr>
              <w:t xml:space="preserve">1915 hours (Geneva time) – </w:t>
            </w:r>
            <w:r w:rsidRPr="00846B6A">
              <w:rPr>
                <w:color w:val="943634" w:themeColor="accent2" w:themeShade="BF"/>
                <w:lang w:val="en-GB"/>
              </w:rPr>
              <w:t>will be used if needed</w:t>
            </w:r>
          </w:p>
        </w:tc>
      </w:tr>
    </w:tbl>
    <w:p w14:paraId="1AB8D049" w14:textId="55A2618E" w:rsidR="00EE4C92" w:rsidRDefault="00EE4C92" w:rsidP="004419C6">
      <w:pPr>
        <w:rPr>
          <w:szCs w:val="18"/>
          <w:lang w:val="en-GB"/>
        </w:rPr>
      </w:pPr>
      <w:r w:rsidRPr="00846B6A">
        <w:rPr>
          <w:i/>
          <w:iCs/>
          <w:szCs w:val="18"/>
          <w:lang w:val="en-GB"/>
        </w:rPr>
        <w:t>For schedule updates, please see:</w:t>
      </w:r>
      <w:r w:rsidRPr="00846B6A">
        <w:rPr>
          <w:szCs w:val="18"/>
          <w:lang w:val="en-GB"/>
        </w:rPr>
        <w:t xml:space="preserve"> </w:t>
      </w:r>
      <w:hyperlink r:id="rId73" w:anchor="/fr" w:history="1">
        <w:r w:rsidRPr="00846B6A">
          <w:rPr>
            <w:rStyle w:val="Hyperlink"/>
            <w:szCs w:val="22"/>
            <w:lang w:val="en-GB"/>
          </w:rPr>
          <w:t>https://itu.int/go/tsg21</w:t>
        </w:r>
      </w:hyperlink>
      <w:r w:rsidRPr="00846B6A">
        <w:rPr>
          <w:szCs w:val="18"/>
          <w:lang w:val="en-GB"/>
        </w:rPr>
        <w:t xml:space="preserve"> as well as </w:t>
      </w:r>
      <w:hyperlink r:id="rId74" w:history="1">
        <w:r w:rsidRPr="00846B6A">
          <w:rPr>
            <w:rStyle w:val="Hyperlink"/>
            <w:szCs w:val="18"/>
            <w:lang w:val="en-GB"/>
          </w:rPr>
          <w:t>SG21-TD236/PLEN</w:t>
        </w:r>
      </w:hyperlink>
      <w:r w:rsidRPr="00846B6A">
        <w:rPr>
          <w:szCs w:val="18"/>
          <w:lang w:val="en-GB"/>
        </w:rPr>
        <w:t>.</w:t>
      </w:r>
    </w:p>
    <w:p w14:paraId="030F50E5" w14:textId="77777777" w:rsidR="004419C6" w:rsidRDefault="004419C6">
      <w:pPr>
        <w:jc w:val="center"/>
      </w:pPr>
      <w:r>
        <w:t>______________</w:t>
      </w:r>
    </w:p>
    <w:sectPr w:rsidR="004419C6" w:rsidSect="001032F8">
      <w:headerReference w:type="even" r:id="rId75"/>
      <w:headerReference w:type="default" r:id="rId76"/>
      <w:footerReference w:type="even" r:id="rId77"/>
      <w:footerReference w:type="first" r:id="rId78"/>
      <w:type w:val="continuous"/>
      <w:pgSz w:w="11907" w:h="16840" w:code="9"/>
      <w:pgMar w:top="1134" w:right="1017" w:bottom="567"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4FC1" w14:textId="15FE3CCF" w:rsidR="00C64E19" w:rsidRPr="00F71ACC" w:rsidRDefault="00815A6F" w:rsidP="00F71ACC">
    <w:pPr>
      <w:pStyle w:val="Footer"/>
      <w:rPr>
        <w:lang w:val="en-US"/>
      </w:rPr>
    </w:pPr>
    <w:r w:rsidRPr="00CF60E8">
      <w:rPr>
        <w:rStyle w:val="Hyperlink"/>
        <w:rFonts w:cs="Calibri"/>
        <w:caps w:val="0"/>
        <w:color w:val="auto"/>
        <w:szCs w:val="18"/>
        <w:u w:val="none"/>
        <w:lang w:val="fr-CH"/>
      </w:rPr>
      <w:fldChar w:fldCharType="begin"/>
    </w:r>
    <w:r w:rsidRPr="00F71ACC">
      <w:rPr>
        <w:rStyle w:val="Hyperlink"/>
        <w:rFonts w:cs="Calibri"/>
        <w:caps w:val="0"/>
        <w:color w:val="auto"/>
        <w:szCs w:val="18"/>
        <w:u w:val="none"/>
        <w:lang w:val="en-US"/>
      </w:rPr>
      <w:instrText xml:space="preserve"> FILENAME \p  \* MERGEFORMAT </w:instrText>
    </w:r>
    <w:r w:rsidRPr="00CF60E8">
      <w:rPr>
        <w:rStyle w:val="Hyperlink"/>
        <w:rFonts w:cs="Calibri"/>
        <w:caps w:val="0"/>
        <w:color w:val="auto"/>
        <w:szCs w:val="18"/>
        <w:u w:val="none"/>
        <w:lang w:val="fr-CH"/>
      </w:rPr>
      <w:fldChar w:fldCharType="separate"/>
    </w:r>
    <w:r w:rsidR="0056358E" w:rsidRPr="0056358E">
      <w:rPr>
        <w:rStyle w:val="Hyperlink"/>
        <w:rFonts w:cs="Calibri"/>
        <w:caps w:val="0"/>
        <w:noProof/>
        <w:color w:val="auto"/>
        <w:sz w:val="16"/>
        <w:szCs w:val="18"/>
        <w:u w:val="none"/>
        <w:lang w:val="en-US"/>
      </w:rPr>
      <w:t>M</w:t>
    </w:r>
    <w:r w:rsidR="0056358E">
      <w:rPr>
        <w:rStyle w:val="Hyperlink"/>
        <w:rFonts w:cs="Calibri"/>
        <w:caps w:val="0"/>
        <w:noProof/>
        <w:color w:val="auto"/>
        <w:szCs w:val="18"/>
        <w:u w:val="none"/>
        <w:lang w:val="en-US"/>
      </w:rPr>
      <w:t>:\OFFICE\Correspondence\Collective\2025 Study Period\SG21\Coll 6\Coll 6-F.docx</w:t>
    </w:r>
    <w:r w:rsidRPr="00CF60E8">
      <w:rPr>
        <w:rStyle w:val="Hyperlink"/>
        <w:rFonts w:cs="Calibri"/>
        <w:caps w:val="0"/>
        <w:noProof/>
        <w:color w:val="auto"/>
        <w:szCs w:val="18"/>
        <w:u w:val="none"/>
        <w:lang w:val="fr-CH"/>
      </w:rPr>
      <w:fldChar w:fldCharType="end"/>
    </w:r>
    <w:r w:rsidRPr="00F71ACC">
      <w:rPr>
        <w:rStyle w:val="Hyperlink"/>
        <w:rFonts w:cs="Calibri"/>
        <w:caps w:val="0"/>
        <w:noProof/>
        <w:color w:val="auto"/>
        <w:sz w:val="16"/>
        <w:szCs w:val="18"/>
        <w:u w:val="none"/>
        <w:lang w:val="en-US"/>
      </w:rPr>
      <w:t xml:space="preserve"> (</w:t>
    </w:r>
    <w:r w:rsidR="00F71ACC">
      <w:rPr>
        <w:rStyle w:val="Hyperlink"/>
        <w:rFonts w:cs="Calibri"/>
        <w:caps w:val="0"/>
        <w:noProof/>
        <w:color w:val="auto"/>
        <w:sz w:val="16"/>
        <w:szCs w:val="18"/>
        <w:u w:val="none"/>
        <w:lang w:val="en-US"/>
      </w:rPr>
      <w:t>...</w:t>
    </w:r>
    <w:r w:rsidRPr="00F71ACC">
      <w:rPr>
        <w:rStyle w:val="Hyperlink"/>
        <w:rFonts w:cs="Calibri"/>
        <w:caps w:val="0"/>
        <w:noProof/>
        <w:color w:val="auto"/>
        <w:sz w:val="16"/>
        <w:szCs w:val="18"/>
        <w:u w:val="none"/>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D6A" w14:textId="77777777" w:rsidR="005E2729" w:rsidRPr="00490458" w:rsidRDefault="006162E7" w:rsidP="006162E7">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r>
    <w:proofErr w:type="gramStart"/>
    <w:r w:rsidRPr="00490458">
      <w:rPr>
        <w:caps w:val="0"/>
        <w:color w:val="0070C0"/>
        <w:szCs w:val="18"/>
        <w:lang w:val="fr-CH"/>
      </w:rPr>
      <w:t>Tél.:</w:t>
    </w:r>
    <w:proofErr w:type="gramEnd"/>
    <w:r w:rsidRPr="00490458">
      <w:rPr>
        <w:caps w:val="0"/>
        <w:color w:val="0070C0"/>
        <w:szCs w:val="18"/>
        <w:lang w:val="fr-CH"/>
      </w:rPr>
      <w:t xml:space="preserve"> +41 22 730 5111 • </w:t>
    </w:r>
    <w:proofErr w:type="gramStart"/>
    <w:r w:rsidRPr="00490458">
      <w:rPr>
        <w:caps w:val="0"/>
        <w:color w:val="0070C0"/>
        <w:szCs w:val="18"/>
        <w:lang w:val="fr-CH"/>
      </w:rPr>
      <w:t>Fax:</w:t>
    </w:r>
    <w:proofErr w:type="gramEnd"/>
    <w:r w:rsidRPr="00490458">
      <w:rPr>
        <w:caps w:val="0"/>
        <w:color w:val="0070C0"/>
        <w:szCs w:val="18"/>
        <w:lang w:val="fr-CH"/>
      </w:rPr>
      <w:t xml:space="preserve"> +41 22 733 7256 • </w:t>
    </w:r>
    <w:proofErr w:type="gramStart"/>
    <w:r w:rsidRPr="00490458">
      <w:rPr>
        <w:caps w:val="0"/>
        <w:color w:val="0070C0"/>
        <w:szCs w:val="18"/>
        <w:lang w:val="fr-CH"/>
      </w:rPr>
      <w:t>Courriel:</w:t>
    </w:r>
    <w:proofErr w:type="gramEnd"/>
    <w:r w:rsidRPr="00490458">
      <w:rPr>
        <w:caps w:val="0"/>
        <w:color w:val="0070C0"/>
        <w:szCs w:val="18"/>
        <w:lang w:val="fr-CH"/>
      </w:rPr>
      <w:t xml:space="preserve">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rPr>
      <w:id w:val="166013"/>
      <w:docPartObj>
        <w:docPartGallery w:val="Page Numbers (Top of Page)"/>
        <w:docPartUnique/>
      </w:docPartObj>
    </w:sdtPr>
    <w:sdtEndPr>
      <w:rPr>
        <w:noProof/>
      </w:rPr>
    </w:sdtEndPr>
    <w:sdtContent>
      <w:p w14:paraId="6365B469" w14:textId="77777777" w:rsidR="00815A6F" w:rsidRPr="00B44CA3" w:rsidRDefault="00815A6F" w:rsidP="00815A6F">
        <w:pPr>
          <w:pStyle w:val="Header"/>
          <w:rPr>
            <w:rFonts w:asciiTheme="minorHAnsi" w:hAnsiTheme="minorHAnsi"/>
            <w:sz w:val="20"/>
          </w:rPr>
        </w:pPr>
        <w:r w:rsidRPr="00B44CA3">
          <w:rPr>
            <w:rFonts w:asciiTheme="minorHAnsi" w:hAnsiTheme="minorHAnsi"/>
            <w:sz w:val="20"/>
          </w:rPr>
          <w:t xml:space="preserve">- </w:t>
        </w:r>
        <w:r w:rsidRPr="00B44CA3">
          <w:rPr>
            <w:rFonts w:asciiTheme="minorHAnsi" w:hAnsiTheme="minorHAnsi"/>
            <w:sz w:val="20"/>
          </w:rPr>
          <w:fldChar w:fldCharType="begin"/>
        </w:r>
        <w:r w:rsidRPr="00B44CA3">
          <w:rPr>
            <w:rFonts w:asciiTheme="minorHAnsi" w:hAnsiTheme="minorHAnsi"/>
            <w:sz w:val="20"/>
          </w:rPr>
          <w:instrText xml:space="preserve"> PAGE   \* MERGEFORMAT </w:instrText>
        </w:r>
        <w:r w:rsidRPr="00B44CA3">
          <w:rPr>
            <w:rFonts w:asciiTheme="minorHAnsi" w:hAnsiTheme="minorHAnsi"/>
            <w:sz w:val="20"/>
          </w:rPr>
          <w:fldChar w:fldCharType="separate"/>
        </w:r>
        <w:r w:rsidR="006162E7">
          <w:rPr>
            <w:rFonts w:asciiTheme="minorHAnsi" w:hAnsiTheme="minorHAnsi"/>
            <w:noProof/>
            <w:sz w:val="20"/>
          </w:rPr>
          <w:t>4</w:t>
        </w:r>
        <w:r w:rsidRPr="00B44CA3">
          <w:rPr>
            <w:rFonts w:asciiTheme="minorHAnsi" w:hAnsiTheme="minorHAnsi"/>
            <w:noProof/>
            <w:sz w:val="20"/>
          </w:rPr>
          <w:fldChar w:fldCharType="end"/>
        </w:r>
        <w:r w:rsidRPr="00B44CA3">
          <w:rPr>
            <w:rFonts w:asciiTheme="minorHAnsi" w:hAnsiTheme="minorHAnsi"/>
            <w:noProof/>
            <w:sz w:val="20"/>
          </w:rPr>
          <w:t xml:space="preserve"> -</w:t>
        </w:r>
      </w:p>
    </w:sdtContent>
  </w:sdt>
  <w:p w14:paraId="4FC7049F" w14:textId="77777777" w:rsidR="00C64E19" w:rsidRPr="00815A6F" w:rsidRDefault="00815A6F" w:rsidP="00815A6F">
    <w:pPr>
      <w:pStyle w:val="Header"/>
      <w:spacing w:after="240"/>
      <w:rPr>
        <w:rFonts w:asciiTheme="minorHAnsi" w:hAnsiTheme="minorHAnsi"/>
        <w:sz w:val="20"/>
      </w:rPr>
    </w:pPr>
    <w:r>
      <w:rPr>
        <w:rFonts w:asciiTheme="minorHAnsi" w:hAnsiTheme="minorHAnsi"/>
        <w:sz w:val="20"/>
      </w:rPr>
      <w:t>Lettre collective 2/17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25645089"/>
      <w:docPartObj>
        <w:docPartGallery w:val="Page Numbers (Top of Page)"/>
        <w:docPartUnique/>
      </w:docPartObj>
    </w:sdtPr>
    <w:sdtEndPr>
      <w:rPr>
        <w:noProof/>
      </w:rPr>
    </w:sdtEndPr>
    <w:sdtContent>
      <w:p w14:paraId="79B09C34" w14:textId="77777777" w:rsidR="00815A6F" w:rsidRPr="00815A6F" w:rsidRDefault="00C64E19" w:rsidP="00C358D5">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sidR="006162E7">
          <w:rPr>
            <w:rFonts w:asciiTheme="minorHAnsi" w:hAnsiTheme="minorHAnsi"/>
            <w:noProof/>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07657A52" w14:textId="4AF2FA3E" w:rsidR="00C64E19" w:rsidRPr="003222B0" w:rsidRDefault="00815A6F" w:rsidP="00C358D5">
        <w:pPr>
          <w:pStyle w:val="Header"/>
          <w:rPr>
            <w:noProof/>
            <w:sz w:val="18"/>
            <w:szCs w:val="18"/>
          </w:rPr>
        </w:pPr>
        <w:r>
          <w:rPr>
            <w:rFonts w:asciiTheme="minorHAnsi" w:hAnsiTheme="minorHAnsi"/>
            <w:sz w:val="20"/>
          </w:rPr>
          <w:t xml:space="preserve">Lettre collective </w:t>
        </w:r>
        <w:r w:rsidR="00EE4C92">
          <w:rPr>
            <w:rFonts w:asciiTheme="minorHAnsi" w:hAnsiTheme="minorHAnsi"/>
            <w:sz w:val="20"/>
          </w:rPr>
          <w:t>6</w:t>
        </w:r>
        <w:r>
          <w:rPr>
            <w:rFonts w:asciiTheme="minorHAnsi" w:hAnsiTheme="minorHAnsi"/>
            <w:sz w:val="20"/>
          </w:rPr>
          <w:t>/</w:t>
        </w:r>
        <w:r w:rsidR="00EE4C92">
          <w:rPr>
            <w:rFonts w:asciiTheme="minorHAnsi" w:hAnsiTheme="minorHAnsi"/>
            <w:sz w:val="20"/>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471485425">
    <w:abstractNumId w:val="5"/>
  </w:num>
  <w:num w:numId="2" w16cid:durableId="1708019909">
    <w:abstractNumId w:val="7"/>
  </w:num>
  <w:num w:numId="3" w16cid:durableId="370543197">
    <w:abstractNumId w:val="8"/>
  </w:num>
  <w:num w:numId="4" w16cid:durableId="1954897288">
    <w:abstractNumId w:val="3"/>
  </w:num>
  <w:num w:numId="5" w16cid:durableId="678702089">
    <w:abstractNumId w:val="9"/>
  </w:num>
  <w:num w:numId="6" w16cid:durableId="1988583809">
    <w:abstractNumId w:val="2"/>
  </w:num>
  <w:num w:numId="7" w16cid:durableId="20859553">
    <w:abstractNumId w:val="6"/>
  </w:num>
  <w:num w:numId="8" w16cid:durableId="705180833">
    <w:abstractNumId w:val="0"/>
  </w:num>
  <w:num w:numId="9" w16cid:durableId="1535115622">
    <w:abstractNumId w:val="1"/>
  </w:num>
  <w:num w:numId="10" w16cid:durableId="935679">
    <w:abstractNumId w:val="4"/>
  </w:num>
  <w:num w:numId="11" w16cid:durableId="5163137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14FC"/>
    <w:rsid w:val="00062F16"/>
    <w:rsid w:val="000646AE"/>
    <w:rsid w:val="00064F18"/>
    <w:rsid w:val="00064FDA"/>
    <w:rsid w:val="00067416"/>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182D"/>
    <w:rsid w:val="000F2AD5"/>
    <w:rsid w:val="001032F8"/>
    <w:rsid w:val="00103A96"/>
    <w:rsid w:val="0010404C"/>
    <w:rsid w:val="001052BD"/>
    <w:rsid w:val="00105666"/>
    <w:rsid w:val="00122934"/>
    <w:rsid w:val="00122BC5"/>
    <w:rsid w:val="001322EE"/>
    <w:rsid w:val="00140D55"/>
    <w:rsid w:val="0015083C"/>
    <w:rsid w:val="001563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0566"/>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144C"/>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19C6"/>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358E"/>
    <w:rsid w:val="00564C12"/>
    <w:rsid w:val="00566D5D"/>
    <w:rsid w:val="00571330"/>
    <w:rsid w:val="00574B67"/>
    <w:rsid w:val="00576622"/>
    <w:rsid w:val="0058584A"/>
    <w:rsid w:val="005868DB"/>
    <w:rsid w:val="00594730"/>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82EFF"/>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BE5"/>
    <w:rsid w:val="00997CD0"/>
    <w:rsid w:val="009A15ED"/>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2E1C"/>
    <w:rsid w:val="00A54EB0"/>
    <w:rsid w:val="00A557F9"/>
    <w:rsid w:val="00A63ECD"/>
    <w:rsid w:val="00A70B20"/>
    <w:rsid w:val="00A723C1"/>
    <w:rsid w:val="00A72622"/>
    <w:rsid w:val="00A767F3"/>
    <w:rsid w:val="00A77E54"/>
    <w:rsid w:val="00A81986"/>
    <w:rsid w:val="00A86194"/>
    <w:rsid w:val="00A8733E"/>
    <w:rsid w:val="00A95F7B"/>
    <w:rsid w:val="00A972AA"/>
    <w:rsid w:val="00A97D53"/>
    <w:rsid w:val="00AA29A3"/>
    <w:rsid w:val="00AA44CC"/>
    <w:rsid w:val="00AB5FFB"/>
    <w:rsid w:val="00AB717D"/>
    <w:rsid w:val="00AC1A41"/>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41797"/>
    <w:rsid w:val="00C51DC6"/>
    <w:rsid w:val="00C529B7"/>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271F"/>
    <w:rsid w:val="00DD5C00"/>
    <w:rsid w:val="00DD74DC"/>
    <w:rsid w:val="00DE3E9E"/>
    <w:rsid w:val="00DE4201"/>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C6E02"/>
    <w:rsid w:val="00EC724B"/>
    <w:rsid w:val="00EE4C92"/>
    <w:rsid w:val="00F1516F"/>
    <w:rsid w:val="00F15ACB"/>
    <w:rsid w:val="00F17154"/>
    <w:rsid w:val="00F20EB6"/>
    <w:rsid w:val="00F249E6"/>
    <w:rsid w:val="00F34321"/>
    <w:rsid w:val="00F425D9"/>
    <w:rsid w:val="00F47388"/>
    <w:rsid w:val="00F5389C"/>
    <w:rsid w:val="00F70CB1"/>
    <w:rsid w:val="00F71ACC"/>
    <w:rsid w:val="00F724F8"/>
    <w:rsid w:val="00F728B7"/>
    <w:rsid w:val="00F7301A"/>
    <w:rsid w:val="00F74365"/>
    <w:rsid w:val="00F77B28"/>
    <w:rsid w:val="00F812CF"/>
    <w:rsid w:val="00F86745"/>
    <w:rsid w:val="00F922B4"/>
    <w:rsid w:val="00F92C27"/>
    <w:rsid w:val="00F94201"/>
    <w:rsid w:val="00FA1939"/>
    <w:rsid w:val="00FA3CBD"/>
    <w:rsid w:val="00FA7F67"/>
    <w:rsid w:val="00FB7221"/>
    <w:rsid w:val="00FC6D06"/>
    <w:rsid w:val="00FD7219"/>
    <w:rsid w:val="00FE3584"/>
    <w:rsid w:val="00FE5E31"/>
    <w:rsid w:val="00FF155D"/>
    <w:rsid w:val="00FF1A08"/>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F8"/>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1032F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1032F8"/>
    <w:pPr>
      <w:spacing w:before="320"/>
      <w:outlineLvl w:val="1"/>
    </w:pPr>
  </w:style>
  <w:style w:type="paragraph" w:styleId="Heading3">
    <w:name w:val="heading 3"/>
    <w:basedOn w:val="Heading1"/>
    <w:next w:val="Normal"/>
    <w:qFormat/>
    <w:rsid w:val="001032F8"/>
    <w:pPr>
      <w:spacing w:before="200"/>
      <w:outlineLvl w:val="2"/>
    </w:pPr>
  </w:style>
  <w:style w:type="paragraph" w:styleId="Heading4">
    <w:name w:val="heading 4"/>
    <w:basedOn w:val="Heading3"/>
    <w:next w:val="Normal"/>
    <w:qFormat/>
    <w:rsid w:val="001032F8"/>
    <w:pPr>
      <w:tabs>
        <w:tab w:val="clear" w:pos="794"/>
        <w:tab w:val="left" w:pos="1191"/>
      </w:tabs>
      <w:ind w:left="993" w:hanging="993"/>
      <w:outlineLvl w:val="3"/>
    </w:pPr>
  </w:style>
  <w:style w:type="paragraph" w:styleId="Heading5">
    <w:name w:val="heading 5"/>
    <w:basedOn w:val="Heading3"/>
    <w:next w:val="Normal"/>
    <w:qFormat/>
    <w:rsid w:val="001032F8"/>
    <w:pPr>
      <w:tabs>
        <w:tab w:val="clear" w:pos="794"/>
        <w:tab w:val="left" w:pos="1191"/>
      </w:tabs>
      <w:outlineLvl w:val="4"/>
    </w:pPr>
  </w:style>
  <w:style w:type="paragraph" w:styleId="Heading6">
    <w:name w:val="heading 6"/>
    <w:basedOn w:val="Heading3"/>
    <w:next w:val="Normal"/>
    <w:qFormat/>
    <w:rsid w:val="001032F8"/>
    <w:pPr>
      <w:tabs>
        <w:tab w:val="clear" w:pos="794"/>
        <w:tab w:val="left" w:pos="1191"/>
      </w:tabs>
      <w:outlineLvl w:val="5"/>
    </w:pPr>
  </w:style>
  <w:style w:type="paragraph" w:styleId="Heading7">
    <w:name w:val="heading 7"/>
    <w:basedOn w:val="Heading3"/>
    <w:next w:val="Normal"/>
    <w:qFormat/>
    <w:rsid w:val="001032F8"/>
    <w:pPr>
      <w:tabs>
        <w:tab w:val="clear" w:pos="794"/>
        <w:tab w:val="left" w:pos="1191"/>
      </w:tabs>
      <w:outlineLvl w:val="6"/>
    </w:pPr>
  </w:style>
  <w:style w:type="paragraph" w:styleId="Heading8">
    <w:name w:val="heading 8"/>
    <w:basedOn w:val="Heading3"/>
    <w:next w:val="Normal"/>
    <w:qFormat/>
    <w:rsid w:val="001032F8"/>
    <w:pPr>
      <w:tabs>
        <w:tab w:val="clear" w:pos="794"/>
        <w:tab w:val="left" w:pos="1191"/>
      </w:tabs>
      <w:outlineLvl w:val="7"/>
    </w:pPr>
  </w:style>
  <w:style w:type="paragraph" w:styleId="Heading9">
    <w:name w:val="heading 9"/>
    <w:basedOn w:val="Heading3"/>
    <w:next w:val="Normal"/>
    <w:qFormat/>
    <w:rsid w:val="001032F8"/>
    <w:pPr>
      <w:tabs>
        <w:tab w:val="clear" w:pos="794"/>
        <w:tab w:val="left" w:pos="1191"/>
      </w:tabs>
      <w:outlineLvl w:val="8"/>
    </w:pPr>
  </w:style>
  <w:style w:type="character" w:default="1" w:styleId="DefaultParagraphFont">
    <w:name w:val="Default Paragraph Font"/>
    <w:uiPriority w:val="1"/>
    <w:semiHidden/>
    <w:unhideWhenUsed/>
    <w:rsid w:val="00103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32F8"/>
  </w:style>
  <w:style w:type="paragraph" w:styleId="TOC8">
    <w:name w:val="toc 8"/>
    <w:basedOn w:val="TOC3"/>
    <w:semiHidden/>
    <w:rsid w:val="001032F8"/>
  </w:style>
  <w:style w:type="paragraph" w:styleId="TOC7">
    <w:name w:val="toc 7"/>
    <w:basedOn w:val="TOC3"/>
    <w:semiHidden/>
    <w:rsid w:val="001032F8"/>
  </w:style>
  <w:style w:type="paragraph" w:styleId="TOC6">
    <w:name w:val="toc 6"/>
    <w:basedOn w:val="TOC3"/>
    <w:semiHidden/>
    <w:rsid w:val="001032F8"/>
  </w:style>
  <w:style w:type="paragraph" w:styleId="TOC5">
    <w:name w:val="toc 5"/>
    <w:basedOn w:val="TOC3"/>
    <w:semiHidden/>
    <w:rsid w:val="001032F8"/>
  </w:style>
  <w:style w:type="paragraph" w:styleId="TOC4">
    <w:name w:val="toc 4"/>
    <w:basedOn w:val="TOC3"/>
    <w:semiHidden/>
    <w:rsid w:val="001032F8"/>
  </w:style>
  <w:style w:type="paragraph" w:styleId="TOC3">
    <w:name w:val="toc 3"/>
    <w:basedOn w:val="TOC2"/>
    <w:semiHidden/>
    <w:rsid w:val="001032F8"/>
    <w:pPr>
      <w:spacing w:before="80"/>
    </w:pPr>
  </w:style>
  <w:style w:type="paragraph" w:styleId="TOC2">
    <w:name w:val="toc 2"/>
    <w:basedOn w:val="TOC1"/>
    <w:semiHidden/>
    <w:rsid w:val="001032F8"/>
    <w:pPr>
      <w:spacing w:before="120"/>
    </w:pPr>
  </w:style>
  <w:style w:type="paragraph" w:styleId="TOC1">
    <w:name w:val="toc 1"/>
    <w:basedOn w:val="Normal"/>
    <w:rsid w:val="001032F8"/>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1032F8"/>
    <w:pPr>
      <w:ind w:left="1698"/>
    </w:pPr>
  </w:style>
  <w:style w:type="paragraph" w:styleId="Index6">
    <w:name w:val="index 6"/>
    <w:basedOn w:val="Normal"/>
    <w:next w:val="Normal"/>
    <w:semiHidden/>
    <w:rsid w:val="001032F8"/>
    <w:pPr>
      <w:ind w:left="1415"/>
    </w:pPr>
  </w:style>
  <w:style w:type="paragraph" w:styleId="Index5">
    <w:name w:val="index 5"/>
    <w:basedOn w:val="Normal"/>
    <w:next w:val="Normal"/>
    <w:semiHidden/>
    <w:rsid w:val="001032F8"/>
    <w:pPr>
      <w:ind w:left="1132"/>
    </w:pPr>
  </w:style>
  <w:style w:type="paragraph" w:styleId="Index4">
    <w:name w:val="index 4"/>
    <w:basedOn w:val="Normal"/>
    <w:next w:val="Normal"/>
    <w:semiHidden/>
    <w:rsid w:val="001032F8"/>
    <w:pPr>
      <w:ind w:left="849"/>
    </w:pPr>
  </w:style>
  <w:style w:type="paragraph" w:styleId="Index3">
    <w:name w:val="index 3"/>
    <w:basedOn w:val="Normal"/>
    <w:next w:val="Normal"/>
    <w:semiHidden/>
    <w:rsid w:val="001032F8"/>
    <w:pPr>
      <w:ind w:left="566"/>
    </w:pPr>
  </w:style>
  <w:style w:type="paragraph" w:styleId="Index2">
    <w:name w:val="index 2"/>
    <w:basedOn w:val="Normal"/>
    <w:next w:val="Normal"/>
    <w:semiHidden/>
    <w:rsid w:val="001032F8"/>
    <w:pPr>
      <w:ind w:left="283"/>
    </w:pPr>
  </w:style>
  <w:style w:type="paragraph" w:styleId="Index1">
    <w:name w:val="index 1"/>
    <w:basedOn w:val="Normal"/>
    <w:next w:val="Normal"/>
    <w:semiHidden/>
    <w:rsid w:val="001032F8"/>
  </w:style>
  <w:style w:type="character" w:styleId="LineNumber">
    <w:name w:val="line number"/>
    <w:basedOn w:val="DefaultParagraphFont"/>
    <w:rsid w:val="001032F8"/>
  </w:style>
  <w:style w:type="paragraph" w:styleId="IndexHeading">
    <w:name w:val="index heading"/>
    <w:basedOn w:val="Normal"/>
    <w:next w:val="Index1"/>
    <w:semiHidden/>
    <w:rsid w:val="001032F8"/>
  </w:style>
  <w:style w:type="paragraph" w:styleId="Footer">
    <w:name w:val="footer"/>
    <w:basedOn w:val="Normal"/>
    <w:link w:val="FooterChar"/>
    <w:rsid w:val="001032F8"/>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1032F8"/>
    <w:pPr>
      <w:tabs>
        <w:tab w:val="clear" w:pos="794"/>
        <w:tab w:val="clear" w:pos="1191"/>
        <w:tab w:val="clear" w:pos="1588"/>
        <w:tab w:val="clear" w:pos="1985"/>
      </w:tabs>
      <w:spacing w:before="0"/>
      <w:jc w:val="center"/>
    </w:pPr>
  </w:style>
  <w:style w:type="character" w:styleId="FootnoteReference">
    <w:name w:val="footnote reference"/>
    <w:semiHidden/>
    <w:rsid w:val="001032F8"/>
    <w:rPr>
      <w:position w:val="6"/>
      <w:sz w:val="16"/>
    </w:rPr>
  </w:style>
  <w:style w:type="paragraph" w:styleId="FootnoteText">
    <w:name w:val="footnote text"/>
    <w:basedOn w:val="Normal"/>
    <w:semiHidden/>
    <w:rsid w:val="001032F8"/>
    <w:pPr>
      <w:keepLines/>
      <w:tabs>
        <w:tab w:val="left" w:pos="256"/>
      </w:tabs>
      <w:ind w:left="256" w:hanging="256"/>
    </w:pPr>
  </w:style>
  <w:style w:type="paragraph" w:styleId="NormalIndent">
    <w:name w:val="Normal Indent"/>
    <w:basedOn w:val="Normal"/>
    <w:rsid w:val="001032F8"/>
    <w:pPr>
      <w:ind w:left="794"/>
    </w:pPr>
  </w:style>
  <w:style w:type="paragraph" w:customStyle="1" w:styleId="TableLegend">
    <w:name w:val="Table_Legend"/>
    <w:basedOn w:val="TableText"/>
    <w:rsid w:val="001032F8"/>
    <w:pPr>
      <w:spacing w:before="120"/>
    </w:pPr>
  </w:style>
  <w:style w:type="paragraph" w:customStyle="1" w:styleId="TableText">
    <w:name w:val="Table_Text"/>
    <w:basedOn w:val="Normal"/>
    <w:rsid w:val="001032F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1032F8"/>
    <w:pPr>
      <w:keepLines/>
      <w:spacing w:before="0"/>
    </w:pPr>
    <w:rPr>
      <w:b/>
      <w:caps w:val="0"/>
    </w:rPr>
  </w:style>
  <w:style w:type="paragraph" w:customStyle="1" w:styleId="Table">
    <w:name w:val="Table_#"/>
    <w:basedOn w:val="Normal"/>
    <w:next w:val="TableTitle"/>
    <w:rsid w:val="001032F8"/>
    <w:pPr>
      <w:keepNext/>
      <w:spacing w:before="560" w:after="120"/>
      <w:jc w:val="center"/>
    </w:pPr>
    <w:rPr>
      <w:caps/>
    </w:rPr>
  </w:style>
  <w:style w:type="paragraph" w:customStyle="1" w:styleId="enumlev1">
    <w:name w:val="enumlev1"/>
    <w:basedOn w:val="Normal"/>
    <w:rsid w:val="001032F8"/>
    <w:pPr>
      <w:spacing w:before="80"/>
      <w:ind w:left="794" w:hanging="794"/>
    </w:pPr>
  </w:style>
  <w:style w:type="paragraph" w:customStyle="1" w:styleId="enumlev2">
    <w:name w:val="enumlev2"/>
    <w:basedOn w:val="enumlev1"/>
    <w:rsid w:val="001032F8"/>
    <w:pPr>
      <w:ind w:left="1191" w:hanging="397"/>
    </w:pPr>
  </w:style>
  <w:style w:type="paragraph" w:customStyle="1" w:styleId="enumlev3">
    <w:name w:val="enumlev3"/>
    <w:basedOn w:val="enumlev2"/>
    <w:rsid w:val="001032F8"/>
    <w:pPr>
      <w:ind w:left="1588"/>
    </w:pPr>
  </w:style>
  <w:style w:type="paragraph" w:customStyle="1" w:styleId="TableHead">
    <w:name w:val="Table_Head"/>
    <w:basedOn w:val="TableText"/>
    <w:rsid w:val="001032F8"/>
    <w:pPr>
      <w:keepNext/>
      <w:spacing w:before="80" w:after="80"/>
      <w:jc w:val="center"/>
    </w:pPr>
    <w:rPr>
      <w:b/>
    </w:rPr>
  </w:style>
  <w:style w:type="paragraph" w:customStyle="1" w:styleId="FigureLegend">
    <w:name w:val="Figure_Legend"/>
    <w:basedOn w:val="Normal"/>
    <w:rsid w:val="001032F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1032F8"/>
    <w:pPr>
      <w:spacing w:before="480"/>
    </w:pPr>
  </w:style>
  <w:style w:type="paragraph" w:customStyle="1" w:styleId="FigureTitle">
    <w:name w:val="Figure_Title"/>
    <w:basedOn w:val="TableTitle"/>
    <w:next w:val="Normal"/>
    <w:rsid w:val="001032F8"/>
    <w:pPr>
      <w:keepNext w:val="0"/>
      <w:spacing w:after="480"/>
    </w:pPr>
  </w:style>
  <w:style w:type="paragraph" w:customStyle="1" w:styleId="Annex">
    <w:name w:val="Annex_#"/>
    <w:basedOn w:val="Normal"/>
    <w:next w:val="AnnexRef"/>
    <w:rsid w:val="001032F8"/>
    <w:pPr>
      <w:keepNext/>
      <w:keepLines/>
      <w:spacing w:before="480" w:after="80"/>
      <w:jc w:val="center"/>
    </w:pPr>
    <w:rPr>
      <w:caps/>
    </w:rPr>
  </w:style>
  <w:style w:type="paragraph" w:customStyle="1" w:styleId="AnnexRef">
    <w:name w:val="Annex_Ref"/>
    <w:basedOn w:val="Normal"/>
    <w:next w:val="AnnexTitle"/>
    <w:rsid w:val="001032F8"/>
    <w:pPr>
      <w:keepNext/>
      <w:keepLines/>
      <w:jc w:val="center"/>
    </w:pPr>
  </w:style>
  <w:style w:type="paragraph" w:customStyle="1" w:styleId="AnnexTitle">
    <w:name w:val="Annex_Title"/>
    <w:basedOn w:val="Normal"/>
    <w:next w:val="Normal"/>
    <w:rsid w:val="001032F8"/>
    <w:pPr>
      <w:keepNext/>
      <w:keepLines/>
      <w:spacing w:before="240" w:after="280"/>
      <w:jc w:val="center"/>
    </w:pPr>
    <w:rPr>
      <w:b/>
    </w:rPr>
  </w:style>
  <w:style w:type="paragraph" w:customStyle="1" w:styleId="Appendix">
    <w:name w:val="Appendix_#"/>
    <w:basedOn w:val="Annex"/>
    <w:next w:val="AppendixRef"/>
    <w:rsid w:val="001032F8"/>
  </w:style>
  <w:style w:type="paragraph" w:customStyle="1" w:styleId="AppendixRef">
    <w:name w:val="Appendix_Ref"/>
    <w:basedOn w:val="AnnexRef"/>
    <w:next w:val="AppendixTitle"/>
    <w:rsid w:val="001032F8"/>
  </w:style>
  <w:style w:type="paragraph" w:customStyle="1" w:styleId="AppendixTitle">
    <w:name w:val="Appendix_Title"/>
    <w:basedOn w:val="AnnexTitle"/>
    <w:next w:val="Normal"/>
    <w:rsid w:val="001032F8"/>
  </w:style>
  <w:style w:type="paragraph" w:customStyle="1" w:styleId="RefTitle">
    <w:name w:val="Ref_Title"/>
    <w:basedOn w:val="Normal"/>
    <w:next w:val="RefText"/>
    <w:rsid w:val="001032F8"/>
    <w:pPr>
      <w:spacing w:before="480"/>
      <w:jc w:val="center"/>
    </w:pPr>
    <w:rPr>
      <w:caps/>
    </w:rPr>
  </w:style>
  <w:style w:type="paragraph" w:customStyle="1" w:styleId="RefText">
    <w:name w:val="Ref_Text"/>
    <w:basedOn w:val="Normal"/>
    <w:rsid w:val="001032F8"/>
    <w:pPr>
      <w:ind w:left="794" w:hanging="794"/>
    </w:pPr>
  </w:style>
  <w:style w:type="paragraph" w:customStyle="1" w:styleId="Equation">
    <w:name w:val="Equation"/>
    <w:basedOn w:val="Normal"/>
    <w:rsid w:val="001032F8"/>
    <w:pPr>
      <w:tabs>
        <w:tab w:val="clear" w:pos="1191"/>
        <w:tab w:val="clear" w:pos="1588"/>
        <w:tab w:val="clear" w:pos="1985"/>
        <w:tab w:val="center" w:pos="4876"/>
        <w:tab w:val="right" w:pos="9752"/>
      </w:tabs>
    </w:pPr>
  </w:style>
  <w:style w:type="paragraph" w:customStyle="1" w:styleId="Head">
    <w:name w:val="Head"/>
    <w:basedOn w:val="Normal"/>
    <w:rsid w:val="001032F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1032F8"/>
    <w:pPr>
      <w:keepNext/>
      <w:keepLines/>
      <w:spacing w:before="240"/>
      <w:jc w:val="center"/>
    </w:pPr>
    <w:rPr>
      <w:b/>
      <w:caps/>
    </w:rPr>
  </w:style>
  <w:style w:type="paragraph" w:customStyle="1" w:styleId="Normalaftertitle">
    <w:name w:val="Normal after title"/>
    <w:basedOn w:val="Normal"/>
    <w:next w:val="Normal"/>
    <w:rsid w:val="001032F8"/>
    <w:pPr>
      <w:spacing w:before="320"/>
    </w:pPr>
  </w:style>
  <w:style w:type="paragraph" w:customStyle="1" w:styleId="call">
    <w:name w:val="call"/>
    <w:basedOn w:val="Normal"/>
    <w:next w:val="Normal"/>
    <w:rsid w:val="001032F8"/>
    <w:pPr>
      <w:keepNext/>
      <w:keepLines/>
      <w:spacing w:before="160"/>
      <w:ind w:left="794"/>
    </w:pPr>
    <w:rPr>
      <w:i/>
    </w:rPr>
  </w:style>
  <w:style w:type="paragraph" w:customStyle="1" w:styleId="Rec">
    <w:name w:val="Rec_#"/>
    <w:basedOn w:val="Normal"/>
    <w:next w:val="RecTitle"/>
    <w:rsid w:val="001032F8"/>
    <w:pPr>
      <w:keepNext/>
      <w:keepLines/>
      <w:spacing w:before="480"/>
      <w:jc w:val="center"/>
    </w:pPr>
    <w:rPr>
      <w:caps/>
    </w:rPr>
  </w:style>
  <w:style w:type="paragraph" w:customStyle="1" w:styleId="toc0">
    <w:name w:val="toc 0"/>
    <w:basedOn w:val="Normal"/>
    <w:next w:val="TOC1"/>
    <w:rsid w:val="001032F8"/>
    <w:pPr>
      <w:tabs>
        <w:tab w:val="clear" w:pos="794"/>
        <w:tab w:val="clear" w:pos="1191"/>
        <w:tab w:val="clear" w:pos="1588"/>
        <w:tab w:val="clear" w:pos="1985"/>
        <w:tab w:val="right" w:pos="9781"/>
      </w:tabs>
    </w:pPr>
    <w:rPr>
      <w:b/>
    </w:rPr>
  </w:style>
  <w:style w:type="paragraph" w:styleId="List">
    <w:name w:val="List"/>
    <w:basedOn w:val="Normal"/>
    <w:rsid w:val="001032F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032F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032F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032F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1032F8"/>
    <w:pPr>
      <w:spacing w:before="160"/>
      <w:ind w:left="0" w:firstLine="0"/>
      <w:outlineLvl w:val="9"/>
    </w:pPr>
  </w:style>
  <w:style w:type="paragraph" w:customStyle="1" w:styleId="Keywords">
    <w:name w:val="Keywords"/>
    <w:basedOn w:val="Normal"/>
    <w:rsid w:val="001032F8"/>
    <w:pPr>
      <w:tabs>
        <w:tab w:val="clear" w:pos="1191"/>
        <w:tab w:val="clear" w:pos="1588"/>
      </w:tabs>
      <w:ind w:left="794" w:hanging="794"/>
    </w:pPr>
  </w:style>
  <w:style w:type="paragraph" w:customStyle="1" w:styleId="ASN1">
    <w:name w:val="ASN.1"/>
    <w:basedOn w:val="Normal"/>
    <w:rsid w:val="001032F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1032F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1032F8"/>
    <w:pPr>
      <w:tabs>
        <w:tab w:val="clear" w:pos="794"/>
        <w:tab w:val="clear" w:pos="1191"/>
        <w:tab w:val="clear" w:pos="1588"/>
        <w:tab w:val="clear" w:pos="1985"/>
      </w:tabs>
      <w:spacing w:before="480"/>
      <w:ind w:left="4961"/>
    </w:pPr>
  </w:style>
  <w:style w:type="paragraph" w:customStyle="1" w:styleId="meeting">
    <w:name w:val="meeting"/>
    <w:basedOn w:val="Head"/>
    <w:next w:val="Head"/>
    <w:rsid w:val="001032F8"/>
    <w:pPr>
      <w:tabs>
        <w:tab w:val="left" w:pos="7371"/>
      </w:tabs>
      <w:spacing w:after="560"/>
    </w:pPr>
  </w:style>
  <w:style w:type="paragraph" w:customStyle="1" w:styleId="BodyText">
    <w:name w:val="BodyText"/>
    <w:basedOn w:val="Normal"/>
    <w:rsid w:val="001032F8"/>
    <w:pPr>
      <w:tabs>
        <w:tab w:val="clear" w:pos="794"/>
        <w:tab w:val="clear" w:pos="1191"/>
        <w:tab w:val="clear" w:pos="1588"/>
        <w:tab w:val="clear" w:pos="1985"/>
      </w:tabs>
      <w:spacing w:before="240"/>
    </w:pPr>
  </w:style>
  <w:style w:type="paragraph" w:customStyle="1" w:styleId="ITUadres">
    <w:name w:val="ITU_adres"/>
    <w:basedOn w:val="Normal"/>
    <w:rsid w:val="001032F8"/>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1032F8"/>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1032F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1032F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1032F8"/>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1032F8"/>
  </w:style>
  <w:style w:type="paragraph" w:customStyle="1" w:styleId="ITUbureau">
    <w:name w:val="ITU_bureau"/>
    <w:basedOn w:val="Normal"/>
    <w:rsid w:val="001032F8"/>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1032F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1032F8"/>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1032F8"/>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1032F8"/>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1032F8"/>
    <w:pPr>
      <w:tabs>
        <w:tab w:val="left" w:pos="1418"/>
        <w:tab w:val="left" w:pos="1985"/>
        <w:tab w:val="left" w:pos="2268"/>
      </w:tabs>
      <w:ind w:firstLine="1304"/>
    </w:pPr>
  </w:style>
  <w:style w:type="paragraph" w:customStyle="1" w:styleId="Tiret">
    <w:name w:val="Tiret"/>
    <w:basedOn w:val="Normal"/>
    <w:rsid w:val="001032F8"/>
    <w:pPr>
      <w:tabs>
        <w:tab w:val="clear" w:pos="794"/>
        <w:tab w:val="clear" w:pos="1191"/>
        <w:tab w:val="clear" w:pos="1588"/>
        <w:tab w:val="clear" w:pos="1985"/>
      </w:tabs>
      <w:ind w:left="-680"/>
    </w:pPr>
  </w:style>
  <w:style w:type="paragraph" w:customStyle="1" w:styleId="NormFoot">
    <w:name w:val="Norm_Foot"/>
    <w:basedOn w:val="Normal"/>
    <w:rsid w:val="001032F8"/>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1032F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1032F8"/>
    <w:pPr>
      <w:keepLines/>
      <w:tabs>
        <w:tab w:val="left" w:pos="1361"/>
        <w:tab w:val="left" w:pos="1758"/>
        <w:tab w:val="left" w:pos="2155"/>
        <w:tab w:val="left" w:pos="2552"/>
      </w:tabs>
      <w:ind w:left="567"/>
    </w:pPr>
  </w:style>
  <w:style w:type="paragraph" w:customStyle="1" w:styleId="headingi">
    <w:name w:val="heading_i"/>
    <w:basedOn w:val="Heading3"/>
    <w:next w:val="Normal"/>
    <w:rsid w:val="001032F8"/>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rsid w:val="001032F8"/>
    <w:rPr>
      <w:color w:val="0000FF"/>
      <w:u w:val="single"/>
    </w:rPr>
  </w:style>
  <w:style w:type="paragraph" w:customStyle="1" w:styleId="Qlist">
    <w:name w:val="Qlist"/>
    <w:basedOn w:val="Normal"/>
    <w:rsid w:val="001032F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1032F8"/>
    <w:pPr>
      <w:tabs>
        <w:tab w:val="left" w:pos="397"/>
      </w:tabs>
    </w:pPr>
  </w:style>
  <w:style w:type="paragraph" w:customStyle="1" w:styleId="FirstFooter">
    <w:name w:val="FirstFooter"/>
    <w:basedOn w:val="Footer"/>
    <w:rsid w:val="001032F8"/>
    <w:pPr>
      <w:tabs>
        <w:tab w:val="clear" w:pos="5954"/>
        <w:tab w:val="clear" w:pos="9639"/>
      </w:tabs>
    </w:pPr>
    <w:rPr>
      <w:caps w:val="0"/>
    </w:rPr>
  </w:style>
  <w:style w:type="paragraph" w:styleId="TOC9">
    <w:name w:val="toc 9"/>
    <w:basedOn w:val="TOC3"/>
    <w:semiHidden/>
    <w:rsid w:val="001032F8"/>
  </w:style>
  <w:style w:type="paragraph" w:styleId="BodyText0">
    <w:name w:val="Body Text"/>
    <w:basedOn w:val="Normal"/>
    <w:rsid w:val="001032F8"/>
    <w:pPr>
      <w:spacing w:after="120"/>
    </w:pPr>
  </w:style>
  <w:style w:type="character" w:styleId="PageNumber">
    <w:name w:val="page number"/>
    <w:basedOn w:val="DefaultParagraphFont"/>
    <w:rsid w:val="001032F8"/>
  </w:style>
  <w:style w:type="paragraph" w:customStyle="1" w:styleId="AnnexNo">
    <w:name w:val="Annex_No"/>
    <w:basedOn w:val="Normal"/>
    <w:next w:val="Normal"/>
    <w:rsid w:val="001032F8"/>
    <w:pPr>
      <w:keepNext/>
      <w:keepLines/>
      <w:spacing w:before="480" w:after="80"/>
      <w:jc w:val="center"/>
    </w:pPr>
    <w:rPr>
      <w:caps/>
      <w:sz w:val="28"/>
    </w:rPr>
  </w:style>
  <w:style w:type="character" w:styleId="FollowedHyperlink">
    <w:name w:val="FollowedHyperlink"/>
    <w:basedOn w:val="DefaultParagraphFont"/>
    <w:rsid w:val="001032F8"/>
    <w:rPr>
      <w:color w:val="800080" w:themeColor="followedHyperlink"/>
      <w:u w:val="single"/>
    </w:rPr>
  </w:style>
  <w:style w:type="paragraph" w:customStyle="1" w:styleId="pnew">
    <w:name w:val="pnew"/>
    <w:basedOn w:val="Normal"/>
    <w:rsid w:val="001032F8"/>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1032F8"/>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1032F8"/>
    <w:rPr>
      <w:rFonts w:ascii="Tahoma" w:hAnsi="Tahoma" w:cs="Tahoma"/>
      <w:sz w:val="16"/>
      <w:szCs w:val="16"/>
    </w:rPr>
  </w:style>
  <w:style w:type="table" w:styleId="TableGrid">
    <w:name w:val="Table Grid"/>
    <w:basedOn w:val="TableNormal"/>
    <w:rsid w:val="001032F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1032F8"/>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1032F8"/>
    <w:rPr>
      <w:rFonts w:ascii="Calibri" w:hAnsi="Calibri"/>
      <w:sz w:val="22"/>
      <w:lang w:val="fr-FR" w:eastAsia="en-US"/>
    </w:rPr>
  </w:style>
  <w:style w:type="paragraph" w:customStyle="1" w:styleId="itu">
    <w:name w:val="itu"/>
    <w:basedOn w:val="Normal"/>
    <w:rsid w:val="001032F8"/>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1032F8"/>
    <w:rPr>
      <w:rFonts w:ascii="Calibri" w:hAnsi="Calibri"/>
      <w:caps/>
      <w:sz w:val="18"/>
      <w:lang w:val="fr-FR" w:eastAsia="en-US"/>
    </w:rPr>
  </w:style>
  <w:style w:type="paragraph" w:customStyle="1" w:styleId="Reasons">
    <w:name w:val="Reasons"/>
    <w:basedOn w:val="Normal"/>
    <w:qFormat/>
    <w:rsid w:val="001032F8"/>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103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1032F8"/>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customStyle="1" w:styleId="Tabletext0">
    <w:name w:val="Table_text"/>
    <w:basedOn w:val="Normal"/>
    <w:rsid w:val="00EE4C92"/>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US"/>
    </w:rPr>
  </w:style>
  <w:style w:type="paragraph" w:customStyle="1" w:styleId="AgendaItem">
    <w:name w:val="AgendaItem"/>
    <w:basedOn w:val="Normal"/>
    <w:qFormat/>
    <w:rsid w:val="00EE4C92"/>
    <w:pPr>
      <w:tabs>
        <w:tab w:val="clear" w:pos="794"/>
        <w:tab w:val="left" w:pos="674"/>
      </w:tabs>
      <w:spacing w:before="80"/>
      <w:contextualSpacing/>
    </w:pPr>
    <w:rPr>
      <w:rFonts w:asciiTheme="minorHAnsi" w:hAnsiTheme="minorHAns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studygroups/2025-2028/21/Pages/default.aspx" TargetMode="External"/><Relationship Id="rId21" Type="http://schemas.openxmlformats.org/officeDocument/2006/relationships/hyperlink" Target="https://www.itu.int/en/ITU-T/studygroups/2025-2028/21/Pages/default.aspx" TargetMode="External"/><Relationship Id="rId42" Type="http://schemas.openxmlformats.org/officeDocument/2006/relationships/hyperlink" Target="https://www.itu.int/en/general-secretariat/ICT-Services/Pages/default.aspx" TargetMode="External"/><Relationship Id="rId47" Type="http://schemas.openxmlformats.org/officeDocument/2006/relationships/hyperlink" Target="mailto:servicedesk@itu.int" TargetMode="External"/><Relationship Id="rId63" Type="http://schemas.openxmlformats.org/officeDocument/2006/relationships/hyperlink" Target="https://remote.itu.int" TargetMode="External"/><Relationship Id="rId68" Type="http://schemas.openxmlformats.org/officeDocument/2006/relationships/hyperlink" Target="https://itu.int/travel/" TargetMode="External"/><Relationship Id="rId16" Type="http://schemas.openxmlformats.org/officeDocument/2006/relationships/hyperlink" Target="https://www.itu.int/en/ITU-T/focusgroups/eai/Pages/default.aspx" TargetMode="External"/><Relationship Id="rId11" Type="http://schemas.openxmlformats.org/officeDocument/2006/relationships/image" Target="media/image1.png"/><Relationship Id="rId24" Type="http://schemas.openxmlformats.org/officeDocument/2006/relationships/hyperlink" Target="https://www.itu.int/en/ITU-T/studygroups/2025-2028/21/Pages/default.aspx" TargetMode="External"/><Relationship Id="rId32" Type="http://schemas.openxmlformats.org/officeDocument/2006/relationships/image" Target="media/image2.png"/><Relationship Id="rId37" Type="http://schemas.openxmlformats.org/officeDocument/2006/relationships/hyperlink" Target="https://www.itu.int/en/ITU-T/studygroups/Pages/templates.aspx" TargetMode="External"/><Relationship Id="rId40" Type="http://schemas.openxmlformats.org/officeDocument/2006/relationships/hyperlink" Target="https://www.itu.int/en/ITU-T/studygroups/Pages/templates.aspx" TargetMode="External"/><Relationship Id="rId45" Type="http://schemas.openxmlformats.org/officeDocument/2006/relationships/hyperlink" Target="https://www.itu.int/en/general-secretariat/ICT-Services/Pages/ITU-Printers.aspx" TargetMode="External"/><Relationship Id="rId53" Type="http://schemas.openxmlformats.org/officeDocument/2006/relationships/hyperlink" Target="mailto:ITU-Tmembership@itu.int" TargetMode="External"/><Relationship Id="rId58" Type="http://schemas.openxmlformats.org/officeDocument/2006/relationships/hyperlink" Target="mailto:fellowships@itu.int" TargetMode="External"/><Relationship Id="rId66" Type="http://schemas.openxmlformats.org/officeDocument/2006/relationships/hyperlink" Target="https://itu.int/en/delegates-corner" TargetMode="External"/><Relationship Id="rId74" Type="http://schemas.openxmlformats.org/officeDocument/2006/relationships/hyperlink" Target="https://www.itu.int/md/T25-SG21-260706-TD-PLEN-0236/fr"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travel@itu.int" TargetMode="External"/><Relationship Id="rId19" Type="http://schemas.openxmlformats.org/officeDocument/2006/relationships/hyperlink" Target="https://www.itu.int/en/about/Documents/itu-plan.pdf" TargetMode="External"/><Relationship Id="rId14" Type="http://schemas.openxmlformats.org/officeDocument/2006/relationships/hyperlink" Target="https://www.itu.int/en/ITU-T/studygroups/2025-2028/21/video/Pages/jvet.aspx" TargetMode="External"/><Relationship Id="rId22" Type="http://schemas.openxmlformats.org/officeDocument/2006/relationships/hyperlink" Target="https://www.itu.int/net/ITU-T/ddp/" TargetMode="External"/><Relationship Id="rId27" Type="http://schemas.openxmlformats.org/officeDocument/2006/relationships/hyperlink" Target="https://www.itu.int/en/ITU-T/studygroups/2025-2028/21/Pages/default.aspx" TargetMode="External"/><Relationship Id="rId30" Type="http://schemas.openxmlformats.org/officeDocument/2006/relationships/hyperlink" Target="https://www.itu.int/md/T25-TSB-CIR-0024/en" TargetMode="External"/><Relationship Id="rId35" Type="http://schemas.openxmlformats.org/officeDocument/2006/relationships/image" Target="media/image4.svg"/><Relationship Id="rId43" Type="http://schemas.openxmlformats.org/officeDocument/2006/relationships/hyperlink" Target="https://www.itu.int/en/general-secretariat/ICT-Services" TargetMode="External"/><Relationship Id="rId48" Type="http://schemas.openxmlformats.org/officeDocument/2006/relationships/hyperlink" Target="mailto:servicedesk@itu.int" TargetMode="External"/><Relationship Id="rId56" Type="http://schemas.openxmlformats.org/officeDocument/2006/relationships/hyperlink" Target="https://itu.int/go/fellowships/list" TargetMode="External"/><Relationship Id="rId64" Type="http://schemas.openxmlformats.org/officeDocument/2006/relationships/hyperlink" Target="https://remote.itu.int/myworkspace/" TargetMode="External"/><Relationship Id="rId69" Type="http://schemas.openxmlformats.org/officeDocument/2006/relationships/hyperlink" Target="https://www.itu.int/md/T25-SG21-251006-R/en"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ITUTmembership@itu.int" TargetMode="External"/><Relationship Id="rId72" Type="http://schemas.openxmlformats.org/officeDocument/2006/relationships/package" Target="embeddings/Microsoft_Excel_Worksheet.xlsx"/><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tsbsg21@itu.int" TargetMode="External"/><Relationship Id="rId17" Type="http://schemas.openxmlformats.org/officeDocument/2006/relationships/hyperlink" Target="https://www.itu.int/md/T25-TSB-CIR-0120/fr" TargetMode="External"/><Relationship Id="rId25" Type="http://schemas.openxmlformats.org/officeDocument/2006/relationships/hyperlink" Target="https://www.itu.int/en/ITU-T/studygroups/2025-2028/21/Pages/default.aspx" TargetMode="External"/><Relationship Id="rId33" Type="http://schemas.openxmlformats.org/officeDocument/2006/relationships/hyperlink" Target="https://handle.itu.int/11.1002/groups/sg21" TargetMode="External"/><Relationship Id="rId38" Type="http://schemas.openxmlformats.org/officeDocument/2006/relationships/hyperlink" Target="https://www.itu.int/hub/membership/user-account-ties/" TargetMode="External"/><Relationship Id="rId46" Type="http://schemas.openxmlformats.org/officeDocument/2006/relationships/hyperlink" Target="https://www.itu.int/en/about/Documents/itu-plan.pdf" TargetMode="External"/><Relationship Id="rId59" Type="http://schemas.openxmlformats.org/officeDocument/2006/relationships/hyperlink" Target="https://www.itu.int/en/ITU-T/studygroups/2025-2028/21/Pages/default.aspx" TargetMode="External"/><Relationship Id="rId67" Type="http://schemas.openxmlformats.org/officeDocument/2006/relationships/hyperlink" Target="https://www.itu.int/net4/travel/index-fr.aspx" TargetMode="External"/><Relationship Id="rId20" Type="http://schemas.openxmlformats.org/officeDocument/2006/relationships/hyperlink" Target="https://www.itu.int/today" TargetMode="External"/><Relationship Id="rId41" Type="http://schemas.openxmlformats.org/officeDocument/2006/relationships/hyperlink" Target="https://www.itu.int/TIES/" TargetMode="External"/><Relationship Id="rId54" Type="http://schemas.openxmlformats.org/officeDocument/2006/relationships/hyperlink" Target="https://www.itu.int/en/ITU-T/info/Documents/ITU-T-Newcomer-Guide.pdf" TargetMode="External"/><Relationship Id="rId62" Type="http://schemas.openxmlformats.org/officeDocument/2006/relationships/hyperlink" Target="mailto:travel@itu.int" TargetMode="External"/><Relationship Id="rId70" Type="http://schemas.openxmlformats.org/officeDocument/2006/relationships/hyperlink" Target="https://www.itu.int/md/T25-SG21-260706-TD-PLEN-0235/fr"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peg.org/meetings/mpeg-155/" TargetMode="External"/><Relationship Id="rId23" Type="http://schemas.openxmlformats.org/officeDocument/2006/relationships/hyperlink" Target="https://itu.int/net/ITU-T/ddp/" TargetMode="External"/><Relationship Id="rId28" Type="http://schemas.openxmlformats.org/officeDocument/2006/relationships/hyperlink" Target="https://www.itu.int/net/ITU-T/ddp/" TargetMode="External"/><Relationship Id="rId36" Type="http://schemas.openxmlformats.org/officeDocument/2006/relationships/hyperlink" Target="https://www.itu.int/net/ITU-T/ddp/" TargetMode="External"/><Relationship Id="rId49" Type="http://schemas.openxmlformats.org/officeDocument/2006/relationships/hyperlink" Target="https://www.itu.int/md/T25-TSB-CIR-0001/fr" TargetMode="External"/><Relationship Id="rId57" Type="http://schemas.openxmlformats.org/officeDocument/2006/relationships/hyperlink" Target="https://www.itu.int/en/ITU-T/studygroups/2025-2028/21/Pages/default.aspx" TargetMode="External"/><Relationship Id="rId10" Type="http://schemas.openxmlformats.org/officeDocument/2006/relationships/endnotes" Target="endnotes.xml"/><Relationship Id="rId31" Type="http://schemas.openxmlformats.org/officeDocument/2006/relationships/hyperlink" Target="https://www.itu.int/md/T25-TSB-CIR-0108/en" TargetMode="External"/><Relationship Id="rId44" Type="http://schemas.openxmlformats.org/officeDocument/2006/relationships/hyperlink" Target="https://www.itu.int/en/about/Documents/itu-plan.pdf" TargetMode="External"/><Relationship Id="rId52" Type="http://schemas.openxmlformats.org/officeDocument/2006/relationships/hyperlink" Target="https://www.itu.int/en/ITU-T/info/Documents/ITU-T-Newcomer-Guide.pdf" TargetMode="External"/><Relationship Id="rId60" Type="http://schemas.openxmlformats.org/officeDocument/2006/relationships/hyperlink" Target="mailto:fellowships@itu.int" TargetMode="External"/><Relationship Id="rId65" Type="http://schemas.openxmlformats.org/officeDocument/2006/relationships/hyperlink" Target="https://www.itu.int/fr/delegates-corner/Pages/visitor-information.aspx" TargetMode="External"/><Relationship Id="rId73" Type="http://schemas.openxmlformats.org/officeDocument/2006/relationships/hyperlink" Target="https://www.itu.int/en/ITU-T/studygroups/2025-2028/21/Pages/default.aspx"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tu.int/go/tsg21" TargetMode="External"/><Relationship Id="rId18" Type="http://schemas.openxmlformats.org/officeDocument/2006/relationships/hyperlink" Target="https://www.itu.int/md/T25-TSB-CIR-0108/fr" TargetMode="External"/><Relationship Id="rId39" Type="http://schemas.openxmlformats.org/officeDocument/2006/relationships/hyperlink" Target="https://itu.int/net/ITU-T/ddp/" TargetMode="External"/><Relationship Id="rId34" Type="http://schemas.openxmlformats.org/officeDocument/2006/relationships/image" Target="media/image3.png"/><Relationship Id="rId50" Type="http://schemas.openxmlformats.org/officeDocument/2006/relationships/hyperlink" Target="https://www.itu.int/md/T25-TSB-CIR-0001" TargetMode="External"/><Relationship Id="rId55" Type="http://schemas.openxmlformats.org/officeDocument/2006/relationships/hyperlink" Target="https://www.itu.int/en/fellowships/Documents/2026/ListEligibleCountries2026.pdf"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image" Target="media/image5.emf"/><Relationship Id="rId2" Type="http://schemas.openxmlformats.org/officeDocument/2006/relationships/customXml" Target="../customXml/item2.xml"/><Relationship Id="rId29" Type="http://schemas.openxmlformats.org/officeDocument/2006/relationships/hyperlink" Target="https://www.itu.int/md/T25-TSB-CIR-0108/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903A6-A794-4D67-8D90-73279729E188}">
  <ds:schemaRefs>
    <ds:schemaRef ds:uri="http://schemas.microsoft.com/sharepoint/v3/contenttype/forms"/>
  </ds:schemaRefs>
</ds:datastoreItem>
</file>

<file path=customXml/itemProps2.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3.xml><?xml version="1.0" encoding="utf-8"?>
<ds:datastoreItem xmlns:ds="http://schemas.openxmlformats.org/officeDocument/2006/customXml" ds:itemID="{ED9C4D66-C83F-45A6-B179-F4B53296DF79}">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312AD29-7F35-43D7-8158-AEE0E70D8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PF_TSB_Collective.dotx</Template>
  <TotalTime>238</TotalTime>
  <Pages>8</Pages>
  <Words>3093</Words>
  <Characters>21515</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24559</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Braud, Olivia</cp:lastModifiedBy>
  <cp:revision>13</cp:revision>
  <cp:lastPrinted>2026-03-19T07:48:00Z</cp:lastPrinted>
  <dcterms:created xsi:type="dcterms:W3CDTF">2026-03-11T09:22:00Z</dcterms:created>
  <dcterms:modified xsi:type="dcterms:W3CDTF">2026-03-19T07:49:00Z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