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639" w:type="dxa"/>
        <w:tblInd w:w="8" w:type="dxa"/>
        <w:tblLayout w:type="fixed"/>
        <w:tblLook w:val="0000" w:firstRow="0" w:lastRow="0" w:firstColumn="0" w:lastColumn="0" w:noHBand="0" w:noVBand="0"/>
      </w:tblPr>
      <w:tblGrid>
        <w:gridCol w:w="1126"/>
        <w:gridCol w:w="3346"/>
        <w:gridCol w:w="5167"/>
      </w:tblGrid>
      <w:tr w:rsidR="002545AA" w:rsidRPr="00E35001" w14:paraId="5BAED284" w14:textId="77777777" w:rsidTr="006643D3">
        <w:trPr>
          <w:cantSplit/>
        </w:trPr>
        <w:tc>
          <w:tcPr>
            <w:tcW w:w="1126" w:type="dxa"/>
          </w:tcPr>
          <w:p w14:paraId="21415219" w14:textId="77777777" w:rsidR="002545AA" w:rsidRPr="00E35001" w:rsidRDefault="002545AA" w:rsidP="008318E0"/>
        </w:tc>
        <w:tc>
          <w:tcPr>
            <w:tcW w:w="3346" w:type="dxa"/>
          </w:tcPr>
          <w:p w14:paraId="61F74745" w14:textId="77777777" w:rsidR="002545AA" w:rsidRPr="00E35001" w:rsidRDefault="002545AA" w:rsidP="008318E0"/>
        </w:tc>
        <w:tc>
          <w:tcPr>
            <w:tcW w:w="5167" w:type="dxa"/>
          </w:tcPr>
          <w:p w14:paraId="66761920" w14:textId="25EF339E" w:rsidR="002545AA" w:rsidRPr="006643D3" w:rsidRDefault="0041544D" w:rsidP="008318E0">
            <w:pPr>
              <w:rPr>
                <w:bCs/>
                <w:lang w:val="es-ES"/>
              </w:rPr>
            </w:pPr>
            <w:r w:rsidRPr="006643D3">
              <w:rPr>
                <w:lang w:val="es-ES"/>
              </w:rPr>
              <w:t xml:space="preserve">Ginebra, </w:t>
            </w:r>
            <w:r w:rsidR="00446500" w:rsidRPr="006643D3">
              <w:rPr>
                <w:lang w:val="es-ES"/>
              </w:rPr>
              <w:t>18 de junio de 2025</w:t>
            </w:r>
          </w:p>
        </w:tc>
      </w:tr>
      <w:tr w:rsidR="002545AA" w:rsidRPr="00E35001" w14:paraId="031E6D64" w14:textId="77777777" w:rsidTr="006643D3">
        <w:trPr>
          <w:cantSplit/>
          <w:trHeight w:val="649"/>
        </w:trPr>
        <w:tc>
          <w:tcPr>
            <w:tcW w:w="1126" w:type="dxa"/>
          </w:tcPr>
          <w:p w14:paraId="5CCEEF63" w14:textId="77777777" w:rsidR="002545AA" w:rsidRPr="00E35001" w:rsidRDefault="002545AA" w:rsidP="00153C97">
            <w:pPr>
              <w:spacing w:before="40" w:after="40"/>
            </w:pPr>
            <w:r w:rsidRPr="00E35001">
              <w:t>Ref.:</w:t>
            </w:r>
          </w:p>
        </w:tc>
        <w:tc>
          <w:tcPr>
            <w:tcW w:w="3346" w:type="dxa"/>
          </w:tcPr>
          <w:p w14:paraId="09C29637" w14:textId="05A43121" w:rsidR="002545AA" w:rsidRPr="003B795C" w:rsidRDefault="002545AA" w:rsidP="00153C97">
            <w:pPr>
              <w:spacing w:before="40" w:after="40"/>
              <w:rPr>
                <w:b/>
                <w:bCs/>
                <w:lang w:val="pt-BR"/>
              </w:rPr>
            </w:pPr>
            <w:r w:rsidRPr="003B795C">
              <w:rPr>
                <w:b/>
                <w:bCs/>
                <w:lang w:val="pt-BR"/>
              </w:rPr>
              <w:t xml:space="preserve">Carta Colectiva TSB </w:t>
            </w:r>
            <w:r w:rsidR="00446500">
              <w:rPr>
                <w:b/>
                <w:bCs/>
                <w:lang w:val="pt-BR"/>
              </w:rPr>
              <w:t>3</w:t>
            </w:r>
            <w:r w:rsidRPr="003B795C">
              <w:rPr>
                <w:b/>
                <w:bCs/>
                <w:lang w:val="pt-BR"/>
              </w:rPr>
              <w:t>/</w:t>
            </w:r>
            <w:r w:rsidR="0041544D" w:rsidRPr="003B795C">
              <w:rPr>
                <w:b/>
                <w:bCs/>
                <w:lang w:val="pt-BR"/>
              </w:rPr>
              <w:t>2</w:t>
            </w:r>
            <w:r w:rsidR="00446500">
              <w:rPr>
                <w:b/>
                <w:bCs/>
                <w:lang w:val="pt-BR"/>
              </w:rPr>
              <w:t>1</w:t>
            </w:r>
          </w:p>
          <w:p w14:paraId="09096904" w14:textId="64D074BD" w:rsidR="002545AA" w:rsidRPr="003B795C" w:rsidRDefault="00446500" w:rsidP="00153C97">
            <w:pPr>
              <w:spacing w:before="0" w:after="40"/>
              <w:rPr>
                <w:lang w:val="pt-BR"/>
              </w:rPr>
            </w:pPr>
            <w:r w:rsidRPr="00446500">
              <w:rPr>
                <w:lang w:val="pt-BR"/>
              </w:rPr>
              <w:t>SG21/SP</w:t>
            </w:r>
          </w:p>
        </w:tc>
        <w:tc>
          <w:tcPr>
            <w:tcW w:w="5167" w:type="dxa"/>
            <w:vMerge w:val="restart"/>
          </w:tcPr>
          <w:p w14:paraId="265B2E7B" w14:textId="77777777" w:rsidR="0041544D" w:rsidRPr="00153C97" w:rsidRDefault="0041544D" w:rsidP="00153C97">
            <w:pPr>
              <w:spacing w:before="40" w:after="40"/>
            </w:pPr>
            <w:r w:rsidRPr="00153C97">
              <w:t>A:</w:t>
            </w:r>
          </w:p>
          <w:p w14:paraId="56403FF4" w14:textId="69F66EA5" w:rsidR="0041544D" w:rsidRDefault="0041544D" w:rsidP="00153C97">
            <w:pPr>
              <w:tabs>
                <w:tab w:val="clear" w:pos="794"/>
                <w:tab w:val="left" w:pos="390"/>
              </w:tabs>
              <w:spacing w:before="40" w:after="40"/>
              <w:ind w:left="390" w:hanging="390"/>
            </w:pPr>
            <w:r w:rsidRPr="00153C97">
              <w:t>–</w:t>
            </w:r>
            <w:r w:rsidRPr="00153C97">
              <w:tab/>
            </w:r>
            <w:r w:rsidR="00446500" w:rsidRPr="00446500">
              <w:t>las Administraciones de los Estados Miembros de la Unión</w:t>
            </w:r>
            <w:r w:rsidRPr="00153C97">
              <w:t>;</w:t>
            </w:r>
          </w:p>
          <w:p w14:paraId="2DFFAF2C" w14:textId="27B21DF3" w:rsidR="00446500" w:rsidRPr="00153C97" w:rsidRDefault="00446500" w:rsidP="00153C97">
            <w:pPr>
              <w:tabs>
                <w:tab w:val="clear" w:pos="794"/>
                <w:tab w:val="left" w:pos="390"/>
              </w:tabs>
              <w:spacing w:before="40" w:after="40"/>
              <w:ind w:left="390" w:hanging="390"/>
            </w:pPr>
            <w:r w:rsidRPr="00153C97">
              <w:t>–</w:t>
            </w:r>
            <w:r w:rsidRPr="00153C97">
              <w:tab/>
            </w:r>
            <w:r w:rsidRPr="00446500">
              <w:t>el Estado de Palestina (Res.</w:t>
            </w:r>
            <w:r w:rsidR="00340A8C">
              <w:t> </w:t>
            </w:r>
            <w:r w:rsidRPr="00446500">
              <w:t>99 (Rev.</w:t>
            </w:r>
            <w:r w:rsidR="00340A8C">
              <w:t> </w:t>
            </w:r>
            <w:r w:rsidRPr="00446500">
              <w:t>Dubái,</w:t>
            </w:r>
            <w:r w:rsidR="00340A8C">
              <w:t> </w:t>
            </w:r>
            <w:r w:rsidRPr="00446500">
              <w:t>2018));</w:t>
            </w:r>
          </w:p>
          <w:p w14:paraId="79E247B5" w14:textId="13129E2F" w:rsidR="0041544D" w:rsidRPr="00153C97" w:rsidRDefault="0041544D" w:rsidP="00446500">
            <w:pPr>
              <w:tabs>
                <w:tab w:val="clear" w:pos="794"/>
                <w:tab w:val="left" w:pos="390"/>
              </w:tabs>
              <w:spacing w:before="40" w:after="40"/>
            </w:pPr>
            <w:r w:rsidRPr="00153C97">
              <w:t>–</w:t>
            </w:r>
            <w:r w:rsidRPr="00153C97">
              <w:tab/>
            </w:r>
            <w:r w:rsidR="00446500" w:rsidRPr="00446500">
              <w:rPr>
                <w:lang w:val="es-ES"/>
              </w:rPr>
              <w:t>los Miembros de Sector del UIT</w:t>
            </w:r>
            <w:r w:rsidR="00340A8C">
              <w:rPr>
                <w:lang w:val="es-ES"/>
              </w:rPr>
              <w:noBreakHyphen/>
            </w:r>
            <w:r w:rsidR="00446500" w:rsidRPr="00446500">
              <w:rPr>
                <w:lang w:val="es-ES"/>
              </w:rPr>
              <w:t>T</w:t>
            </w:r>
            <w:r w:rsidRPr="00153C97">
              <w:t>;</w:t>
            </w:r>
          </w:p>
          <w:p w14:paraId="78E5E34F" w14:textId="3F3C2D28" w:rsidR="0041544D" w:rsidRPr="00153C97" w:rsidRDefault="0041544D" w:rsidP="00446500">
            <w:pPr>
              <w:tabs>
                <w:tab w:val="clear" w:pos="794"/>
                <w:tab w:val="left" w:pos="390"/>
              </w:tabs>
              <w:spacing w:before="40" w:after="40"/>
              <w:ind w:left="390" w:hanging="390"/>
            </w:pPr>
            <w:r w:rsidRPr="00153C97">
              <w:t>–</w:t>
            </w:r>
            <w:r w:rsidRPr="00153C97">
              <w:tab/>
            </w:r>
            <w:r w:rsidR="00446500" w:rsidRPr="00446500">
              <w:rPr>
                <w:lang w:val="es-ES"/>
              </w:rPr>
              <w:t>los Asociados que participan en los trabajos de la Comisión de Estudio</w:t>
            </w:r>
            <w:r w:rsidR="00340A8C">
              <w:rPr>
                <w:lang w:val="es-ES"/>
              </w:rPr>
              <w:t> </w:t>
            </w:r>
            <w:r w:rsidR="006643D3">
              <w:rPr>
                <w:lang w:val="es-ES"/>
              </w:rPr>
              <w:t>21</w:t>
            </w:r>
            <w:r w:rsidR="006C55A5">
              <w:rPr>
                <w:lang w:val="es-ES"/>
              </w:rPr>
              <w:t xml:space="preserve"> del UIT</w:t>
            </w:r>
            <w:r w:rsidR="006C55A5">
              <w:rPr>
                <w:lang w:val="es-ES"/>
              </w:rPr>
              <w:noBreakHyphen/>
              <w:t>T</w:t>
            </w:r>
            <w:r w:rsidRPr="00153C97">
              <w:t>;</w:t>
            </w:r>
          </w:p>
          <w:p w14:paraId="4D1D965E" w14:textId="3D1C468E" w:rsidR="002545AA" w:rsidRPr="00153C97" w:rsidRDefault="0041544D" w:rsidP="00153C97">
            <w:pPr>
              <w:tabs>
                <w:tab w:val="clear" w:pos="794"/>
                <w:tab w:val="left" w:pos="390"/>
              </w:tabs>
              <w:spacing w:before="40" w:after="40"/>
            </w:pPr>
            <w:r w:rsidRPr="00153C97">
              <w:t>–</w:t>
            </w:r>
            <w:r w:rsidRPr="00153C97">
              <w:tab/>
            </w:r>
            <w:r w:rsidR="00446500" w:rsidRPr="00446500">
              <w:t>las Instituciones Académicas de la</w:t>
            </w:r>
            <w:r w:rsidR="00340A8C">
              <w:t> </w:t>
            </w:r>
            <w:r w:rsidR="00446500" w:rsidRPr="00446500">
              <w:t>UIT</w:t>
            </w:r>
          </w:p>
        </w:tc>
      </w:tr>
      <w:tr w:rsidR="002545AA" w:rsidRPr="00E35001" w14:paraId="2EF8A298" w14:textId="77777777" w:rsidTr="006643D3">
        <w:trPr>
          <w:cantSplit/>
        </w:trPr>
        <w:tc>
          <w:tcPr>
            <w:tcW w:w="1126" w:type="dxa"/>
          </w:tcPr>
          <w:p w14:paraId="4157559E" w14:textId="77777777" w:rsidR="002545AA" w:rsidRPr="00153C97" w:rsidRDefault="002545AA" w:rsidP="00153C97">
            <w:pPr>
              <w:spacing w:before="40" w:after="40"/>
            </w:pPr>
            <w:r w:rsidRPr="00153C97">
              <w:t>Tel.:</w:t>
            </w:r>
          </w:p>
        </w:tc>
        <w:tc>
          <w:tcPr>
            <w:tcW w:w="3346" w:type="dxa"/>
          </w:tcPr>
          <w:p w14:paraId="4E7C6265" w14:textId="06E27BE2" w:rsidR="002545AA" w:rsidRPr="00E35001" w:rsidRDefault="00446500" w:rsidP="00153C97">
            <w:pPr>
              <w:spacing w:before="40" w:after="40"/>
            </w:pPr>
            <w:r w:rsidRPr="00446500">
              <w:t>+41 22</w:t>
            </w:r>
            <w:r>
              <w:t xml:space="preserve"> </w:t>
            </w:r>
            <w:r w:rsidRPr="00446500">
              <w:t>730 5858</w:t>
            </w:r>
          </w:p>
        </w:tc>
        <w:tc>
          <w:tcPr>
            <w:tcW w:w="5167"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6643D3">
        <w:trPr>
          <w:cantSplit/>
        </w:trPr>
        <w:tc>
          <w:tcPr>
            <w:tcW w:w="1126" w:type="dxa"/>
          </w:tcPr>
          <w:p w14:paraId="1382796A" w14:textId="77777777" w:rsidR="002545AA" w:rsidRPr="00153C97" w:rsidRDefault="002545AA" w:rsidP="00153C97">
            <w:pPr>
              <w:spacing w:before="40" w:after="40"/>
            </w:pPr>
            <w:r w:rsidRPr="00153C97">
              <w:t>Fax:</w:t>
            </w:r>
          </w:p>
        </w:tc>
        <w:tc>
          <w:tcPr>
            <w:tcW w:w="3346" w:type="dxa"/>
          </w:tcPr>
          <w:p w14:paraId="0F7882F8" w14:textId="77777777" w:rsidR="002545AA" w:rsidRPr="00E35001" w:rsidRDefault="002545AA" w:rsidP="00153C97">
            <w:pPr>
              <w:spacing w:before="40" w:after="40"/>
            </w:pPr>
            <w:r w:rsidRPr="00E35001">
              <w:t>+41 22 730 5853</w:t>
            </w:r>
          </w:p>
        </w:tc>
        <w:tc>
          <w:tcPr>
            <w:tcW w:w="5167"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6643D3">
        <w:trPr>
          <w:cantSplit/>
        </w:trPr>
        <w:tc>
          <w:tcPr>
            <w:tcW w:w="1126" w:type="dxa"/>
          </w:tcPr>
          <w:p w14:paraId="4CEB4CD3" w14:textId="77777777" w:rsidR="002545AA" w:rsidRPr="00153C97" w:rsidRDefault="002545AA" w:rsidP="00153C97">
            <w:pPr>
              <w:spacing w:before="40" w:after="40"/>
            </w:pPr>
            <w:r w:rsidRPr="00153C97">
              <w:t>Correo-e:</w:t>
            </w:r>
          </w:p>
        </w:tc>
        <w:tc>
          <w:tcPr>
            <w:tcW w:w="3346" w:type="dxa"/>
          </w:tcPr>
          <w:p w14:paraId="79EF25F3" w14:textId="3AB9027E" w:rsidR="002545AA" w:rsidRPr="00E35001" w:rsidRDefault="00446500" w:rsidP="00153C97">
            <w:pPr>
              <w:spacing w:before="40" w:after="40"/>
            </w:pPr>
            <w:hyperlink r:id="rId9" w:history="1">
              <w:r w:rsidRPr="00187758">
                <w:rPr>
                  <w:rStyle w:val="Hyperlink"/>
                </w:rPr>
                <w:t>tsbsg21@itu.int</w:t>
              </w:r>
            </w:hyperlink>
          </w:p>
        </w:tc>
        <w:tc>
          <w:tcPr>
            <w:tcW w:w="5167"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6643D3">
        <w:trPr>
          <w:cantSplit/>
        </w:trPr>
        <w:tc>
          <w:tcPr>
            <w:tcW w:w="1126" w:type="dxa"/>
          </w:tcPr>
          <w:p w14:paraId="343F5A94" w14:textId="77777777" w:rsidR="002545AA" w:rsidRPr="00153C97" w:rsidRDefault="002545AA" w:rsidP="00153C97">
            <w:pPr>
              <w:spacing w:before="40" w:after="40"/>
            </w:pPr>
            <w:r w:rsidRPr="00153C97">
              <w:t>Web:</w:t>
            </w:r>
          </w:p>
        </w:tc>
        <w:tc>
          <w:tcPr>
            <w:tcW w:w="3346" w:type="dxa"/>
          </w:tcPr>
          <w:p w14:paraId="7D82AF90" w14:textId="32977027" w:rsidR="002545AA" w:rsidRPr="00E35001" w:rsidRDefault="00446500" w:rsidP="00153C97">
            <w:pPr>
              <w:spacing w:before="40" w:after="40"/>
            </w:pPr>
            <w:hyperlink r:id="rId10" w:history="1">
              <w:r w:rsidRPr="00187758">
                <w:rPr>
                  <w:rStyle w:val="Hyperlink"/>
                </w:rPr>
                <w:t>https://itu.int/go/tsg21</w:t>
              </w:r>
            </w:hyperlink>
          </w:p>
        </w:tc>
        <w:tc>
          <w:tcPr>
            <w:tcW w:w="5167"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67472B">
        <w:trPr>
          <w:cantSplit/>
        </w:trPr>
        <w:tc>
          <w:tcPr>
            <w:tcW w:w="1126" w:type="dxa"/>
          </w:tcPr>
          <w:p w14:paraId="6F8AF874" w14:textId="77777777" w:rsidR="002545AA" w:rsidRPr="00153C97" w:rsidRDefault="002545AA" w:rsidP="00153C97">
            <w:r w:rsidRPr="00153C97">
              <w:t>Asunto:</w:t>
            </w:r>
          </w:p>
        </w:tc>
        <w:tc>
          <w:tcPr>
            <w:tcW w:w="8513" w:type="dxa"/>
            <w:gridSpan w:val="2"/>
          </w:tcPr>
          <w:p w14:paraId="416A77CC" w14:textId="15722F79" w:rsidR="002545AA" w:rsidRPr="00153C97" w:rsidRDefault="00446500" w:rsidP="00153C97">
            <w:pPr>
              <w:rPr>
                <w:b/>
                <w:bCs/>
              </w:rPr>
            </w:pPr>
            <w:r w:rsidRPr="00446500">
              <w:rPr>
                <w:b/>
                <w:bCs/>
              </w:rPr>
              <w:t>Reunión de la Comisión de Estudio 21; Ginebra, 6-17 de octubre de 2025</w:t>
            </w:r>
          </w:p>
        </w:tc>
      </w:tr>
    </w:tbl>
    <w:p w14:paraId="2912638F" w14:textId="77777777" w:rsidR="002545AA" w:rsidRPr="00E35001" w:rsidRDefault="002545AA" w:rsidP="00C73426">
      <w:pPr>
        <w:pStyle w:val="Normalaftertitle"/>
      </w:pPr>
      <w:bookmarkStart w:id="0" w:name="ditulogo"/>
      <w:bookmarkEnd w:id="0"/>
      <w:r w:rsidRPr="00E35001">
        <w:t>Muy Señora mía/Muy Señor mío:</w:t>
      </w:r>
    </w:p>
    <w:p w14:paraId="45A6B6EF" w14:textId="4FC0BA6F" w:rsidR="0032353F" w:rsidRPr="0032353F" w:rsidRDefault="0032353F" w:rsidP="0032353F">
      <w:pPr>
        <w:rPr>
          <w:lang w:val="es-ES"/>
        </w:rPr>
      </w:pPr>
      <w:r w:rsidRPr="0032353F">
        <w:rPr>
          <w:lang w:val="es-ES"/>
        </w:rPr>
        <w:t>Me complace invitarle a participar en la próxima reunión de la Comisión de Estudio</w:t>
      </w:r>
      <w:r w:rsidR="00340A8C">
        <w:rPr>
          <w:lang w:val="es-ES"/>
        </w:rPr>
        <w:t> </w:t>
      </w:r>
      <w:r w:rsidRPr="0032353F">
        <w:rPr>
          <w:lang w:val="es-ES"/>
        </w:rPr>
        <w:t>21 del</w:t>
      </w:r>
      <w:r w:rsidR="00340A8C">
        <w:rPr>
          <w:lang w:val="es-ES"/>
        </w:rPr>
        <w:t> </w:t>
      </w:r>
      <w:r w:rsidRPr="0032353F">
        <w:rPr>
          <w:lang w:val="es-ES"/>
        </w:rPr>
        <w:t>UIT</w:t>
      </w:r>
      <w:r w:rsidR="00340A8C">
        <w:rPr>
          <w:lang w:val="es-ES"/>
        </w:rPr>
        <w:noBreakHyphen/>
      </w:r>
      <w:r w:rsidRPr="0032353F">
        <w:rPr>
          <w:lang w:val="es-ES"/>
        </w:rPr>
        <w:t>T (Tecnologías para los multimedios, la entrega de contenidos y la televisión por cable), que está previsto celebrar en la Sede de la UIT, en Ginebra, del 6 al 17 de octubre de 2025, ambos inclusive.</w:t>
      </w:r>
    </w:p>
    <w:p w14:paraId="27C4D8C6" w14:textId="03F1F6AA" w:rsidR="0032353F" w:rsidRPr="0032353F" w:rsidRDefault="0032353F" w:rsidP="0032353F">
      <w:pPr>
        <w:rPr>
          <w:lang w:val="es-ES"/>
        </w:rPr>
      </w:pPr>
      <w:r w:rsidRPr="0032353F">
        <w:rPr>
          <w:lang w:val="es-ES"/>
        </w:rPr>
        <w:t>La</w:t>
      </w:r>
      <w:r w:rsidR="004A0F0A">
        <w:rPr>
          <w:lang w:val="es-ES"/>
        </w:rPr>
        <w:t> </w:t>
      </w:r>
      <w:r w:rsidRPr="0032353F">
        <w:rPr>
          <w:lang w:val="es-ES"/>
        </w:rPr>
        <w:t>AMNT</w:t>
      </w:r>
      <w:r w:rsidR="004A0F0A">
        <w:rPr>
          <w:lang w:val="es-ES"/>
        </w:rPr>
        <w:noBreakHyphen/>
      </w:r>
      <w:r w:rsidRPr="0032353F">
        <w:rPr>
          <w:lang w:val="es-ES"/>
        </w:rPr>
        <w:t>24 creó la Comisión de Estudio</w:t>
      </w:r>
      <w:r w:rsidR="00340A8C">
        <w:rPr>
          <w:lang w:val="es-ES"/>
        </w:rPr>
        <w:t> </w:t>
      </w:r>
      <w:r w:rsidRPr="0032353F">
        <w:rPr>
          <w:lang w:val="es-ES"/>
        </w:rPr>
        <w:t>21 del</w:t>
      </w:r>
      <w:r w:rsidR="00340A8C">
        <w:rPr>
          <w:lang w:val="es-ES"/>
        </w:rPr>
        <w:t> </w:t>
      </w:r>
      <w:r w:rsidRPr="0032353F">
        <w:rPr>
          <w:lang w:val="es-ES"/>
        </w:rPr>
        <w:t>UIT</w:t>
      </w:r>
      <w:r w:rsidR="00340A8C">
        <w:rPr>
          <w:lang w:val="es-ES"/>
        </w:rPr>
        <w:noBreakHyphen/>
      </w:r>
      <w:r w:rsidRPr="0032353F">
        <w:rPr>
          <w:lang w:val="es-ES"/>
        </w:rPr>
        <w:t>T como consolidación de las Comisiones de Estudio</w:t>
      </w:r>
      <w:r w:rsidR="00340A8C">
        <w:rPr>
          <w:lang w:val="es-ES"/>
        </w:rPr>
        <w:t> </w:t>
      </w:r>
      <w:r w:rsidRPr="0032353F">
        <w:rPr>
          <w:lang w:val="es-ES"/>
        </w:rPr>
        <w:t>9 y 16 del</w:t>
      </w:r>
      <w:r w:rsidR="00340A8C">
        <w:rPr>
          <w:lang w:val="es-ES"/>
        </w:rPr>
        <w:t> </w:t>
      </w:r>
      <w:r w:rsidRPr="0032353F">
        <w:rPr>
          <w:lang w:val="es-ES"/>
        </w:rPr>
        <w:t>UIT</w:t>
      </w:r>
      <w:r w:rsidR="00340A8C">
        <w:rPr>
          <w:lang w:val="es-ES"/>
        </w:rPr>
        <w:noBreakHyphen/>
      </w:r>
      <w:r w:rsidRPr="0032353F">
        <w:rPr>
          <w:lang w:val="es-ES"/>
        </w:rPr>
        <w:t>T que existieron en periodos de estudio anteriores y se encarga de los estudios relativos a tecnologías, capacidades, sistemas, aplicaciones y servicios multimedios para las redes existentes y futuras, incluidas las redes basadas en el protocolo Internet y las redes basadas en cable.</w:t>
      </w:r>
    </w:p>
    <w:p w14:paraId="45BCF7A0" w14:textId="122C5141" w:rsidR="0032353F" w:rsidRPr="0032353F" w:rsidRDefault="0032353F" w:rsidP="0032353F">
      <w:pPr>
        <w:rPr>
          <w:lang w:val="es-ES"/>
        </w:rPr>
      </w:pPr>
      <w:r w:rsidRPr="0032353F">
        <w:rPr>
          <w:lang w:val="es-ES"/>
        </w:rPr>
        <w:t>Durante el mismo periodo se celebrarán varias otras reuniones, entre ellas la del Equipo Mixto de Expertos en Vídeo (</w:t>
      </w:r>
      <w:hyperlink r:id="rId11" w:history="1">
        <w:r w:rsidRPr="0032353F">
          <w:rPr>
            <w:rStyle w:val="Hyperlink"/>
            <w:lang w:val="es-ES"/>
          </w:rPr>
          <w:t>JV</w:t>
        </w:r>
        <w:r w:rsidRPr="0032353F">
          <w:rPr>
            <w:rStyle w:val="Hyperlink"/>
            <w:lang w:val="es-ES"/>
          </w:rPr>
          <w:t>E</w:t>
        </w:r>
        <w:r w:rsidRPr="0032353F">
          <w:rPr>
            <w:rStyle w:val="Hyperlink"/>
            <w:lang w:val="es-ES"/>
          </w:rPr>
          <w:t>T</w:t>
        </w:r>
      </w:hyperlink>
      <w:r w:rsidRPr="0032353F">
        <w:rPr>
          <w:lang w:val="es-ES"/>
        </w:rPr>
        <w:t>) (3</w:t>
      </w:r>
      <w:r w:rsidR="0095690F">
        <w:rPr>
          <w:lang w:val="es-ES"/>
        </w:rPr>
        <w:noBreakHyphen/>
      </w:r>
      <w:r w:rsidRPr="0032353F">
        <w:rPr>
          <w:lang w:val="es-ES"/>
        </w:rPr>
        <w:t>12 de octubre de</w:t>
      </w:r>
      <w:r w:rsidR="006643D3">
        <w:rPr>
          <w:lang w:val="es-ES"/>
        </w:rPr>
        <w:t> </w:t>
      </w:r>
      <w:r w:rsidRPr="0032353F">
        <w:rPr>
          <w:lang w:val="es-ES"/>
        </w:rPr>
        <w:t>2025), el JTC1</w:t>
      </w:r>
      <w:r w:rsidR="00340A8C">
        <w:rPr>
          <w:lang w:val="es-ES"/>
        </w:rPr>
        <w:t> </w:t>
      </w:r>
      <w:r w:rsidRPr="0032353F">
        <w:rPr>
          <w:lang w:val="es-ES"/>
        </w:rPr>
        <w:t xml:space="preserve">SC29 de ISO/CEI y sus </w:t>
      </w:r>
      <w:hyperlink r:id="rId12" w:history="1">
        <w:r w:rsidRPr="0032353F">
          <w:rPr>
            <w:rStyle w:val="Hyperlink"/>
            <w:lang w:val="es-ES"/>
          </w:rPr>
          <w:t>GT relacionados co</w:t>
        </w:r>
        <w:r w:rsidRPr="0032353F">
          <w:rPr>
            <w:rStyle w:val="Hyperlink"/>
            <w:lang w:val="es-ES"/>
          </w:rPr>
          <w:t>n</w:t>
        </w:r>
        <w:r w:rsidRPr="0032353F">
          <w:rPr>
            <w:rStyle w:val="Hyperlink"/>
            <w:lang w:val="es-ES"/>
          </w:rPr>
          <w:t xml:space="preserve"> MPEG</w:t>
        </w:r>
      </w:hyperlink>
      <w:r w:rsidRPr="0032353F">
        <w:rPr>
          <w:lang w:val="es-ES"/>
        </w:rPr>
        <w:t xml:space="preserve"> (7</w:t>
      </w:r>
      <w:r w:rsidR="0095690F">
        <w:rPr>
          <w:lang w:val="es-ES"/>
        </w:rPr>
        <w:noBreakHyphen/>
      </w:r>
      <w:r w:rsidRPr="0032353F">
        <w:rPr>
          <w:lang w:val="es-ES"/>
        </w:rPr>
        <w:t>11</w:t>
      </w:r>
      <w:r w:rsidR="0095690F">
        <w:rPr>
          <w:lang w:val="es-ES"/>
        </w:rPr>
        <w:t> </w:t>
      </w:r>
      <w:r w:rsidRPr="0032353F">
        <w:rPr>
          <w:lang w:val="es-ES"/>
        </w:rPr>
        <w:t>de octubre de</w:t>
      </w:r>
      <w:r w:rsidR="006643D3">
        <w:rPr>
          <w:lang w:val="es-ES"/>
        </w:rPr>
        <w:t> </w:t>
      </w:r>
      <w:r w:rsidRPr="0032353F">
        <w:rPr>
          <w:lang w:val="es-ES"/>
        </w:rPr>
        <w:t>2025). Cabe señalar que la inscripción para cada uno de estos eventos se realizará por separado de la inscripción a la Comisión de Estudio</w:t>
      </w:r>
      <w:r w:rsidR="0095690F">
        <w:rPr>
          <w:lang w:val="es-ES"/>
        </w:rPr>
        <w:t> </w:t>
      </w:r>
      <w:r w:rsidRPr="0032353F">
        <w:rPr>
          <w:lang w:val="es-ES"/>
        </w:rPr>
        <w:t>21.</w:t>
      </w:r>
    </w:p>
    <w:p w14:paraId="7D748AD7" w14:textId="342E17AA" w:rsidR="0032353F" w:rsidRPr="0032353F" w:rsidRDefault="0032353F" w:rsidP="0032353F">
      <w:pPr>
        <w:rPr>
          <w:lang w:val="es-ES"/>
        </w:rPr>
      </w:pPr>
      <w:r w:rsidRPr="0032353F">
        <w:rPr>
          <w:lang w:val="es-ES"/>
        </w:rPr>
        <w:t xml:space="preserve">Deseo llamar su atención sobre la </w:t>
      </w:r>
      <w:hyperlink r:id="rId13" w:history="1">
        <w:r w:rsidRPr="0032353F">
          <w:rPr>
            <w:rStyle w:val="Hyperlink"/>
            <w:lang w:val="es-ES"/>
          </w:rPr>
          <w:t>Circular</w:t>
        </w:r>
        <w:r w:rsidR="0095690F">
          <w:rPr>
            <w:rStyle w:val="Hyperlink"/>
            <w:lang w:val="es-ES"/>
          </w:rPr>
          <w:t> </w:t>
        </w:r>
        <w:r w:rsidRPr="0032353F">
          <w:rPr>
            <w:rStyle w:val="Hyperlink"/>
            <w:lang w:val="es-ES"/>
          </w:rPr>
          <w:t>TSB</w:t>
        </w:r>
        <w:r w:rsidR="0095690F">
          <w:rPr>
            <w:rStyle w:val="Hyperlink"/>
            <w:lang w:val="es-ES"/>
          </w:rPr>
          <w:t> </w:t>
        </w:r>
        <w:r w:rsidRPr="0032353F">
          <w:rPr>
            <w:rStyle w:val="Hyperlink"/>
            <w:lang w:val="es-ES"/>
          </w:rPr>
          <w:t>24</w:t>
        </w:r>
      </w:hyperlink>
      <w:r w:rsidRPr="0032353F">
        <w:rPr>
          <w:lang w:val="es-ES"/>
        </w:rPr>
        <w:t xml:space="preserve"> (15 de abril de</w:t>
      </w:r>
      <w:r w:rsidR="006643D3">
        <w:rPr>
          <w:lang w:val="es-ES"/>
        </w:rPr>
        <w:t> </w:t>
      </w:r>
      <w:r w:rsidRPr="0032353F">
        <w:rPr>
          <w:lang w:val="es-ES"/>
        </w:rPr>
        <w:t>2025), relativa a la consulta a los Estados Miembros del TAP sobre los proyectos determinados de Recomendación</w:t>
      </w:r>
      <w:r w:rsidR="00340A8C">
        <w:rPr>
          <w:lang w:val="es-ES"/>
        </w:rPr>
        <w:t> </w:t>
      </w:r>
      <w:r w:rsidRPr="0032353F">
        <w:rPr>
          <w:lang w:val="es-ES"/>
        </w:rPr>
        <w:t>UIT</w:t>
      </w:r>
      <w:r w:rsidR="00340A8C">
        <w:rPr>
          <w:lang w:val="es-ES"/>
        </w:rPr>
        <w:noBreakHyphen/>
      </w:r>
      <w:r w:rsidRPr="0032353F">
        <w:rPr>
          <w:lang w:val="es-ES"/>
        </w:rPr>
        <w:t>T F.748.56 (ex</w:t>
      </w:r>
      <w:r w:rsidR="00340A8C">
        <w:rPr>
          <w:lang w:val="es-ES"/>
        </w:rPr>
        <w:t> </w:t>
      </w:r>
      <w:r w:rsidRPr="0032353F">
        <w:rPr>
          <w:lang w:val="es-ES"/>
        </w:rPr>
        <w:t>F.AIGC</w:t>
      </w:r>
      <w:r w:rsidR="00340A8C">
        <w:rPr>
          <w:lang w:val="es-ES"/>
        </w:rPr>
        <w:noBreakHyphen/>
      </w:r>
      <w:r w:rsidRPr="0032353F">
        <w:rPr>
          <w:lang w:val="es-ES"/>
        </w:rPr>
        <w:t>GFR) "Contenido generado por inteligencia artificial: marco general y requisitos" y F.748.57 (ex</w:t>
      </w:r>
      <w:r w:rsidR="00340A8C">
        <w:rPr>
          <w:lang w:val="es-ES"/>
        </w:rPr>
        <w:t> </w:t>
      </w:r>
      <w:r w:rsidRPr="0032353F">
        <w:rPr>
          <w:lang w:val="es-ES"/>
        </w:rPr>
        <w:t>F.RA</w:t>
      </w:r>
      <w:r w:rsidR="00340A8C">
        <w:rPr>
          <w:lang w:val="es-ES"/>
        </w:rPr>
        <w:noBreakHyphen/>
      </w:r>
      <w:r w:rsidRPr="0032353F">
        <w:rPr>
          <w:lang w:val="es-ES"/>
        </w:rPr>
        <w:t>GAI) "Requisitos técnicos y métodos de evaluación de las aplicaciones multimedios facilitadas por la inteligencia artificial generativa". Se recuerda a los Estados Miembros que el plazo para responder a esta consulta expira a las 23.59 horas UTC del</w:t>
      </w:r>
      <w:r w:rsidRPr="0032353F">
        <w:rPr>
          <w:b/>
          <w:bCs/>
          <w:lang w:val="es-ES"/>
        </w:rPr>
        <w:t xml:space="preserve"> 24 de septiembre de</w:t>
      </w:r>
      <w:r w:rsidR="00340A8C">
        <w:rPr>
          <w:b/>
          <w:bCs/>
          <w:lang w:val="es-ES"/>
        </w:rPr>
        <w:t> </w:t>
      </w:r>
      <w:r w:rsidRPr="0032353F">
        <w:rPr>
          <w:b/>
          <w:bCs/>
          <w:lang w:val="es-ES"/>
        </w:rPr>
        <w:t>2025</w:t>
      </w:r>
      <w:r w:rsidRPr="0032353F">
        <w:rPr>
          <w:lang w:val="es-ES"/>
        </w:rPr>
        <w:t>.</w:t>
      </w:r>
    </w:p>
    <w:p w14:paraId="7AFF5283" w14:textId="0838C761" w:rsidR="0032353F" w:rsidRPr="0032353F" w:rsidRDefault="0032353F" w:rsidP="0032353F">
      <w:pPr>
        <w:rPr>
          <w:lang w:val="es-ES"/>
        </w:rPr>
      </w:pPr>
      <w:r w:rsidRPr="0032353F">
        <w:rPr>
          <w:lang w:val="es-ES"/>
        </w:rPr>
        <w:t>La reunión comenzará a las 09.30</w:t>
      </w:r>
      <w:r w:rsidR="00340A8C">
        <w:rPr>
          <w:lang w:val="es-ES"/>
        </w:rPr>
        <w:t> </w:t>
      </w:r>
      <w:r w:rsidRPr="0032353F">
        <w:rPr>
          <w:lang w:val="es-ES"/>
        </w:rPr>
        <w:t>horas del primer día y los participantes podrán inscribirse a partir de las 08.30</w:t>
      </w:r>
      <w:r w:rsidR="00340A8C">
        <w:rPr>
          <w:lang w:val="es-ES"/>
        </w:rPr>
        <w:t> </w:t>
      </w:r>
      <w:r w:rsidRPr="0032353F">
        <w:rPr>
          <w:lang w:val="es-ES"/>
        </w:rPr>
        <w:t xml:space="preserve">horas en la </w:t>
      </w:r>
      <w:hyperlink r:id="rId14" w:history="1">
        <w:r w:rsidRPr="0032353F">
          <w:rPr>
            <w:rStyle w:val="Hyperlink"/>
            <w:lang w:val="es-ES"/>
          </w:rPr>
          <w:t>entrada del edificio de Montbrillant</w:t>
        </w:r>
      </w:hyperlink>
      <w:r w:rsidRPr="0032353F">
        <w:rPr>
          <w:lang w:val="es-ES"/>
        </w:rPr>
        <w:t>. Se dará información detallada sobre la atribución de salas de reunión en las pantallas situadas en las puertas de entrada de la Sede de la</w:t>
      </w:r>
      <w:r w:rsidR="00340A8C">
        <w:rPr>
          <w:lang w:val="es-ES"/>
        </w:rPr>
        <w:t> </w:t>
      </w:r>
      <w:r w:rsidRPr="0032353F">
        <w:rPr>
          <w:lang w:val="es-ES"/>
        </w:rPr>
        <w:t xml:space="preserve">UIT, y en línea </w:t>
      </w:r>
      <w:hyperlink r:id="rId15" w:history="1">
        <w:r w:rsidRPr="0032353F">
          <w:rPr>
            <w:rStyle w:val="Hyperlink"/>
            <w:lang w:val="es-ES"/>
          </w:rPr>
          <w:t>aquí</w:t>
        </w:r>
      </w:hyperlink>
      <w:r w:rsidRPr="0032353F">
        <w:rPr>
          <w:lang w:val="es-ES"/>
        </w:rPr>
        <w:t>.</w:t>
      </w:r>
    </w:p>
    <w:p w14:paraId="300D67E6" w14:textId="7D0A4E73" w:rsidR="0032353F" w:rsidRPr="0032353F" w:rsidRDefault="0032353F" w:rsidP="0032353F">
      <w:pPr>
        <w:rPr>
          <w:lang w:val="es-ES"/>
        </w:rPr>
      </w:pPr>
      <w:bookmarkStart w:id="1" w:name="_Hlk200536994"/>
      <w:r w:rsidRPr="0032353F">
        <w:rPr>
          <w:lang w:val="es-ES"/>
        </w:rPr>
        <w:t>Antes de la reunión, el 3 de septiembre de</w:t>
      </w:r>
      <w:r w:rsidR="00340A8C">
        <w:rPr>
          <w:lang w:val="es-ES"/>
        </w:rPr>
        <w:t> </w:t>
      </w:r>
      <w:r w:rsidRPr="0032353F">
        <w:rPr>
          <w:lang w:val="es-ES"/>
        </w:rPr>
        <w:t>2025 (13.00</w:t>
      </w:r>
      <w:r w:rsidR="001D32D9">
        <w:rPr>
          <w:lang w:val="es-ES"/>
        </w:rPr>
        <w:noBreakHyphen/>
      </w:r>
      <w:r w:rsidRPr="0032353F">
        <w:rPr>
          <w:lang w:val="es-ES"/>
        </w:rPr>
        <w:t>14.30</w:t>
      </w:r>
      <w:r w:rsidR="0095690F">
        <w:rPr>
          <w:lang w:val="es-ES"/>
        </w:rPr>
        <w:t> </w:t>
      </w:r>
      <w:r w:rsidRPr="0032353F">
        <w:rPr>
          <w:lang w:val="es-ES"/>
        </w:rPr>
        <w:t>horas, hora de Ginebra), se celebrará una sesión de formación interactiva en línea para los nuevos participantes en el marco del programa Reducción de la brecha de normalización. Se presentarán los métodos de trabajo de las Comisiones de Estudio del</w:t>
      </w:r>
      <w:r w:rsidR="00340A8C">
        <w:rPr>
          <w:lang w:val="es-ES"/>
        </w:rPr>
        <w:t> </w:t>
      </w:r>
      <w:r w:rsidRPr="0032353F">
        <w:rPr>
          <w:lang w:val="es-ES"/>
        </w:rPr>
        <w:t>UIT</w:t>
      </w:r>
      <w:r w:rsidR="00340A8C">
        <w:rPr>
          <w:lang w:val="es-ES"/>
        </w:rPr>
        <w:noBreakHyphen/>
      </w:r>
      <w:r w:rsidRPr="0032353F">
        <w:rPr>
          <w:lang w:val="es-ES"/>
        </w:rPr>
        <w:t xml:space="preserve">T, centrándose en la preparación, envío y presentación de contribuciones. Esta sesión está abierta a todos los </w:t>
      </w:r>
      <w:r w:rsidR="001D32D9" w:rsidRPr="0032353F">
        <w:rPr>
          <w:lang w:val="es-ES"/>
        </w:rPr>
        <w:t xml:space="preserve">Miembros </w:t>
      </w:r>
      <w:r w:rsidRPr="0032353F">
        <w:rPr>
          <w:lang w:val="es-ES"/>
        </w:rPr>
        <w:t>del</w:t>
      </w:r>
      <w:r w:rsidR="00340A8C">
        <w:rPr>
          <w:lang w:val="es-ES"/>
        </w:rPr>
        <w:t> </w:t>
      </w:r>
      <w:r w:rsidRPr="0032353F">
        <w:rPr>
          <w:lang w:val="es-ES"/>
        </w:rPr>
        <w:t>UIT</w:t>
      </w:r>
      <w:r w:rsidR="00340A8C">
        <w:rPr>
          <w:lang w:val="es-ES"/>
        </w:rPr>
        <w:noBreakHyphen/>
      </w:r>
      <w:r w:rsidRPr="0032353F">
        <w:rPr>
          <w:lang w:val="es-ES"/>
        </w:rPr>
        <w:t>T y no es necesario inscribirse. Además, se celebrará una sesión presencial durante la reunión de la Comisión de Estudio, sobre la base de los temas planteados durante la sesión en línea. La</w:t>
      </w:r>
      <w:r w:rsidR="00340A8C">
        <w:rPr>
          <w:lang w:val="es-ES"/>
        </w:rPr>
        <w:t> </w:t>
      </w:r>
      <w:r w:rsidRPr="0032353F">
        <w:rPr>
          <w:lang w:val="es-ES"/>
        </w:rPr>
        <w:t>TSB facilitará más información detallada a medida que se aproxime la fecha a través de las listas de correo de la CE</w:t>
      </w:r>
      <w:r w:rsidR="0095690F">
        <w:rPr>
          <w:lang w:val="es-ES"/>
        </w:rPr>
        <w:t> </w:t>
      </w:r>
      <w:r w:rsidRPr="0032353F">
        <w:rPr>
          <w:lang w:val="es-ES"/>
        </w:rPr>
        <w:t>21/todas.</w:t>
      </w:r>
    </w:p>
    <w:bookmarkEnd w:id="1"/>
    <w:p w14:paraId="0D57A339" w14:textId="74EE0857" w:rsidR="0032353F" w:rsidRPr="0032353F" w:rsidRDefault="0032353F" w:rsidP="00340A8C">
      <w:pPr>
        <w:keepNext/>
        <w:keepLines/>
        <w:rPr>
          <w:lang w:val="es-ES"/>
        </w:rPr>
      </w:pPr>
      <w:r w:rsidRPr="0032353F">
        <w:rPr>
          <w:lang w:val="es-ES"/>
        </w:rPr>
        <w:lastRenderedPageBreak/>
        <w:t xml:space="preserve">En el </w:t>
      </w:r>
      <w:r w:rsidRPr="0032353F">
        <w:rPr>
          <w:b/>
          <w:bCs/>
          <w:lang w:val="es-ES"/>
        </w:rPr>
        <w:t>Anexo</w:t>
      </w:r>
      <w:r w:rsidR="0095690F">
        <w:rPr>
          <w:b/>
          <w:bCs/>
          <w:lang w:val="es-ES"/>
        </w:rPr>
        <w:t> </w:t>
      </w:r>
      <w:r w:rsidRPr="0032353F">
        <w:rPr>
          <w:b/>
          <w:bCs/>
          <w:lang w:val="es-ES"/>
        </w:rPr>
        <w:t>A</w:t>
      </w:r>
      <w:r w:rsidRPr="0032353F">
        <w:rPr>
          <w:lang w:val="es-ES"/>
        </w:rPr>
        <w:t xml:space="preserve"> encontrará información práctica sobre la reunión. Se recuerda a los delegados que, conforme a las disposiciones en vigor, s</w:t>
      </w:r>
      <w:r w:rsidR="004A0F0A">
        <w:rPr>
          <w:lang w:val="es-ES"/>
        </w:rPr>
        <w:t>o</w:t>
      </w:r>
      <w:r w:rsidRPr="0032353F">
        <w:rPr>
          <w:lang w:val="es-ES"/>
        </w:rPr>
        <w:t>lo los presentes en la sala de reunión podrán participar en la toma de decisiones. En las sesiones plenarias de apertura y clausura se facilitarán servicios de participación interactiva a distancia (véase más información en el Anexo</w:t>
      </w:r>
      <w:r w:rsidR="0095690F">
        <w:rPr>
          <w:lang w:val="es-ES"/>
        </w:rPr>
        <w:t> </w:t>
      </w:r>
      <w:r w:rsidRPr="0032353F">
        <w:rPr>
          <w:lang w:val="es-ES"/>
        </w:rPr>
        <w:t>A).</w:t>
      </w:r>
    </w:p>
    <w:p w14:paraId="78844036" w14:textId="2C484FFD" w:rsidR="0041544D" w:rsidRPr="0041544D" w:rsidRDefault="0032353F" w:rsidP="0032353F">
      <w:pPr>
        <w:rPr>
          <w:lang w:val="es-ES"/>
        </w:rPr>
      </w:pPr>
      <w:r w:rsidRPr="0032353F">
        <w:rPr>
          <w:lang w:val="es-ES"/>
        </w:rPr>
        <w:t xml:space="preserve">En los </w:t>
      </w:r>
      <w:r w:rsidRPr="0032353F">
        <w:rPr>
          <w:b/>
          <w:bCs/>
          <w:lang w:val="es-ES"/>
        </w:rPr>
        <w:t>Anexos</w:t>
      </w:r>
      <w:r w:rsidR="0095690F">
        <w:rPr>
          <w:b/>
          <w:bCs/>
          <w:lang w:val="es-ES"/>
        </w:rPr>
        <w:t> </w:t>
      </w:r>
      <w:r w:rsidRPr="0032353F">
        <w:rPr>
          <w:b/>
          <w:bCs/>
          <w:lang w:val="es-ES"/>
        </w:rPr>
        <w:t>B y C</w:t>
      </w:r>
      <w:r w:rsidRPr="0032353F">
        <w:rPr>
          <w:lang w:val="es-ES"/>
        </w:rPr>
        <w:t xml:space="preserve"> figuran los </w:t>
      </w:r>
      <w:r w:rsidRPr="0032353F">
        <w:rPr>
          <w:b/>
          <w:bCs/>
          <w:lang w:val="es-ES"/>
        </w:rPr>
        <w:t>proyectos de orden del día y de calendario de la reunión</w:t>
      </w:r>
      <w:r w:rsidRPr="0032353F">
        <w:rPr>
          <w:lang w:val="es-ES"/>
        </w:rPr>
        <w:t>, preparados por el Presidente de la CE</w:t>
      </w:r>
      <w:r w:rsidR="0095690F">
        <w:rPr>
          <w:lang w:val="es-ES"/>
        </w:rPr>
        <w:t> </w:t>
      </w:r>
      <w:r w:rsidRPr="0032353F">
        <w:rPr>
          <w:lang w:val="es-ES"/>
        </w:rPr>
        <w:t>21, el Sr.</w:t>
      </w:r>
      <w:r w:rsidR="0095690F">
        <w:rPr>
          <w:lang w:val="es-ES"/>
        </w:rPr>
        <w:t> </w:t>
      </w:r>
      <w:r w:rsidRPr="0032353F">
        <w:rPr>
          <w:lang w:val="es-ES"/>
        </w:rPr>
        <w:t xml:space="preserve">Noah Luo (República Popular de China). El orden del día detallado, el proyecto de plan de trabajo y la información logística estarán disponibles y se actualizarán periódicamente en la </w:t>
      </w:r>
      <w:hyperlink r:id="rId16" w:history="1">
        <w:r w:rsidRPr="0032353F">
          <w:rPr>
            <w:rStyle w:val="Hyperlink"/>
            <w:lang w:val="es-ES"/>
          </w:rPr>
          <w:t>página de inicio de la C</w:t>
        </w:r>
        <w:r w:rsidRPr="0032353F">
          <w:rPr>
            <w:rStyle w:val="Hyperlink"/>
            <w:lang w:val="es-ES"/>
          </w:rPr>
          <w:t>o</w:t>
        </w:r>
        <w:r w:rsidRPr="0032353F">
          <w:rPr>
            <w:rStyle w:val="Hyperlink"/>
            <w:lang w:val="es-ES"/>
          </w:rPr>
          <w:t>misión de Estudio</w:t>
        </w:r>
      </w:hyperlink>
      <w:r w:rsidRPr="0032353F">
        <w:rPr>
          <w:lang w:val="es-ES"/>
        </w:rPr>
        <w:t>.</w:t>
      </w:r>
    </w:p>
    <w:p w14:paraId="31FD387F" w14:textId="25B9DD7D" w:rsidR="002545AA" w:rsidRPr="00E35001" w:rsidRDefault="0032353F" w:rsidP="002545AA">
      <w:pPr>
        <w:keepNext/>
        <w:keepLines/>
        <w:spacing w:after="120"/>
        <w:rPr>
          <w:b/>
          <w:bCs/>
        </w:rPr>
      </w:pPr>
      <w:r w:rsidRPr="0032353F">
        <w:rPr>
          <w:b/>
          <w:bCs/>
        </w:rPr>
        <w:t>Plazos clave</w:t>
      </w:r>
      <w:r w:rsidR="0041544D" w:rsidRPr="0041544D">
        <w:rPr>
          <w:b/>
          <w:bCs/>
        </w:rPr>
        <w:t>:</w:t>
      </w:r>
    </w:p>
    <w:tbl>
      <w:tblPr>
        <w:tblStyle w:val="TableGrid"/>
        <w:tblW w:w="9634" w:type="dxa"/>
        <w:tblLook w:val="04A0" w:firstRow="1" w:lastRow="0" w:firstColumn="1" w:lastColumn="0" w:noHBand="0" w:noVBand="1"/>
      </w:tblPr>
      <w:tblGrid>
        <w:gridCol w:w="2599"/>
        <w:gridCol w:w="7035"/>
      </w:tblGrid>
      <w:tr w:rsidR="002545AA" w:rsidRPr="00E35001" w14:paraId="48B40F47" w14:textId="77777777" w:rsidTr="008C6117">
        <w:tc>
          <w:tcPr>
            <w:tcW w:w="2599" w:type="dxa"/>
          </w:tcPr>
          <w:p w14:paraId="5A6D2764" w14:textId="34F08CB8" w:rsidR="002545AA" w:rsidRPr="00E35001" w:rsidRDefault="0032353F" w:rsidP="008318E0">
            <w:pPr>
              <w:pStyle w:val="Tabletext0"/>
              <w:keepNext/>
              <w:keepLines/>
            </w:pPr>
            <w:r w:rsidRPr="0032353F">
              <w:t>6 de agosto de 2025</w:t>
            </w:r>
          </w:p>
        </w:tc>
        <w:tc>
          <w:tcPr>
            <w:tcW w:w="7035" w:type="dxa"/>
          </w:tcPr>
          <w:p w14:paraId="070AE47D" w14:textId="5B4F5540" w:rsidR="0041544D" w:rsidRPr="0041544D" w:rsidRDefault="0041544D" w:rsidP="0032353F">
            <w:pPr>
              <w:pStyle w:val="Tabletext0"/>
              <w:ind w:left="284" w:hanging="284"/>
              <w:rPr>
                <w:lang w:val="es-ES"/>
              </w:rPr>
            </w:pPr>
            <w:r w:rsidRPr="0041544D">
              <w:rPr>
                <w:lang w:val="es-ES"/>
              </w:rPr>
              <w:t>–</w:t>
            </w:r>
            <w:r w:rsidRPr="0041544D">
              <w:rPr>
                <w:lang w:val="es-ES"/>
              </w:rPr>
              <w:tab/>
            </w:r>
            <w:r w:rsidR="0032353F" w:rsidRPr="0032353F">
              <w:rPr>
                <w:lang w:val="es-ES"/>
              </w:rPr>
              <w:t>Presentación de solicitudes de subtitulado en tiempo real y/o de interpretación en lengua de signos</w:t>
            </w:r>
          </w:p>
          <w:p w14:paraId="288D1D91" w14:textId="6D3B4047" w:rsidR="002545AA" w:rsidRPr="008C6117" w:rsidRDefault="0041544D" w:rsidP="0032353F">
            <w:pPr>
              <w:pStyle w:val="Tabletext0"/>
              <w:ind w:left="284" w:hanging="284"/>
            </w:pPr>
            <w:r w:rsidRPr="008C6117">
              <w:rPr>
                <w:lang w:val="es-ES"/>
              </w:rPr>
              <w:t>–</w:t>
            </w:r>
            <w:r w:rsidRPr="008C6117">
              <w:rPr>
                <w:lang w:val="es-ES"/>
              </w:rPr>
              <w:tab/>
            </w:r>
            <w:hyperlink r:id="rId17" w:history="1">
              <w:r w:rsidR="0032353F" w:rsidRPr="0032353F">
                <w:rPr>
                  <w:rStyle w:val="Hyperlink"/>
                  <w:lang w:val="es-ES"/>
                </w:rPr>
                <w:t xml:space="preserve">Presentación de las contribuciones de los </w:t>
              </w:r>
              <w:r w:rsidR="001D32D9" w:rsidRPr="0032353F">
                <w:rPr>
                  <w:rStyle w:val="Hyperlink"/>
                  <w:lang w:val="es-ES"/>
                </w:rPr>
                <w:t>Miemb</w:t>
              </w:r>
              <w:r w:rsidR="001D32D9" w:rsidRPr="0032353F">
                <w:rPr>
                  <w:rStyle w:val="Hyperlink"/>
                  <w:lang w:val="es-ES"/>
                </w:rPr>
                <w:t>r</w:t>
              </w:r>
              <w:r w:rsidR="001D32D9" w:rsidRPr="0032353F">
                <w:rPr>
                  <w:rStyle w:val="Hyperlink"/>
                  <w:lang w:val="es-ES"/>
                </w:rPr>
                <w:t xml:space="preserve">os </w:t>
              </w:r>
              <w:r w:rsidR="0032353F" w:rsidRPr="0032353F">
                <w:rPr>
                  <w:rStyle w:val="Hyperlink"/>
                  <w:lang w:val="es-ES"/>
                </w:rPr>
                <w:t>del UIT</w:t>
              </w:r>
              <w:r w:rsidR="00340A8C">
                <w:rPr>
                  <w:rStyle w:val="Hyperlink"/>
                  <w:lang w:val="es-ES"/>
                </w:rPr>
                <w:noBreakHyphen/>
              </w:r>
              <w:r w:rsidR="0032353F" w:rsidRPr="0032353F">
                <w:rPr>
                  <w:rStyle w:val="Hyperlink"/>
                  <w:lang w:val="es-ES"/>
                </w:rPr>
                <w:t>T</w:t>
              </w:r>
            </w:hyperlink>
            <w:r w:rsidR="0032353F" w:rsidRPr="0032353F">
              <w:rPr>
                <w:lang w:val="es-ES"/>
              </w:rPr>
              <w:t xml:space="preserve"> para las que se requiera traducción</w:t>
            </w:r>
          </w:p>
        </w:tc>
      </w:tr>
      <w:tr w:rsidR="002545AA" w:rsidRPr="00E35001" w14:paraId="5A60AB5A" w14:textId="77777777" w:rsidTr="008318E0">
        <w:trPr>
          <w:cantSplit/>
        </w:trPr>
        <w:tc>
          <w:tcPr>
            <w:tcW w:w="2599" w:type="dxa"/>
          </w:tcPr>
          <w:p w14:paraId="3EBAFB33" w14:textId="288DE648" w:rsidR="002545AA" w:rsidRPr="00E35001" w:rsidRDefault="0032353F" w:rsidP="008C6117">
            <w:pPr>
              <w:pStyle w:val="Tabletext0"/>
            </w:pPr>
            <w:r w:rsidRPr="0032353F">
              <w:t>25 de agosto de 2025</w:t>
            </w:r>
          </w:p>
        </w:tc>
        <w:tc>
          <w:tcPr>
            <w:tcW w:w="7035" w:type="dxa"/>
          </w:tcPr>
          <w:p w14:paraId="44F5C23A" w14:textId="5848D285" w:rsidR="0041544D" w:rsidRPr="0041544D" w:rsidRDefault="0041544D" w:rsidP="0032353F">
            <w:pPr>
              <w:pStyle w:val="Tabletext0"/>
              <w:ind w:left="284" w:hanging="284"/>
              <w:rPr>
                <w:lang w:val="es-ES"/>
              </w:rPr>
            </w:pPr>
            <w:r w:rsidRPr="0041544D">
              <w:rPr>
                <w:lang w:val="es-ES"/>
              </w:rPr>
              <w:t>–</w:t>
            </w:r>
            <w:r w:rsidRPr="0041544D">
              <w:rPr>
                <w:lang w:val="es-ES"/>
              </w:rPr>
              <w:tab/>
            </w:r>
            <w:r w:rsidR="0032353F" w:rsidRPr="0032353F">
              <w:rPr>
                <w:lang w:val="es-ES"/>
              </w:rPr>
              <w:t xml:space="preserve">Presentación de solicitudes de becas (mediante los formularios que figuran en la </w:t>
            </w:r>
            <w:hyperlink r:id="rId18" w:history="1">
              <w:r w:rsidR="0032353F" w:rsidRPr="0032353F">
                <w:rPr>
                  <w:rStyle w:val="Hyperlink"/>
                  <w:lang w:val="es-ES"/>
                </w:rPr>
                <w:t xml:space="preserve">página </w:t>
              </w:r>
              <w:r w:rsidR="0032353F" w:rsidRPr="0032353F">
                <w:rPr>
                  <w:rStyle w:val="Hyperlink"/>
                  <w:lang w:val="es-ES"/>
                </w:rPr>
                <w:t>w</w:t>
              </w:r>
              <w:r w:rsidR="0032353F" w:rsidRPr="0032353F">
                <w:rPr>
                  <w:rStyle w:val="Hyperlink"/>
                  <w:lang w:val="es-ES"/>
                </w:rPr>
                <w:t>eb de la Comisión de Estudio</w:t>
              </w:r>
            </w:hyperlink>
            <w:r w:rsidR="0032353F" w:rsidRPr="0032353F">
              <w:rPr>
                <w:lang w:val="es-ES"/>
              </w:rPr>
              <w:t>; véanse los detalles en el Anexo</w:t>
            </w:r>
            <w:r w:rsidR="0095690F">
              <w:rPr>
                <w:lang w:val="es-ES"/>
              </w:rPr>
              <w:t> </w:t>
            </w:r>
            <w:r w:rsidR="0032353F" w:rsidRPr="0032353F">
              <w:rPr>
                <w:lang w:val="es-ES"/>
              </w:rPr>
              <w:t>A)</w:t>
            </w:r>
          </w:p>
          <w:p w14:paraId="09E968A8" w14:textId="31B3812B" w:rsidR="002545AA" w:rsidRPr="00E35001" w:rsidRDefault="0041544D" w:rsidP="0032353F">
            <w:pPr>
              <w:pStyle w:val="Tabletext0"/>
              <w:ind w:left="284" w:hanging="284"/>
            </w:pPr>
            <w:r w:rsidRPr="0041544D">
              <w:rPr>
                <w:lang w:val="es-ES"/>
              </w:rPr>
              <w:t>–</w:t>
            </w:r>
            <w:r w:rsidRPr="0041544D">
              <w:rPr>
                <w:lang w:val="es-ES"/>
              </w:rPr>
              <w:tab/>
            </w:r>
            <w:r w:rsidR="0032353F" w:rsidRPr="0032353F">
              <w:rPr>
                <w:lang w:val="es-ES"/>
              </w:rPr>
              <w:t>Presentación de solicitudes de interpretación (a través del formulario de inscripción en línea)</w:t>
            </w:r>
          </w:p>
        </w:tc>
      </w:tr>
      <w:tr w:rsidR="002545AA" w:rsidRPr="00E35001" w14:paraId="4A2A26DA" w14:textId="77777777" w:rsidTr="008C6117">
        <w:tc>
          <w:tcPr>
            <w:tcW w:w="2599" w:type="dxa"/>
          </w:tcPr>
          <w:p w14:paraId="499A8FFC" w14:textId="53C405EF" w:rsidR="002545AA" w:rsidRPr="008C6117" w:rsidRDefault="0032353F" w:rsidP="008C6117">
            <w:pPr>
              <w:pStyle w:val="Tabletext0"/>
            </w:pPr>
            <w:r w:rsidRPr="0032353F">
              <w:t>6 de septiembre de 2025</w:t>
            </w:r>
          </w:p>
        </w:tc>
        <w:tc>
          <w:tcPr>
            <w:tcW w:w="7035" w:type="dxa"/>
          </w:tcPr>
          <w:p w14:paraId="34496F67" w14:textId="0E2C1FFE" w:rsidR="0041544D" w:rsidRPr="0041544D" w:rsidRDefault="0041544D" w:rsidP="0032353F">
            <w:pPr>
              <w:pStyle w:val="Tabletext0"/>
              <w:ind w:left="284" w:hanging="284"/>
              <w:rPr>
                <w:lang w:val="es-ES"/>
              </w:rPr>
            </w:pPr>
            <w:r w:rsidRPr="0041544D">
              <w:rPr>
                <w:lang w:val="es-ES"/>
              </w:rPr>
              <w:t>–</w:t>
            </w:r>
            <w:r w:rsidRPr="0041544D">
              <w:rPr>
                <w:lang w:val="es-ES"/>
              </w:rPr>
              <w:tab/>
            </w:r>
            <w:r w:rsidR="0032353F" w:rsidRPr="0032353F">
              <w:rPr>
                <w:lang w:val="es-ES"/>
              </w:rPr>
              <w:t xml:space="preserve">Preinscripción (mediante el formulario de inscripción en línea de la </w:t>
            </w:r>
            <w:hyperlink r:id="rId19" w:history="1">
              <w:r w:rsidR="0032353F" w:rsidRPr="0032353F">
                <w:rPr>
                  <w:rStyle w:val="Hyperlink"/>
                  <w:lang w:val="es-ES"/>
                </w:rPr>
                <w:t>página w</w:t>
              </w:r>
              <w:r w:rsidR="0032353F" w:rsidRPr="0032353F">
                <w:rPr>
                  <w:rStyle w:val="Hyperlink"/>
                  <w:lang w:val="es-ES"/>
                </w:rPr>
                <w:t>e</w:t>
              </w:r>
              <w:r w:rsidR="0032353F" w:rsidRPr="0032353F">
                <w:rPr>
                  <w:rStyle w:val="Hyperlink"/>
                  <w:lang w:val="es-ES"/>
                </w:rPr>
                <w:t>b de la Comisión de Estudio</w:t>
              </w:r>
            </w:hyperlink>
            <w:r w:rsidR="0032353F" w:rsidRPr="0032353F">
              <w:rPr>
                <w:lang w:val="es-ES"/>
              </w:rPr>
              <w:t>)</w:t>
            </w:r>
          </w:p>
          <w:p w14:paraId="162FFDD9" w14:textId="793FEA43" w:rsidR="002545AA" w:rsidRPr="00E35001" w:rsidRDefault="0041544D" w:rsidP="0032353F">
            <w:pPr>
              <w:pStyle w:val="Tabletext0"/>
              <w:ind w:left="284" w:hanging="284"/>
            </w:pPr>
            <w:r w:rsidRPr="0041544D">
              <w:rPr>
                <w:lang w:val="es-ES"/>
              </w:rPr>
              <w:t>–</w:t>
            </w:r>
            <w:r w:rsidRPr="0041544D">
              <w:rPr>
                <w:lang w:val="es-ES"/>
              </w:rPr>
              <w:tab/>
            </w:r>
            <w:r w:rsidR="0032353F" w:rsidRPr="0032353F">
              <w:rPr>
                <w:lang w:val="es-ES"/>
              </w:rPr>
              <w:t>Presentación de solicitudes de cartas para la obtención de visados (mediante el formulario de inscripción en línea; véanse los detalles en el Anexo</w:t>
            </w:r>
            <w:r w:rsidR="0095690F">
              <w:rPr>
                <w:lang w:val="es-ES"/>
              </w:rPr>
              <w:t> </w:t>
            </w:r>
            <w:r w:rsidR="0032353F" w:rsidRPr="0032353F">
              <w:rPr>
                <w:lang w:val="es-ES"/>
              </w:rPr>
              <w:t>A)</w:t>
            </w:r>
          </w:p>
        </w:tc>
      </w:tr>
      <w:tr w:rsidR="002545AA" w:rsidRPr="00E35001" w14:paraId="4F31C926" w14:textId="77777777" w:rsidTr="008C6117">
        <w:tc>
          <w:tcPr>
            <w:tcW w:w="2599" w:type="dxa"/>
          </w:tcPr>
          <w:p w14:paraId="4E215BCD" w14:textId="68E95B50" w:rsidR="002545AA" w:rsidRPr="00E35001" w:rsidRDefault="0032353F" w:rsidP="0032353F">
            <w:pPr>
              <w:pStyle w:val="Tabletext0"/>
            </w:pPr>
            <w:r w:rsidRPr="0032353F">
              <w:rPr>
                <w:lang w:val="es-ES"/>
              </w:rPr>
              <w:t>23 de septiembre de 2025</w:t>
            </w:r>
          </w:p>
        </w:tc>
        <w:tc>
          <w:tcPr>
            <w:tcW w:w="7035" w:type="dxa"/>
          </w:tcPr>
          <w:p w14:paraId="70CBA2CF" w14:textId="59B7D9BF" w:rsidR="002545AA" w:rsidRPr="00E35001" w:rsidRDefault="0041544D" w:rsidP="0032353F">
            <w:pPr>
              <w:pStyle w:val="Tabletext0"/>
              <w:ind w:left="284" w:hanging="284"/>
            </w:pPr>
            <w:r w:rsidRPr="0041544D">
              <w:rPr>
                <w:lang w:val="es-ES"/>
              </w:rPr>
              <w:t>–</w:t>
            </w:r>
            <w:r w:rsidRPr="0041544D">
              <w:rPr>
                <w:lang w:val="es-ES"/>
              </w:rPr>
              <w:tab/>
            </w:r>
            <w:hyperlink r:id="rId20" w:history="1">
              <w:r w:rsidR="0032353F" w:rsidRPr="0032353F">
                <w:rPr>
                  <w:rStyle w:val="Hyperlink"/>
                  <w:lang w:val="es-ES"/>
                </w:rPr>
                <w:t>Presentación de las contribucion</w:t>
              </w:r>
              <w:r w:rsidR="0032353F" w:rsidRPr="0032353F">
                <w:rPr>
                  <w:rStyle w:val="Hyperlink"/>
                  <w:lang w:val="es-ES"/>
                </w:rPr>
                <w:t>e</w:t>
              </w:r>
              <w:r w:rsidR="0032353F" w:rsidRPr="0032353F">
                <w:rPr>
                  <w:rStyle w:val="Hyperlink"/>
                  <w:lang w:val="es-ES"/>
                </w:rPr>
                <w:t>s de los Miembros del UIT</w:t>
              </w:r>
              <w:r w:rsidR="00340A8C">
                <w:rPr>
                  <w:rStyle w:val="Hyperlink"/>
                  <w:lang w:val="es-ES"/>
                </w:rPr>
                <w:noBreakHyphen/>
              </w:r>
              <w:r w:rsidR="0032353F" w:rsidRPr="0032353F">
                <w:rPr>
                  <w:rStyle w:val="Hyperlink"/>
                  <w:lang w:val="es-ES"/>
                </w:rPr>
                <w:t>T (a través de la Publicación Directa de Documentos)</w:t>
              </w:r>
            </w:hyperlink>
          </w:p>
        </w:tc>
      </w:tr>
      <w:tr w:rsidR="0041544D" w:rsidRPr="00E35001" w14:paraId="3037CB14" w14:textId="77777777" w:rsidTr="008C6117">
        <w:tc>
          <w:tcPr>
            <w:tcW w:w="2599" w:type="dxa"/>
          </w:tcPr>
          <w:p w14:paraId="686B7D63" w14:textId="010540BF" w:rsidR="0041544D" w:rsidRPr="008C6117" w:rsidRDefault="0032353F" w:rsidP="0032353F">
            <w:pPr>
              <w:pStyle w:val="Tabletext0"/>
            </w:pPr>
            <w:r w:rsidRPr="0032353F">
              <w:rPr>
                <w:lang w:val="es-ES"/>
              </w:rPr>
              <w:t>24 de septiembre de 2025</w:t>
            </w:r>
          </w:p>
        </w:tc>
        <w:tc>
          <w:tcPr>
            <w:tcW w:w="7035" w:type="dxa"/>
          </w:tcPr>
          <w:p w14:paraId="7EB63C64" w14:textId="0E6020AA" w:rsidR="0041544D" w:rsidRPr="00E35001" w:rsidRDefault="0041544D" w:rsidP="0032353F">
            <w:pPr>
              <w:pStyle w:val="Tabletext0"/>
              <w:ind w:left="284" w:hanging="284"/>
            </w:pPr>
            <w:r w:rsidRPr="0041544D">
              <w:rPr>
                <w:lang w:val="es-ES"/>
              </w:rPr>
              <w:t>–</w:t>
            </w:r>
            <w:r w:rsidRPr="0041544D">
              <w:rPr>
                <w:lang w:val="es-ES"/>
              </w:rPr>
              <w:tab/>
            </w:r>
            <w:r w:rsidR="0032353F" w:rsidRPr="0032353F">
              <w:rPr>
                <w:lang w:val="es-ES"/>
              </w:rPr>
              <w:t>Presentación del formulario del Anexo</w:t>
            </w:r>
            <w:r w:rsidR="0095690F">
              <w:rPr>
                <w:lang w:val="es-ES"/>
              </w:rPr>
              <w:t> </w:t>
            </w:r>
            <w:r w:rsidR="0032353F" w:rsidRPr="0032353F">
              <w:rPr>
                <w:lang w:val="es-ES"/>
              </w:rPr>
              <w:t xml:space="preserve">2 a la </w:t>
            </w:r>
            <w:hyperlink r:id="rId21" w:history="1">
              <w:r w:rsidR="0032353F" w:rsidRPr="0032353F">
                <w:rPr>
                  <w:rStyle w:val="Hyperlink"/>
                  <w:lang w:val="es-ES"/>
                </w:rPr>
                <w:t>Circular</w:t>
              </w:r>
              <w:r w:rsidR="00340A8C">
                <w:rPr>
                  <w:rStyle w:val="Hyperlink"/>
                  <w:lang w:val="es-ES"/>
                </w:rPr>
                <w:t> </w:t>
              </w:r>
              <w:r w:rsidR="0032353F" w:rsidRPr="0032353F">
                <w:rPr>
                  <w:rStyle w:val="Hyperlink"/>
                  <w:lang w:val="es-ES"/>
                </w:rPr>
                <w:t>TSB</w:t>
              </w:r>
              <w:r w:rsidR="00340A8C">
                <w:rPr>
                  <w:rStyle w:val="Hyperlink"/>
                  <w:lang w:val="es-ES"/>
                </w:rPr>
                <w:t> </w:t>
              </w:r>
              <w:r w:rsidR="0032353F" w:rsidRPr="0032353F">
                <w:rPr>
                  <w:rStyle w:val="Hyperlink"/>
                  <w:lang w:val="es-ES"/>
                </w:rPr>
                <w:t>24</w:t>
              </w:r>
            </w:hyperlink>
            <w:r w:rsidR="0032353F" w:rsidRPr="0032353F">
              <w:rPr>
                <w:lang w:val="es-ES"/>
              </w:rPr>
              <w:t xml:space="preserve"> relativa a la consulta a los Estados Miembros del TAP sobre los proyectos determinados de Recomendación</w:t>
            </w:r>
            <w:r w:rsidR="00340A8C">
              <w:rPr>
                <w:lang w:val="es-ES"/>
              </w:rPr>
              <w:t> </w:t>
            </w:r>
            <w:r w:rsidR="0032353F" w:rsidRPr="0032353F">
              <w:rPr>
                <w:lang w:val="es-ES"/>
              </w:rPr>
              <w:t>UIT</w:t>
            </w:r>
            <w:r w:rsidR="00340A8C">
              <w:rPr>
                <w:lang w:val="es-ES"/>
              </w:rPr>
              <w:noBreakHyphen/>
            </w:r>
            <w:r w:rsidR="0032353F" w:rsidRPr="0032353F">
              <w:rPr>
                <w:lang w:val="es-ES"/>
              </w:rPr>
              <w:t>T</w:t>
            </w:r>
            <w:r w:rsidR="00340A8C">
              <w:rPr>
                <w:lang w:val="es-ES"/>
              </w:rPr>
              <w:t> </w:t>
            </w:r>
            <w:r w:rsidR="0032353F" w:rsidRPr="0032353F">
              <w:rPr>
                <w:lang w:val="es-ES"/>
              </w:rPr>
              <w:t>F.748.56 (ex</w:t>
            </w:r>
            <w:r w:rsidR="00340A8C">
              <w:rPr>
                <w:lang w:val="es-ES"/>
              </w:rPr>
              <w:t> </w:t>
            </w:r>
            <w:r w:rsidR="0032353F" w:rsidRPr="0032353F">
              <w:rPr>
                <w:lang w:val="es-ES"/>
              </w:rPr>
              <w:t>F.AIGC</w:t>
            </w:r>
            <w:r w:rsidR="00340A8C">
              <w:rPr>
                <w:lang w:val="es-ES"/>
              </w:rPr>
              <w:noBreakHyphen/>
            </w:r>
            <w:r w:rsidR="0032353F" w:rsidRPr="0032353F">
              <w:rPr>
                <w:lang w:val="es-ES"/>
              </w:rPr>
              <w:t>GFR) y F.748.57 (ex</w:t>
            </w:r>
            <w:r w:rsidR="00340A8C">
              <w:rPr>
                <w:lang w:val="es-ES"/>
              </w:rPr>
              <w:t> </w:t>
            </w:r>
            <w:r w:rsidR="0032353F" w:rsidRPr="0032353F">
              <w:rPr>
                <w:lang w:val="es-ES"/>
              </w:rPr>
              <w:t>F.RA</w:t>
            </w:r>
            <w:r w:rsidR="00340A8C">
              <w:rPr>
                <w:lang w:val="es-ES"/>
              </w:rPr>
              <w:noBreakHyphen/>
            </w:r>
            <w:r w:rsidR="0032353F" w:rsidRPr="0032353F">
              <w:rPr>
                <w:lang w:val="es-ES"/>
              </w:rPr>
              <w:t>GAI)</w:t>
            </w:r>
          </w:p>
        </w:tc>
      </w:tr>
    </w:tbl>
    <w:p w14:paraId="78F5C3D1" w14:textId="77777777" w:rsidR="0041544D" w:rsidRPr="0041544D" w:rsidRDefault="0041544D" w:rsidP="008318E0">
      <w:pPr>
        <w:pStyle w:val="Normalaftertitle"/>
        <w:rPr>
          <w:lang w:val="es-ES"/>
        </w:rPr>
      </w:pPr>
      <w:r w:rsidRPr="0041544D">
        <w:rPr>
          <w:lang w:val="es-ES"/>
        </w:rPr>
        <w:t>Le deseo una reunión agradable y productiva.</w:t>
      </w:r>
    </w:p>
    <w:tbl>
      <w:tblPr>
        <w:tblW w:w="0" w:type="auto"/>
        <w:tblInd w:w="-90" w:type="dxa"/>
        <w:tblLook w:val="04A0" w:firstRow="1" w:lastRow="0" w:firstColumn="1" w:lastColumn="0" w:noHBand="0" w:noVBand="1"/>
      </w:tblPr>
      <w:tblGrid>
        <w:gridCol w:w="6635"/>
        <w:gridCol w:w="3089"/>
      </w:tblGrid>
      <w:tr w:rsidR="0041544D" w:rsidRPr="0041544D" w14:paraId="7F36244E" w14:textId="77777777" w:rsidTr="00437157">
        <w:trPr>
          <w:cantSplit/>
          <w:trHeight w:val="1807"/>
        </w:trPr>
        <w:tc>
          <w:tcPr>
            <w:tcW w:w="6635" w:type="dxa"/>
            <w:vMerge w:val="restart"/>
            <w:tcBorders>
              <w:right w:val="single" w:sz="4" w:space="0" w:color="auto"/>
            </w:tcBorders>
          </w:tcPr>
          <w:p w14:paraId="07661713" w14:textId="77777777" w:rsidR="0041544D" w:rsidRDefault="0041544D" w:rsidP="008C6117">
            <w:pPr>
              <w:rPr>
                <w:lang w:val="es-ES"/>
              </w:rPr>
            </w:pPr>
            <w:r w:rsidRPr="0041544D">
              <w:rPr>
                <w:lang w:val="es-ES"/>
              </w:rPr>
              <w:t>Atentamente,</w:t>
            </w:r>
          </w:p>
          <w:p w14:paraId="47B3D475" w14:textId="77EBA2FB" w:rsidR="0067472B" w:rsidRPr="0067472B" w:rsidRDefault="0067472B" w:rsidP="0067472B">
            <w:pPr>
              <w:spacing w:before="480" w:after="480"/>
              <w:rPr>
                <w:i/>
                <w:iCs/>
                <w:lang w:val="es-ES"/>
              </w:rPr>
            </w:pPr>
            <w:r w:rsidRPr="0067472B">
              <w:rPr>
                <w:i/>
                <w:iCs/>
                <w:lang w:val="es-ES"/>
              </w:rPr>
              <w:t>(firmado)</w:t>
            </w:r>
          </w:p>
          <w:p w14:paraId="728FE7FA" w14:textId="58EA74BA" w:rsidR="0041544D" w:rsidRPr="0041544D" w:rsidRDefault="0041544D" w:rsidP="0067472B">
            <w:pPr>
              <w:rPr>
                <w:lang w:val="es-ES"/>
              </w:rPr>
            </w:pPr>
            <w:r w:rsidRPr="0041544D">
              <w:rPr>
                <w:lang w:val="es-ES"/>
              </w:rPr>
              <w:t>Seizo Onoe</w:t>
            </w:r>
            <w:r w:rsidRPr="0041544D">
              <w:rPr>
                <w:lang w:val="es-ES"/>
              </w:rPr>
              <w:br/>
              <w:t>Director de la Oficina de Normalización</w:t>
            </w:r>
            <w:r w:rsidRPr="0041544D">
              <w:rPr>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15C344E1" w14:textId="6C52B465" w:rsidR="0041544D" w:rsidRPr="0041544D" w:rsidRDefault="0032353F" w:rsidP="0067472B">
            <w:pPr>
              <w:ind w:right="91"/>
              <w:jc w:val="center"/>
              <w:rPr>
                <w:bCs/>
                <w:lang w:val="es-ES"/>
              </w:rPr>
            </w:pPr>
            <w:r w:rsidRPr="00557C2E">
              <w:rPr>
                <w:noProof/>
                <w:color w:val="000000"/>
                <w:lang w:val="es-ES"/>
              </w:rPr>
              <w:drawing>
                <wp:inline distT="0" distB="0" distL="0" distR="0" wp14:anchorId="6DDCBC7D" wp14:editId="4837FCBF">
                  <wp:extent cx="1019175" cy="1019175"/>
                  <wp:effectExtent l="0" t="0" r="9525" b="9525"/>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pic:nvPicPr>
                        <pic:blipFill>
                          <a:blip r:embed="rId23">
                            <a:extLst>
                              <a:ext uri="{96DAC541-7B7A-43D3-8B79-37D633B846F1}">
                                <asvg:svgBlip xmlns:asvg="http://schemas.microsoft.com/office/drawing/2016/SVG/main" r:embed="rId24"/>
                              </a:ext>
                            </a:extLst>
                          </a:blip>
                          <a:srcRect/>
                          <a:stretch>
                            <a:fillRect/>
                          </a:stretch>
                        </pic:blipFill>
                        <pic:spPr>
                          <a:xfrm>
                            <a:off x="0" y="0"/>
                            <a:ext cx="1019561" cy="1019561"/>
                          </a:xfrm>
                          <a:prstGeom prst="rect">
                            <a:avLst/>
                          </a:prstGeom>
                        </pic:spPr>
                      </pic:pic>
                    </a:graphicData>
                  </a:graphic>
                </wp:inline>
              </w:drawing>
            </w:r>
            <w:r w:rsidR="0041544D" w:rsidRPr="0041544D">
              <w:rPr>
                <w:bCs/>
                <w:lang w:val="es-ES"/>
              </w:rPr>
              <w:t>CE </w:t>
            </w:r>
            <w:r w:rsidR="003A3B0F">
              <w:rPr>
                <w:bCs/>
                <w:lang w:val="es-ES"/>
              </w:rPr>
              <w:t>2</w:t>
            </w:r>
            <w:r>
              <w:rPr>
                <w:bCs/>
                <w:lang w:val="es-ES"/>
              </w:rPr>
              <w:t>1</w:t>
            </w:r>
            <w:r w:rsidR="0041544D" w:rsidRPr="0041544D">
              <w:rPr>
                <w:bCs/>
                <w:lang w:val="es-ES"/>
              </w:rPr>
              <w:t xml:space="preserve"> del UIT-T</w:t>
            </w:r>
          </w:p>
        </w:tc>
      </w:tr>
      <w:tr w:rsidR="0041544D" w:rsidRPr="0041544D" w14:paraId="493EDD34" w14:textId="77777777" w:rsidTr="00437157">
        <w:trPr>
          <w:cantSplit/>
          <w:trHeight w:val="80"/>
        </w:trPr>
        <w:tc>
          <w:tcPr>
            <w:tcW w:w="6635" w:type="dxa"/>
            <w:vMerge/>
            <w:tcBorders>
              <w:right w:val="single" w:sz="4" w:space="0" w:color="auto"/>
            </w:tcBorders>
          </w:tcPr>
          <w:p w14:paraId="5B1BC9DB" w14:textId="77777777" w:rsidR="0041544D" w:rsidRPr="0041544D" w:rsidRDefault="0041544D" w:rsidP="0041544D">
            <w:pPr>
              <w:ind w:right="91"/>
              <w:rPr>
                <w:bCs/>
                <w:lang w:val="es-ES"/>
              </w:rPr>
            </w:pPr>
          </w:p>
        </w:tc>
        <w:tc>
          <w:tcPr>
            <w:tcW w:w="3089" w:type="dxa"/>
            <w:tcBorders>
              <w:left w:val="single" w:sz="4" w:space="0" w:color="auto"/>
              <w:bottom w:val="single" w:sz="4" w:space="0" w:color="auto"/>
              <w:right w:val="single" w:sz="4" w:space="0" w:color="auto"/>
            </w:tcBorders>
            <w:vAlign w:val="center"/>
          </w:tcPr>
          <w:p w14:paraId="541BCAC5" w14:textId="59113A38" w:rsidR="0041544D" w:rsidRPr="0067472B" w:rsidRDefault="0032353F" w:rsidP="0067472B">
            <w:pPr>
              <w:jc w:val="center"/>
              <w:rPr>
                <w:sz w:val="20"/>
                <w:lang w:val="es-ES"/>
              </w:rPr>
            </w:pPr>
            <w:r w:rsidRPr="0032353F">
              <w:rPr>
                <w:sz w:val="20"/>
                <w:lang w:val="es-ES"/>
              </w:rPr>
              <w:t xml:space="preserve">Última información </w:t>
            </w:r>
            <w:r>
              <w:rPr>
                <w:sz w:val="20"/>
                <w:lang w:val="es-ES"/>
              </w:rPr>
              <w:br/>
            </w:r>
            <w:r w:rsidRPr="0032353F">
              <w:rPr>
                <w:sz w:val="20"/>
                <w:lang w:val="es-ES"/>
              </w:rPr>
              <w:t>sobre la reunión</w:t>
            </w:r>
          </w:p>
        </w:tc>
      </w:tr>
    </w:tbl>
    <w:p w14:paraId="0BB8F47A" w14:textId="1192677F" w:rsidR="0041544D" w:rsidRPr="0041544D" w:rsidRDefault="0041544D" w:rsidP="0067472B">
      <w:pPr>
        <w:spacing w:before="1080"/>
        <w:ind w:right="91"/>
        <w:rPr>
          <w:lang w:val="es-ES"/>
        </w:rPr>
      </w:pPr>
      <w:r w:rsidRPr="0041544D">
        <w:rPr>
          <w:b/>
          <w:bCs/>
          <w:lang w:val="es-ES"/>
        </w:rPr>
        <w:t>Anexos</w:t>
      </w:r>
      <w:r w:rsidRPr="0041544D">
        <w:rPr>
          <w:lang w:val="es-ES"/>
        </w:rPr>
        <w:t xml:space="preserve">: </w:t>
      </w:r>
      <w:r w:rsidR="0032353F">
        <w:rPr>
          <w:lang w:val="es-ES"/>
        </w:rPr>
        <w:t>3</w:t>
      </w:r>
    </w:p>
    <w:p w14:paraId="40ABAFED" w14:textId="77777777" w:rsidR="002545AA" w:rsidRPr="00E35001" w:rsidRDefault="002545AA" w:rsidP="008318E0">
      <w:r w:rsidRPr="00E35001">
        <w:br w:type="page"/>
      </w:r>
    </w:p>
    <w:p w14:paraId="6F8D47A5" w14:textId="1ED1D5C5" w:rsidR="0041544D" w:rsidRPr="0041544D" w:rsidRDefault="0067472B" w:rsidP="0067472B">
      <w:pPr>
        <w:pStyle w:val="AnnexNotitle"/>
        <w:rPr>
          <w:lang w:val="es-ES"/>
        </w:rPr>
      </w:pPr>
      <w:r w:rsidRPr="0041544D">
        <w:rPr>
          <w:lang w:val="es-ES"/>
        </w:rPr>
        <w:lastRenderedPageBreak/>
        <w:t xml:space="preserve">ANEXO </w:t>
      </w:r>
      <w:r w:rsidR="0041544D" w:rsidRPr="0041544D">
        <w:rPr>
          <w:lang w:val="es-ES"/>
        </w:rPr>
        <w:t>A</w:t>
      </w:r>
      <w:r>
        <w:rPr>
          <w:lang w:val="es-ES"/>
        </w:rPr>
        <w:br/>
      </w:r>
      <w:r w:rsidR="0041544D" w:rsidRPr="0041544D">
        <w:rPr>
          <w:lang w:val="es-ES"/>
        </w:rPr>
        <w:t>Información práctica sobre la reunión</w:t>
      </w:r>
    </w:p>
    <w:p w14:paraId="1A026A06" w14:textId="77777777" w:rsidR="0041544D" w:rsidRPr="0041544D" w:rsidRDefault="0041544D" w:rsidP="0067472B">
      <w:pPr>
        <w:spacing w:before="360"/>
        <w:jc w:val="center"/>
        <w:rPr>
          <w:b/>
          <w:bCs/>
          <w:lang w:val="es-ES"/>
        </w:rPr>
      </w:pPr>
      <w:r w:rsidRPr="0041544D">
        <w:rPr>
          <w:b/>
          <w:bCs/>
          <w:lang w:val="es-ES"/>
        </w:rPr>
        <w:t>MÉTODOS DE TRABAJO E INSTALACIONES</w:t>
      </w:r>
    </w:p>
    <w:p w14:paraId="003302BA" w14:textId="370E1BF8" w:rsidR="0032353F" w:rsidRPr="00340A8C" w:rsidRDefault="0032353F" w:rsidP="0032353F">
      <w:pPr>
        <w:pStyle w:val="Normalaftertitle"/>
      </w:pPr>
      <w:r w:rsidRPr="0032353F">
        <w:rPr>
          <w:b/>
          <w:bCs/>
          <w:lang w:val="es-ES"/>
        </w:rPr>
        <w:t>PRESENTACIÓN Y ACCESO A LOS DOCUMENTOS</w:t>
      </w:r>
      <w:r w:rsidRPr="00340A8C">
        <w:rPr>
          <w:b/>
          <w:bCs/>
          <w:lang w:val="es-ES"/>
        </w:rPr>
        <w:t>:</w:t>
      </w:r>
      <w:r w:rsidRPr="0032353F">
        <w:rPr>
          <w:lang w:val="es-ES"/>
        </w:rPr>
        <w:t xml:space="preserve"> </w:t>
      </w:r>
      <w:r w:rsidR="00340A8C" w:rsidRPr="0032353F">
        <w:rPr>
          <w:lang w:val="es-ES"/>
        </w:rPr>
        <w:t>e</w:t>
      </w:r>
      <w:r w:rsidRPr="0032353F">
        <w:rPr>
          <w:lang w:val="es-ES"/>
        </w:rPr>
        <w:t xml:space="preserve">n la reunión no se utilizará documentación impresa. Las contribuciones de los Miembros deben presentarse utilizando la </w:t>
      </w:r>
      <w:hyperlink r:id="rId25" w:history="1">
        <w:r w:rsidRPr="0032353F">
          <w:rPr>
            <w:rStyle w:val="Hyperlink"/>
            <w:lang w:val="es-ES"/>
          </w:rPr>
          <w:t>Publicació</w:t>
        </w:r>
        <w:r w:rsidRPr="0032353F">
          <w:rPr>
            <w:rStyle w:val="Hyperlink"/>
            <w:lang w:val="es-ES"/>
          </w:rPr>
          <w:t>n</w:t>
        </w:r>
        <w:r w:rsidRPr="0032353F">
          <w:rPr>
            <w:rStyle w:val="Hyperlink"/>
            <w:lang w:val="es-ES"/>
          </w:rPr>
          <w:t xml:space="preserve"> Directa de Documentos</w:t>
        </w:r>
      </w:hyperlink>
      <w:r w:rsidRPr="0032353F">
        <w:rPr>
          <w:lang w:val="es-ES"/>
        </w:rPr>
        <w:t xml:space="preserve">; los proyectos de DT deben enviarse por correo electrónico a la secretaría de la Comisión de Estudio utilizando la </w:t>
      </w:r>
      <w:hyperlink r:id="rId26" w:history="1">
        <w:r w:rsidRPr="0032353F">
          <w:rPr>
            <w:rStyle w:val="Hyperlink"/>
            <w:lang w:val="es-ES"/>
          </w:rPr>
          <w:t>plantilla ade</w:t>
        </w:r>
        <w:r w:rsidRPr="0032353F">
          <w:rPr>
            <w:rStyle w:val="Hyperlink"/>
            <w:lang w:val="es-ES"/>
          </w:rPr>
          <w:t>c</w:t>
        </w:r>
        <w:r w:rsidRPr="0032353F">
          <w:rPr>
            <w:rStyle w:val="Hyperlink"/>
            <w:lang w:val="es-ES"/>
          </w:rPr>
          <w:t>uada</w:t>
        </w:r>
      </w:hyperlink>
      <w:r w:rsidRPr="0032353F">
        <w:rPr>
          <w:lang w:val="es-ES"/>
        </w:rPr>
        <w:t xml:space="preserve">. El acceso a los documentos de la reunión se facilita a partir de la página de inicio de la Comisión de Estudio y está restringido a los </w:t>
      </w:r>
      <w:r w:rsidR="001D32D9" w:rsidRPr="0032353F">
        <w:rPr>
          <w:lang w:val="es-ES"/>
        </w:rPr>
        <w:t xml:space="preserve">Miembros </w:t>
      </w:r>
      <w:r w:rsidRPr="0032353F">
        <w:rPr>
          <w:lang w:val="es-ES"/>
        </w:rPr>
        <w:t>del</w:t>
      </w:r>
      <w:r w:rsidR="00340A8C">
        <w:rPr>
          <w:lang w:val="es-ES"/>
        </w:rPr>
        <w:t> </w:t>
      </w:r>
      <w:r w:rsidRPr="0032353F">
        <w:rPr>
          <w:lang w:val="es-ES"/>
        </w:rPr>
        <w:t>UIT</w:t>
      </w:r>
      <w:r w:rsidR="00340A8C">
        <w:rPr>
          <w:lang w:val="es-ES"/>
        </w:rPr>
        <w:noBreakHyphen/>
      </w:r>
      <w:r w:rsidRPr="0032353F">
        <w:rPr>
          <w:lang w:val="es-ES"/>
        </w:rPr>
        <w:t xml:space="preserve">T que dispongan de una </w:t>
      </w:r>
      <w:hyperlink r:id="rId27" w:history="1">
        <w:r w:rsidRPr="0032353F">
          <w:rPr>
            <w:rStyle w:val="Hyperlink"/>
            <w:lang w:val="es-ES"/>
          </w:rPr>
          <w:t>cuent</w:t>
        </w:r>
        <w:r w:rsidRPr="0032353F">
          <w:rPr>
            <w:rStyle w:val="Hyperlink"/>
            <w:lang w:val="es-ES"/>
          </w:rPr>
          <w:t>a</w:t>
        </w:r>
        <w:r w:rsidRPr="0032353F">
          <w:rPr>
            <w:rStyle w:val="Hyperlink"/>
            <w:lang w:val="es-ES"/>
          </w:rPr>
          <w:t xml:space="preserve"> de usuario de la</w:t>
        </w:r>
        <w:r w:rsidR="00340A8C">
          <w:rPr>
            <w:rStyle w:val="Hyperlink"/>
            <w:lang w:val="es-ES"/>
          </w:rPr>
          <w:t> </w:t>
        </w:r>
        <w:r w:rsidRPr="0032353F">
          <w:rPr>
            <w:rStyle w:val="Hyperlink"/>
            <w:lang w:val="es-ES"/>
          </w:rPr>
          <w:t>UIT</w:t>
        </w:r>
      </w:hyperlink>
      <w:r w:rsidRPr="0032353F">
        <w:rPr>
          <w:lang w:val="es-ES"/>
        </w:rPr>
        <w:t xml:space="preserve"> con derechos de acceso TIES.</w:t>
      </w:r>
    </w:p>
    <w:p w14:paraId="3FFC452E" w14:textId="7D16C357" w:rsidR="0032353F" w:rsidRPr="0032353F" w:rsidRDefault="0032353F" w:rsidP="0032353F">
      <w:pPr>
        <w:rPr>
          <w:lang w:val="es-ES"/>
        </w:rPr>
      </w:pPr>
      <w:r w:rsidRPr="0032353F">
        <w:rPr>
          <w:b/>
          <w:bCs/>
          <w:lang w:val="es-ES"/>
        </w:rPr>
        <w:t xml:space="preserve">INTERPRETACIÓN: </w:t>
      </w:r>
      <w:r w:rsidR="00340A8C" w:rsidRPr="0032353F">
        <w:rPr>
          <w:lang w:val="es-ES"/>
        </w:rPr>
        <w:t>d</w:t>
      </w:r>
      <w:r w:rsidRPr="0032353F">
        <w:rPr>
          <w:lang w:val="es-ES"/>
        </w:rPr>
        <w:t xml:space="preserve">ebido a limitaciones presupuestarias, se facilitarán servicios de interpretación para la plenaria de la clausura de la reunión si así lo solicitan los Estados Miembros. Las solicitudes deberán efectuarse marcando la casilla correspondiente en el formulario de inscripción, </w:t>
      </w:r>
      <w:r w:rsidRPr="0032353F">
        <w:rPr>
          <w:b/>
          <w:bCs/>
          <w:lang w:val="es-ES"/>
        </w:rPr>
        <w:t>a más tardar seis semanas antes del primer día de la reunión</w:t>
      </w:r>
      <w:r w:rsidRPr="0032353F">
        <w:rPr>
          <w:lang w:val="es-ES"/>
        </w:rPr>
        <w:t>.</w:t>
      </w:r>
    </w:p>
    <w:p w14:paraId="4BF6D2FC" w14:textId="2C386B17" w:rsidR="0032353F" w:rsidRPr="0032353F" w:rsidRDefault="0032353F" w:rsidP="0032353F">
      <w:pPr>
        <w:rPr>
          <w:lang w:val="es-ES"/>
        </w:rPr>
      </w:pPr>
      <w:r w:rsidRPr="0032353F">
        <w:rPr>
          <w:b/>
          <w:bCs/>
          <w:lang w:val="es-ES"/>
        </w:rPr>
        <w:t xml:space="preserve">LAN INALÁMBRICA: </w:t>
      </w:r>
      <w:r w:rsidR="00340A8C" w:rsidRPr="0032353F">
        <w:rPr>
          <w:lang w:val="es-ES"/>
        </w:rPr>
        <w:t>l</w:t>
      </w:r>
      <w:r w:rsidRPr="0032353F">
        <w:rPr>
          <w:lang w:val="es-ES"/>
        </w:rPr>
        <w:t>os delegados disponen de instalaciones de red de área local inalámbrica en todas las salas de reunión de la</w:t>
      </w:r>
      <w:r w:rsidR="00340A8C">
        <w:rPr>
          <w:lang w:val="es-ES"/>
        </w:rPr>
        <w:t> </w:t>
      </w:r>
      <w:r w:rsidRPr="0032353F">
        <w:rPr>
          <w:lang w:val="es-ES"/>
        </w:rPr>
        <w:t>UIT. En la dirección web del</w:t>
      </w:r>
      <w:r w:rsidR="00340A8C">
        <w:rPr>
          <w:lang w:val="es-ES"/>
        </w:rPr>
        <w:t> </w:t>
      </w:r>
      <w:r w:rsidRPr="0032353F">
        <w:rPr>
          <w:lang w:val="es-ES"/>
        </w:rPr>
        <w:t>UIT</w:t>
      </w:r>
      <w:r w:rsidR="00340A8C">
        <w:rPr>
          <w:lang w:val="es-ES"/>
        </w:rPr>
        <w:noBreakHyphen/>
      </w:r>
      <w:r w:rsidRPr="0032353F">
        <w:rPr>
          <w:lang w:val="es-ES"/>
        </w:rPr>
        <w:t>T (</w:t>
      </w:r>
      <w:hyperlink r:id="rId28" w:history="1">
        <w:r w:rsidR="0084705C" w:rsidRPr="002659C4">
          <w:rPr>
            <w:rStyle w:val="Hyperlink"/>
            <w:lang w:val="es-ES"/>
          </w:rPr>
          <w:t>https://www.itu.int/en/general-secretariat/ICT-Services/Pages/default.aspx</w:t>
        </w:r>
      </w:hyperlink>
      <w:r w:rsidRPr="0032353F">
        <w:rPr>
          <w:lang w:val="es-ES"/>
        </w:rPr>
        <w:t xml:space="preserve">) e </w:t>
      </w:r>
      <w:r w:rsidRPr="0032353F">
        <w:rPr>
          <w:i/>
          <w:iCs/>
          <w:lang w:val="es-ES"/>
        </w:rPr>
        <w:t xml:space="preserve">in situ </w:t>
      </w:r>
      <w:r w:rsidRPr="0032353F">
        <w:rPr>
          <w:lang w:val="es-ES"/>
        </w:rPr>
        <w:t>se puede encontrar información más detallada al respecto.</w:t>
      </w:r>
    </w:p>
    <w:p w14:paraId="5708E73C" w14:textId="4D9F6396" w:rsidR="0032353F" w:rsidRPr="0032353F" w:rsidRDefault="0032353F" w:rsidP="0032353F">
      <w:pPr>
        <w:rPr>
          <w:lang w:val="es-ES"/>
        </w:rPr>
      </w:pPr>
      <w:r w:rsidRPr="0032353F">
        <w:rPr>
          <w:b/>
          <w:bCs/>
          <w:lang w:val="es-ES"/>
        </w:rPr>
        <w:t>TAQUILLAS ELECTRÓNICAS:</w:t>
      </w:r>
      <w:r w:rsidRPr="0032353F">
        <w:rPr>
          <w:lang w:val="es-ES"/>
        </w:rPr>
        <w:t xml:space="preserve"> </w:t>
      </w:r>
      <w:r w:rsidR="00340A8C" w:rsidRPr="0032353F">
        <w:rPr>
          <w:lang w:val="es-ES"/>
        </w:rPr>
        <w:t>d</w:t>
      </w:r>
      <w:r w:rsidRPr="0032353F">
        <w:rPr>
          <w:lang w:val="es-ES"/>
        </w:rPr>
        <w:t>urante toda la reunión, se pondrán a disposición taquillas electrónicas que los delegados podrán utilizar con su tarjeta de identificación RFID del</w:t>
      </w:r>
      <w:r w:rsidR="00340A8C">
        <w:rPr>
          <w:lang w:val="es-ES"/>
        </w:rPr>
        <w:t> </w:t>
      </w:r>
      <w:r w:rsidRPr="0032353F">
        <w:rPr>
          <w:lang w:val="es-ES"/>
        </w:rPr>
        <w:t>UIT</w:t>
      </w:r>
      <w:r w:rsidR="00340A8C">
        <w:rPr>
          <w:lang w:val="es-ES"/>
        </w:rPr>
        <w:noBreakHyphen/>
      </w:r>
      <w:r w:rsidRPr="0032353F">
        <w:rPr>
          <w:lang w:val="es-ES"/>
        </w:rPr>
        <w:t>T. Las taquillas electrónicas están situadas en la planta baja y el primer subsuelo de la Torre de la</w:t>
      </w:r>
      <w:r w:rsidR="00340A8C">
        <w:rPr>
          <w:lang w:val="es-ES"/>
        </w:rPr>
        <w:t> </w:t>
      </w:r>
      <w:r w:rsidRPr="0032353F">
        <w:rPr>
          <w:lang w:val="es-ES"/>
        </w:rPr>
        <w:t>UIT, así como en la planta baja del edificio Montbrillant.</w:t>
      </w:r>
    </w:p>
    <w:p w14:paraId="0B9BD2E6" w14:textId="0235D640" w:rsidR="0032353F" w:rsidRPr="0032353F" w:rsidRDefault="0032353F" w:rsidP="0032353F">
      <w:pPr>
        <w:rPr>
          <w:lang w:val="es-ES"/>
        </w:rPr>
      </w:pPr>
      <w:r w:rsidRPr="0032353F">
        <w:rPr>
          <w:b/>
          <w:bCs/>
          <w:lang w:val="es-ES"/>
        </w:rPr>
        <w:t>IMPRESORAS:</w:t>
      </w:r>
      <w:r w:rsidRPr="0032353F">
        <w:rPr>
          <w:lang w:val="es-ES"/>
        </w:rPr>
        <w:t xml:space="preserve"> </w:t>
      </w:r>
      <w:r w:rsidR="00340A8C" w:rsidRPr="0032353F">
        <w:rPr>
          <w:lang w:val="es-ES"/>
        </w:rPr>
        <w:t>e</w:t>
      </w:r>
      <w:r w:rsidRPr="0032353F">
        <w:rPr>
          <w:lang w:val="es-ES"/>
        </w:rPr>
        <w:t xml:space="preserve">n las salas para los delegados y en las proximidades de las </w:t>
      </w:r>
      <w:hyperlink r:id="rId29" w:history="1">
        <w:r w:rsidRPr="0032353F">
          <w:rPr>
            <w:rStyle w:val="Hyperlink"/>
            <w:lang w:val="es-ES"/>
          </w:rPr>
          <w:t>principal</w:t>
        </w:r>
        <w:r w:rsidRPr="0032353F">
          <w:rPr>
            <w:rStyle w:val="Hyperlink"/>
            <w:lang w:val="es-ES"/>
          </w:rPr>
          <w:t>e</w:t>
        </w:r>
        <w:r w:rsidRPr="0032353F">
          <w:rPr>
            <w:rStyle w:val="Hyperlink"/>
            <w:lang w:val="es-ES"/>
          </w:rPr>
          <w:t>s salas de reunión</w:t>
        </w:r>
      </w:hyperlink>
      <w:r w:rsidRPr="0032353F">
        <w:rPr>
          <w:lang w:val="es-ES"/>
        </w:rPr>
        <w:t xml:space="preserve"> se han puesto a disposición impresoras. Para que los delegados no tengan que instalar controladores en sus computadoras, pueden imprimir directamente los documentos enviándolos por correo electrónico a la impresora deseada. Vea los detalles en </w:t>
      </w:r>
      <w:hyperlink r:id="rId30" w:history="1">
        <w:r w:rsidR="00340A8C" w:rsidRPr="0032353F">
          <w:rPr>
            <w:rStyle w:val="Hyperlink"/>
            <w:lang w:val="es-ES"/>
          </w:rPr>
          <w:t>https://it</w:t>
        </w:r>
        <w:r w:rsidR="00340A8C" w:rsidRPr="0032353F">
          <w:rPr>
            <w:rStyle w:val="Hyperlink"/>
            <w:lang w:val="es-ES"/>
          </w:rPr>
          <w:t>u</w:t>
        </w:r>
        <w:r w:rsidR="00340A8C" w:rsidRPr="0032353F">
          <w:rPr>
            <w:rStyle w:val="Hyperlink"/>
            <w:lang w:val="es-ES"/>
          </w:rPr>
          <w:t>.int/go/e-print</w:t>
        </w:r>
      </w:hyperlink>
      <w:r w:rsidRPr="0032353F">
        <w:rPr>
          <w:lang w:val="es-ES"/>
        </w:rPr>
        <w:t>.</w:t>
      </w:r>
      <w:bookmarkStart w:id="2" w:name="_Hlk94878660"/>
      <w:bookmarkEnd w:id="2"/>
    </w:p>
    <w:p w14:paraId="73F67CD2" w14:textId="0DAD24B2" w:rsidR="0032353F" w:rsidRPr="0032353F" w:rsidRDefault="0032353F" w:rsidP="0032353F">
      <w:pPr>
        <w:rPr>
          <w:lang w:val="es-ES"/>
        </w:rPr>
      </w:pPr>
      <w:r w:rsidRPr="0032353F">
        <w:rPr>
          <w:b/>
          <w:bCs/>
          <w:lang w:val="es-ES"/>
        </w:rPr>
        <w:t xml:space="preserve">PRÉSTAMO DE COMPUTADORAS PORTÁTILES: </w:t>
      </w:r>
      <w:r w:rsidR="0084705C">
        <w:rPr>
          <w:lang w:val="es-ES"/>
        </w:rPr>
        <w:t>e</w:t>
      </w:r>
      <w:r w:rsidRPr="0032353F">
        <w:rPr>
          <w:lang w:val="es-ES"/>
        </w:rPr>
        <w:t>l Servicio de Asistencia de la</w:t>
      </w:r>
      <w:r w:rsidR="00340A8C">
        <w:rPr>
          <w:lang w:val="es-ES"/>
        </w:rPr>
        <w:t> </w:t>
      </w:r>
      <w:r w:rsidRPr="0032353F">
        <w:rPr>
          <w:lang w:val="es-ES"/>
        </w:rPr>
        <w:t>UIT (</w:t>
      </w:r>
      <w:hyperlink r:id="rId31" w:history="1">
        <w:r w:rsidR="0095690F" w:rsidRPr="0032353F">
          <w:rPr>
            <w:rStyle w:val="Hyperlink"/>
            <w:lang w:val="es-ES"/>
          </w:rPr>
          <w:t>servicedesk@itu.int</w:t>
        </w:r>
      </w:hyperlink>
      <w:r w:rsidRPr="0032353F">
        <w:rPr>
          <w:lang w:val="es-ES"/>
        </w:rPr>
        <w:t>) pondrá computadoras portátiles a disposición de los delegados. Se atenderán las solicitudes por orden de llegada.</w:t>
      </w:r>
    </w:p>
    <w:p w14:paraId="521F7821" w14:textId="576E57E7" w:rsidR="0032353F" w:rsidRPr="0032353F" w:rsidRDefault="0032353F" w:rsidP="0032353F">
      <w:pPr>
        <w:rPr>
          <w:lang w:val="es-ES"/>
        </w:rPr>
      </w:pPr>
      <w:r w:rsidRPr="0032353F">
        <w:rPr>
          <w:b/>
          <w:bCs/>
          <w:lang w:val="es-ES"/>
        </w:rPr>
        <w:t>PARTICIPACIÓN A DISTANCIA:</w:t>
      </w:r>
      <w:r w:rsidRPr="0032353F">
        <w:rPr>
          <w:lang w:val="es-ES"/>
        </w:rPr>
        <w:t xml:space="preserve"> </w:t>
      </w:r>
      <w:r w:rsidR="00340A8C" w:rsidRPr="0032353F">
        <w:rPr>
          <w:lang w:val="es-ES"/>
        </w:rPr>
        <w:t>s</w:t>
      </w:r>
      <w:r w:rsidRPr="0032353F">
        <w:rPr>
          <w:lang w:val="es-ES"/>
        </w:rPr>
        <w:t>iempre que sea posible, se ofrecerá la posibilidad de participar a distancia. En las sesiones plenarias de apertura y clausura de la Comisión de Estudio se facilitarán servicios de participación interactiva a distancia. De conformidad con las disposiciones en vigor, solo los delegados presentes en la sala de reunión podrán participar en la toma de decisiones.</w:t>
      </w:r>
    </w:p>
    <w:p w14:paraId="1C505CF0" w14:textId="497D9BA4" w:rsidR="0032353F" w:rsidRPr="0032353F" w:rsidRDefault="0032353F" w:rsidP="0032353F">
      <w:pPr>
        <w:rPr>
          <w:lang w:val="es-ES"/>
        </w:rPr>
      </w:pPr>
      <w:r w:rsidRPr="0032353F">
        <w:rPr>
          <w:lang w:val="es-ES"/>
        </w:rPr>
        <w:t>Se facilitará la participación a distancia interactiva para todas las demás sesiones previa recepción de solicitud con al menos 24</w:t>
      </w:r>
      <w:r w:rsidR="0095690F">
        <w:rPr>
          <w:lang w:val="es-ES"/>
        </w:rPr>
        <w:t> </w:t>
      </w:r>
      <w:r w:rsidRPr="0032353F">
        <w:rPr>
          <w:lang w:val="es-ES"/>
        </w:rPr>
        <w:t>horas de antelación.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520A1996" w14:textId="74E668F5" w:rsidR="0032353F" w:rsidRPr="0032353F" w:rsidRDefault="0032353F" w:rsidP="0032353F">
      <w:pPr>
        <w:rPr>
          <w:lang w:val="es-ES"/>
        </w:rPr>
      </w:pPr>
      <w:r w:rsidRPr="0032353F">
        <w:rPr>
          <w:b/>
          <w:bCs/>
          <w:lang w:val="es-ES"/>
        </w:rPr>
        <w:t xml:space="preserve">ACCESIBILIDAD: </w:t>
      </w:r>
      <w:r w:rsidR="00340A8C" w:rsidRPr="0032353F">
        <w:rPr>
          <w:lang w:val="es-ES"/>
        </w:rPr>
        <w:t>p</w:t>
      </w:r>
      <w:r w:rsidRPr="0032353F">
        <w:rPr>
          <w:lang w:val="es-ES"/>
        </w:rPr>
        <w:t xml:space="preserve">odrán facilitarse servicios de subtitulado en tiempo real o interpretación en lengua de signos previa solicitud por quienes así lo requieran para las reuniones donde se traten cuestiones de accesibilidad (por ejemplo C1/21), a reserva de la disponibilidad de intérpretes y de financiación. Estos servicios de accesibilidad deben </w:t>
      </w:r>
      <w:r w:rsidRPr="0032353F">
        <w:rPr>
          <w:b/>
          <w:bCs/>
          <w:lang w:val="es-ES"/>
        </w:rPr>
        <w:t>solicitarse al menos dos meses antes de la fecha de inicio de la reunión</w:t>
      </w:r>
      <w:r w:rsidRPr="0032353F">
        <w:rPr>
          <w:lang w:val="es-ES"/>
        </w:rPr>
        <w:t>, marcando la casilla correspondiente en el formulario de inscripción</w:t>
      </w:r>
      <w:r w:rsidR="00340A8C">
        <w:rPr>
          <w:lang w:val="es-ES"/>
        </w:rPr>
        <w:t>.</w:t>
      </w:r>
    </w:p>
    <w:p w14:paraId="154C1172" w14:textId="62A00A29" w:rsidR="0041544D" w:rsidRDefault="0041544D" w:rsidP="0067472B">
      <w:pPr>
        <w:keepNext/>
        <w:keepLines/>
        <w:spacing w:before="360"/>
        <w:jc w:val="center"/>
        <w:rPr>
          <w:b/>
          <w:bCs/>
          <w:lang w:val="es-ES"/>
        </w:rPr>
      </w:pPr>
      <w:r w:rsidRPr="0041544D">
        <w:rPr>
          <w:b/>
          <w:bCs/>
          <w:lang w:val="es-ES"/>
        </w:rPr>
        <w:lastRenderedPageBreak/>
        <w:t>PREINSCRIPCIÓN, NUEVOS DELEGADOS, BECAS Y APOYO PARA LA OBTENCIÓN DEL VISADO</w:t>
      </w:r>
    </w:p>
    <w:p w14:paraId="04FCBE74" w14:textId="0D507194" w:rsidR="0032353F" w:rsidRPr="00340A8C" w:rsidRDefault="0032353F" w:rsidP="0032353F">
      <w:pPr>
        <w:pStyle w:val="Normalaftertitle0"/>
      </w:pPr>
      <w:r w:rsidRPr="0032353F">
        <w:rPr>
          <w:b/>
          <w:bCs/>
          <w:lang w:val="es-ES"/>
        </w:rPr>
        <w:t>PREINSCRIPCIÓN:</w:t>
      </w:r>
      <w:r w:rsidRPr="0032353F">
        <w:rPr>
          <w:lang w:val="es-ES"/>
        </w:rPr>
        <w:t xml:space="preserve"> </w:t>
      </w:r>
      <w:r w:rsidR="00340A8C" w:rsidRPr="0032353F">
        <w:rPr>
          <w:lang w:val="es-ES"/>
        </w:rPr>
        <w:t>l</w:t>
      </w:r>
      <w:r w:rsidRPr="0032353F">
        <w:rPr>
          <w:lang w:val="es-ES"/>
        </w:rPr>
        <w:t xml:space="preserve">a preinscripción es obligatoria para participar </w:t>
      </w:r>
      <w:r w:rsidRPr="0032353F">
        <w:rPr>
          <w:u w:val="single"/>
          <w:lang w:val="es-ES"/>
        </w:rPr>
        <w:t>tanto en persona como a distancia</w:t>
      </w:r>
      <w:r w:rsidRPr="0032353F">
        <w:rPr>
          <w:lang w:val="es-ES"/>
        </w:rPr>
        <w:t xml:space="preserve"> y debe realizarse en línea a través de la página principal de la Comisión de Estudio</w:t>
      </w:r>
      <w:r w:rsidRPr="0032353F">
        <w:rPr>
          <w:b/>
          <w:bCs/>
          <w:lang w:val="es-ES"/>
        </w:rPr>
        <w:t xml:space="preserve"> a más tardar un mes antes de la fecha de inicio de la reunión</w:t>
      </w:r>
      <w:r w:rsidRPr="0032353F">
        <w:rPr>
          <w:lang w:val="es-ES"/>
        </w:rPr>
        <w:t>. El sistema de inscripción del</w:t>
      </w:r>
      <w:r w:rsidR="00340A8C">
        <w:rPr>
          <w:lang w:val="es-ES"/>
        </w:rPr>
        <w:t> </w:t>
      </w:r>
      <w:r w:rsidRPr="0032353F">
        <w:rPr>
          <w:lang w:val="es-ES"/>
        </w:rPr>
        <w:t>UIT</w:t>
      </w:r>
      <w:r w:rsidR="00340A8C">
        <w:rPr>
          <w:lang w:val="es-ES"/>
        </w:rPr>
        <w:noBreakHyphen/>
      </w:r>
      <w:r w:rsidRPr="0032353F">
        <w:rPr>
          <w:lang w:val="es-ES"/>
        </w:rPr>
        <w:t xml:space="preserve">T requiere que el coordinador apruebe las solicitudes de inscripción; no obstante, es posible modificar el proceso a fin de permitir la aprobación automática de las mismas, según se indica en la </w:t>
      </w:r>
      <w:hyperlink r:id="rId32" w:history="1">
        <w:r w:rsidRPr="0032353F">
          <w:rPr>
            <w:rStyle w:val="Hyperlink"/>
            <w:lang w:val="es-ES"/>
          </w:rPr>
          <w:t>Circular</w:t>
        </w:r>
        <w:r w:rsidR="00340A8C">
          <w:rPr>
            <w:rStyle w:val="Hyperlink"/>
            <w:lang w:val="es-ES"/>
          </w:rPr>
          <w:t> </w:t>
        </w:r>
        <w:r w:rsidRPr="0032353F">
          <w:rPr>
            <w:rStyle w:val="Hyperlink"/>
            <w:lang w:val="es-ES"/>
          </w:rPr>
          <w:t>T</w:t>
        </w:r>
        <w:r w:rsidRPr="0032353F">
          <w:rPr>
            <w:rStyle w:val="Hyperlink"/>
            <w:lang w:val="es-ES"/>
          </w:rPr>
          <w:t>SB</w:t>
        </w:r>
        <w:r w:rsidR="00340A8C">
          <w:rPr>
            <w:rStyle w:val="Hyperlink"/>
            <w:lang w:val="es-ES"/>
          </w:rPr>
          <w:t> </w:t>
        </w:r>
        <w:r w:rsidRPr="0032353F">
          <w:rPr>
            <w:rStyle w:val="Hyperlink"/>
            <w:lang w:val="es-ES"/>
          </w:rPr>
          <w:t>1</w:t>
        </w:r>
      </w:hyperlink>
      <w:r w:rsidRPr="0032353F">
        <w:rPr>
          <w:lang w:val="es-ES"/>
        </w:rPr>
        <w:t xml:space="preserve">. Algunas opciones del formulario de inscripción se aplican únicamente a los Estados Miembros, entre ellas las funciones, las solicitudes de interpretación y las solicitudes de becas. Se invita a los </w:t>
      </w:r>
      <w:r w:rsidR="00B52CCC" w:rsidRPr="0032353F">
        <w:rPr>
          <w:lang w:val="es-ES"/>
        </w:rPr>
        <w:t>m</w:t>
      </w:r>
      <w:r w:rsidRPr="0032353F">
        <w:rPr>
          <w:lang w:val="es-ES"/>
        </w:rPr>
        <w:t>iembros a incluir mujeres en sus delegaciones siempre que sea posible.</w:t>
      </w:r>
    </w:p>
    <w:p w14:paraId="6F2329A0" w14:textId="3B92449D" w:rsidR="0032353F" w:rsidRPr="0032353F" w:rsidRDefault="0032353F" w:rsidP="0032353F">
      <w:pPr>
        <w:rPr>
          <w:lang w:val="es-ES"/>
        </w:rPr>
      </w:pPr>
      <w:r w:rsidRPr="0032353F">
        <w:rPr>
          <w:lang w:val="es-ES"/>
        </w:rPr>
        <w:t xml:space="preserve">Los </w:t>
      </w:r>
      <w:r w:rsidRPr="0032353F">
        <w:rPr>
          <w:b/>
          <w:bCs/>
          <w:lang w:val="es-ES"/>
        </w:rPr>
        <w:t>NUEVOS DELEGADOS</w:t>
      </w:r>
      <w:r w:rsidRPr="0032353F">
        <w:rPr>
          <w:lang w:val="es-ES"/>
        </w:rPr>
        <w:t xml:space="preserve"> están invitados a participar en un programa de acompañamiento que consiste en una sesión informativa de bienvenida a su llegada, una visita guiada a la Sede de la</w:t>
      </w:r>
      <w:r w:rsidR="00340A8C">
        <w:rPr>
          <w:lang w:val="es-ES"/>
        </w:rPr>
        <w:t> </w:t>
      </w:r>
      <w:r w:rsidRPr="0032353F">
        <w:rPr>
          <w:lang w:val="es-ES"/>
        </w:rPr>
        <w:t>UIT y una sesión de orientación sobre los trabajos del</w:t>
      </w:r>
      <w:r w:rsidR="00340A8C">
        <w:rPr>
          <w:lang w:val="es-ES"/>
        </w:rPr>
        <w:t> </w:t>
      </w:r>
      <w:r w:rsidRPr="0032353F">
        <w:rPr>
          <w:lang w:val="es-ES"/>
        </w:rPr>
        <w:t>UIT</w:t>
      </w:r>
      <w:r w:rsidR="00340A8C">
        <w:rPr>
          <w:lang w:val="es-ES"/>
        </w:rPr>
        <w:noBreakHyphen/>
      </w:r>
      <w:r w:rsidRPr="0032353F">
        <w:rPr>
          <w:lang w:val="es-ES"/>
        </w:rPr>
        <w:t xml:space="preserve">T. Si desea participar, póngase en contacto con </w:t>
      </w:r>
      <w:hyperlink r:id="rId33" w:history="1">
        <w:r w:rsidR="001D32D9" w:rsidRPr="0032353F">
          <w:rPr>
            <w:rStyle w:val="Hyperlink"/>
            <w:lang w:val="es-ES"/>
          </w:rPr>
          <w:t>ITU</w:t>
        </w:r>
        <w:r w:rsidR="001D32D9" w:rsidRPr="002659C4">
          <w:rPr>
            <w:rStyle w:val="Hyperlink"/>
            <w:lang w:val="es-ES"/>
          </w:rPr>
          <w:noBreakHyphen/>
        </w:r>
        <w:r w:rsidR="001D32D9" w:rsidRPr="0032353F">
          <w:rPr>
            <w:rStyle w:val="Hyperlink"/>
            <w:lang w:val="es-ES"/>
          </w:rPr>
          <w:t>Tmembership@itu.int</w:t>
        </w:r>
      </w:hyperlink>
      <w:r w:rsidRPr="0032353F">
        <w:rPr>
          <w:lang w:val="es-ES"/>
        </w:rPr>
        <w:t>. Puede consultar una guía resumida para nuevos delegados</w:t>
      </w:r>
      <w:r w:rsidR="00B52CCC">
        <w:rPr>
          <w:lang w:val="es-ES"/>
        </w:rPr>
        <w:t xml:space="preserve"> en</w:t>
      </w:r>
      <w:r w:rsidRPr="0032353F">
        <w:rPr>
          <w:lang w:val="es-ES"/>
        </w:rPr>
        <w:t xml:space="preserve"> </w:t>
      </w:r>
      <w:hyperlink r:id="rId34" w:history="1">
        <w:r w:rsidR="00B52CCC">
          <w:rPr>
            <w:rStyle w:val="Hyperlink"/>
            <w:lang w:val="es-ES"/>
          </w:rPr>
          <w:t>este enlace</w:t>
        </w:r>
      </w:hyperlink>
      <w:r w:rsidRPr="0032353F">
        <w:rPr>
          <w:lang w:val="es-ES"/>
        </w:rPr>
        <w:t>.</w:t>
      </w:r>
    </w:p>
    <w:p w14:paraId="3300D5E3" w14:textId="581A978D" w:rsidR="0032353F" w:rsidRPr="0032353F" w:rsidRDefault="0032353F" w:rsidP="0032353F">
      <w:pPr>
        <w:rPr>
          <w:lang w:val="es-ES"/>
        </w:rPr>
      </w:pPr>
      <w:r w:rsidRPr="0032353F">
        <w:rPr>
          <w:b/>
          <w:bCs/>
          <w:lang w:val="es-ES"/>
        </w:rPr>
        <w:t>BECAS:</w:t>
      </w:r>
      <w:r w:rsidRPr="0032353F">
        <w:rPr>
          <w:lang w:val="es-ES"/>
        </w:rPr>
        <w:t xml:space="preserve"> </w:t>
      </w:r>
      <w:r w:rsidR="00340A8C" w:rsidRPr="0032353F">
        <w:rPr>
          <w:lang w:val="es-ES"/>
        </w:rPr>
        <w:t>p</w:t>
      </w:r>
      <w:r w:rsidRPr="0032353F">
        <w:rPr>
          <w:lang w:val="es-ES"/>
        </w:rPr>
        <w:t xml:space="preserve">ara facilitar la participación de los </w:t>
      </w:r>
      <w:hyperlink r:id="rId35" w:history="1">
        <w:r w:rsidRPr="0032353F">
          <w:rPr>
            <w:rStyle w:val="Hyperlink"/>
            <w:lang w:val="es-ES"/>
          </w:rPr>
          <w:t>países que reúnen los requisitos aplicables</w:t>
        </w:r>
      </w:hyperlink>
      <w:r w:rsidRPr="0032353F">
        <w:rPr>
          <w:lang w:val="es-ES"/>
        </w:rPr>
        <w:t>, se podrán conceder, en función de los fondos disponibles, hasta dos becas parciales por país. Una beca parcial comprende ya sea a)</w:t>
      </w:r>
      <w:r w:rsidR="00B52CCC">
        <w:rPr>
          <w:lang w:val="es-ES"/>
        </w:rPr>
        <w:t> </w:t>
      </w:r>
      <w:r w:rsidRPr="0032353F">
        <w:rPr>
          <w:lang w:val="es-ES"/>
        </w:rPr>
        <w:t xml:space="preserve">un </w:t>
      </w:r>
      <w:r w:rsidRPr="0032353F">
        <w:rPr>
          <w:b/>
          <w:bCs/>
          <w:lang w:val="es-ES"/>
        </w:rPr>
        <w:t>billete de avión</w:t>
      </w:r>
      <w:r w:rsidRPr="0032353F">
        <w:rPr>
          <w:lang w:val="es-ES"/>
        </w:rPr>
        <w:t xml:space="preserve"> (de ida y vuelta en clase económica por la ruta más directa/económica del país de origen al lugar de celebración de la reunión) o b)</w:t>
      </w:r>
      <w:r w:rsidR="00B52CCC">
        <w:rPr>
          <w:lang w:val="es-ES"/>
        </w:rPr>
        <w:t> </w:t>
      </w:r>
      <w:r w:rsidRPr="0032353F">
        <w:rPr>
          <w:b/>
          <w:bCs/>
          <w:lang w:val="es-ES"/>
        </w:rPr>
        <w:t>dietas</w:t>
      </w:r>
      <w:r w:rsidRPr="0032353F">
        <w:rPr>
          <w:lang w:val="es-ES"/>
        </w:rPr>
        <w:t xml:space="preserve"> adecuadas (para sufragar los costes de alojamiento, comidas y otros gastos). Si se solicitan dos becas parciales, al menos una deberá cubrir un billete de avión. La organización del solicitante asumirá el resto del coste de la participación.</w:t>
      </w:r>
    </w:p>
    <w:p w14:paraId="421A3B8F" w14:textId="7897BA65" w:rsidR="0032353F" w:rsidRPr="0032353F" w:rsidRDefault="0032353F" w:rsidP="0032353F">
      <w:pPr>
        <w:rPr>
          <w:lang w:val="es-ES"/>
        </w:rPr>
      </w:pPr>
      <w:r w:rsidRPr="0032353F">
        <w:rPr>
          <w:lang w:val="es-ES"/>
        </w:rPr>
        <w:t>De conformidad con la Resolución</w:t>
      </w:r>
      <w:r w:rsidR="00B52CCC">
        <w:rPr>
          <w:lang w:val="es-ES"/>
        </w:rPr>
        <w:t> </w:t>
      </w:r>
      <w:r w:rsidRPr="0032353F">
        <w:rPr>
          <w:lang w:val="es-ES"/>
        </w:rPr>
        <w:t>213 (Dubái, 2018) de la Conferencia de Plenipotenciarios, se alienta a que la concesión de becas tenga en cuenta el equilibrio de género y la inclusión de las personas con discapacidad y con necesidades especiales. Téngase en cuenta que los criterios aplicados a la concesión de becas incluyen: el presupuesto disponible de la</w:t>
      </w:r>
      <w:r w:rsidR="00340A8C">
        <w:rPr>
          <w:lang w:val="es-ES"/>
        </w:rPr>
        <w:t> </w:t>
      </w:r>
      <w:r w:rsidRPr="0032353F">
        <w:rPr>
          <w:lang w:val="es-ES"/>
        </w:rPr>
        <w:t>UIT; la participación activa, en particular la presentación de contribuciones pertinentes por escrito; la distribución equitativa entre países y regiones; las solicitudes presentadas por personas con discapacidad o con necesidades especiales; y el equilibrio de género.</w:t>
      </w:r>
    </w:p>
    <w:p w14:paraId="036BAB7A" w14:textId="183202A6" w:rsidR="0032353F" w:rsidRPr="0032353F" w:rsidRDefault="0032353F" w:rsidP="0032353F">
      <w:pPr>
        <w:rPr>
          <w:lang w:val="es-ES"/>
        </w:rPr>
      </w:pPr>
      <w:r w:rsidRPr="0032353F">
        <w:rPr>
          <w:lang w:val="es-ES"/>
        </w:rPr>
        <w:t xml:space="preserve">El formulario de solicitud está disponible en la </w:t>
      </w:r>
      <w:hyperlink r:id="rId36" w:history="1">
        <w:r w:rsidRPr="0032353F">
          <w:rPr>
            <w:rStyle w:val="Hyperlink"/>
            <w:lang w:val="es-ES"/>
          </w:rPr>
          <w:t>página web de la Comisión de Estudio</w:t>
        </w:r>
      </w:hyperlink>
      <w:r w:rsidRPr="0032353F">
        <w:rPr>
          <w:lang w:val="es-ES"/>
        </w:rPr>
        <w:t xml:space="preserve">. </w:t>
      </w:r>
      <w:r w:rsidRPr="0032353F">
        <w:rPr>
          <w:b/>
          <w:bCs/>
          <w:lang w:val="es-ES"/>
        </w:rPr>
        <w:t>Las solicitudes de beca deben recibirse a más tardar el 25 de agosto de 2025.</w:t>
      </w:r>
      <w:r w:rsidRPr="0032353F">
        <w:rPr>
          <w:lang w:val="es-ES"/>
        </w:rPr>
        <w:t xml:space="preserve"> Deberán enviarse por correo electrónico a </w:t>
      </w:r>
      <w:hyperlink r:id="rId37" w:history="1">
        <w:r w:rsidR="00B52CCC" w:rsidRPr="0032353F">
          <w:rPr>
            <w:rStyle w:val="Hyperlink"/>
            <w:lang w:val="es-ES"/>
          </w:rPr>
          <w:t>fellowships@itu.int</w:t>
        </w:r>
      </w:hyperlink>
      <w:r w:rsidRPr="0032353F">
        <w:rPr>
          <w:lang w:val="es-ES"/>
        </w:rPr>
        <w:t xml:space="preserve"> o por fax al +41 22 730 57 78. </w:t>
      </w:r>
      <w:r w:rsidRPr="0032353F">
        <w:rPr>
          <w:b/>
          <w:bCs/>
          <w:lang w:val="es-ES"/>
        </w:rPr>
        <w:t>Es necesario inscribirse (con la aprobación del coordinador) antes de presentar una solicitud de beca</w:t>
      </w:r>
      <w:r w:rsidRPr="0032353F">
        <w:rPr>
          <w:lang w:val="es-ES"/>
        </w:rPr>
        <w:t xml:space="preserve"> y se recomienda encarecidamente inscribirse en el evento e iniciar el proceso de solicitud al menos siente semanas antes de la reunión.</w:t>
      </w:r>
    </w:p>
    <w:p w14:paraId="549E2895" w14:textId="6B548691" w:rsidR="0032353F" w:rsidRPr="0032353F" w:rsidRDefault="0032353F" w:rsidP="0032353F">
      <w:pPr>
        <w:rPr>
          <w:bCs/>
          <w:lang w:val="es-ES"/>
        </w:rPr>
      </w:pPr>
      <w:r w:rsidRPr="0032353F">
        <w:rPr>
          <w:b/>
          <w:bCs/>
          <w:lang w:val="es-ES"/>
        </w:rPr>
        <w:t>AYUDA PARA LA SOLICITUD DE VISADOS:</w:t>
      </w:r>
      <w:r w:rsidRPr="0032353F">
        <w:rPr>
          <w:lang w:val="es-ES"/>
        </w:rPr>
        <w:t xml:space="preserve"> </w:t>
      </w:r>
      <w:r w:rsidR="00340A8C">
        <w:rPr>
          <w:lang w:val="es-ES"/>
        </w:rPr>
        <w:t>e</w:t>
      </w:r>
      <w:r w:rsidRPr="0032353F">
        <w:rPr>
          <w:lang w:val="es-ES"/>
        </w:rPr>
        <w:t>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5287BDFC" w14:textId="744BAD6B" w:rsidR="0032353F" w:rsidRPr="0032353F" w:rsidRDefault="0032353F" w:rsidP="00340A8C">
      <w:pPr>
        <w:rPr>
          <w:lang w:val="es-ES"/>
        </w:rPr>
      </w:pPr>
      <w:r w:rsidRPr="0032353F">
        <w:rPr>
          <w:lang w:val="es-ES"/>
        </w:rPr>
        <w:t>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w:t>
      </w:r>
      <w:r w:rsidR="00340A8C">
        <w:rPr>
          <w:lang w:val="es-ES"/>
        </w:rPr>
        <w:t> </w:t>
      </w:r>
      <w:r w:rsidRPr="0032353F">
        <w:rPr>
          <w:lang w:val="es-ES"/>
        </w:rPr>
        <w:t xml:space="preserve">días antes de que se emita la carta de solicitud de visado. Por consiguiente, las solicitudes deberán efectuarse marcando la casilla correspondiente en el formulario de inscripción </w:t>
      </w:r>
      <w:r w:rsidRPr="0032353F">
        <w:rPr>
          <w:b/>
          <w:bCs/>
          <w:lang w:val="es-ES"/>
        </w:rPr>
        <w:t>a más tardar un mes antes de la reunión</w:t>
      </w:r>
      <w:r w:rsidRPr="0032353F">
        <w:rPr>
          <w:lang w:val="es-ES"/>
        </w:rPr>
        <w:t>. Las consultas deben remitirse a la Sección de Viajes de la</w:t>
      </w:r>
      <w:r w:rsidR="00340A8C">
        <w:rPr>
          <w:lang w:val="es-ES"/>
        </w:rPr>
        <w:t> </w:t>
      </w:r>
      <w:r w:rsidRPr="0032353F">
        <w:rPr>
          <w:lang w:val="es-ES"/>
        </w:rPr>
        <w:t>UIT (</w:t>
      </w:r>
      <w:hyperlink r:id="rId38" w:history="1">
        <w:r w:rsidR="00340A8C" w:rsidRPr="0032353F">
          <w:rPr>
            <w:rStyle w:val="Hyperlink"/>
            <w:lang w:val="es-ES"/>
          </w:rPr>
          <w:t>travel@itu.int</w:t>
        </w:r>
      </w:hyperlink>
      <w:r w:rsidRPr="0032353F">
        <w:rPr>
          <w:lang w:val="es-ES"/>
        </w:rPr>
        <w:t>) con la indicación "</w:t>
      </w:r>
      <w:r w:rsidRPr="0032353F">
        <w:rPr>
          <w:b/>
          <w:bCs/>
          <w:lang w:val="es-ES"/>
        </w:rPr>
        <w:t>apoyo para la obtención de visado</w:t>
      </w:r>
      <w:r w:rsidRPr="0032353F">
        <w:rPr>
          <w:lang w:val="es-ES"/>
        </w:rPr>
        <w:t>".</w:t>
      </w:r>
    </w:p>
    <w:p w14:paraId="3193171F" w14:textId="1D7161EC" w:rsidR="0041544D" w:rsidRDefault="0041544D" w:rsidP="0067472B">
      <w:pPr>
        <w:keepNext/>
        <w:keepLines/>
        <w:spacing w:before="360"/>
        <w:jc w:val="center"/>
        <w:rPr>
          <w:b/>
          <w:bCs/>
          <w:lang w:val="pt-BR"/>
        </w:rPr>
      </w:pPr>
      <w:r w:rsidRPr="003B795C">
        <w:rPr>
          <w:b/>
          <w:bCs/>
          <w:lang w:val="pt-BR"/>
        </w:rPr>
        <w:lastRenderedPageBreak/>
        <w:t>VISITAS A GINEBRA: HOTELES, TRANSPORTE PÚBLICO</w:t>
      </w:r>
    </w:p>
    <w:p w14:paraId="33054AF4" w14:textId="6735B118" w:rsidR="0032353F" w:rsidRPr="0032353F" w:rsidRDefault="0032353F" w:rsidP="00340A8C">
      <w:pPr>
        <w:pStyle w:val="Normalaftertitle"/>
        <w:keepNext/>
        <w:keepLines/>
        <w:rPr>
          <w:lang w:val="es-ES"/>
        </w:rPr>
      </w:pPr>
      <w:r w:rsidRPr="0032353F">
        <w:rPr>
          <w:b/>
          <w:bCs/>
          <w:lang w:val="es-ES"/>
        </w:rPr>
        <w:t>VISITAS A GINEBRA:</w:t>
      </w:r>
      <w:r w:rsidRPr="0032353F">
        <w:rPr>
          <w:lang w:val="es-ES"/>
        </w:rPr>
        <w:t xml:space="preserve"> </w:t>
      </w:r>
      <w:r w:rsidR="00340A8C">
        <w:rPr>
          <w:lang w:val="es-ES"/>
        </w:rPr>
        <w:t>l</w:t>
      </w:r>
      <w:r w:rsidRPr="0032353F">
        <w:rPr>
          <w:lang w:val="es-ES"/>
        </w:rPr>
        <w:t>os delegados que asistan a reuniones de la</w:t>
      </w:r>
      <w:r w:rsidR="00340A8C">
        <w:rPr>
          <w:lang w:val="es-ES"/>
        </w:rPr>
        <w:t> </w:t>
      </w:r>
      <w:r w:rsidRPr="0032353F">
        <w:rPr>
          <w:lang w:val="es-ES"/>
        </w:rPr>
        <w:t xml:space="preserve">UIT en Ginebra pueden encontrar información práctica en </w:t>
      </w:r>
      <w:hyperlink r:id="rId39" w:history="1">
        <w:r w:rsidR="00340A8C" w:rsidRPr="002659C4">
          <w:rPr>
            <w:rStyle w:val="Hyperlink"/>
            <w:lang w:val="es-ES"/>
          </w:rPr>
          <w:t>https://www.itu.int/e</w:t>
        </w:r>
        <w:r w:rsidR="00340A8C" w:rsidRPr="002659C4">
          <w:rPr>
            <w:rStyle w:val="Hyperlink"/>
            <w:lang w:val="es-ES"/>
          </w:rPr>
          <w:t>s</w:t>
        </w:r>
        <w:r w:rsidR="00340A8C" w:rsidRPr="002659C4">
          <w:rPr>
            <w:rStyle w:val="Hyperlink"/>
            <w:lang w:val="es-ES"/>
          </w:rPr>
          <w:t>/delegates-corner</w:t>
        </w:r>
      </w:hyperlink>
      <w:r w:rsidRPr="0032353F">
        <w:rPr>
          <w:lang w:val="es-ES"/>
        </w:rPr>
        <w:t>.</w:t>
      </w:r>
    </w:p>
    <w:p w14:paraId="6D194F06" w14:textId="2193EC4E" w:rsidR="0032353F" w:rsidRPr="0032353F" w:rsidRDefault="0032353F" w:rsidP="00340A8C">
      <w:pPr>
        <w:keepNext/>
        <w:keepLines/>
        <w:rPr>
          <w:lang w:val="es-ES"/>
        </w:rPr>
      </w:pPr>
      <w:r w:rsidRPr="0032353F">
        <w:rPr>
          <w:b/>
          <w:bCs/>
          <w:lang w:val="es-ES"/>
        </w:rPr>
        <w:t xml:space="preserve">DESCUENTOS PARA HOTELES: </w:t>
      </w:r>
      <w:r w:rsidR="00340A8C">
        <w:rPr>
          <w:lang w:val="es-ES"/>
        </w:rPr>
        <w:t>v</w:t>
      </w:r>
      <w:r w:rsidRPr="0032353F">
        <w:rPr>
          <w:lang w:val="es-ES"/>
        </w:rPr>
        <w:t>arios hoteles de Ginebra ofrecen precios especiales para los delegados que asisten a reuniones de la</w:t>
      </w:r>
      <w:r w:rsidR="00340A8C">
        <w:rPr>
          <w:lang w:val="es-ES"/>
        </w:rPr>
        <w:t> </w:t>
      </w:r>
      <w:r w:rsidRPr="0032353F">
        <w:rPr>
          <w:lang w:val="es-ES"/>
        </w:rPr>
        <w:t xml:space="preserve">UIT, y regalan un abono gratuito para los transportes públicos de la ciudad. Puede consultar una lista de esos hoteles e información sobre cómo solicitar los descuentos en la dirección: </w:t>
      </w:r>
      <w:hyperlink r:id="rId40" w:history="1">
        <w:r w:rsidR="00340A8C" w:rsidRPr="0032353F">
          <w:rPr>
            <w:rStyle w:val="Hyperlink"/>
            <w:lang w:val="es-ES"/>
          </w:rPr>
          <w:t>http://www.itu.int/tra</w:t>
        </w:r>
        <w:r w:rsidR="00340A8C" w:rsidRPr="0032353F">
          <w:rPr>
            <w:rStyle w:val="Hyperlink"/>
            <w:lang w:val="es-ES"/>
          </w:rPr>
          <w:t>v</w:t>
        </w:r>
        <w:r w:rsidR="00340A8C" w:rsidRPr="0032353F">
          <w:rPr>
            <w:rStyle w:val="Hyperlink"/>
            <w:lang w:val="es-ES"/>
          </w:rPr>
          <w:t>el/</w:t>
        </w:r>
      </w:hyperlink>
      <w:r w:rsidRPr="0032353F">
        <w:rPr>
          <w:lang w:val="es-ES"/>
        </w:rPr>
        <w:t>.</w:t>
      </w:r>
    </w:p>
    <w:p w14:paraId="5522AD98" w14:textId="77777777" w:rsidR="008318E0" w:rsidRPr="0041544D" w:rsidRDefault="008318E0" w:rsidP="0041544D">
      <w:pPr>
        <w:rPr>
          <w:lang w:val="es-ES"/>
        </w:rPr>
      </w:pPr>
    </w:p>
    <w:p w14:paraId="27547F85" w14:textId="77777777" w:rsidR="008318E0" w:rsidRDefault="008318E0" w:rsidP="0041544D">
      <w:pPr>
        <w:sectPr w:rsidR="008318E0" w:rsidSect="002545AA">
          <w:headerReference w:type="even" r:id="rId41"/>
          <w:headerReference w:type="default" r:id="rId42"/>
          <w:footerReference w:type="first" r:id="rId43"/>
          <w:pgSz w:w="11907" w:h="16840" w:code="9"/>
          <w:pgMar w:top="1134" w:right="1134" w:bottom="1134" w:left="1134" w:header="567" w:footer="567" w:gutter="0"/>
          <w:paperSrc w:first="261" w:other="261"/>
          <w:cols w:space="720"/>
          <w:titlePg/>
          <w:docGrid w:linePitch="326"/>
        </w:sectPr>
      </w:pPr>
    </w:p>
    <w:p w14:paraId="68245DAD" w14:textId="0C2C784B" w:rsidR="0041544D" w:rsidRPr="00B52CCC" w:rsidRDefault="00B52CCC" w:rsidP="00EF6F27">
      <w:pPr>
        <w:pStyle w:val="Annextitle0"/>
        <w:spacing w:before="0" w:after="120"/>
        <w:rPr>
          <w:sz w:val="22"/>
          <w:szCs w:val="22"/>
        </w:rPr>
      </w:pPr>
      <w:r w:rsidRPr="004A0F0A">
        <w:rPr>
          <w:sz w:val="24"/>
          <w:szCs w:val="24"/>
        </w:rPr>
        <w:lastRenderedPageBreak/>
        <w:t>ANNEX B</w:t>
      </w:r>
      <w:r w:rsidRPr="004A0F0A">
        <w:rPr>
          <w:sz w:val="24"/>
          <w:szCs w:val="24"/>
        </w:rPr>
        <w:br/>
      </w:r>
      <w:r w:rsidRPr="00B52CCC">
        <w:rPr>
          <w:sz w:val="22"/>
          <w:szCs w:val="22"/>
        </w:rPr>
        <w:t xml:space="preserve">Draft agenda </w:t>
      </w:r>
      <w:r w:rsidRPr="00B52CCC">
        <w:rPr>
          <w:bCs/>
          <w:sz w:val="22"/>
          <w:szCs w:val="22"/>
        </w:rPr>
        <w:t>of Study Group 21 meeting (Geneva, 6-17 October 2025)</w:t>
      </w:r>
    </w:p>
    <w:tbl>
      <w:tblPr>
        <w:tblW w:w="9855" w:type="dxa"/>
        <w:jc w:val="center"/>
        <w:tblLayout w:type="fixed"/>
        <w:tblLook w:val="04A0" w:firstRow="1" w:lastRow="0" w:firstColumn="1" w:lastColumn="0" w:noHBand="0" w:noVBand="1"/>
      </w:tblPr>
      <w:tblGrid>
        <w:gridCol w:w="369"/>
        <w:gridCol w:w="8811"/>
        <w:gridCol w:w="675"/>
      </w:tblGrid>
      <w:tr w:rsidR="00B52CCC" w:rsidRPr="00B9432D" w14:paraId="0A874E3C" w14:textId="77777777" w:rsidTr="00A770DB">
        <w:trPr>
          <w:jc w:val="center"/>
        </w:trPr>
        <w:tc>
          <w:tcPr>
            <w:tcW w:w="369" w:type="dxa"/>
            <w:shd w:val="clear" w:color="auto" w:fill="D6E3BC" w:themeFill="accent3" w:themeFillTint="66"/>
            <w:hideMark/>
          </w:tcPr>
          <w:p w14:paraId="1DF874C6" w14:textId="77777777" w:rsidR="00B52CCC" w:rsidRPr="007B0216" w:rsidRDefault="00B52CCC" w:rsidP="00A770DB">
            <w:pPr>
              <w:spacing w:before="80"/>
              <w:rPr>
                <w:b/>
                <w:bCs/>
                <w:sz w:val="20"/>
              </w:rPr>
            </w:pPr>
            <w:r w:rsidRPr="007B0216">
              <w:rPr>
                <w:b/>
                <w:bCs/>
                <w:sz w:val="20"/>
              </w:rPr>
              <w:t>#</w:t>
            </w:r>
          </w:p>
        </w:tc>
        <w:tc>
          <w:tcPr>
            <w:tcW w:w="8811" w:type="dxa"/>
            <w:shd w:val="clear" w:color="auto" w:fill="D6E3BC" w:themeFill="accent3" w:themeFillTint="66"/>
            <w:vAlign w:val="bottom"/>
            <w:hideMark/>
          </w:tcPr>
          <w:p w14:paraId="5FA4A113" w14:textId="77777777" w:rsidR="00B52CCC" w:rsidRPr="007B0216" w:rsidRDefault="00B52CCC" w:rsidP="00A770DB">
            <w:pPr>
              <w:spacing w:before="80"/>
              <w:rPr>
                <w:b/>
                <w:bCs/>
                <w:sz w:val="20"/>
              </w:rPr>
            </w:pPr>
            <w:r w:rsidRPr="007B0216">
              <w:rPr>
                <w:b/>
                <w:bCs/>
                <w:sz w:val="20"/>
              </w:rPr>
              <w:t>Agenda items</w:t>
            </w:r>
          </w:p>
        </w:tc>
        <w:tc>
          <w:tcPr>
            <w:tcW w:w="675" w:type="dxa"/>
            <w:shd w:val="clear" w:color="auto" w:fill="D6E3BC" w:themeFill="accent3" w:themeFillTint="66"/>
          </w:tcPr>
          <w:p w14:paraId="49C44B3D" w14:textId="77777777" w:rsidR="00B52CCC" w:rsidRPr="007B0216" w:rsidRDefault="00B52CCC" w:rsidP="00A770DB">
            <w:pPr>
              <w:tabs>
                <w:tab w:val="clear" w:pos="794"/>
                <w:tab w:val="clear" w:pos="1191"/>
              </w:tabs>
              <w:spacing w:before="80"/>
              <w:rPr>
                <w:b/>
                <w:bCs/>
                <w:sz w:val="20"/>
              </w:rPr>
            </w:pPr>
          </w:p>
        </w:tc>
      </w:tr>
      <w:tr w:rsidR="00B52CCC" w:rsidRPr="00B9432D" w14:paraId="7F7636AB" w14:textId="77777777" w:rsidTr="00A770DB">
        <w:trPr>
          <w:jc w:val="center"/>
        </w:trPr>
        <w:tc>
          <w:tcPr>
            <w:tcW w:w="369" w:type="dxa"/>
          </w:tcPr>
          <w:p w14:paraId="03D11CEE" w14:textId="77777777" w:rsidR="00B52CCC" w:rsidRPr="003D25C2" w:rsidRDefault="00B52CCC" w:rsidP="00B52CCC">
            <w:pPr>
              <w:numPr>
                <w:ilvl w:val="0"/>
                <w:numId w:val="19"/>
              </w:numPr>
              <w:overflowPunct/>
              <w:autoSpaceDE/>
              <w:autoSpaceDN/>
              <w:adjustRightInd/>
              <w:spacing w:before="80"/>
              <w:ind w:left="357" w:hanging="357"/>
              <w:textAlignment w:val="auto"/>
              <w:rPr>
                <w:sz w:val="20"/>
              </w:rPr>
            </w:pPr>
          </w:p>
        </w:tc>
        <w:tc>
          <w:tcPr>
            <w:tcW w:w="8811" w:type="dxa"/>
            <w:vAlign w:val="bottom"/>
            <w:hideMark/>
          </w:tcPr>
          <w:p w14:paraId="084F94BB" w14:textId="77777777" w:rsidR="00B52CCC" w:rsidRPr="002773FE" w:rsidRDefault="00B52CCC" w:rsidP="00A770DB">
            <w:pPr>
              <w:pStyle w:val="AgendaItem"/>
              <w:rPr>
                <w:rFonts w:ascii="Calibri" w:hAnsi="Calibri"/>
              </w:rPr>
            </w:pPr>
            <w:r w:rsidRPr="002773FE">
              <w:t>Opening of the SG</w:t>
            </w:r>
            <w:r>
              <w:rPr>
                <w:rFonts w:ascii="Calibri" w:hAnsi="Calibri"/>
              </w:rPr>
              <w:t>21</w:t>
            </w:r>
            <w:r w:rsidRPr="002773FE">
              <w:rPr>
                <w:rFonts w:ascii="Calibri" w:hAnsi="Calibri"/>
              </w:rPr>
              <w:t xml:space="preserve"> meeting</w:t>
            </w:r>
          </w:p>
          <w:p w14:paraId="70097B3C" w14:textId="77777777" w:rsidR="00B52CCC" w:rsidRPr="00CA645A" w:rsidRDefault="00B52CCC" w:rsidP="00B52CCC">
            <w:pPr>
              <w:pStyle w:val="AgendaItem"/>
              <w:numPr>
                <w:ilvl w:val="1"/>
                <w:numId w:val="19"/>
              </w:numPr>
              <w:ind w:left="513" w:hanging="513"/>
            </w:pPr>
            <w:r w:rsidRPr="00CA645A">
              <w:rPr>
                <w:rFonts w:cstheme="majorBidi"/>
                <w:lang w:eastAsia="ja-JP"/>
              </w:rPr>
              <w:t>Opening remarks</w:t>
            </w:r>
          </w:p>
          <w:p w14:paraId="36C99A91" w14:textId="77777777" w:rsidR="00B52CCC" w:rsidRPr="003D25C2" w:rsidRDefault="00B52CCC" w:rsidP="00B52CCC">
            <w:pPr>
              <w:pStyle w:val="AgendaItem"/>
              <w:numPr>
                <w:ilvl w:val="1"/>
                <w:numId w:val="19"/>
              </w:numPr>
              <w:ind w:left="513" w:hanging="513"/>
              <w:rPr>
                <w:rFonts w:cstheme="majorBidi"/>
                <w:lang w:eastAsia="ja-JP"/>
              </w:rPr>
            </w:pPr>
            <w:r w:rsidRPr="003D25C2">
              <w:rPr>
                <w:rFonts w:cstheme="majorBidi"/>
                <w:lang w:eastAsia="ja-JP"/>
              </w:rPr>
              <w:t>Approval of the agenda</w:t>
            </w:r>
          </w:p>
          <w:p w14:paraId="6F3B8A8F" w14:textId="77777777" w:rsidR="00B52CCC" w:rsidRPr="003D25C2" w:rsidRDefault="00B52CCC" w:rsidP="00B52CCC">
            <w:pPr>
              <w:pStyle w:val="AgendaItem"/>
              <w:numPr>
                <w:ilvl w:val="1"/>
                <w:numId w:val="19"/>
              </w:numPr>
              <w:ind w:left="513" w:hanging="513"/>
              <w:rPr>
                <w:rFonts w:cstheme="majorBidi"/>
                <w:lang w:eastAsia="ja-JP"/>
              </w:rPr>
            </w:pPr>
            <w:r w:rsidRPr="003D25C2">
              <w:rPr>
                <w:rFonts w:cstheme="majorBidi"/>
                <w:lang w:eastAsia="ja-JP"/>
              </w:rPr>
              <w:t xml:space="preserve">Approval of the </w:t>
            </w:r>
            <w:r>
              <w:rPr>
                <w:rFonts w:cstheme="majorBidi"/>
                <w:lang w:eastAsia="ja-JP"/>
              </w:rPr>
              <w:t>meeting time schedule</w:t>
            </w:r>
          </w:p>
          <w:p w14:paraId="5A3F80A4" w14:textId="77777777" w:rsidR="00B52CCC" w:rsidRPr="003D25C2" w:rsidRDefault="00B52CCC" w:rsidP="00B52CCC">
            <w:pPr>
              <w:pStyle w:val="AgendaItem"/>
              <w:numPr>
                <w:ilvl w:val="1"/>
                <w:numId w:val="19"/>
              </w:numPr>
              <w:ind w:left="513" w:hanging="513"/>
              <w:rPr>
                <w:rFonts w:cstheme="majorBidi"/>
                <w:lang w:eastAsia="ja-JP"/>
              </w:rPr>
            </w:pPr>
            <w:r w:rsidRPr="003D25C2">
              <w:rPr>
                <w:rFonts w:cstheme="majorBidi"/>
                <w:lang w:eastAsia="ja-JP"/>
              </w:rPr>
              <w:t>Document allocation</w:t>
            </w:r>
          </w:p>
          <w:p w14:paraId="5136F49C" w14:textId="77777777" w:rsidR="00B52CCC" w:rsidRDefault="00B52CCC" w:rsidP="00B52CCC">
            <w:pPr>
              <w:pStyle w:val="AgendaItem"/>
              <w:numPr>
                <w:ilvl w:val="1"/>
                <w:numId w:val="19"/>
              </w:numPr>
              <w:ind w:left="513" w:hanging="513"/>
              <w:rPr>
                <w:rFonts w:cstheme="majorBidi"/>
                <w:lang w:eastAsia="ja-JP"/>
              </w:rPr>
            </w:pPr>
            <w:r w:rsidRPr="003D25C2">
              <w:rPr>
                <w:rFonts w:cstheme="majorBidi"/>
                <w:lang w:eastAsia="ja-JP"/>
              </w:rPr>
              <w:t>Incoming liaison statements</w:t>
            </w:r>
          </w:p>
          <w:p w14:paraId="4452E721" w14:textId="77777777" w:rsidR="00B52CCC" w:rsidRPr="003D25C2" w:rsidRDefault="00B52CCC" w:rsidP="00B52CCC">
            <w:pPr>
              <w:pStyle w:val="AgendaItem"/>
              <w:numPr>
                <w:ilvl w:val="1"/>
                <w:numId w:val="19"/>
              </w:numPr>
              <w:ind w:left="513" w:hanging="513"/>
              <w:rPr>
                <w:rFonts w:cstheme="majorBidi"/>
                <w:lang w:eastAsia="ja-JP"/>
              </w:rPr>
            </w:pPr>
            <w:r w:rsidRPr="00B2251D">
              <w:t>List of stale work items of ITU-T SG21</w:t>
            </w:r>
          </w:p>
          <w:p w14:paraId="3B79AA64" w14:textId="77777777" w:rsidR="00B52CCC" w:rsidRPr="003D25C2" w:rsidRDefault="00B52CCC" w:rsidP="00B52CCC">
            <w:pPr>
              <w:pStyle w:val="AgendaItem"/>
              <w:numPr>
                <w:ilvl w:val="1"/>
                <w:numId w:val="19"/>
              </w:numPr>
              <w:ind w:left="513" w:hanging="513"/>
            </w:pPr>
            <w:r w:rsidRPr="003D25C2">
              <w:rPr>
                <w:rFonts w:cstheme="majorBidi"/>
                <w:lang w:eastAsia="ja-JP"/>
              </w:rPr>
              <w:t>Meeting facilities and useful information</w:t>
            </w:r>
          </w:p>
          <w:p w14:paraId="458A8A28" w14:textId="77777777" w:rsidR="00B52CCC" w:rsidRPr="00DA07A0" w:rsidRDefault="00B52CCC" w:rsidP="00B52CCC">
            <w:pPr>
              <w:pStyle w:val="AgendaItem"/>
              <w:numPr>
                <w:ilvl w:val="1"/>
                <w:numId w:val="19"/>
              </w:numPr>
              <w:ind w:left="513" w:hanging="513"/>
            </w:pPr>
            <w:r w:rsidRPr="003D25C2">
              <w:rPr>
                <w:rFonts w:cstheme="majorBidi"/>
                <w:lang w:eastAsia="ja-JP"/>
              </w:rPr>
              <w:t xml:space="preserve">Newcomers’ </w:t>
            </w:r>
            <w:r>
              <w:rPr>
                <w:rFonts w:cstheme="majorBidi"/>
                <w:lang w:eastAsia="ja-JP"/>
              </w:rPr>
              <w:t xml:space="preserve">training and </w:t>
            </w:r>
            <w:r w:rsidRPr="003D25C2">
              <w:rPr>
                <w:rFonts w:cstheme="majorBidi"/>
                <w:lang w:eastAsia="ja-JP"/>
              </w:rPr>
              <w:t>welcome pack</w:t>
            </w:r>
          </w:p>
          <w:p w14:paraId="6EE2F379" w14:textId="77777777" w:rsidR="00B52CCC" w:rsidRPr="003D25C2" w:rsidRDefault="00B52CCC" w:rsidP="00B52CCC">
            <w:pPr>
              <w:pStyle w:val="AgendaItem"/>
              <w:numPr>
                <w:ilvl w:val="1"/>
                <w:numId w:val="19"/>
              </w:numPr>
              <w:ind w:left="513" w:hanging="513"/>
            </w:pPr>
            <w:r w:rsidRPr="00B2251D">
              <w:t>Bridging the standardization gap</w:t>
            </w:r>
          </w:p>
        </w:tc>
        <w:tc>
          <w:tcPr>
            <w:tcW w:w="675" w:type="dxa"/>
          </w:tcPr>
          <w:p w14:paraId="13A36C16" w14:textId="77777777" w:rsidR="00B52CCC" w:rsidRPr="003D25C2" w:rsidRDefault="00B52CCC" w:rsidP="00A770DB">
            <w:pPr>
              <w:pStyle w:val="AgendaItem"/>
            </w:pPr>
          </w:p>
        </w:tc>
      </w:tr>
      <w:tr w:rsidR="00B52CCC" w:rsidRPr="00B52CCC" w14:paraId="7CF921CD" w14:textId="77777777" w:rsidTr="00A770DB">
        <w:trPr>
          <w:jc w:val="center"/>
        </w:trPr>
        <w:tc>
          <w:tcPr>
            <w:tcW w:w="369" w:type="dxa"/>
          </w:tcPr>
          <w:p w14:paraId="751C448A" w14:textId="77777777" w:rsidR="00B52CCC" w:rsidRPr="003D25C2" w:rsidRDefault="00B52CCC" w:rsidP="00B52CCC">
            <w:pPr>
              <w:numPr>
                <w:ilvl w:val="0"/>
                <w:numId w:val="19"/>
              </w:numPr>
              <w:overflowPunct/>
              <w:autoSpaceDE/>
              <w:autoSpaceDN/>
              <w:adjustRightInd/>
              <w:spacing w:before="80"/>
              <w:ind w:left="357" w:hanging="357"/>
              <w:textAlignment w:val="auto"/>
              <w:rPr>
                <w:sz w:val="20"/>
              </w:rPr>
            </w:pPr>
          </w:p>
        </w:tc>
        <w:tc>
          <w:tcPr>
            <w:tcW w:w="8811" w:type="dxa"/>
            <w:vAlign w:val="bottom"/>
          </w:tcPr>
          <w:p w14:paraId="587E5D3D" w14:textId="77777777" w:rsidR="00B52CCC" w:rsidRDefault="00B52CCC" w:rsidP="00A770DB">
            <w:pPr>
              <w:pStyle w:val="AgendaItem"/>
              <w:rPr>
                <w:rFonts w:ascii="Calibri" w:hAnsi="Calibri"/>
              </w:rPr>
            </w:pPr>
            <w:r w:rsidRPr="004F156D">
              <w:t xml:space="preserve">Approval of </w:t>
            </w:r>
            <w:r>
              <w:rPr>
                <w:rFonts w:ascii="Calibri" w:hAnsi="Calibri"/>
              </w:rPr>
              <w:t xml:space="preserve">SG21 </w:t>
            </w:r>
            <w:r w:rsidRPr="004F156D">
              <w:rPr>
                <w:rFonts w:ascii="Calibri" w:hAnsi="Calibri"/>
              </w:rPr>
              <w:t>Reports</w:t>
            </w:r>
            <w:r>
              <w:rPr>
                <w:rFonts w:ascii="Calibri" w:hAnsi="Calibri"/>
              </w:rPr>
              <w:t xml:space="preserve"> (</w:t>
            </w:r>
            <w:hyperlink r:id="rId44" w:history="1">
              <w:r w:rsidRPr="00A06E0F">
                <w:rPr>
                  <w:rStyle w:val="Hyperlink"/>
                  <w:rFonts w:ascii="Calibri" w:hAnsi="Calibri"/>
                </w:rPr>
                <w:t>R1 to R7</w:t>
              </w:r>
            </w:hyperlink>
            <w:r>
              <w:rPr>
                <w:rFonts w:ascii="Calibri" w:hAnsi="Calibri"/>
              </w:rPr>
              <w:t>)</w:t>
            </w:r>
          </w:p>
          <w:p w14:paraId="02CBD7CA" w14:textId="77777777" w:rsidR="00B52CCC" w:rsidRDefault="00B52CCC" w:rsidP="00B52CCC">
            <w:pPr>
              <w:pStyle w:val="AgendaItem"/>
              <w:numPr>
                <w:ilvl w:val="1"/>
                <w:numId w:val="19"/>
              </w:numPr>
              <w:tabs>
                <w:tab w:val="clear" w:pos="674"/>
                <w:tab w:val="clear" w:pos="862"/>
              </w:tabs>
              <w:ind w:left="513" w:hanging="513"/>
            </w:pPr>
            <w:r>
              <w:t xml:space="preserve">R1 - </w:t>
            </w:r>
            <w:r w:rsidRPr="001B03CC">
              <w:t>Report of Working Party 1/21 (Geneva, 13-24 January 2025) </w:t>
            </w:r>
          </w:p>
          <w:p w14:paraId="6121FFB3" w14:textId="77777777" w:rsidR="00B52CCC" w:rsidRDefault="00B52CCC" w:rsidP="00B52CCC">
            <w:pPr>
              <w:pStyle w:val="AgendaItem"/>
              <w:numPr>
                <w:ilvl w:val="1"/>
                <w:numId w:val="19"/>
              </w:numPr>
              <w:tabs>
                <w:tab w:val="clear" w:pos="674"/>
                <w:tab w:val="clear" w:pos="862"/>
              </w:tabs>
              <w:ind w:left="513" w:hanging="513"/>
            </w:pPr>
            <w:r>
              <w:t xml:space="preserve">R2 - </w:t>
            </w:r>
            <w:r w:rsidRPr="001B03CC">
              <w:t>Report of Working Party 2/21 (Geneva, 13-24 January 2025)</w:t>
            </w:r>
          </w:p>
          <w:p w14:paraId="705B7362" w14:textId="77777777" w:rsidR="00B52CCC" w:rsidRDefault="00B52CCC" w:rsidP="00B52CCC">
            <w:pPr>
              <w:pStyle w:val="AgendaItem"/>
              <w:numPr>
                <w:ilvl w:val="1"/>
                <w:numId w:val="19"/>
              </w:numPr>
              <w:tabs>
                <w:tab w:val="clear" w:pos="674"/>
                <w:tab w:val="clear" w:pos="862"/>
              </w:tabs>
              <w:ind w:left="513" w:hanging="513"/>
            </w:pPr>
            <w:r>
              <w:t xml:space="preserve">R3 - </w:t>
            </w:r>
            <w:r w:rsidRPr="001B03CC">
              <w:t>Report of Working Party 3/21 (Geneva, 13-24 January 2025) </w:t>
            </w:r>
          </w:p>
          <w:p w14:paraId="7F666305" w14:textId="77777777" w:rsidR="00B52CCC" w:rsidRDefault="00B52CCC" w:rsidP="00B52CCC">
            <w:pPr>
              <w:pStyle w:val="AgendaItem"/>
              <w:numPr>
                <w:ilvl w:val="1"/>
                <w:numId w:val="19"/>
              </w:numPr>
              <w:tabs>
                <w:tab w:val="clear" w:pos="674"/>
                <w:tab w:val="clear" w:pos="862"/>
              </w:tabs>
              <w:ind w:left="513" w:hanging="513"/>
            </w:pPr>
            <w:r>
              <w:t xml:space="preserve">R4 - </w:t>
            </w:r>
            <w:r w:rsidRPr="001B03CC">
              <w:t>Report of Working Party 4/21 (Geneva, 13-24 January 2025)</w:t>
            </w:r>
          </w:p>
          <w:p w14:paraId="15F1B0BA" w14:textId="77777777" w:rsidR="00B52CCC" w:rsidRDefault="00B52CCC" w:rsidP="00B52CCC">
            <w:pPr>
              <w:pStyle w:val="AgendaItem"/>
              <w:numPr>
                <w:ilvl w:val="1"/>
                <w:numId w:val="19"/>
              </w:numPr>
              <w:tabs>
                <w:tab w:val="clear" w:pos="674"/>
                <w:tab w:val="clear" w:pos="862"/>
              </w:tabs>
              <w:ind w:left="513" w:hanging="513"/>
            </w:pPr>
            <w:r>
              <w:t xml:space="preserve">R5 - </w:t>
            </w:r>
            <w:r w:rsidRPr="007E39B7">
              <w:t>Report of ITU-T SG21 first meeting (Geneva, 13-24 January 2025)</w:t>
            </w:r>
          </w:p>
          <w:p w14:paraId="7415976C" w14:textId="77777777" w:rsidR="00B52CCC" w:rsidRDefault="00B52CCC" w:rsidP="00B52CCC">
            <w:pPr>
              <w:pStyle w:val="AgendaItem"/>
              <w:numPr>
                <w:ilvl w:val="1"/>
                <w:numId w:val="19"/>
              </w:numPr>
              <w:tabs>
                <w:tab w:val="clear" w:pos="674"/>
                <w:tab w:val="clear" w:pos="862"/>
              </w:tabs>
              <w:ind w:left="513" w:hanging="513"/>
            </w:pPr>
            <w:r>
              <w:t xml:space="preserve">R6 - </w:t>
            </w:r>
            <w:r w:rsidRPr="0052182C">
              <w:t>Determined new Recommendation ITU-T F.748.57 (ex F.RA-GAI) "Technical requirements and assessment methods of generative artificial intelligence enabled multimedia applications" </w:t>
            </w:r>
          </w:p>
          <w:p w14:paraId="7B5F11DA" w14:textId="77777777" w:rsidR="00B52CCC" w:rsidRPr="002773FE" w:rsidRDefault="00B52CCC" w:rsidP="00B52CCC">
            <w:pPr>
              <w:pStyle w:val="AgendaItem"/>
              <w:numPr>
                <w:ilvl w:val="1"/>
                <w:numId w:val="19"/>
              </w:numPr>
              <w:tabs>
                <w:tab w:val="clear" w:pos="674"/>
                <w:tab w:val="clear" w:pos="862"/>
              </w:tabs>
              <w:ind w:left="513" w:hanging="513"/>
            </w:pPr>
            <w:r>
              <w:t xml:space="preserve">R7 - </w:t>
            </w:r>
            <w:r w:rsidRPr="0052182C">
              <w:t>Determined new Recommendation ITU-T F.748.56 (ex F.AIGC-GFR) "Artificial intelligence generated content: General framework and requirements" </w:t>
            </w:r>
          </w:p>
        </w:tc>
        <w:tc>
          <w:tcPr>
            <w:tcW w:w="675" w:type="dxa"/>
          </w:tcPr>
          <w:p w14:paraId="093CCFB6" w14:textId="77777777" w:rsidR="00B52CCC" w:rsidRPr="003D25C2" w:rsidRDefault="00B52CCC" w:rsidP="00A770DB">
            <w:pPr>
              <w:pStyle w:val="AgendaItem"/>
            </w:pPr>
          </w:p>
        </w:tc>
      </w:tr>
      <w:tr w:rsidR="00B52CCC" w:rsidRPr="00B9432D" w14:paraId="29C96D4F" w14:textId="77777777" w:rsidTr="00A770DB">
        <w:trPr>
          <w:jc w:val="center"/>
        </w:trPr>
        <w:tc>
          <w:tcPr>
            <w:tcW w:w="369" w:type="dxa"/>
          </w:tcPr>
          <w:p w14:paraId="7C92A783"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2131381D" w14:textId="77777777" w:rsidR="00B52CCC" w:rsidRPr="00740142" w:rsidRDefault="00B52CCC" w:rsidP="00A770DB">
            <w:pPr>
              <w:pStyle w:val="AgendaItem"/>
              <w:rPr>
                <w:rFonts w:cstheme="majorBidi"/>
              </w:rPr>
            </w:pPr>
            <w:r w:rsidRPr="00740142">
              <w:rPr>
                <w:rFonts w:cstheme="majorBidi"/>
              </w:rPr>
              <w:t>TSAG</w:t>
            </w:r>
            <w:r>
              <w:rPr>
                <w:rFonts w:cstheme="majorBidi"/>
              </w:rPr>
              <w:t xml:space="preserve"> results and feedback</w:t>
            </w:r>
          </w:p>
        </w:tc>
        <w:tc>
          <w:tcPr>
            <w:tcW w:w="675" w:type="dxa"/>
          </w:tcPr>
          <w:p w14:paraId="78427D2F" w14:textId="77777777" w:rsidR="00B52CCC" w:rsidRPr="003D25C2" w:rsidRDefault="00B52CCC" w:rsidP="00A770DB">
            <w:pPr>
              <w:pStyle w:val="AgendaItem"/>
            </w:pPr>
          </w:p>
        </w:tc>
      </w:tr>
      <w:tr w:rsidR="00B52CCC" w:rsidRPr="00B52CCC" w14:paraId="299C9EE5" w14:textId="77777777" w:rsidTr="00A770DB">
        <w:trPr>
          <w:jc w:val="center"/>
        </w:trPr>
        <w:tc>
          <w:tcPr>
            <w:tcW w:w="369" w:type="dxa"/>
          </w:tcPr>
          <w:p w14:paraId="2F7345A5"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74438B87" w14:textId="77777777" w:rsidR="00B52CCC" w:rsidRPr="003D25C2" w:rsidRDefault="00B52CCC" w:rsidP="00A770DB">
            <w:pPr>
              <w:pStyle w:val="AgendaItem"/>
              <w:rPr>
                <w:rFonts w:cstheme="majorBidi"/>
              </w:rPr>
            </w:pPr>
            <w:r w:rsidRPr="003D25C2">
              <w:rPr>
                <w:rFonts w:cstheme="majorBidi"/>
              </w:rPr>
              <w:t>SG</w:t>
            </w:r>
            <w:r>
              <w:rPr>
                <w:rFonts w:cstheme="majorBidi"/>
              </w:rPr>
              <w:t>21</w:t>
            </w:r>
            <w:r w:rsidRPr="003D25C2">
              <w:rPr>
                <w:rFonts w:cstheme="majorBidi"/>
              </w:rPr>
              <w:t xml:space="preserve"> organization</w:t>
            </w:r>
          </w:p>
          <w:p w14:paraId="5E4CA9E9" w14:textId="77777777" w:rsidR="00B52CCC" w:rsidRPr="003D25C2" w:rsidRDefault="00B52CCC" w:rsidP="00B52CCC">
            <w:pPr>
              <w:pStyle w:val="AgendaItem"/>
              <w:numPr>
                <w:ilvl w:val="1"/>
                <w:numId w:val="19"/>
              </w:numPr>
              <w:ind w:left="513" w:hanging="513"/>
              <w:rPr>
                <w:rFonts w:cstheme="majorBidi"/>
                <w:lang w:eastAsia="ja-JP"/>
              </w:rPr>
            </w:pPr>
            <w:r w:rsidRPr="003D25C2">
              <w:rPr>
                <w:rFonts w:cstheme="majorBidi"/>
                <w:lang w:eastAsia="ja-JP"/>
              </w:rPr>
              <w:t xml:space="preserve">Working party structure and </w:t>
            </w:r>
            <w:r>
              <w:rPr>
                <w:rFonts w:cstheme="majorBidi"/>
                <w:lang w:eastAsia="ja-JP"/>
              </w:rPr>
              <w:t>SG</w:t>
            </w:r>
            <w:r w:rsidRPr="003D25C2">
              <w:rPr>
                <w:rFonts w:cstheme="majorBidi"/>
                <w:lang w:eastAsia="ja-JP"/>
              </w:rPr>
              <w:t xml:space="preserve"> management</w:t>
            </w:r>
          </w:p>
          <w:p w14:paraId="3E1F30D4" w14:textId="77777777" w:rsidR="00B52CCC" w:rsidRPr="007E2E0E" w:rsidRDefault="00B52CCC" w:rsidP="00B52CCC">
            <w:pPr>
              <w:pStyle w:val="AgendaItem"/>
              <w:numPr>
                <w:ilvl w:val="1"/>
                <w:numId w:val="19"/>
              </w:numPr>
              <w:ind w:left="513" w:hanging="513"/>
              <w:rPr>
                <w:rFonts w:cstheme="majorBidi"/>
                <w:lang w:eastAsia="ja-JP"/>
              </w:rPr>
            </w:pPr>
            <w:r w:rsidRPr="003D25C2">
              <w:rPr>
                <w:rFonts w:cstheme="majorBidi"/>
                <w:lang w:eastAsia="ja-JP"/>
              </w:rPr>
              <w:t>Rapporteurs and Associate</w:t>
            </w:r>
            <w:r>
              <w:rPr>
                <w:rFonts w:cstheme="majorBidi"/>
                <w:lang w:eastAsia="ja-JP"/>
              </w:rPr>
              <w:t xml:space="preserve"> Rapporteurs</w:t>
            </w:r>
          </w:p>
          <w:p w14:paraId="4DA0FF0B" w14:textId="77777777" w:rsidR="00B52CCC" w:rsidRPr="00171C71" w:rsidRDefault="00B52CCC" w:rsidP="00B52CCC">
            <w:pPr>
              <w:pStyle w:val="AgendaItem"/>
              <w:numPr>
                <w:ilvl w:val="1"/>
                <w:numId w:val="19"/>
              </w:numPr>
              <w:ind w:left="513" w:hanging="513"/>
              <w:rPr>
                <w:rFonts w:cstheme="majorBidi"/>
              </w:rPr>
            </w:pPr>
            <w:r w:rsidRPr="003D25C2">
              <w:rPr>
                <w:rFonts w:cstheme="majorBidi"/>
                <w:lang w:eastAsia="ja-JP"/>
              </w:rPr>
              <w:t>Liaison officers</w:t>
            </w:r>
            <w:r w:rsidRPr="00B2251D">
              <w:t>, representatives and other roles</w:t>
            </w:r>
          </w:p>
        </w:tc>
        <w:tc>
          <w:tcPr>
            <w:tcW w:w="675" w:type="dxa"/>
          </w:tcPr>
          <w:p w14:paraId="34653485" w14:textId="77777777" w:rsidR="00B52CCC" w:rsidRPr="003D25C2" w:rsidRDefault="00B52CCC" w:rsidP="00A770DB">
            <w:pPr>
              <w:pStyle w:val="AgendaItem"/>
            </w:pPr>
          </w:p>
        </w:tc>
      </w:tr>
      <w:tr w:rsidR="00B52CCC" w:rsidRPr="00B52CCC" w14:paraId="664C0B0A" w14:textId="77777777" w:rsidTr="00A770DB">
        <w:trPr>
          <w:jc w:val="center"/>
        </w:trPr>
        <w:tc>
          <w:tcPr>
            <w:tcW w:w="369" w:type="dxa"/>
          </w:tcPr>
          <w:p w14:paraId="78888317"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281A09A2" w14:textId="77777777" w:rsidR="00B52CCC" w:rsidRPr="00436AC6" w:rsidRDefault="00B52CCC" w:rsidP="00A770DB">
            <w:pPr>
              <w:pStyle w:val="AgendaItem"/>
              <w:rPr>
                <w:rFonts w:cstheme="majorBidi"/>
              </w:rPr>
            </w:pPr>
            <w:r w:rsidRPr="00B2251D">
              <w:t>Status of texts determined, consented since latest meetings</w:t>
            </w:r>
          </w:p>
        </w:tc>
        <w:tc>
          <w:tcPr>
            <w:tcW w:w="675" w:type="dxa"/>
          </w:tcPr>
          <w:p w14:paraId="09F0647F" w14:textId="77777777" w:rsidR="00B52CCC" w:rsidRPr="003D25C2" w:rsidRDefault="00B52CCC" w:rsidP="00A770DB">
            <w:pPr>
              <w:pStyle w:val="AgendaItem"/>
            </w:pPr>
          </w:p>
        </w:tc>
      </w:tr>
      <w:tr w:rsidR="00B52CCC" w:rsidRPr="00B52CCC" w14:paraId="2481E75E" w14:textId="77777777" w:rsidTr="00A770DB">
        <w:trPr>
          <w:jc w:val="center"/>
        </w:trPr>
        <w:tc>
          <w:tcPr>
            <w:tcW w:w="369" w:type="dxa"/>
          </w:tcPr>
          <w:p w14:paraId="0E507399"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3F6F7CD0" w14:textId="77777777" w:rsidR="00B52CCC" w:rsidRPr="00436AC6" w:rsidRDefault="00B52CCC" w:rsidP="00A770DB">
            <w:pPr>
              <w:pStyle w:val="AgendaItem"/>
              <w:rPr>
                <w:rFonts w:cstheme="majorBidi"/>
              </w:rPr>
            </w:pPr>
            <w:r>
              <w:rPr>
                <w:rFonts w:cstheme="majorBidi"/>
              </w:rPr>
              <w:t>TAP and AAP texts for approval at this meeting</w:t>
            </w:r>
          </w:p>
        </w:tc>
        <w:tc>
          <w:tcPr>
            <w:tcW w:w="675" w:type="dxa"/>
          </w:tcPr>
          <w:p w14:paraId="3314154D" w14:textId="77777777" w:rsidR="00B52CCC" w:rsidRPr="003D25C2" w:rsidRDefault="00B52CCC" w:rsidP="00A770DB">
            <w:pPr>
              <w:pStyle w:val="AgendaItem"/>
            </w:pPr>
          </w:p>
        </w:tc>
      </w:tr>
      <w:tr w:rsidR="00B52CCC" w:rsidRPr="00B52CCC" w14:paraId="137F4C80" w14:textId="77777777" w:rsidTr="00A770DB">
        <w:trPr>
          <w:jc w:val="center"/>
        </w:trPr>
        <w:tc>
          <w:tcPr>
            <w:tcW w:w="369" w:type="dxa"/>
          </w:tcPr>
          <w:p w14:paraId="2695C410"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5A8F5528" w14:textId="77777777" w:rsidR="00B52CCC" w:rsidRPr="00436AC6" w:rsidRDefault="00B52CCC" w:rsidP="00A770DB">
            <w:pPr>
              <w:pStyle w:val="AgendaItem"/>
            </w:pPr>
            <w:r w:rsidRPr="00B2251D">
              <w:t>Feedback and status reports on interim activities</w:t>
            </w:r>
          </w:p>
        </w:tc>
        <w:tc>
          <w:tcPr>
            <w:tcW w:w="675" w:type="dxa"/>
          </w:tcPr>
          <w:p w14:paraId="47C2B3FA" w14:textId="77777777" w:rsidR="00B52CCC" w:rsidRPr="003D25C2" w:rsidRDefault="00B52CCC" w:rsidP="00A770DB">
            <w:pPr>
              <w:pStyle w:val="AgendaItem"/>
            </w:pPr>
          </w:p>
        </w:tc>
      </w:tr>
      <w:tr w:rsidR="00B52CCC" w:rsidRPr="00B52CCC" w14:paraId="0D9284B2" w14:textId="77777777" w:rsidTr="00A770DB">
        <w:trPr>
          <w:jc w:val="center"/>
        </w:trPr>
        <w:tc>
          <w:tcPr>
            <w:tcW w:w="369" w:type="dxa"/>
          </w:tcPr>
          <w:p w14:paraId="15A67357"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2DA383DC" w14:textId="77777777" w:rsidR="00B52CCC" w:rsidRPr="00436AC6" w:rsidRDefault="00B52CCC" w:rsidP="00A770DB">
            <w:pPr>
              <w:pStyle w:val="AgendaItem"/>
              <w:rPr>
                <w:rFonts w:cstheme="majorBidi"/>
              </w:rPr>
            </w:pPr>
            <w:r w:rsidRPr="00436AC6">
              <w:t xml:space="preserve">Contributions for </w:t>
            </w:r>
            <w:r>
              <w:t xml:space="preserve">review at </w:t>
            </w:r>
            <w:r w:rsidRPr="00436AC6">
              <w:t>the opening plenary, if any</w:t>
            </w:r>
          </w:p>
        </w:tc>
        <w:tc>
          <w:tcPr>
            <w:tcW w:w="675" w:type="dxa"/>
          </w:tcPr>
          <w:p w14:paraId="75064BB0" w14:textId="77777777" w:rsidR="00B52CCC" w:rsidRPr="003D25C2" w:rsidRDefault="00B52CCC" w:rsidP="00A770DB">
            <w:pPr>
              <w:pStyle w:val="AgendaItem"/>
            </w:pPr>
          </w:p>
        </w:tc>
      </w:tr>
      <w:tr w:rsidR="00B52CCC" w:rsidRPr="00B52CCC" w14:paraId="6C5F5E3C" w14:textId="77777777" w:rsidTr="00A770DB">
        <w:trPr>
          <w:jc w:val="center"/>
        </w:trPr>
        <w:tc>
          <w:tcPr>
            <w:tcW w:w="369" w:type="dxa"/>
          </w:tcPr>
          <w:p w14:paraId="48F9478D"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1E3AD07B" w14:textId="77777777" w:rsidR="00B52CCC" w:rsidRPr="00436AC6" w:rsidRDefault="00B52CCC" w:rsidP="00A770DB">
            <w:pPr>
              <w:pStyle w:val="AgendaItem"/>
            </w:pPr>
            <w:r w:rsidRPr="00B2251D">
              <w:t>Liaison Officers reports to SG21</w:t>
            </w:r>
          </w:p>
        </w:tc>
        <w:tc>
          <w:tcPr>
            <w:tcW w:w="675" w:type="dxa"/>
          </w:tcPr>
          <w:p w14:paraId="515CB382" w14:textId="77777777" w:rsidR="00B52CCC" w:rsidRPr="003D25C2" w:rsidRDefault="00B52CCC" w:rsidP="00A770DB">
            <w:pPr>
              <w:pStyle w:val="AgendaItem"/>
            </w:pPr>
          </w:p>
        </w:tc>
      </w:tr>
      <w:tr w:rsidR="00B52CCC" w:rsidRPr="00B52CCC" w14:paraId="49581F2B" w14:textId="77777777" w:rsidTr="00A770DB">
        <w:trPr>
          <w:jc w:val="center"/>
        </w:trPr>
        <w:tc>
          <w:tcPr>
            <w:tcW w:w="369" w:type="dxa"/>
          </w:tcPr>
          <w:p w14:paraId="21AF2619"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57556220" w14:textId="77777777" w:rsidR="00B52CCC" w:rsidRPr="00436AC6" w:rsidRDefault="00B52CCC" w:rsidP="00A770DB">
            <w:pPr>
              <w:pStyle w:val="AgendaItem"/>
            </w:pPr>
            <w:r w:rsidRPr="00436AC6">
              <w:t xml:space="preserve">Report and </w:t>
            </w:r>
            <w:r w:rsidRPr="00436AC6">
              <w:rPr>
                <w:rFonts w:cstheme="majorBidi"/>
              </w:rPr>
              <w:t>liaison statements</w:t>
            </w:r>
            <w:r w:rsidRPr="00436AC6">
              <w:t xml:space="preserve"> from other groups/workshops</w:t>
            </w:r>
          </w:p>
        </w:tc>
        <w:tc>
          <w:tcPr>
            <w:tcW w:w="675" w:type="dxa"/>
          </w:tcPr>
          <w:p w14:paraId="01A245B0" w14:textId="77777777" w:rsidR="00B52CCC" w:rsidRPr="003D25C2" w:rsidRDefault="00B52CCC" w:rsidP="00A770DB">
            <w:pPr>
              <w:pStyle w:val="AgendaItem"/>
            </w:pPr>
          </w:p>
        </w:tc>
      </w:tr>
      <w:tr w:rsidR="00B52CCC" w:rsidRPr="00B52CCC" w14:paraId="424B14AE" w14:textId="77777777" w:rsidTr="00A770DB">
        <w:trPr>
          <w:jc w:val="center"/>
        </w:trPr>
        <w:tc>
          <w:tcPr>
            <w:tcW w:w="369" w:type="dxa"/>
          </w:tcPr>
          <w:p w14:paraId="54B0913C"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14C07D39" w14:textId="77777777" w:rsidR="00B52CCC" w:rsidRPr="003D25C2" w:rsidRDefault="00B52CCC" w:rsidP="00A770DB">
            <w:pPr>
              <w:pStyle w:val="AgendaItem"/>
            </w:pPr>
            <w:r w:rsidRPr="00B2251D">
              <w:t>Future meetings, and workshops, other events and promotion strategy</w:t>
            </w:r>
          </w:p>
        </w:tc>
        <w:tc>
          <w:tcPr>
            <w:tcW w:w="675" w:type="dxa"/>
          </w:tcPr>
          <w:p w14:paraId="37909FB1" w14:textId="77777777" w:rsidR="00B52CCC" w:rsidRPr="003D25C2" w:rsidRDefault="00B52CCC" w:rsidP="00A770DB">
            <w:pPr>
              <w:pStyle w:val="AgendaItem"/>
            </w:pPr>
          </w:p>
        </w:tc>
      </w:tr>
      <w:tr w:rsidR="00B52CCC" w:rsidRPr="00B52CCC" w14:paraId="520D1CDF" w14:textId="77777777" w:rsidTr="00A770DB">
        <w:trPr>
          <w:jc w:val="center"/>
        </w:trPr>
        <w:tc>
          <w:tcPr>
            <w:tcW w:w="369" w:type="dxa"/>
          </w:tcPr>
          <w:p w14:paraId="556526B5"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248AE33E" w14:textId="77777777" w:rsidR="00B52CCC" w:rsidRPr="003D25C2" w:rsidRDefault="00B52CCC" w:rsidP="00A770DB">
            <w:pPr>
              <w:pStyle w:val="AgendaItem"/>
              <w:rPr>
                <w:rFonts w:cstheme="majorBidi"/>
              </w:rPr>
            </w:pPr>
            <w:r w:rsidRPr="003D25C2">
              <w:t xml:space="preserve">Documents planned for </w:t>
            </w:r>
            <w:r w:rsidRPr="003D25C2">
              <w:rPr>
                <w:rFonts w:cstheme="majorBidi"/>
                <w:lang w:eastAsia="ja-JP"/>
              </w:rPr>
              <w:t>Approval/Consent/Determination/Agreement at this meeting</w:t>
            </w:r>
          </w:p>
        </w:tc>
        <w:tc>
          <w:tcPr>
            <w:tcW w:w="675" w:type="dxa"/>
          </w:tcPr>
          <w:p w14:paraId="7F3C942A" w14:textId="77777777" w:rsidR="00B52CCC" w:rsidRPr="003D25C2" w:rsidRDefault="00B52CCC" w:rsidP="00A770DB">
            <w:pPr>
              <w:pStyle w:val="AgendaItem"/>
            </w:pPr>
          </w:p>
        </w:tc>
      </w:tr>
      <w:tr w:rsidR="00B52CCC" w:rsidRPr="00B9432D" w14:paraId="41059F7D" w14:textId="77777777" w:rsidTr="00A770DB">
        <w:trPr>
          <w:jc w:val="center"/>
        </w:trPr>
        <w:tc>
          <w:tcPr>
            <w:tcW w:w="369" w:type="dxa"/>
          </w:tcPr>
          <w:p w14:paraId="5C197C8A"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tcPr>
          <w:p w14:paraId="58CB98B1" w14:textId="77777777" w:rsidR="00B52CCC" w:rsidRPr="003D25C2" w:rsidRDefault="00B52CCC" w:rsidP="00A770DB">
            <w:pPr>
              <w:pStyle w:val="AgendaItem"/>
            </w:pPr>
            <w:r w:rsidRPr="003D25C2">
              <w:t>AOB for opening plenary</w:t>
            </w:r>
          </w:p>
        </w:tc>
        <w:tc>
          <w:tcPr>
            <w:tcW w:w="675" w:type="dxa"/>
          </w:tcPr>
          <w:p w14:paraId="15ADA0FC" w14:textId="77777777" w:rsidR="00B52CCC" w:rsidRPr="003D25C2" w:rsidRDefault="00B52CCC" w:rsidP="00A770DB">
            <w:pPr>
              <w:pStyle w:val="AgendaItem"/>
            </w:pPr>
          </w:p>
        </w:tc>
      </w:tr>
      <w:tr w:rsidR="00B52CCC" w:rsidRPr="00B9432D" w14:paraId="5667155E" w14:textId="77777777" w:rsidTr="00A770DB">
        <w:trPr>
          <w:jc w:val="center"/>
        </w:trPr>
        <w:tc>
          <w:tcPr>
            <w:tcW w:w="369" w:type="dxa"/>
          </w:tcPr>
          <w:p w14:paraId="0FC4643E" w14:textId="77777777" w:rsidR="00B52CCC" w:rsidRPr="003D25C2" w:rsidRDefault="00B52CCC" w:rsidP="00B52CCC">
            <w:pPr>
              <w:numPr>
                <w:ilvl w:val="0"/>
                <w:numId w:val="19"/>
              </w:numPr>
              <w:overflowPunct/>
              <w:autoSpaceDE/>
              <w:autoSpaceDN/>
              <w:adjustRightInd/>
              <w:spacing w:before="80"/>
              <w:ind w:left="357" w:hanging="357"/>
              <w:textAlignment w:val="auto"/>
              <w:rPr>
                <w:sz w:val="20"/>
              </w:rPr>
            </w:pPr>
          </w:p>
        </w:tc>
        <w:tc>
          <w:tcPr>
            <w:tcW w:w="8811" w:type="dxa"/>
            <w:vAlign w:val="bottom"/>
            <w:hideMark/>
          </w:tcPr>
          <w:p w14:paraId="7C464C3A" w14:textId="77777777" w:rsidR="00B52CCC" w:rsidRPr="003D25C2" w:rsidRDefault="00B52CCC" w:rsidP="00A770DB">
            <w:pPr>
              <w:pStyle w:val="AgendaItem"/>
            </w:pPr>
            <w:r w:rsidRPr="006D2664">
              <w:t>Intellectual property rights inquiry</w:t>
            </w:r>
          </w:p>
        </w:tc>
        <w:tc>
          <w:tcPr>
            <w:tcW w:w="675" w:type="dxa"/>
          </w:tcPr>
          <w:p w14:paraId="2FE745A2" w14:textId="77777777" w:rsidR="00B52CCC" w:rsidRPr="003D25C2" w:rsidRDefault="00B52CCC" w:rsidP="00A770DB">
            <w:pPr>
              <w:pStyle w:val="AgendaItem"/>
            </w:pPr>
          </w:p>
        </w:tc>
      </w:tr>
      <w:tr w:rsidR="00B52CCC" w:rsidRPr="00B52CCC" w14:paraId="6AB49350" w14:textId="77777777" w:rsidTr="00A770DB">
        <w:trPr>
          <w:jc w:val="center"/>
        </w:trPr>
        <w:tc>
          <w:tcPr>
            <w:tcW w:w="369" w:type="dxa"/>
          </w:tcPr>
          <w:p w14:paraId="4BAB95DB"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hideMark/>
          </w:tcPr>
          <w:p w14:paraId="10A0E32E" w14:textId="77777777" w:rsidR="00B52CCC" w:rsidRDefault="00B52CCC" w:rsidP="00A770DB">
            <w:pPr>
              <w:pStyle w:val="AgendaItem"/>
            </w:pPr>
            <w:r>
              <w:t>Review and a</w:t>
            </w:r>
            <w:r w:rsidRPr="003D25C2">
              <w:t>pproval of</w:t>
            </w:r>
            <w:r>
              <w:t xml:space="preserve"> SG21 meeting results</w:t>
            </w:r>
          </w:p>
          <w:p w14:paraId="07380F6A" w14:textId="77777777" w:rsidR="00B52CCC" w:rsidRDefault="00B52CCC" w:rsidP="00B52CCC">
            <w:pPr>
              <w:pStyle w:val="AgendaItem"/>
              <w:numPr>
                <w:ilvl w:val="1"/>
                <w:numId w:val="19"/>
              </w:numPr>
              <w:ind w:left="513" w:hanging="513"/>
            </w:pPr>
            <w:r>
              <w:t xml:space="preserve">Approval of reports of </w:t>
            </w:r>
            <w:r w:rsidRPr="003D25C2">
              <w:t>working</w:t>
            </w:r>
            <w:r>
              <w:t xml:space="preserve"> </w:t>
            </w:r>
            <w:r w:rsidRPr="003D25C2">
              <w:t>part</w:t>
            </w:r>
            <w:r>
              <w:t>ies</w:t>
            </w:r>
            <w:r w:rsidRPr="003D25C2">
              <w:t xml:space="preserve"> and </w:t>
            </w:r>
            <w:r>
              <w:t xml:space="preserve">of </w:t>
            </w:r>
            <w:r w:rsidRPr="003D25C2">
              <w:t>Question</w:t>
            </w:r>
            <w:r>
              <w:t>s</w:t>
            </w:r>
            <w:r w:rsidRPr="003D25C2">
              <w:t xml:space="preserve"> </w:t>
            </w:r>
            <w:r>
              <w:t>assigned to the plenary</w:t>
            </w:r>
          </w:p>
          <w:p w14:paraId="0CB415BA" w14:textId="77777777" w:rsidR="00B52CCC" w:rsidRPr="007379CA" w:rsidRDefault="00B52CCC" w:rsidP="00B52CCC">
            <w:pPr>
              <w:pStyle w:val="AgendaItem"/>
              <w:numPr>
                <w:ilvl w:val="2"/>
                <w:numId w:val="19"/>
              </w:numPr>
              <w:tabs>
                <w:tab w:val="clear" w:pos="674"/>
                <w:tab w:val="clear" w:pos="1191"/>
                <w:tab w:val="left" w:pos="513"/>
              </w:tabs>
              <w:ind w:hanging="1069"/>
            </w:pPr>
            <w:r w:rsidRPr="003D25C2">
              <w:rPr>
                <w:rFonts w:cstheme="majorBidi"/>
                <w:lang w:eastAsia="ja-JP"/>
              </w:rPr>
              <w:t>Approval/Consent/Determination of draft Recommendations and agreement of other deliverables</w:t>
            </w:r>
          </w:p>
          <w:p w14:paraId="73B2273B" w14:textId="77777777" w:rsidR="00B52CCC" w:rsidRPr="00BB5EBB" w:rsidRDefault="00B52CCC" w:rsidP="00B52CCC">
            <w:pPr>
              <w:pStyle w:val="AgendaItem"/>
              <w:numPr>
                <w:ilvl w:val="2"/>
                <w:numId w:val="19"/>
              </w:numPr>
              <w:tabs>
                <w:tab w:val="clear" w:pos="674"/>
                <w:tab w:val="clear" w:pos="1191"/>
                <w:tab w:val="left" w:pos="513"/>
              </w:tabs>
              <w:ind w:hanging="1069"/>
            </w:pPr>
            <w:r w:rsidRPr="003D25C2">
              <w:rPr>
                <w:rFonts w:cstheme="majorBidi"/>
              </w:rPr>
              <w:t>Outgoing liaison statements</w:t>
            </w:r>
          </w:p>
          <w:p w14:paraId="1497F826" w14:textId="77777777" w:rsidR="00B52CCC" w:rsidRPr="00CF5DE9" w:rsidRDefault="00B52CCC" w:rsidP="00B52CCC">
            <w:pPr>
              <w:pStyle w:val="AgendaItem"/>
              <w:numPr>
                <w:ilvl w:val="2"/>
                <w:numId w:val="19"/>
              </w:numPr>
              <w:tabs>
                <w:tab w:val="clear" w:pos="674"/>
                <w:tab w:val="clear" w:pos="1191"/>
                <w:tab w:val="left" w:pos="513"/>
              </w:tabs>
              <w:ind w:hanging="1069"/>
              <w:rPr>
                <w:lang w:val="fr-FR"/>
              </w:rPr>
            </w:pPr>
            <w:r w:rsidRPr="00CF5DE9">
              <w:rPr>
                <w:rFonts w:cstheme="majorBidi"/>
                <w:lang w:val="fr-FR"/>
              </w:rPr>
              <w:t>Appointement of Rapporteurs, Associate Rapporteurs, Liaison Officers</w:t>
            </w:r>
          </w:p>
          <w:p w14:paraId="25178B12" w14:textId="77777777" w:rsidR="00B52CCC" w:rsidRPr="00B52CCC" w:rsidRDefault="00B52CCC" w:rsidP="00B52CCC">
            <w:pPr>
              <w:numPr>
                <w:ilvl w:val="1"/>
                <w:numId w:val="19"/>
              </w:numPr>
              <w:tabs>
                <w:tab w:val="left" w:pos="674"/>
              </w:tabs>
              <w:spacing w:before="40" w:after="40" w:line="280" w:lineRule="exact"/>
              <w:ind w:left="513" w:hanging="513"/>
              <w:contextualSpacing/>
              <w:rPr>
                <w:sz w:val="20"/>
                <w:lang w:val="en-GB"/>
              </w:rPr>
            </w:pPr>
            <w:r w:rsidRPr="00B52CCC">
              <w:rPr>
                <w:sz w:val="20"/>
                <w:lang w:val="en-GB"/>
              </w:rPr>
              <w:t>Reports from ad hoc groups (AHG)</w:t>
            </w:r>
          </w:p>
          <w:p w14:paraId="133EED09" w14:textId="77777777" w:rsidR="00B52CCC" w:rsidRPr="003D25C2" w:rsidRDefault="00B52CCC" w:rsidP="00B52CCC">
            <w:pPr>
              <w:pStyle w:val="AgendaItem"/>
              <w:numPr>
                <w:ilvl w:val="1"/>
                <w:numId w:val="19"/>
              </w:numPr>
              <w:ind w:left="513" w:hanging="513"/>
            </w:pPr>
            <w:r w:rsidRPr="003D25C2">
              <w:rPr>
                <w:rFonts w:cstheme="majorBidi"/>
              </w:rPr>
              <w:t>Future Interim Activities (Working party and Rapporteur meetings)</w:t>
            </w:r>
          </w:p>
        </w:tc>
        <w:tc>
          <w:tcPr>
            <w:tcW w:w="675" w:type="dxa"/>
          </w:tcPr>
          <w:p w14:paraId="70182E49" w14:textId="77777777" w:rsidR="00B52CCC" w:rsidRPr="003D25C2" w:rsidRDefault="00B52CCC" w:rsidP="00A770DB">
            <w:pPr>
              <w:pStyle w:val="AgendaItem"/>
            </w:pPr>
          </w:p>
        </w:tc>
      </w:tr>
      <w:tr w:rsidR="00B52CCC" w:rsidRPr="00B52CCC" w14:paraId="43CAF63D" w14:textId="77777777" w:rsidTr="004A0F0A">
        <w:trPr>
          <w:jc w:val="center"/>
        </w:trPr>
        <w:tc>
          <w:tcPr>
            <w:tcW w:w="369" w:type="dxa"/>
          </w:tcPr>
          <w:p w14:paraId="2C845A60" w14:textId="77777777" w:rsidR="00B52CCC" w:rsidRPr="00B52CCC" w:rsidRDefault="00B52CCC" w:rsidP="00B52CCC">
            <w:pPr>
              <w:numPr>
                <w:ilvl w:val="0"/>
                <w:numId w:val="19"/>
              </w:numPr>
              <w:overflowPunct/>
              <w:autoSpaceDE/>
              <w:autoSpaceDN/>
              <w:adjustRightInd/>
              <w:spacing w:before="80"/>
              <w:ind w:left="357" w:hanging="357"/>
              <w:textAlignment w:val="auto"/>
              <w:rPr>
                <w:sz w:val="20"/>
                <w:lang w:val="en-GB"/>
              </w:rPr>
            </w:pPr>
          </w:p>
        </w:tc>
        <w:tc>
          <w:tcPr>
            <w:tcW w:w="8811" w:type="dxa"/>
            <w:vAlign w:val="bottom"/>
            <w:hideMark/>
          </w:tcPr>
          <w:p w14:paraId="6C8BE772" w14:textId="77777777" w:rsidR="00B52CCC" w:rsidRPr="003D25C2" w:rsidRDefault="00B52CCC" w:rsidP="00A770DB">
            <w:pPr>
              <w:pStyle w:val="AgendaItem"/>
            </w:pPr>
            <w:r w:rsidRPr="003D25C2">
              <w:t xml:space="preserve">New/revised Questions (if any) </w:t>
            </w:r>
            <w:r>
              <w:t>and working party structure</w:t>
            </w:r>
          </w:p>
        </w:tc>
        <w:tc>
          <w:tcPr>
            <w:tcW w:w="675" w:type="dxa"/>
          </w:tcPr>
          <w:p w14:paraId="4E3AE0B2" w14:textId="77777777" w:rsidR="00B52CCC" w:rsidRPr="003D25C2" w:rsidRDefault="00B52CCC" w:rsidP="00A770DB">
            <w:pPr>
              <w:pStyle w:val="AgendaItem"/>
            </w:pPr>
          </w:p>
        </w:tc>
      </w:tr>
      <w:tr w:rsidR="00B52CCC" w:rsidRPr="00B52CCC" w14:paraId="34491081" w14:textId="77777777" w:rsidTr="004A0F0A">
        <w:trPr>
          <w:jc w:val="center"/>
        </w:trPr>
        <w:tc>
          <w:tcPr>
            <w:tcW w:w="369" w:type="dxa"/>
          </w:tcPr>
          <w:p w14:paraId="5C555960" w14:textId="77777777" w:rsidR="00B52CCC" w:rsidRPr="00B52CCC" w:rsidRDefault="00B52CCC" w:rsidP="00B52CCC">
            <w:pPr>
              <w:numPr>
                <w:ilvl w:val="0"/>
                <w:numId w:val="19"/>
              </w:numPr>
              <w:overflowPunct/>
              <w:autoSpaceDE/>
              <w:autoSpaceDN/>
              <w:adjustRightInd/>
              <w:spacing w:before="80"/>
              <w:ind w:left="357" w:hanging="357"/>
              <w:textAlignment w:val="auto"/>
              <w:rPr>
                <w:sz w:val="20"/>
                <w:lang w:val="en-GB"/>
              </w:rPr>
            </w:pPr>
          </w:p>
        </w:tc>
        <w:tc>
          <w:tcPr>
            <w:tcW w:w="8811" w:type="dxa"/>
            <w:vAlign w:val="bottom"/>
            <w:hideMark/>
          </w:tcPr>
          <w:p w14:paraId="5152A233" w14:textId="77777777" w:rsidR="00B52CCC" w:rsidRPr="003D25C2" w:rsidRDefault="00B52CCC" w:rsidP="00A770DB">
            <w:pPr>
              <w:pStyle w:val="AgendaItem"/>
              <w:rPr>
                <w:highlight w:val="yellow"/>
              </w:rPr>
            </w:pPr>
            <w:r w:rsidRPr="003D25C2">
              <w:t>Date and place of the next SG</w:t>
            </w:r>
            <w:r>
              <w:t>21</w:t>
            </w:r>
            <w:r w:rsidRPr="003D25C2">
              <w:t xml:space="preserve"> meeting</w:t>
            </w:r>
          </w:p>
        </w:tc>
        <w:tc>
          <w:tcPr>
            <w:tcW w:w="675" w:type="dxa"/>
          </w:tcPr>
          <w:p w14:paraId="6A254EB3" w14:textId="77777777" w:rsidR="00B52CCC" w:rsidRPr="003D25C2" w:rsidRDefault="00B52CCC" w:rsidP="00A770DB">
            <w:pPr>
              <w:pStyle w:val="AgendaItem"/>
              <w:rPr>
                <w:lang w:val="en-US"/>
              </w:rPr>
            </w:pPr>
          </w:p>
        </w:tc>
      </w:tr>
      <w:tr w:rsidR="00B52CCC" w:rsidRPr="00B9432D" w14:paraId="0132F4F9" w14:textId="77777777" w:rsidTr="004A0F0A">
        <w:trPr>
          <w:jc w:val="center"/>
        </w:trPr>
        <w:tc>
          <w:tcPr>
            <w:tcW w:w="369" w:type="dxa"/>
          </w:tcPr>
          <w:p w14:paraId="720AF8C8" w14:textId="77777777" w:rsidR="00B52CCC" w:rsidRPr="003D25C2" w:rsidRDefault="00B52CCC" w:rsidP="00B52CCC">
            <w:pPr>
              <w:numPr>
                <w:ilvl w:val="0"/>
                <w:numId w:val="19"/>
              </w:numPr>
              <w:overflowPunct/>
              <w:autoSpaceDE/>
              <w:autoSpaceDN/>
              <w:adjustRightInd/>
              <w:spacing w:before="80"/>
              <w:ind w:left="357" w:hanging="357"/>
              <w:textAlignment w:val="auto"/>
              <w:rPr>
                <w:sz w:val="20"/>
                <w:lang w:val="en-US"/>
              </w:rPr>
            </w:pPr>
          </w:p>
        </w:tc>
        <w:tc>
          <w:tcPr>
            <w:tcW w:w="8811" w:type="dxa"/>
            <w:vAlign w:val="bottom"/>
            <w:hideMark/>
          </w:tcPr>
          <w:p w14:paraId="29F6FB48" w14:textId="77777777" w:rsidR="00B52CCC" w:rsidRPr="003D25C2" w:rsidRDefault="00B52CCC" w:rsidP="00A770DB">
            <w:pPr>
              <w:pStyle w:val="AgendaItem"/>
            </w:pPr>
            <w:r w:rsidRPr="003D25C2">
              <w:rPr>
                <w:lang w:eastAsia="ja-JP"/>
              </w:rPr>
              <w:t>AOB</w:t>
            </w:r>
            <w:r w:rsidRPr="003D25C2">
              <w:t xml:space="preserve"> for closing Plenary</w:t>
            </w:r>
          </w:p>
        </w:tc>
        <w:tc>
          <w:tcPr>
            <w:tcW w:w="675" w:type="dxa"/>
          </w:tcPr>
          <w:p w14:paraId="0312BEEB" w14:textId="77777777" w:rsidR="00B52CCC" w:rsidRPr="003D25C2" w:rsidRDefault="00B52CCC" w:rsidP="00A770DB">
            <w:pPr>
              <w:pStyle w:val="AgendaItem"/>
            </w:pPr>
          </w:p>
        </w:tc>
      </w:tr>
      <w:tr w:rsidR="00B52CCC" w:rsidRPr="00B9432D" w14:paraId="1BD353D9" w14:textId="77777777" w:rsidTr="004A0F0A">
        <w:trPr>
          <w:jc w:val="center"/>
        </w:trPr>
        <w:tc>
          <w:tcPr>
            <w:tcW w:w="369" w:type="dxa"/>
          </w:tcPr>
          <w:p w14:paraId="1AEC9F65" w14:textId="77777777" w:rsidR="00B52CCC" w:rsidRPr="003D25C2" w:rsidRDefault="00B52CCC" w:rsidP="00B52CCC">
            <w:pPr>
              <w:numPr>
                <w:ilvl w:val="0"/>
                <w:numId w:val="19"/>
              </w:numPr>
              <w:overflowPunct/>
              <w:autoSpaceDE/>
              <w:autoSpaceDN/>
              <w:adjustRightInd/>
              <w:spacing w:before="80"/>
              <w:ind w:left="357" w:hanging="357"/>
              <w:textAlignment w:val="auto"/>
              <w:rPr>
                <w:sz w:val="20"/>
              </w:rPr>
            </w:pPr>
          </w:p>
        </w:tc>
        <w:tc>
          <w:tcPr>
            <w:tcW w:w="8811" w:type="dxa"/>
            <w:vAlign w:val="bottom"/>
            <w:hideMark/>
          </w:tcPr>
          <w:p w14:paraId="02ABB33E" w14:textId="77777777" w:rsidR="00B52CCC" w:rsidRPr="003D25C2" w:rsidRDefault="00B52CCC" w:rsidP="00A770DB">
            <w:pPr>
              <w:pStyle w:val="AgendaItem"/>
              <w:rPr>
                <w:lang w:eastAsia="ja-JP"/>
              </w:rPr>
            </w:pPr>
            <w:r w:rsidRPr="003D25C2">
              <w:t>Closing</w:t>
            </w:r>
            <w:r w:rsidRPr="003D25C2">
              <w:rPr>
                <w:lang w:eastAsia="ja-JP"/>
              </w:rPr>
              <w:t xml:space="preserve"> </w:t>
            </w:r>
          </w:p>
        </w:tc>
        <w:tc>
          <w:tcPr>
            <w:tcW w:w="675" w:type="dxa"/>
          </w:tcPr>
          <w:p w14:paraId="1007F1C9" w14:textId="77777777" w:rsidR="00B52CCC" w:rsidRPr="003D25C2" w:rsidRDefault="00B52CCC" w:rsidP="00A770DB">
            <w:pPr>
              <w:pStyle w:val="AgendaItem"/>
              <w:rPr>
                <w:lang w:eastAsia="ja-JP"/>
              </w:rPr>
            </w:pPr>
          </w:p>
        </w:tc>
      </w:tr>
    </w:tbl>
    <w:p w14:paraId="154477ED" w14:textId="77777777" w:rsidR="00B52CCC" w:rsidRPr="00B52CCC" w:rsidRDefault="00B52CCC" w:rsidP="004A0F0A">
      <w:pPr>
        <w:pStyle w:val="TOC1"/>
        <w:spacing w:before="240"/>
        <w:ind w:left="0" w:firstLine="0"/>
        <w:rPr>
          <w:i/>
          <w:iCs/>
          <w:sz w:val="20"/>
          <w:lang w:val="en-GB"/>
        </w:rPr>
      </w:pPr>
      <w:r w:rsidRPr="00B52CCC">
        <w:rPr>
          <w:b/>
          <w:bCs/>
          <w:i/>
          <w:iCs/>
          <w:sz w:val="20"/>
          <w:lang w:val="en-GB"/>
        </w:rPr>
        <w:t>Note 1:</w:t>
      </w:r>
      <w:r w:rsidRPr="00B52CCC">
        <w:rPr>
          <w:i/>
          <w:iCs/>
          <w:sz w:val="20"/>
          <w:lang w:val="en-GB"/>
        </w:rPr>
        <w:t xml:space="preserve"> Items 1 to 13 are expected to be addressed in the opening Plenary (6 October 2025) and items 14 to 19 are expected to be addressed in the closing Plenary (17 October 2025).</w:t>
      </w:r>
    </w:p>
    <w:p w14:paraId="7EB970E2" w14:textId="77777777" w:rsidR="00B52CCC" w:rsidRPr="00B52CCC" w:rsidRDefault="00B52CCC" w:rsidP="004A0F0A">
      <w:pPr>
        <w:spacing w:before="100"/>
        <w:rPr>
          <w:szCs w:val="22"/>
          <w:lang w:val="en-GB"/>
        </w:rPr>
      </w:pPr>
      <w:r w:rsidRPr="00B52CCC">
        <w:rPr>
          <w:b/>
          <w:bCs/>
          <w:i/>
          <w:iCs/>
          <w:sz w:val="20"/>
          <w:lang w:val="en-GB"/>
        </w:rPr>
        <w:t>Note 2:</w:t>
      </w:r>
      <w:r w:rsidRPr="00B52CCC">
        <w:rPr>
          <w:i/>
          <w:iCs/>
          <w:sz w:val="20"/>
          <w:lang w:val="en-GB"/>
        </w:rPr>
        <w:t xml:space="preserve"> Updates to the agenda can be found in</w:t>
      </w:r>
      <w:r w:rsidRPr="00B52CCC">
        <w:rPr>
          <w:lang w:val="en-GB"/>
        </w:rPr>
        <w:t xml:space="preserve"> </w:t>
      </w:r>
      <w:hyperlink r:id="rId45" w:history="1">
        <w:r w:rsidRPr="00B52CCC">
          <w:rPr>
            <w:rStyle w:val="Hyperlink"/>
            <w:i/>
            <w:iCs/>
            <w:sz w:val="20"/>
            <w:lang w:val="en-GB"/>
          </w:rPr>
          <w:t>SG21-TD108/PLEN</w:t>
        </w:r>
      </w:hyperlink>
      <w:r w:rsidRPr="00B52CCC">
        <w:rPr>
          <w:i/>
          <w:iCs/>
          <w:sz w:val="20"/>
          <w:lang w:val="en-GB"/>
        </w:rPr>
        <w:t>.</w:t>
      </w:r>
    </w:p>
    <w:p w14:paraId="50AAB2C2" w14:textId="77777777" w:rsidR="00B52CCC" w:rsidRPr="004F5A56" w:rsidRDefault="00B52CCC" w:rsidP="00B52CCC">
      <w:pPr>
        <w:pStyle w:val="Annextitle0"/>
        <w:rPr>
          <w:sz w:val="22"/>
          <w:szCs w:val="22"/>
        </w:rPr>
      </w:pPr>
      <w:r w:rsidRPr="00895104">
        <w:rPr>
          <w:szCs w:val="28"/>
        </w:rPr>
        <w:lastRenderedPageBreak/>
        <w:t>ANNEX C</w:t>
      </w:r>
      <w:r w:rsidRPr="00895104">
        <w:rPr>
          <w:sz w:val="36"/>
          <w:szCs w:val="24"/>
        </w:rPr>
        <w:br/>
      </w:r>
      <w:r w:rsidRPr="004F5A56">
        <w:rPr>
          <w:sz w:val="22"/>
          <w:szCs w:val="22"/>
        </w:rPr>
        <w:t>Draft time plan</w:t>
      </w:r>
      <w:r>
        <w:rPr>
          <w:sz w:val="22"/>
          <w:szCs w:val="22"/>
        </w:rPr>
        <w:t xml:space="preserve"> of </w:t>
      </w:r>
      <w:r w:rsidRPr="00034240">
        <w:rPr>
          <w:bCs/>
          <w:sz w:val="22"/>
          <w:szCs w:val="22"/>
        </w:rPr>
        <w:t>Study Group 21</w:t>
      </w:r>
      <w:r>
        <w:rPr>
          <w:bCs/>
          <w:sz w:val="22"/>
          <w:szCs w:val="22"/>
        </w:rPr>
        <w:t xml:space="preserve"> meeting (</w:t>
      </w:r>
      <w:r w:rsidRPr="00034240">
        <w:rPr>
          <w:bCs/>
          <w:sz w:val="22"/>
          <w:szCs w:val="22"/>
        </w:rPr>
        <w:t>Geneva, 6-17 October 2025</w:t>
      </w:r>
      <w:r>
        <w:rPr>
          <w:bCs/>
          <w:sz w:val="22"/>
          <w:szCs w:val="22"/>
        </w:rPr>
        <w:t>)</w:t>
      </w:r>
    </w:p>
    <w:bookmarkStart w:id="3" w:name="_MON_1764423108"/>
    <w:bookmarkEnd w:id="3"/>
    <w:p w14:paraId="3F989C76" w14:textId="77777777" w:rsidR="00B52CCC" w:rsidRPr="005D4153" w:rsidRDefault="00B52CCC" w:rsidP="00B52CCC">
      <w:pPr>
        <w:ind w:left="-227" w:right="-227"/>
        <w:jc w:val="center"/>
      </w:pPr>
      <w:r w:rsidRPr="005D4153">
        <w:object w:dxaOrig="14060" w:dyaOrig="3602" w14:anchorId="28293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9.5pt" o:ole="">
            <v:imagedata r:id="rId46" o:title=""/>
            <o:lock v:ext="edit" aspectratio="f"/>
          </v:shape>
          <o:OLEObject Type="Embed" ProgID="Excel.Sheet.12" ShapeID="_x0000_i1025" DrawAspect="Content" ObjectID="_1811779941" r:id="rId47"/>
        </w:object>
      </w:r>
    </w:p>
    <w:p w14:paraId="5CB7287E" w14:textId="77777777" w:rsidR="00B52CCC" w:rsidRPr="005D4153" w:rsidRDefault="00B52CCC" w:rsidP="00B52CCC">
      <w:pPr>
        <w:rPr>
          <w:b/>
        </w:rPr>
      </w:pPr>
      <w:r w:rsidRPr="005D4153">
        <w:rPr>
          <w:b/>
        </w:rPr>
        <w:t>Notes:</w:t>
      </w:r>
    </w:p>
    <w:tbl>
      <w:tblPr>
        <w:tblW w:w="5000" w:type="pct"/>
        <w:tblLayout w:type="fixed"/>
        <w:tblLook w:val="0000" w:firstRow="0" w:lastRow="0" w:firstColumn="0" w:lastColumn="0" w:noHBand="0" w:noVBand="0"/>
      </w:tblPr>
      <w:tblGrid>
        <w:gridCol w:w="692"/>
        <w:gridCol w:w="9513"/>
      </w:tblGrid>
      <w:tr w:rsidR="00B52CCC" w:rsidRPr="00B52CCC" w14:paraId="1A869A3D" w14:textId="77777777" w:rsidTr="00A770DB">
        <w:tc>
          <w:tcPr>
            <w:tcW w:w="339" w:type="pct"/>
            <w:tcBorders>
              <w:top w:val="nil"/>
              <w:left w:val="nil"/>
              <w:bottom w:val="nil"/>
              <w:right w:val="nil"/>
            </w:tcBorders>
            <w:noWrap/>
          </w:tcPr>
          <w:p w14:paraId="79994A81" w14:textId="77777777" w:rsidR="00B52CCC" w:rsidRPr="005D4153" w:rsidRDefault="00B52CCC" w:rsidP="00B52CCC">
            <w:pPr>
              <w:numPr>
                <w:ilvl w:val="0"/>
                <w:numId w:val="20"/>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08CC23D0" w14:textId="77777777" w:rsidR="00B52CCC" w:rsidRPr="00B52CCC" w:rsidRDefault="00B52CCC" w:rsidP="00A770DB">
            <w:pPr>
              <w:tabs>
                <w:tab w:val="clear" w:pos="794"/>
                <w:tab w:val="clear" w:pos="1191"/>
                <w:tab w:val="clear" w:pos="1588"/>
                <w:tab w:val="clear" w:pos="1985"/>
              </w:tabs>
              <w:spacing w:before="0" w:after="20"/>
              <w:rPr>
                <w:szCs w:val="22"/>
                <w:lang w:val="en-GB"/>
              </w:rPr>
            </w:pPr>
            <w:r w:rsidRPr="00B52CCC">
              <w:rPr>
                <w:szCs w:val="22"/>
                <w:lang w:val="en-GB"/>
              </w:rPr>
              <w:t xml:space="preserve">"P" stands for plenary sessions, including working party plenaries. </w:t>
            </w:r>
          </w:p>
        </w:tc>
      </w:tr>
      <w:tr w:rsidR="00B52CCC" w:rsidRPr="00B52CCC" w14:paraId="4D6DCB48" w14:textId="77777777" w:rsidTr="00A770DB">
        <w:tc>
          <w:tcPr>
            <w:tcW w:w="339" w:type="pct"/>
            <w:tcBorders>
              <w:top w:val="nil"/>
              <w:left w:val="nil"/>
              <w:bottom w:val="nil"/>
              <w:right w:val="nil"/>
            </w:tcBorders>
            <w:noWrap/>
          </w:tcPr>
          <w:p w14:paraId="38D7C810" w14:textId="77777777" w:rsidR="00B52CCC" w:rsidRPr="00B52CCC" w:rsidRDefault="00B52CCC" w:rsidP="00B52CCC">
            <w:pPr>
              <w:numPr>
                <w:ilvl w:val="0"/>
                <w:numId w:val="20"/>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noWrap/>
          </w:tcPr>
          <w:p w14:paraId="4922E69A" w14:textId="77777777" w:rsidR="00B52CCC" w:rsidRPr="00B52CCC" w:rsidRDefault="00B52CCC" w:rsidP="00A770DB">
            <w:pPr>
              <w:rPr>
                <w:lang w:val="en-GB"/>
              </w:rPr>
            </w:pPr>
            <w:r w:rsidRPr="00B52CCC">
              <w:rPr>
                <w:lang w:val="en-GB"/>
              </w:rPr>
              <w:t>The following session structure is adopted for this SG21 meeting:</w:t>
            </w:r>
          </w:p>
          <w:p w14:paraId="5AF58526" w14:textId="77777777" w:rsidR="00B52CCC" w:rsidRPr="00B52CCC" w:rsidRDefault="00B52CCC" w:rsidP="00A770DB">
            <w:pPr>
              <w:rPr>
                <w:i/>
                <w:iCs/>
                <w:lang w:val="en-GB"/>
              </w:rPr>
            </w:pPr>
            <w:r w:rsidRPr="00B52CCC">
              <w:rPr>
                <w:i/>
                <w:iCs/>
                <w:lang w:val="en-GB"/>
              </w:rPr>
              <w:t>–</w:t>
            </w:r>
            <w:r w:rsidRPr="00B52CCC">
              <w:rPr>
                <w:i/>
                <w:iCs/>
                <w:lang w:val="en-GB"/>
              </w:rPr>
              <w:tab/>
            </w:r>
            <w:r w:rsidRPr="00B52CCC">
              <w:rPr>
                <w:b/>
                <w:bCs/>
                <w:i/>
                <w:iCs/>
                <w:lang w:val="en-GB"/>
              </w:rPr>
              <w:t>Session 0</w:t>
            </w:r>
            <w:r w:rsidRPr="00B52CCC">
              <w:rPr>
                <w:i/>
                <w:iCs/>
                <w:lang w:val="en-GB"/>
              </w:rPr>
              <w:t xml:space="preserve">: 0830 – 0930 hours (Geneva time) – </w:t>
            </w:r>
            <w:r w:rsidRPr="00B52CCC">
              <w:rPr>
                <w:i/>
                <w:iCs/>
                <w:color w:val="943634" w:themeColor="accent2" w:themeShade="BF"/>
                <w:lang w:val="en-GB"/>
              </w:rPr>
              <w:t>will be used if needed</w:t>
            </w:r>
          </w:p>
          <w:p w14:paraId="1801EF87" w14:textId="77777777" w:rsidR="00B52CCC" w:rsidRPr="00B52CCC" w:rsidRDefault="00B52CCC" w:rsidP="00A770DB">
            <w:pPr>
              <w:rPr>
                <w:lang w:val="en-GB"/>
              </w:rPr>
            </w:pPr>
            <w:r w:rsidRPr="00B52CCC">
              <w:rPr>
                <w:lang w:val="en-GB"/>
              </w:rPr>
              <w:t>–</w:t>
            </w:r>
            <w:r w:rsidRPr="00B52CCC">
              <w:rPr>
                <w:b/>
                <w:bCs/>
                <w:lang w:val="en-GB"/>
              </w:rPr>
              <w:tab/>
              <w:t>Session 1</w:t>
            </w:r>
            <w:r w:rsidRPr="00B52CCC">
              <w:rPr>
                <w:lang w:val="en-GB"/>
              </w:rPr>
              <w:t>: 0930 – 1045 hours (Geneva time)</w:t>
            </w:r>
          </w:p>
          <w:p w14:paraId="1D4ED707" w14:textId="77777777" w:rsidR="00B52CCC" w:rsidRPr="00B52CCC" w:rsidRDefault="00B52CCC" w:rsidP="00A770DB">
            <w:pPr>
              <w:rPr>
                <w:lang w:val="en-GB"/>
              </w:rPr>
            </w:pPr>
            <w:r w:rsidRPr="00B52CCC">
              <w:rPr>
                <w:lang w:val="en-GB"/>
              </w:rPr>
              <w:t>–</w:t>
            </w:r>
            <w:r w:rsidRPr="00B52CCC">
              <w:rPr>
                <w:b/>
                <w:bCs/>
                <w:lang w:val="en-GB"/>
              </w:rPr>
              <w:tab/>
              <w:t>Session 2</w:t>
            </w:r>
            <w:r w:rsidRPr="00B52CCC">
              <w:rPr>
                <w:lang w:val="en-GB"/>
              </w:rPr>
              <w:t>: 1115 – 1230 hours (Geneva time)</w:t>
            </w:r>
          </w:p>
          <w:p w14:paraId="749BD7DE" w14:textId="77777777" w:rsidR="00B52CCC" w:rsidRPr="00B52CCC" w:rsidRDefault="00B52CCC" w:rsidP="00A770DB">
            <w:pPr>
              <w:rPr>
                <w:color w:val="365F91" w:themeColor="accent1" w:themeShade="BF"/>
                <w:lang w:val="en-GB"/>
              </w:rPr>
            </w:pPr>
            <w:r w:rsidRPr="00B52CCC">
              <w:rPr>
                <w:i/>
                <w:iCs/>
                <w:color w:val="365F91" w:themeColor="accent1" w:themeShade="BF"/>
                <w:lang w:val="en-GB"/>
              </w:rPr>
              <w:t>–</w:t>
            </w:r>
            <w:r w:rsidRPr="00B52CCC">
              <w:rPr>
                <w:i/>
                <w:iCs/>
                <w:color w:val="365F91" w:themeColor="accent1" w:themeShade="BF"/>
                <w:lang w:val="en-GB"/>
              </w:rPr>
              <w:tab/>
            </w:r>
            <w:r w:rsidRPr="00B52CCC">
              <w:rPr>
                <w:b/>
                <w:bCs/>
                <w:i/>
                <w:iCs/>
                <w:color w:val="365F91" w:themeColor="accent1" w:themeShade="BF"/>
                <w:lang w:val="en-GB"/>
              </w:rPr>
              <w:t>Lunch break</w:t>
            </w:r>
            <w:r w:rsidRPr="00B52CCC">
              <w:rPr>
                <w:i/>
                <w:iCs/>
                <w:color w:val="365F91" w:themeColor="accent1" w:themeShade="BF"/>
                <w:lang w:val="en-GB"/>
              </w:rPr>
              <w:t>: 1230 – 1430 hours (Geneva time)</w:t>
            </w:r>
          </w:p>
          <w:p w14:paraId="19B565EC" w14:textId="77777777" w:rsidR="00B52CCC" w:rsidRPr="00B52CCC" w:rsidRDefault="00B52CCC" w:rsidP="00A770DB">
            <w:pPr>
              <w:rPr>
                <w:lang w:val="en-GB"/>
              </w:rPr>
            </w:pPr>
            <w:r w:rsidRPr="00B52CCC">
              <w:rPr>
                <w:lang w:val="en-GB"/>
              </w:rPr>
              <w:t>–</w:t>
            </w:r>
            <w:r w:rsidRPr="00B52CCC">
              <w:rPr>
                <w:b/>
                <w:bCs/>
                <w:lang w:val="en-GB"/>
              </w:rPr>
              <w:tab/>
              <w:t>Session 3</w:t>
            </w:r>
            <w:r w:rsidRPr="00B52CCC">
              <w:rPr>
                <w:lang w:val="en-GB"/>
              </w:rPr>
              <w:t>: 1430 – 1545 hours (Geneva time)</w:t>
            </w:r>
          </w:p>
          <w:p w14:paraId="5F13D564" w14:textId="77777777" w:rsidR="00B52CCC" w:rsidRPr="00B52CCC" w:rsidRDefault="00B52CCC" w:rsidP="00A770DB">
            <w:pPr>
              <w:rPr>
                <w:lang w:val="en-GB"/>
              </w:rPr>
            </w:pPr>
            <w:r w:rsidRPr="00B52CCC">
              <w:rPr>
                <w:lang w:val="en-GB"/>
              </w:rPr>
              <w:t>–</w:t>
            </w:r>
            <w:r w:rsidRPr="00B52CCC">
              <w:rPr>
                <w:b/>
                <w:bCs/>
                <w:lang w:val="en-GB"/>
              </w:rPr>
              <w:tab/>
              <w:t>Session 4</w:t>
            </w:r>
            <w:r w:rsidRPr="00B52CCC">
              <w:rPr>
                <w:lang w:val="en-GB"/>
              </w:rPr>
              <w:t>: 1615 – 1730 hours (Geneva time)</w:t>
            </w:r>
          </w:p>
          <w:p w14:paraId="16EE422F" w14:textId="77777777" w:rsidR="00B52CCC" w:rsidRPr="00B52CCC" w:rsidRDefault="00B52CCC" w:rsidP="00A770DB">
            <w:pPr>
              <w:rPr>
                <w:szCs w:val="22"/>
                <w:lang w:val="en-GB"/>
              </w:rPr>
            </w:pPr>
            <w:r w:rsidRPr="00B52CCC">
              <w:rPr>
                <w:i/>
                <w:iCs/>
                <w:lang w:val="en-GB"/>
              </w:rPr>
              <w:t>–</w:t>
            </w:r>
            <w:r w:rsidRPr="00B52CCC">
              <w:rPr>
                <w:b/>
                <w:bCs/>
                <w:i/>
                <w:iCs/>
                <w:lang w:val="en-GB"/>
              </w:rPr>
              <w:tab/>
              <w:t>Session 5</w:t>
            </w:r>
            <w:r w:rsidRPr="00B52CCC">
              <w:rPr>
                <w:i/>
                <w:iCs/>
                <w:lang w:val="en-GB"/>
              </w:rPr>
              <w:t xml:space="preserve">: 1800-1915 hours (Geneva time) – </w:t>
            </w:r>
            <w:r w:rsidRPr="00B52CCC">
              <w:rPr>
                <w:i/>
                <w:iCs/>
                <w:color w:val="943634" w:themeColor="accent2" w:themeShade="BF"/>
                <w:lang w:val="en-GB"/>
              </w:rPr>
              <w:t>will be used if needed</w:t>
            </w:r>
          </w:p>
        </w:tc>
      </w:tr>
    </w:tbl>
    <w:p w14:paraId="081C6A91" w14:textId="77777777" w:rsidR="00B52CCC" w:rsidRPr="00B52CCC" w:rsidRDefault="00B52CCC" w:rsidP="00B52CCC">
      <w:pPr>
        <w:spacing w:before="480"/>
        <w:ind w:right="91"/>
        <w:rPr>
          <w:szCs w:val="18"/>
          <w:lang w:val="en-GB"/>
        </w:rPr>
      </w:pPr>
      <w:r w:rsidRPr="00B52CCC">
        <w:rPr>
          <w:i/>
          <w:iCs/>
          <w:szCs w:val="18"/>
          <w:lang w:val="en-GB"/>
        </w:rPr>
        <w:t>For schedule updates, please see:</w:t>
      </w:r>
      <w:r w:rsidRPr="00B52CCC">
        <w:rPr>
          <w:szCs w:val="18"/>
          <w:lang w:val="en-GB"/>
        </w:rPr>
        <w:t xml:space="preserve"> </w:t>
      </w:r>
      <w:hyperlink r:id="rId48" w:history="1">
        <w:r w:rsidRPr="00B52CCC">
          <w:rPr>
            <w:rStyle w:val="Hyperlink"/>
            <w:szCs w:val="22"/>
            <w:lang w:val="en-GB"/>
          </w:rPr>
          <w:t>https://itu.int/go/tsg21</w:t>
        </w:r>
      </w:hyperlink>
      <w:r w:rsidRPr="00B52CCC">
        <w:rPr>
          <w:szCs w:val="18"/>
          <w:lang w:val="en-GB"/>
        </w:rPr>
        <w:t xml:space="preserve"> as well as </w:t>
      </w:r>
      <w:hyperlink r:id="rId49" w:history="1">
        <w:r w:rsidRPr="00B52CCC">
          <w:rPr>
            <w:rStyle w:val="Hyperlink"/>
            <w:szCs w:val="18"/>
            <w:lang w:val="en-GB"/>
          </w:rPr>
          <w:t>SG21-TD109/PLEN</w:t>
        </w:r>
      </w:hyperlink>
      <w:r w:rsidRPr="00B52CCC">
        <w:rPr>
          <w:szCs w:val="18"/>
          <w:lang w:val="en-GB"/>
        </w:rPr>
        <w:t>.</w:t>
      </w:r>
    </w:p>
    <w:p w14:paraId="37D9149C" w14:textId="77777777" w:rsidR="00B52CCC" w:rsidRPr="003B795C" w:rsidRDefault="00B52CCC" w:rsidP="00B52CCC">
      <w:pPr>
        <w:rPr>
          <w:lang w:val="en-GB"/>
        </w:rPr>
      </w:pPr>
    </w:p>
    <w:p w14:paraId="7CE38AD3" w14:textId="6662C81C" w:rsidR="002545AA" w:rsidRPr="00E35001" w:rsidRDefault="002545AA" w:rsidP="0041544D">
      <w:pPr>
        <w:spacing w:before="0"/>
        <w:jc w:val="center"/>
      </w:pPr>
      <w:r w:rsidRPr="00E35001">
        <w:t>______________</w:t>
      </w:r>
    </w:p>
    <w:sectPr w:rsidR="002545AA" w:rsidRPr="00E35001" w:rsidSect="004A0F0A">
      <w:headerReference w:type="default" r:id="rId50"/>
      <w:footerReference w:type="default" r:id="rId51"/>
      <w:headerReference w:type="first" r:id="rId52"/>
      <w:footerReference w:type="first" r:id="rId53"/>
      <w:pgSz w:w="11907" w:h="16840" w:code="9"/>
      <w:pgMar w:top="992" w:right="851" w:bottom="567" w:left="851" w:header="425"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08D6" w14:textId="77777777" w:rsidR="00E02E47" w:rsidRDefault="00E02E47">
      <w:r>
        <w:separator/>
      </w:r>
    </w:p>
  </w:endnote>
  <w:endnote w:type="continuationSeparator" w:id="0">
    <w:p w14:paraId="68CF504F" w14:textId="77777777" w:rsidR="00E02E47" w:rsidRDefault="00E0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324C6EF3"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sidR="0041544D">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B9EA" w14:textId="4105F79F" w:rsidR="008318E0" w:rsidRPr="0041544D" w:rsidRDefault="008318E0" w:rsidP="0041544D">
    <w:pPr>
      <w:pStyle w:val="Footer"/>
      <w:rPr>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E069" w14:textId="42165157" w:rsidR="008318E0" w:rsidRPr="008318E0" w:rsidRDefault="008318E0" w:rsidP="008318E0">
    <w:pPr>
      <w:pStyle w:val="Footer"/>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04C3" w14:textId="77777777" w:rsidR="00E02E47" w:rsidRDefault="00E02E47">
      <w:r>
        <w:t>____________________</w:t>
      </w:r>
    </w:p>
  </w:footnote>
  <w:footnote w:type="continuationSeparator" w:id="0">
    <w:p w14:paraId="64CF92C5" w14:textId="77777777" w:rsidR="00E02E47" w:rsidRDefault="00E0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0FA88757"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4A0F0A">
          <w:rPr>
            <w:bCs/>
            <w:sz w:val="18"/>
            <w:szCs w:val="18"/>
          </w:rPr>
          <w:t>TSB 3</w:t>
        </w:r>
        <w:r w:rsidRPr="001A50AB">
          <w:rPr>
            <w:bCs/>
            <w:sz w:val="18"/>
            <w:szCs w:val="18"/>
          </w:rPr>
          <w:t>/</w:t>
        </w:r>
        <w:r w:rsidR="0041544D">
          <w:rPr>
            <w:bCs/>
            <w:sz w:val="18"/>
            <w:szCs w:val="18"/>
          </w:rPr>
          <w:t>2</w:t>
        </w:r>
        <w:r w:rsidR="004A0F0A">
          <w:rPr>
            <w:bCs/>
            <w:sz w:val="18"/>
            <w:szCs w:val="18"/>
          </w:rPr>
          <w:t>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543141"/>
      <w:docPartObj>
        <w:docPartGallery w:val="Page Numbers (Top of Page)"/>
        <w:docPartUnique/>
      </w:docPartObj>
    </w:sdtPr>
    <w:sdtEndPr>
      <w:rPr>
        <w:noProof/>
        <w:sz w:val="18"/>
        <w:szCs w:val="18"/>
      </w:rPr>
    </w:sdtEndPr>
    <w:sdtContent>
      <w:p w14:paraId="539DD8DF" w14:textId="25AE4771" w:rsidR="00BC1FB8" w:rsidRPr="004A0F0A" w:rsidRDefault="004A0F0A" w:rsidP="004A0F0A">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3</w:t>
        </w:r>
        <w:r w:rsidRPr="001A50AB">
          <w:rPr>
            <w:bCs/>
            <w:sz w:val="18"/>
            <w:szCs w:val="18"/>
          </w:rPr>
          <w:t>/</w:t>
        </w:r>
        <w:r>
          <w:rPr>
            <w:bCs/>
            <w:sz w:val="18"/>
            <w:szCs w:val="18"/>
          </w:rPr>
          <w:t>21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46145"/>
      <w:docPartObj>
        <w:docPartGallery w:val="Page Numbers (Top of Page)"/>
        <w:docPartUnique/>
      </w:docPartObj>
    </w:sdtPr>
    <w:sdtEndPr>
      <w:rPr>
        <w:noProof/>
        <w:sz w:val="18"/>
        <w:szCs w:val="18"/>
      </w:rPr>
    </w:sdtEndPr>
    <w:sdtContent>
      <w:p w14:paraId="36B40A16" w14:textId="308DFAFE" w:rsidR="008318E0" w:rsidRPr="004A0F0A" w:rsidRDefault="004A0F0A" w:rsidP="004A0F0A">
        <w:pPr>
          <w:pStyle w:val="Header"/>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6</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3</w:t>
        </w:r>
        <w:r w:rsidRPr="001A50AB">
          <w:rPr>
            <w:bCs/>
            <w:sz w:val="18"/>
            <w:szCs w:val="18"/>
          </w:rPr>
          <w:t>/</w:t>
        </w:r>
        <w:r>
          <w:rPr>
            <w:bCs/>
            <w:sz w:val="18"/>
            <w:szCs w:val="18"/>
          </w:rPr>
          <w:t>21</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94784"/>
      <w:docPartObj>
        <w:docPartGallery w:val="Page Numbers (Top of Page)"/>
        <w:docPartUnique/>
      </w:docPartObj>
    </w:sdtPr>
    <w:sdtEndPr>
      <w:rPr>
        <w:noProof/>
        <w:sz w:val="18"/>
        <w:szCs w:val="18"/>
      </w:rPr>
    </w:sdtEndPr>
    <w:sdtContent>
      <w:p w14:paraId="2922F23A" w14:textId="54599E53" w:rsidR="008318E0" w:rsidRPr="004A0F0A" w:rsidRDefault="004A0F0A" w:rsidP="004A0F0A">
        <w:pPr>
          <w:pStyle w:val="Header"/>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3</w:t>
        </w:r>
        <w:r w:rsidRPr="001A50AB">
          <w:rPr>
            <w:bCs/>
            <w:sz w:val="18"/>
            <w:szCs w:val="18"/>
          </w:rPr>
          <w:t>/</w:t>
        </w:r>
        <w:r>
          <w:rPr>
            <w:bCs/>
            <w:sz w:val="18"/>
            <w:szCs w:val="18"/>
          </w:rPr>
          <w:t>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02E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0A4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E88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52F9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D61B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700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21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DA2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AA8B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08D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4EA54EF5"/>
    <w:multiLevelType w:val="hybridMultilevel"/>
    <w:tmpl w:val="9A2C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7"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009210202">
    <w:abstractNumId w:val="11"/>
  </w:num>
  <w:num w:numId="2" w16cid:durableId="1340155980">
    <w:abstractNumId w:val="19"/>
  </w:num>
  <w:num w:numId="3" w16cid:durableId="960260346">
    <w:abstractNumId w:val="17"/>
  </w:num>
  <w:num w:numId="4" w16cid:durableId="1855999016">
    <w:abstractNumId w:val="14"/>
  </w:num>
  <w:num w:numId="5" w16cid:durableId="989790370">
    <w:abstractNumId w:val="15"/>
  </w:num>
  <w:num w:numId="6" w16cid:durableId="1512724173">
    <w:abstractNumId w:val="16"/>
  </w:num>
  <w:num w:numId="7" w16cid:durableId="922179788">
    <w:abstractNumId w:val="13"/>
  </w:num>
  <w:num w:numId="8" w16cid:durableId="1750080139">
    <w:abstractNumId w:val="12"/>
  </w:num>
  <w:num w:numId="9" w16cid:durableId="652492993">
    <w:abstractNumId w:val="9"/>
  </w:num>
  <w:num w:numId="10" w16cid:durableId="1439717364">
    <w:abstractNumId w:val="7"/>
  </w:num>
  <w:num w:numId="11" w16cid:durableId="501432710">
    <w:abstractNumId w:val="6"/>
  </w:num>
  <w:num w:numId="12" w16cid:durableId="135294472">
    <w:abstractNumId w:val="5"/>
  </w:num>
  <w:num w:numId="13" w16cid:durableId="21830017">
    <w:abstractNumId w:val="4"/>
  </w:num>
  <w:num w:numId="14" w16cid:durableId="1388411415">
    <w:abstractNumId w:val="8"/>
  </w:num>
  <w:num w:numId="15" w16cid:durableId="1285120142">
    <w:abstractNumId w:val="3"/>
  </w:num>
  <w:num w:numId="16" w16cid:durableId="661397499">
    <w:abstractNumId w:val="2"/>
  </w:num>
  <w:num w:numId="17" w16cid:durableId="1626155852">
    <w:abstractNumId w:val="1"/>
  </w:num>
  <w:num w:numId="18" w16cid:durableId="342784001">
    <w:abstractNumId w:val="0"/>
  </w:num>
  <w:num w:numId="19" w16cid:durableId="464588279">
    <w:abstractNumId w:val="10"/>
  </w:num>
  <w:num w:numId="20" w16cid:durableId="1533808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75D"/>
    <w:rsid w:val="000C382F"/>
    <w:rsid w:val="000F67AE"/>
    <w:rsid w:val="00114963"/>
    <w:rsid w:val="001173CC"/>
    <w:rsid w:val="00126D02"/>
    <w:rsid w:val="001344C2"/>
    <w:rsid w:val="00136FC2"/>
    <w:rsid w:val="00141CB4"/>
    <w:rsid w:val="00153C97"/>
    <w:rsid w:val="001671BC"/>
    <w:rsid w:val="001A2905"/>
    <w:rsid w:val="001A54CC"/>
    <w:rsid w:val="001C2FAD"/>
    <w:rsid w:val="001D1BA9"/>
    <w:rsid w:val="001D32D9"/>
    <w:rsid w:val="001F0D48"/>
    <w:rsid w:val="002021BB"/>
    <w:rsid w:val="00212668"/>
    <w:rsid w:val="00221C83"/>
    <w:rsid w:val="002545AA"/>
    <w:rsid w:val="00257FB4"/>
    <w:rsid w:val="00271D3E"/>
    <w:rsid w:val="0027571F"/>
    <w:rsid w:val="002C1570"/>
    <w:rsid w:val="00303D62"/>
    <w:rsid w:val="00313DBB"/>
    <w:rsid w:val="0032353F"/>
    <w:rsid w:val="00324783"/>
    <w:rsid w:val="00327BC9"/>
    <w:rsid w:val="00335367"/>
    <w:rsid w:val="0033768F"/>
    <w:rsid w:val="00340A8C"/>
    <w:rsid w:val="00370C2D"/>
    <w:rsid w:val="003A3B0F"/>
    <w:rsid w:val="003B60AA"/>
    <w:rsid w:val="003B795C"/>
    <w:rsid w:val="003C00D3"/>
    <w:rsid w:val="003C2ECD"/>
    <w:rsid w:val="003D1E8D"/>
    <w:rsid w:val="003D4DFE"/>
    <w:rsid w:val="003D673B"/>
    <w:rsid w:val="003F0402"/>
    <w:rsid w:val="003F073D"/>
    <w:rsid w:val="003F1083"/>
    <w:rsid w:val="003F2855"/>
    <w:rsid w:val="00401C20"/>
    <w:rsid w:val="00402B00"/>
    <w:rsid w:val="0041544D"/>
    <w:rsid w:val="00421116"/>
    <w:rsid w:val="00427EA6"/>
    <w:rsid w:val="00446500"/>
    <w:rsid w:val="00450C73"/>
    <w:rsid w:val="004A0F0A"/>
    <w:rsid w:val="004B5037"/>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643D3"/>
    <w:rsid w:val="0067009C"/>
    <w:rsid w:val="0067472B"/>
    <w:rsid w:val="006760CF"/>
    <w:rsid w:val="006969B4"/>
    <w:rsid w:val="006A0C05"/>
    <w:rsid w:val="006A335A"/>
    <w:rsid w:val="006B5061"/>
    <w:rsid w:val="006C55A5"/>
    <w:rsid w:val="006E24F0"/>
    <w:rsid w:val="006F6581"/>
    <w:rsid w:val="007128A1"/>
    <w:rsid w:val="00715D93"/>
    <w:rsid w:val="00720BA2"/>
    <w:rsid w:val="00781E2A"/>
    <w:rsid w:val="007A6373"/>
    <w:rsid w:val="007B34FB"/>
    <w:rsid w:val="007F4227"/>
    <w:rsid w:val="008134A7"/>
    <w:rsid w:val="00823E22"/>
    <w:rsid w:val="008258C2"/>
    <w:rsid w:val="008318E0"/>
    <w:rsid w:val="00833CCA"/>
    <w:rsid w:val="00846D89"/>
    <w:rsid w:val="0084705C"/>
    <w:rsid w:val="008505BD"/>
    <w:rsid w:val="00850C78"/>
    <w:rsid w:val="00855B98"/>
    <w:rsid w:val="008C17AD"/>
    <w:rsid w:val="008C6117"/>
    <w:rsid w:val="008D02CD"/>
    <w:rsid w:val="008F29BD"/>
    <w:rsid w:val="0091255A"/>
    <w:rsid w:val="00934054"/>
    <w:rsid w:val="0095172A"/>
    <w:rsid w:val="0095690F"/>
    <w:rsid w:val="00963CD8"/>
    <w:rsid w:val="00975A06"/>
    <w:rsid w:val="009900B7"/>
    <w:rsid w:val="009D3E5C"/>
    <w:rsid w:val="009D4C42"/>
    <w:rsid w:val="009F0942"/>
    <w:rsid w:val="00A119A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52CCC"/>
    <w:rsid w:val="00B616C2"/>
    <w:rsid w:val="00B62696"/>
    <w:rsid w:val="00B95F0A"/>
    <w:rsid w:val="00B96180"/>
    <w:rsid w:val="00BC172A"/>
    <w:rsid w:val="00BC1FB8"/>
    <w:rsid w:val="00C0097C"/>
    <w:rsid w:val="00C05882"/>
    <w:rsid w:val="00C17AC0"/>
    <w:rsid w:val="00C24BFC"/>
    <w:rsid w:val="00C31ED4"/>
    <w:rsid w:val="00C32618"/>
    <w:rsid w:val="00C34772"/>
    <w:rsid w:val="00C36657"/>
    <w:rsid w:val="00C44C79"/>
    <w:rsid w:val="00C50A2D"/>
    <w:rsid w:val="00C71699"/>
    <w:rsid w:val="00C717E3"/>
    <w:rsid w:val="00C73426"/>
    <w:rsid w:val="00CB3300"/>
    <w:rsid w:val="00CC1DE4"/>
    <w:rsid w:val="00CD4AE3"/>
    <w:rsid w:val="00D027A3"/>
    <w:rsid w:val="00D119EC"/>
    <w:rsid w:val="00DA16FC"/>
    <w:rsid w:val="00DA7E46"/>
    <w:rsid w:val="00DD77C9"/>
    <w:rsid w:val="00DD7900"/>
    <w:rsid w:val="00DF4D66"/>
    <w:rsid w:val="00DF5926"/>
    <w:rsid w:val="00DF61F3"/>
    <w:rsid w:val="00E02E47"/>
    <w:rsid w:val="00E25441"/>
    <w:rsid w:val="00E5040E"/>
    <w:rsid w:val="00E764E2"/>
    <w:rsid w:val="00E81A56"/>
    <w:rsid w:val="00E839B0"/>
    <w:rsid w:val="00E85734"/>
    <w:rsid w:val="00E92C09"/>
    <w:rsid w:val="00EA3374"/>
    <w:rsid w:val="00EB4E19"/>
    <w:rsid w:val="00EC02D0"/>
    <w:rsid w:val="00EF4FA4"/>
    <w:rsid w:val="00EF6F27"/>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41544D"/>
    <w:rPr>
      <w:color w:val="605E5C"/>
      <w:shd w:val="clear" w:color="auto" w:fill="E1DFDD"/>
    </w:rPr>
  </w:style>
  <w:style w:type="paragraph" w:customStyle="1" w:styleId="Annextitle0">
    <w:name w:val="Annex_title"/>
    <w:basedOn w:val="Normal"/>
    <w:next w:val="Normal"/>
    <w:rsid w:val="0041544D"/>
    <w:pPr>
      <w:keepNext/>
      <w:keepLines/>
      <w:spacing w:before="240" w:after="280"/>
      <w:jc w:val="center"/>
    </w:pPr>
    <w:rPr>
      <w:b/>
      <w:sz w:val="28"/>
      <w:lang w:val="en-GB"/>
    </w:rPr>
  </w:style>
  <w:style w:type="paragraph" w:styleId="Revision">
    <w:name w:val="Revision"/>
    <w:hidden/>
    <w:uiPriority w:val="99"/>
    <w:semiHidden/>
    <w:rsid w:val="00B62696"/>
    <w:rPr>
      <w:rFonts w:asciiTheme="minorHAnsi" w:hAnsiTheme="minorHAnsi"/>
      <w:sz w:val="22"/>
      <w:lang w:val="es-ES_tradnl" w:eastAsia="en-US"/>
    </w:rPr>
  </w:style>
  <w:style w:type="paragraph" w:customStyle="1" w:styleId="AgendaItem">
    <w:name w:val="AgendaItem"/>
    <w:basedOn w:val="Normal"/>
    <w:qFormat/>
    <w:rsid w:val="00B52CCC"/>
    <w:pPr>
      <w:tabs>
        <w:tab w:val="clear" w:pos="794"/>
        <w:tab w:val="left" w:pos="674"/>
      </w:tabs>
      <w:spacing w:before="80"/>
      <w:contextualSpacing/>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TSB-CIR-0024/es" TargetMode="External"/><Relationship Id="rId18" Type="http://schemas.openxmlformats.org/officeDocument/2006/relationships/hyperlink" Target="https://www.itu.int/en/ITU-T/studygroups/2025-2028/21/Pages/default.aspx"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https://www.itu.int/es/delegates-corner" TargetMode="External"/><Relationship Id="rId21" Type="http://schemas.openxmlformats.org/officeDocument/2006/relationships/hyperlink" Target="https://www.itu.int/md/T25-TSB-CIR-0024/es" TargetMode="External"/><Relationship Id="rId34" Type="http://schemas.openxmlformats.org/officeDocument/2006/relationships/hyperlink" Target="https://www.itu.int/en/ITU-T/info/Documents/ITU-T-Newcomer-Guide.pdf" TargetMode="External"/><Relationship Id="rId42" Type="http://schemas.openxmlformats.org/officeDocument/2006/relationships/header" Target="header2.xml"/><Relationship Id="rId47" Type="http://schemas.openxmlformats.org/officeDocument/2006/relationships/package" Target="embeddings/Microsoft_Excel_Worksheet.xlsx"/><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go/tsg21" TargetMode="External"/><Relationship Id="rId29" Type="http://schemas.openxmlformats.org/officeDocument/2006/relationships/hyperlink" Target="https://www.itu.int/en/about/Documents/itu-plan.pdf" TargetMode="External"/><Relationship Id="rId11" Type="http://schemas.openxmlformats.org/officeDocument/2006/relationships/hyperlink" Target="https://www.itu.int/en/ITU-T/studygroups/2022-2024/16/video/Pages/jvet.aspx" TargetMode="External"/><Relationship Id="rId24" Type="http://schemas.openxmlformats.org/officeDocument/2006/relationships/image" Target="media/image3.svg"/><Relationship Id="rId32" Type="http://schemas.openxmlformats.org/officeDocument/2006/relationships/hyperlink" Target="https://www.itu.int/md/T25-TSB-CIR-0001/es" TargetMode="External"/><Relationship Id="rId37" Type="http://schemas.openxmlformats.org/officeDocument/2006/relationships/hyperlink" Target="mailto:fellowships@itu.int" TargetMode="External"/><Relationship Id="rId40" Type="http://schemas.openxmlformats.org/officeDocument/2006/relationships/hyperlink" Target="https://www.itu.int/net4/travel/index-es.aspx" TargetMode="External"/><Relationship Id="rId45" Type="http://schemas.openxmlformats.org/officeDocument/2006/relationships/hyperlink" Target="https://www.itu.int/md/T25-SG21-251006-TD-plen-0108/en" TargetMode="External"/><Relationship Id="rId53" Type="http://schemas.openxmlformats.org/officeDocument/2006/relationships/footer" Target="footer3.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s://www.itu.int/en/ITU-T/studygroups/2025-2028/21/Pages/default.aspx" TargetMode="Externa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en/about/Documents/itu-plan.pdf" TargetMode="External"/><Relationship Id="rId22" Type="http://schemas.openxmlformats.org/officeDocument/2006/relationships/hyperlink" Target="https://handle.itu.int/11.1002/groups/sg21" TargetMode="External"/><Relationship Id="rId27" Type="http://schemas.openxmlformats.org/officeDocument/2006/relationships/hyperlink" Target="https://www.itu.int/TIES/" TargetMode="External"/><Relationship Id="rId30" Type="http://schemas.openxmlformats.org/officeDocument/2006/relationships/hyperlink" Target="https://itu.int/go/e-print" TargetMode="External"/><Relationship Id="rId35" Type="http://schemas.openxmlformats.org/officeDocument/2006/relationships/hyperlink" Target="https://itu.int/go/fellowships/list" TargetMode="External"/><Relationship Id="rId43" Type="http://schemas.openxmlformats.org/officeDocument/2006/relationships/footer" Target="footer1.xml"/><Relationship Id="rId48" Type="http://schemas.openxmlformats.org/officeDocument/2006/relationships/hyperlink" Target="https://itu.int/go/tsg21" TargetMode="External"/><Relationship Id="rId5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mpeg.org/meetings/mpeg-152/" TargetMode="External"/><Relationship Id="rId17" Type="http://schemas.openxmlformats.org/officeDocument/2006/relationships/hyperlink" Target="https://itu.int/net/ITU-T/ddp/" TargetMode="External"/><Relationship Id="rId25" Type="http://schemas.openxmlformats.org/officeDocument/2006/relationships/hyperlink" Target="https://itu.int/net/ITU-T/ddp/" TargetMode="External"/><Relationship Id="rId33" Type="http://schemas.openxmlformats.org/officeDocument/2006/relationships/hyperlink" Target="mailto:ITUTmembership@itu.int" TargetMode="External"/><Relationship Id="rId38" Type="http://schemas.openxmlformats.org/officeDocument/2006/relationships/hyperlink" Target="mailto:travel@itu.int" TargetMode="External"/><Relationship Id="rId46" Type="http://schemas.openxmlformats.org/officeDocument/2006/relationships/image" Target="media/image4.emf"/><Relationship Id="rId20" Type="http://schemas.openxmlformats.org/officeDocument/2006/relationships/hyperlink" Target="https://www.itu.int/net/ITU-T/ddp/" TargetMode="External"/><Relationship Id="rId41" Type="http://schemas.openxmlformats.org/officeDocument/2006/relationships/header" Target="head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ndle.itu.int/11.1002/apps/meeting-rooms" TargetMode="External"/><Relationship Id="rId23" Type="http://schemas.openxmlformats.org/officeDocument/2006/relationships/image" Target="media/image2.png"/><Relationship Id="rId28" Type="http://schemas.openxmlformats.org/officeDocument/2006/relationships/hyperlink" Target="https://www.itu.int/en/general-secretariat/ICT-Services/Pages/default.aspx" TargetMode="External"/><Relationship Id="rId36" Type="http://schemas.openxmlformats.org/officeDocument/2006/relationships/hyperlink" Target="https://www.itu.int/en/ITU-T/studygroups/2025-2028/21/Pages/default.aspx" TargetMode="External"/><Relationship Id="rId49" Type="http://schemas.openxmlformats.org/officeDocument/2006/relationships/hyperlink" Target="https://www.itu.int/md/T25-SG21-251006-TD-plen-0109/en" TargetMode="External"/><Relationship Id="rId57" Type="http://schemas.openxmlformats.org/officeDocument/2006/relationships/customXml" Target="../customXml/item3.xml"/><Relationship Id="rId10" Type="http://schemas.openxmlformats.org/officeDocument/2006/relationships/hyperlink" Target="https://itu.int/go/tsg21" TargetMode="External"/><Relationship Id="rId31" Type="http://schemas.openxmlformats.org/officeDocument/2006/relationships/hyperlink" Target="mailto:servicedesk@itu.int" TargetMode="External"/><Relationship Id="rId44" Type="http://schemas.openxmlformats.org/officeDocument/2006/relationships/hyperlink" Target="https://www.itu.int/md/T25-SG21-250113-R/en" TargetMode="External"/><Relationship Id="rId5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customXml/itemProps2.xml><?xml version="1.0" encoding="utf-8"?>
<ds:datastoreItem xmlns:ds="http://schemas.openxmlformats.org/officeDocument/2006/customXml" ds:itemID="{14A027F0-7125-4FF9-BE52-CDB648D2BD4E}"/>
</file>

<file path=customXml/itemProps3.xml><?xml version="1.0" encoding="utf-8"?>
<ds:datastoreItem xmlns:ds="http://schemas.openxmlformats.org/officeDocument/2006/customXml" ds:itemID="{5BE3216E-DABA-4F66-9693-14706B86DD60}"/>
</file>

<file path=customXml/itemProps4.xml><?xml version="1.0" encoding="utf-8"?>
<ds:datastoreItem xmlns:ds="http://schemas.openxmlformats.org/officeDocument/2006/customXml" ds:itemID="{BB7A19EF-E5AE-4AE3-B839-F3A4AE75917B}"/>
</file>

<file path=docProps/app.xml><?xml version="1.0" encoding="utf-8"?>
<Properties xmlns="http://schemas.openxmlformats.org/officeDocument/2006/extended-properties" xmlns:vt="http://schemas.openxmlformats.org/officeDocument/2006/docPropsVTypes">
  <Template>PS_TSBCIRC1.dotm</Template>
  <TotalTime>94</TotalTime>
  <Pages>7</Pages>
  <Words>2749</Words>
  <Characters>16702</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19413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Spanish83</cp:lastModifiedBy>
  <cp:revision>7</cp:revision>
  <cp:lastPrinted>2012-02-21T14:52:00Z</cp:lastPrinted>
  <dcterms:created xsi:type="dcterms:W3CDTF">2025-06-18T15:39:00Z</dcterms:created>
  <dcterms:modified xsi:type="dcterms:W3CDTF">2025-06-18T17:24:00Z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