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421"/>
        <w:tblW w:w="9781" w:type="dxa"/>
        <w:tblLayout w:type="fixed"/>
        <w:tblCellMar>
          <w:left w:w="0" w:type="dxa"/>
          <w:right w:w="0" w:type="dxa"/>
        </w:tblCellMar>
        <w:tblLook w:val="0000" w:firstRow="0" w:lastRow="0" w:firstColumn="0" w:lastColumn="0" w:noHBand="0" w:noVBand="0"/>
      </w:tblPr>
      <w:tblGrid>
        <w:gridCol w:w="1418"/>
        <w:gridCol w:w="6379"/>
        <w:gridCol w:w="1984"/>
      </w:tblGrid>
      <w:tr w:rsidR="00427EA6" w:rsidRPr="00F224BA" w14:paraId="5FCB831A" w14:textId="77777777" w:rsidTr="00427EA6">
        <w:trPr>
          <w:cantSplit/>
        </w:trPr>
        <w:tc>
          <w:tcPr>
            <w:tcW w:w="1418" w:type="dxa"/>
            <w:vAlign w:val="center"/>
          </w:tcPr>
          <w:p w14:paraId="7D2F8655" w14:textId="77777777" w:rsidR="00427EA6" w:rsidRPr="00F224BA" w:rsidRDefault="00CD4AE3" w:rsidP="00427EA6">
            <w:pPr>
              <w:tabs>
                <w:tab w:val="right" w:pos="8732"/>
              </w:tabs>
              <w:spacing w:before="0"/>
              <w:rPr>
                <w:b/>
                <w:bCs/>
                <w:iCs/>
                <w:color w:val="FFFFFF"/>
                <w:sz w:val="30"/>
                <w:szCs w:val="30"/>
                <w:lang w:val="es-ES"/>
              </w:rPr>
            </w:pPr>
            <w:r w:rsidRPr="00F224BA">
              <w:rPr>
                <w:noProof/>
                <w:lang w:val="es-ES" w:eastAsia="zh-CN"/>
              </w:rPr>
              <w:drawing>
                <wp:inline distT="0" distB="0" distL="0" distR="0" wp14:anchorId="19A8972B" wp14:editId="73BC1E4A">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vAlign w:val="center"/>
          </w:tcPr>
          <w:p w14:paraId="23416829" w14:textId="77777777" w:rsidR="00427EA6" w:rsidRPr="00F224BA" w:rsidRDefault="00427EA6" w:rsidP="00427EA6">
            <w:pPr>
              <w:spacing w:before="0"/>
              <w:rPr>
                <w:rFonts w:cs="Times New Roman Bold"/>
                <w:b/>
                <w:bCs/>
                <w:smallCaps/>
                <w:sz w:val="26"/>
                <w:szCs w:val="26"/>
                <w:lang w:val="es-ES"/>
              </w:rPr>
            </w:pPr>
            <w:r w:rsidRPr="00F224BA">
              <w:rPr>
                <w:rFonts w:cs="Times New Roman Bold"/>
                <w:b/>
                <w:bCs/>
                <w:smallCaps/>
                <w:sz w:val="36"/>
                <w:szCs w:val="36"/>
                <w:lang w:val="es-ES"/>
              </w:rPr>
              <w:t>Unión Internacional de Telecomunicaciones</w:t>
            </w:r>
          </w:p>
          <w:p w14:paraId="1F45BB59" w14:textId="77777777" w:rsidR="00427EA6" w:rsidRPr="00F224BA" w:rsidRDefault="00427EA6" w:rsidP="00427EA6">
            <w:pPr>
              <w:tabs>
                <w:tab w:val="right" w:pos="8732"/>
              </w:tabs>
              <w:spacing w:before="0"/>
              <w:rPr>
                <w:b/>
                <w:bCs/>
                <w:iCs/>
                <w:color w:val="FFFFFF"/>
                <w:sz w:val="30"/>
                <w:szCs w:val="30"/>
                <w:lang w:val="es-ES"/>
              </w:rPr>
            </w:pPr>
            <w:r w:rsidRPr="00F224BA">
              <w:rPr>
                <w:rFonts w:cs="Times New Roman Bold"/>
                <w:b/>
                <w:bCs/>
                <w:iCs/>
                <w:smallCaps/>
                <w:sz w:val="28"/>
                <w:szCs w:val="28"/>
                <w:lang w:val="es-ES"/>
              </w:rPr>
              <w:t>Oficina de Normalización de las Telecomunicaciones</w:t>
            </w:r>
          </w:p>
        </w:tc>
        <w:tc>
          <w:tcPr>
            <w:tcW w:w="1984" w:type="dxa"/>
            <w:vAlign w:val="center"/>
          </w:tcPr>
          <w:p w14:paraId="5130FFA0" w14:textId="77777777" w:rsidR="00427EA6" w:rsidRPr="00F224BA" w:rsidRDefault="00427EA6" w:rsidP="00427EA6">
            <w:pPr>
              <w:spacing w:before="0"/>
              <w:jc w:val="right"/>
              <w:rPr>
                <w:color w:val="FFFFFF"/>
                <w:sz w:val="26"/>
                <w:szCs w:val="26"/>
                <w:lang w:val="es-ES"/>
              </w:rPr>
            </w:pPr>
          </w:p>
        </w:tc>
      </w:tr>
    </w:tbl>
    <w:p w14:paraId="1D715E74" w14:textId="77777777" w:rsidR="002545AA" w:rsidRPr="00F224BA" w:rsidRDefault="002545AA" w:rsidP="002545AA">
      <w:pPr>
        <w:spacing w:before="0" w:after="240"/>
        <w:rPr>
          <w:lang w:val="es-ES"/>
        </w:rPr>
      </w:pPr>
    </w:p>
    <w:tbl>
      <w:tblPr>
        <w:tblW w:w="9639" w:type="dxa"/>
        <w:tblInd w:w="8" w:type="dxa"/>
        <w:tblLayout w:type="fixed"/>
        <w:tblCellMar>
          <w:left w:w="0" w:type="dxa"/>
          <w:right w:w="0" w:type="dxa"/>
        </w:tblCellMar>
        <w:tblLook w:val="0000" w:firstRow="0" w:lastRow="0" w:firstColumn="0" w:lastColumn="0" w:noHBand="0" w:noVBand="0"/>
      </w:tblPr>
      <w:tblGrid>
        <w:gridCol w:w="1070"/>
        <w:gridCol w:w="14"/>
        <w:gridCol w:w="3793"/>
        <w:gridCol w:w="4762"/>
      </w:tblGrid>
      <w:tr w:rsidR="002545AA" w:rsidRPr="00F224BA" w14:paraId="5BAED284" w14:textId="77777777" w:rsidTr="002C58A4">
        <w:trPr>
          <w:cantSplit/>
          <w:trHeight w:val="649"/>
        </w:trPr>
        <w:tc>
          <w:tcPr>
            <w:tcW w:w="1084" w:type="dxa"/>
            <w:gridSpan w:val="2"/>
          </w:tcPr>
          <w:p w14:paraId="21415219" w14:textId="77777777" w:rsidR="002545AA" w:rsidRPr="00F224BA" w:rsidRDefault="002545AA" w:rsidP="002C58A4">
            <w:pPr>
              <w:tabs>
                <w:tab w:val="left" w:pos="4111"/>
              </w:tabs>
              <w:spacing w:before="10"/>
              <w:ind w:left="57"/>
              <w:rPr>
                <w:szCs w:val="24"/>
                <w:lang w:val="es-ES"/>
              </w:rPr>
            </w:pPr>
          </w:p>
        </w:tc>
        <w:tc>
          <w:tcPr>
            <w:tcW w:w="3793" w:type="dxa"/>
          </w:tcPr>
          <w:p w14:paraId="61F74745" w14:textId="77777777" w:rsidR="002545AA" w:rsidRPr="00F224BA" w:rsidRDefault="002545AA" w:rsidP="002C58A4">
            <w:pPr>
              <w:tabs>
                <w:tab w:val="left" w:pos="4111"/>
              </w:tabs>
              <w:spacing w:before="10"/>
              <w:ind w:left="57"/>
              <w:rPr>
                <w:b/>
                <w:lang w:val="es-ES"/>
              </w:rPr>
            </w:pPr>
          </w:p>
        </w:tc>
        <w:tc>
          <w:tcPr>
            <w:tcW w:w="4762" w:type="dxa"/>
          </w:tcPr>
          <w:p w14:paraId="66761920" w14:textId="0FC0A1E9" w:rsidR="002545AA" w:rsidRPr="00F224BA" w:rsidRDefault="002545AA" w:rsidP="002C58A4">
            <w:pPr>
              <w:pStyle w:val="Tabletext0"/>
              <w:tabs>
                <w:tab w:val="clear" w:pos="1134"/>
                <w:tab w:val="clear" w:pos="2268"/>
                <w:tab w:val="left" w:pos="794"/>
                <w:tab w:val="left" w:pos="1191"/>
                <w:tab w:val="left" w:pos="1588"/>
              </w:tabs>
              <w:spacing w:before="240" w:after="120"/>
              <w:rPr>
                <w:bCs/>
                <w:lang w:val="es-ES"/>
              </w:rPr>
            </w:pPr>
            <w:r w:rsidRPr="00F224BA">
              <w:rPr>
                <w:lang w:val="es-ES"/>
              </w:rPr>
              <w:t xml:space="preserve">Ginebra, </w:t>
            </w:r>
            <w:r w:rsidR="00781AC9" w:rsidRPr="00F224BA">
              <w:rPr>
                <w:lang w:val="es-ES"/>
              </w:rPr>
              <w:t>14 de septiembre de 2026</w:t>
            </w:r>
          </w:p>
        </w:tc>
      </w:tr>
      <w:tr w:rsidR="002545AA" w:rsidRPr="00F224BA" w14:paraId="031E6D64" w14:textId="77777777" w:rsidTr="002C58A4">
        <w:trPr>
          <w:cantSplit/>
          <w:trHeight w:val="649"/>
        </w:trPr>
        <w:tc>
          <w:tcPr>
            <w:tcW w:w="1084" w:type="dxa"/>
            <w:gridSpan w:val="2"/>
          </w:tcPr>
          <w:p w14:paraId="5CCEEF63" w14:textId="77777777" w:rsidR="002545AA" w:rsidRPr="00F224BA" w:rsidRDefault="002545AA" w:rsidP="002C58A4">
            <w:pPr>
              <w:tabs>
                <w:tab w:val="left" w:pos="4111"/>
              </w:tabs>
              <w:spacing w:before="40" w:after="40"/>
              <w:ind w:left="57"/>
              <w:rPr>
                <w:szCs w:val="24"/>
                <w:lang w:val="es-ES"/>
              </w:rPr>
            </w:pPr>
            <w:r w:rsidRPr="00F224BA">
              <w:rPr>
                <w:szCs w:val="24"/>
                <w:lang w:val="es-ES"/>
              </w:rPr>
              <w:t>Ref.:</w:t>
            </w:r>
          </w:p>
        </w:tc>
        <w:tc>
          <w:tcPr>
            <w:tcW w:w="3793" w:type="dxa"/>
          </w:tcPr>
          <w:p w14:paraId="09C29637" w14:textId="38E3291D" w:rsidR="002545AA" w:rsidRPr="00F224BA" w:rsidRDefault="002545AA" w:rsidP="002C58A4">
            <w:pPr>
              <w:tabs>
                <w:tab w:val="left" w:pos="4111"/>
              </w:tabs>
              <w:spacing w:before="40" w:after="40"/>
              <w:ind w:left="57"/>
              <w:rPr>
                <w:b/>
                <w:szCs w:val="24"/>
                <w:lang w:val="es-ES"/>
              </w:rPr>
            </w:pPr>
            <w:r w:rsidRPr="00F224BA">
              <w:rPr>
                <w:b/>
                <w:lang w:val="es-ES"/>
              </w:rPr>
              <w:t xml:space="preserve">Carta Colectiva TSB </w:t>
            </w:r>
            <w:r w:rsidR="00781AC9" w:rsidRPr="00F224BA">
              <w:rPr>
                <w:b/>
                <w:szCs w:val="24"/>
                <w:lang w:val="es-ES"/>
              </w:rPr>
              <w:t>10</w:t>
            </w:r>
            <w:r w:rsidRPr="00F224BA">
              <w:rPr>
                <w:b/>
                <w:szCs w:val="24"/>
                <w:lang w:val="es-ES"/>
              </w:rPr>
              <w:t>/</w:t>
            </w:r>
            <w:r w:rsidR="00781AC9" w:rsidRPr="00F224BA">
              <w:rPr>
                <w:b/>
                <w:szCs w:val="24"/>
                <w:lang w:val="es-ES"/>
              </w:rPr>
              <w:t>17</w:t>
            </w:r>
          </w:p>
          <w:p w14:paraId="09096904" w14:textId="26EF8493" w:rsidR="002545AA" w:rsidRPr="00F224BA" w:rsidRDefault="002545AA" w:rsidP="002C58A4">
            <w:pPr>
              <w:tabs>
                <w:tab w:val="left" w:pos="4111"/>
              </w:tabs>
              <w:spacing w:before="0" w:after="40"/>
              <w:ind w:left="57"/>
              <w:rPr>
                <w:u w:val="single"/>
                <w:lang w:val="es-ES"/>
              </w:rPr>
            </w:pPr>
            <w:bookmarkStart w:id="0" w:name="lt_pId018"/>
            <w:r w:rsidRPr="00F224BA">
              <w:rPr>
                <w:lang w:val="es-ES"/>
              </w:rPr>
              <w:t>CE </w:t>
            </w:r>
            <w:r w:rsidR="00781AC9" w:rsidRPr="00F224BA">
              <w:rPr>
                <w:lang w:val="es-ES"/>
              </w:rPr>
              <w:t>17</w:t>
            </w:r>
            <w:r w:rsidRPr="00F224BA">
              <w:rPr>
                <w:lang w:val="es-ES"/>
              </w:rPr>
              <w:t>/XY</w:t>
            </w:r>
            <w:bookmarkEnd w:id="0"/>
          </w:p>
        </w:tc>
        <w:tc>
          <w:tcPr>
            <w:tcW w:w="4762" w:type="dxa"/>
            <w:vMerge w:val="restart"/>
          </w:tcPr>
          <w:p w14:paraId="273BD980" w14:textId="4AB5EE24" w:rsidR="00781AC9" w:rsidRPr="00F224BA" w:rsidRDefault="00781AC9" w:rsidP="00781AC9">
            <w:pPr>
              <w:tabs>
                <w:tab w:val="clear" w:pos="794"/>
              </w:tabs>
              <w:spacing w:before="0" w:after="40"/>
              <w:ind w:left="499" w:hanging="425"/>
              <w:rPr>
                <w:lang w:val="es-ES"/>
              </w:rPr>
            </w:pPr>
            <w:r w:rsidRPr="00F224BA">
              <w:rPr>
                <w:lang w:val="es-ES"/>
              </w:rPr>
              <w:t>–</w:t>
            </w:r>
            <w:r w:rsidRPr="00F224BA">
              <w:rPr>
                <w:lang w:val="es-ES"/>
              </w:rPr>
              <w:tab/>
            </w:r>
            <w:r w:rsidRPr="00F224BA">
              <w:rPr>
                <w:lang w:val="es-ES"/>
              </w:rPr>
              <w:t>A las Administraciones de los Estados Miembros de la Unión;</w:t>
            </w:r>
          </w:p>
          <w:p w14:paraId="3E13DCBD" w14:textId="77777777" w:rsidR="00781AC9" w:rsidRPr="00F224BA" w:rsidRDefault="00781AC9" w:rsidP="00781AC9">
            <w:pPr>
              <w:tabs>
                <w:tab w:val="clear" w:pos="794"/>
              </w:tabs>
              <w:spacing w:before="0" w:after="40"/>
              <w:ind w:left="499" w:hanging="425"/>
              <w:rPr>
                <w:lang w:val="es-ES"/>
              </w:rPr>
            </w:pPr>
            <w:r w:rsidRPr="00F224BA">
              <w:rPr>
                <w:lang w:val="es-ES"/>
              </w:rPr>
              <w:t>–</w:t>
            </w:r>
            <w:r w:rsidRPr="00F224BA">
              <w:rPr>
                <w:lang w:val="es-ES"/>
              </w:rPr>
              <w:tab/>
              <w:t>Al Estado de Palestina (Res. 99 (Rev. Dubái, 2018));</w:t>
            </w:r>
          </w:p>
          <w:p w14:paraId="1B082551" w14:textId="77777777" w:rsidR="00781AC9" w:rsidRPr="00F224BA" w:rsidRDefault="00781AC9" w:rsidP="00781AC9">
            <w:pPr>
              <w:tabs>
                <w:tab w:val="clear" w:pos="794"/>
              </w:tabs>
              <w:spacing w:before="0" w:after="40"/>
              <w:ind w:left="499" w:hanging="425"/>
              <w:rPr>
                <w:lang w:val="es-ES"/>
              </w:rPr>
            </w:pPr>
            <w:r w:rsidRPr="00F224BA">
              <w:rPr>
                <w:lang w:val="es-ES"/>
              </w:rPr>
              <w:t>–</w:t>
            </w:r>
            <w:r w:rsidRPr="00F224BA">
              <w:rPr>
                <w:lang w:val="es-ES"/>
              </w:rPr>
              <w:tab/>
              <w:t>A los Miembros de Sector del UIT</w:t>
            </w:r>
            <w:r w:rsidRPr="00F224BA">
              <w:rPr>
                <w:lang w:val="es-ES"/>
              </w:rPr>
              <w:noBreakHyphen/>
              <w:t>T;</w:t>
            </w:r>
          </w:p>
          <w:p w14:paraId="228C420F" w14:textId="77777777" w:rsidR="00781AC9" w:rsidRPr="00F224BA" w:rsidRDefault="00781AC9" w:rsidP="00781AC9">
            <w:pPr>
              <w:tabs>
                <w:tab w:val="clear" w:pos="794"/>
              </w:tabs>
              <w:spacing w:before="0" w:after="40"/>
              <w:ind w:left="499" w:hanging="425"/>
              <w:rPr>
                <w:lang w:val="es-ES"/>
              </w:rPr>
            </w:pPr>
            <w:r w:rsidRPr="00F224BA">
              <w:rPr>
                <w:lang w:val="es-ES"/>
              </w:rPr>
              <w:t>–</w:t>
            </w:r>
            <w:r w:rsidRPr="00F224BA">
              <w:rPr>
                <w:lang w:val="es-ES"/>
              </w:rPr>
              <w:tab/>
              <w:t>A los Asociados del UIT-T que participan en los trabajos de la Comisión de Estudio 17; y</w:t>
            </w:r>
          </w:p>
          <w:p w14:paraId="4D1D965E" w14:textId="08E30F1C" w:rsidR="002545AA" w:rsidRPr="00F224BA" w:rsidRDefault="00781AC9" w:rsidP="00781AC9">
            <w:pPr>
              <w:tabs>
                <w:tab w:val="clear" w:pos="794"/>
              </w:tabs>
              <w:spacing w:before="0" w:after="40"/>
              <w:ind w:left="499" w:hanging="425"/>
              <w:rPr>
                <w:bCs/>
                <w:lang w:val="es-ES"/>
              </w:rPr>
            </w:pPr>
            <w:r w:rsidRPr="00F224BA">
              <w:rPr>
                <w:lang w:val="es-ES"/>
              </w:rPr>
              <w:t>–</w:t>
            </w:r>
            <w:r w:rsidRPr="00F224BA">
              <w:rPr>
                <w:lang w:val="es-ES"/>
              </w:rPr>
              <w:tab/>
              <w:t>A las Instituciones Académicas de la UIT</w:t>
            </w:r>
          </w:p>
        </w:tc>
      </w:tr>
      <w:tr w:rsidR="002545AA" w:rsidRPr="00F224BA" w14:paraId="2EF8A298" w14:textId="77777777" w:rsidTr="002C58A4">
        <w:trPr>
          <w:cantSplit/>
          <w:trHeight w:val="390"/>
        </w:trPr>
        <w:tc>
          <w:tcPr>
            <w:tcW w:w="1084" w:type="dxa"/>
            <w:gridSpan w:val="2"/>
          </w:tcPr>
          <w:p w14:paraId="4157559E" w14:textId="77777777" w:rsidR="002545AA" w:rsidRPr="00F224BA" w:rsidRDefault="002545AA" w:rsidP="002C58A4">
            <w:pPr>
              <w:tabs>
                <w:tab w:val="left" w:pos="4111"/>
              </w:tabs>
              <w:spacing w:before="40" w:after="40"/>
              <w:ind w:left="57"/>
              <w:rPr>
                <w:szCs w:val="24"/>
                <w:lang w:val="es-ES"/>
              </w:rPr>
            </w:pPr>
            <w:r w:rsidRPr="00F224BA">
              <w:rPr>
                <w:szCs w:val="24"/>
                <w:lang w:val="es-ES"/>
              </w:rPr>
              <w:t>Tel.:</w:t>
            </w:r>
          </w:p>
        </w:tc>
        <w:tc>
          <w:tcPr>
            <w:tcW w:w="3793" w:type="dxa"/>
          </w:tcPr>
          <w:p w14:paraId="4E7C6265" w14:textId="58238EBC" w:rsidR="002545AA" w:rsidRPr="00F224BA" w:rsidRDefault="002545AA" w:rsidP="002C58A4">
            <w:pPr>
              <w:tabs>
                <w:tab w:val="left" w:pos="4111"/>
              </w:tabs>
              <w:spacing w:before="40" w:after="40"/>
              <w:ind w:left="57"/>
              <w:rPr>
                <w:lang w:val="es-ES"/>
              </w:rPr>
            </w:pPr>
            <w:r w:rsidRPr="00F224BA">
              <w:rPr>
                <w:lang w:val="es-ES"/>
              </w:rPr>
              <w:t xml:space="preserve">+41 22 730 </w:t>
            </w:r>
            <w:r w:rsidR="00781AC9" w:rsidRPr="00F224BA">
              <w:rPr>
                <w:lang w:val="es-ES"/>
              </w:rPr>
              <w:t>6206</w:t>
            </w:r>
          </w:p>
        </w:tc>
        <w:tc>
          <w:tcPr>
            <w:tcW w:w="4762" w:type="dxa"/>
            <w:vMerge/>
          </w:tcPr>
          <w:p w14:paraId="14D79EED" w14:textId="77777777" w:rsidR="002545AA" w:rsidRPr="00F224BA" w:rsidRDefault="002545AA" w:rsidP="002C58A4">
            <w:pPr>
              <w:tabs>
                <w:tab w:val="left" w:pos="4111"/>
              </w:tabs>
              <w:spacing w:beforeLines="40" w:before="96" w:after="40"/>
              <w:ind w:left="57"/>
              <w:rPr>
                <w:bCs/>
                <w:lang w:val="es-ES"/>
              </w:rPr>
            </w:pPr>
          </w:p>
        </w:tc>
      </w:tr>
      <w:tr w:rsidR="002545AA" w:rsidRPr="00F224BA" w14:paraId="00AB7670" w14:textId="77777777" w:rsidTr="002C58A4">
        <w:trPr>
          <w:cantSplit/>
          <w:trHeight w:val="431"/>
        </w:trPr>
        <w:tc>
          <w:tcPr>
            <w:tcW w:w="1084" w:type="dxa"/>
            <w:gridSpan w:val="2"/>
          </w:tcPr>
          <w:p w14:paraId="1382796A" w14:textId="77777777" w:rsidR="002545AA" w:rsidRPr="00F224BA" w:rsidRDefault="002545AA" w:rsidP="002C58A4">
            <w:pPr>
              <w:tabs>
                <w:tab w:val="left" w:pos="4111"/>
              </w:tabs>
              <w:spacing w:before="40" w:after="40"/>
              <w:ind w:left="57"/>
              <w:rPr>
                <w:szCs w:val="24"/>
                <w:lang w:val="es-ES"/>
              </w:rPr>
            </w:pPr>
            <w:r w:rsidRPr="00F224BA">
              <w:rPr>
                <w:szCs w:val="24"/>
                <w:lang w:val="es-ES"/>
              </w:rPr>
              <w:t>Fax:</w:t>
            </w:r>
          </w:p>
        </w:tc>
        <w:tc>
          <w:tcPr>
            <w:tcW w:w="3793" w:type="dxa"/>
          </w:tcPr>
          <w:p w14:paraId="0F7882F8" w14:textId="77777777" w:rsidR="002545AA" w:rsidRPr="00F224BA" w:rsidRDefault="002545AA" w:rsidP="002C58A4">
            <w:pPr>
              <w:tabs>
                <w:tab w:val="left" w:pos="4111"/>
              </w:tabs>
              <w:spacing w:before="40" w:after="40"/>
              <w:ind w:left="57"/>
              <w:rPr>
                <w:lang w:val="es-ES"/>
              </w:rPr>
            </w:pPr>
            <w:r w:rsidRPr="00F224BA">
              <w:rPr>
                <w:lang w:val="es-ES"/>
              </w:rPr>
              <w:t>+41 22 730 5853</w:t>
            </w:r>
          </w:p>
        </w:tc>
        <w:tc>
          <w:tcPr>
            <w:tcW w:w="4762" w:type="dxa"/>
            <w:vMerge/>
          </w:tcPr>
          <w:p w14:paraId="1D45250F" w14:textId="77777777" w:rsidR="002545AA" w:rsidRPr="00F224BA" w:rsidRDefault="002545AA" w:rsidP="002C58A4">
            <w:pPr>
              <w:tabs>
                <w:tab w:val="left" w:pos="4111"/>
              </w:tabs>
              <w:spacing w:beforeLines="40" w:before="96" w:after="40"/>
              <w:ind w:left="57"/>
              <w:rPr>
                <w:bCs/>
                <w:lang w:val="es-ES"/>
              </w:rPr>
            </w:pPr>
          </w:p>
        </w:tc>
      </w:tr>
      <w:tr w:rsidR="002545AA" w:rsidRPr="00F224BA" w14:paraId="347CD68B" w14:textId="77777777" w:rsidTr="002C58A4">
        <w:trPr>
          <w:cantSplit/>
        </w:trPr>
        <w:tc>
          <w:tcPr>
            <w:tcW w:w="1084" w:type="dxa"/>
            <w:gridSpan w:val="2"/>
          </w:tcPr>
          <w:p w14:paraId="4CEB4CD3" w14:textId="77777777" w:rsidR="002545AA" w:rsidRPr="00F224BA" w:rsidRDefault="002545AA" w:rsidP="002C58A4">
            <w:pPr>
              <w:tabs>
                <w:tab w:val="left" w:pos="4111"/>
              </w:tabs>
              <w:spacing w:before="40" w:after="40"/>
              <w:ind w:left="57"/>
              <w:rPr>
                <w:szCs w:val="24"/>
                <w:lang w:val="es-ES"/>
              </w:rPr>
            </w:pPr>
            <w:r w:rsidRPr="00F224BA">
              <w:rPr>
                <w:szCs w:val="24"/>
                <w:lang w:val="es-ES"/>
              </w:rPr>
              <w:t>Correo-e:</w:t>
            </w:r>
          </w:p>
        </w:tc>
        <w:tc>
          <w:tcPr>
            <w:tcW w:w="3793" w:type="dxa"/>
          </w:tcPr>
          <w:p w14:paraId="79EF25F3" w14:textId="0985D65B" w:rsidR="002545AA" w:rsidRPr="00F224BA" w:rsidRDefault="00781AC9" w:rsidP="002C58A4">
            <w:pPr>
              <w:tabs>
                <w:tab w:val="left" w:pos="4111"/>
              </w:tabs>
              <w:spacing w:before="40" w:after="40"/>
              <w:ind w:left="57"/>
              <w:rPr>
                <w:lang w:val="es-ES"/>
              </w:rPr>
            </w:pPr>
            <w:hyperlink r:id="rId9" w:history="1">
              <w:r w:rsidRPr="00F224BA">
                <w:rPr>
                  <w:rStyle w:val="Hyperlink"/>
                  <w:szCs w:val="24"/>
                  <w:lang w:val="es-ES"/>
                </w:rPr>
                <w:t>tsbsg17@itu.int</w:t>
              </w:r>
            </w:hyperlink>
          </w:p>
        </w:tc>
        <w:tc>
          <w:tcPr>
            <w:tcW w:w="4762" w:type="dxa"/>
            <w:vMerge/>
          </w:tcPr>
          <w:p w14:paraId="668FC4C6" w14:textId="77777777" w:rsidR="002545AA" w:rsidRPr="00F224BA" w:rsidRDefault="002545AA" w:rsidP="002C58A4">
            <w:pPr>
              <w:tabs>
                <w:tab w:val="left" w:pos="4111"/>
              </w:tabs>
              <w:spacing w:beforeLines="40" w:before="96" w:after="40"/>
              <w:ind w:left="57"/>
              <w:rPr>
                <w:lang w:val="es-ES"/>
              </w:rPr>
            </w:pPr>
          </w:p>
        </w:tc>
      </w:tr>
      <w:tr w:rsidR="002545AA" w:rsidRPr="00F224BA" w14:paraId="2D49493A" w14:textId="77777777" w:rsidTr="002C58A4">
        <w:trPr>
          <w:cantSplit/>
        </w:trPr>
        <w:tc>
          <w:tcPr>
            <w:tcW w:w="1084" w:type="dxa"/>
            <w:gridSpan w:val="2"/>
          </w:tcPr>
          <w:p w14:paraId="343F5A94" w14:textId="77777777" w:rsidR="002545AA" w:rsidRPr="00F224BA" w:rsidRDefault="002545AA" w:rsidP="002C58A4">
            <w:pPr>
              <w:tabs>
                <w:tab w:val="left" w:pos="4111"/>
              </w:tabs>
              <w:spacing w:before="40" w:after="40"/>
              <w:ind w:left="57"/>
              <w:rPr>
                <w:szCs w:val="24"/>
                <w:lang w:val="es-ES"/>
              </w:rPr>
            </w:pPr>
            <w:r w:rsidRPr="00F224BA">
              <w:rPr>
                <w:szCs w:val="24"/>
                <w:lang w:val="es-ES"/>
              </w:rPr>
              <w:t>Web:</w:t>
            </w:r>
          </w:p>
        </w:tc>
        <w:tc>
          <w:tcPr>
            <w:tcW w:w="3793" w:type="dxa"/>
          </w:tcPr>
          <w:p w14:paraId="7D82AF90" w14:textId="0C2AB6F0" w:rsidR="002545AA" w:rsidRPr="00F224BA" w:rsidRDefault="00781AC9" w:rsidP="002C58A4">
            <w:pPr>
              <w:tabs>
                <w:tab w:val="left" w:pos="4111"/>
              </w:tabs>
              <w:spacing w:before="40" w:after="40"/>
              <w:ind w:left="57"/>
              <w:rPr>
                <w:lang w:val="es-ES"/>
              </w:rPr>
            </w:pPr>
            <w:hyperlink r:id="rId10" w:history="1">
              <w:r w:rsidRPr="00F224BA">
                <w:rPr>
                  <w:rStyle w:val="Hyperlink"/>
                  <w:rFonts w:ascii="Calibri" w:hAnsi="Calibri" w:cs="Calibri"/>
                  <w:szCs w:val="22"/>
                  <w:lang w:val="es-ES"/>
                </w:rPr>
                <w:t>https://itu.int/go/tsg17</w:t>
              </w:r>
            </w:hyperlink>
          </w:p>
        </w:tc>
        <w:tc>
          <w:tcPr>
            <w:tcW w:w="4762" w:type="dxa"/>
            <w:vMerge/>
          </w:tcPr>
          <w:p w14:paraId="19961250" w14:textId="77777777" w:rsidR="002545AA" w:rsidRPr="00F224BA" w:rsidRDefault="002545AA" w:rsidP="002C58A4">
            <w:pPr>
              <w:tabs>
                <w:tab w:val="left" w:pos="4111"/>
              </w:tabs>
              <w:spacing w:beforeLines="40" w:before="96" w:after="40"/>
              <w:ind w:left="57"/>
              <w:rPr>
                <w:lang w:val="es-ES"/>
              </w:rPr>
            </w:pPr>
          </w:p>
        </w:tc>
      </w:tr>
      <w:tr w:rsidR="002545AA" w:rsidRPr="00F224BA" w14:paraId="2C82981D" w14:textId="77777777" w:rsidTr="002C58A4">
        <w:trPr>
          <w:cantSplit/>
          <w:trHeight w:val="680"/>
        </w:trPr>
        <w:tc>
          <w:tcPr>
            <w:tcW w:w="1070" w:type="dxa"/>
          </w:tcPr>
          <w:p w14:paraId="6F8AF874" w14:textId="77777777" w:rsidR="002545AA" w:rsidRPr="00F224BA" w:rsidRDefault="002545AA" w:rsidP="002C58A4">
            <w:pPr>
              <w:tabs>
                <w:tab w:val="left" w:pos="4111"/>
              </w:tabs>
              <w:spacing w:before="40" w:after="40"/>
              <w:ind w:left="57"/>
              <w:rPr>
                <w:szCs w:val="24"/>
                <w:lang w:val="es-ES"/>
              </w:rPr>
            </w:pPr>
            <w:r w:rsidRPr="00F224BA">
              <w:rPr>
                <w:szCs w:val="24"/>
                <w:lang w:val="es-ES"/>
              </w:rPr>
              <w:t>Asunto:</w:t>
            </w:r>
          </w:p>
        </w:tc>
        <w:tc>
          <w:tcPr>
            <w:tcW w:w="8569" w:type="dxa"/>
            <w:gridSpan w:val="3"/>
          </w:tcPr>
          <w:p w14:paraId="416A77CC" w14:textId="12462678" w:rsidR="002545AA" w:rsidRPr="00F224BA" w:rsidRDefault="00781AC9" w:rsidP="002C58A4">
            <w:pPr>
              <w:tabs>
                <w:tab w:val="left" w:pos="4111"/>
              </w:tabs>
              <w:spacing w:before="40" w:after="40"/>
              <w:ind w:left="57"/>
              <w:rPr>
                <w:b/>
                <w:bCs/>
                <w:lang w:val="es-ES"/>
              </w:rPr>
            </w:pPr>
            <w:r w:rsidRPr="00F224BA">
              <w:rPr>
                <w:rFonts w:cstheme="minorHAnsi"/>
                <w:b/>
                <w:bCs/>
                <w:szCs w:val="22"/>
                <w:lang w:val="es-ES"/>
              </w:rPr>
              <w:t>Reunión plenamente virtual de la Comisión de Estudio</w:t>
            </w:r>
            <w:r w:rsidRPr="00F224BA">
              <w:rPr>
                <w:rFonts w:ascii="Calibri" w:hAnsi="Calibri" w:cs="Calibri"/>
                <w:b/>
                <w:bCs/>
                <w:szCs w:val="22"/>
                <w:lang w:val="es-ES"/>
              </w:rPr>
              <w:t xml:space="preserve"> 17;</w:t>
            </w:r>
            <w:bookmarkStart w:id="1" w:name="_Hlk212110628"/>
            <w:r w:rsidRPr="00F224BA">
              <w:rPr>
                <w:rFonts w:ascii="Calibri" w:hAnsi="Calibri" w:cs="Calibri"/>
                <w:b/>
                <w:bCs/>
                <w:szCs w:val="22"/>
                <w:lang w:val="es-ES"/>
              </w:rPr>
              <w:t xml:space="preserve"> 8 de octubre de 2026</w:t>
            </w:r>
            <w:bookmarkEnd w:id="1"/>
          </w:p>
        </w:tc>
      </w:tr>
    </w:tbl>
    <w:p w14:paraId="2912638F" w14:textId="77777777" w:rsidR="002545AA" w:rsidRPr="00F224BA" w:rsidRDefault="002545AA" w:rsidP="002545AA">
      <w:pPr>
        <w:pStyle w:val="ITUintr"/>
        <w:tabs>
          <w:tab w:val="clear" w:pos="737"/>
          <w:tab w:val="clear" w:pos="1134"/>
          <w:tab w:val="left" w:pos="794"/>
        </w:tabs>
        <w:spacing w:before="240" w:after="0"/>
        <w:ind w:right="91"/>
        <w:rPr>
          <w:rFonts w:asciiTheme="minorHAnsi" w:hAnsiTheme="minorHAnsi"/>
          <w:sz w:val="24"/>
          <w:lang w:val="es-ES"/>
        </w:rPr>
      </w:pPr>
      <w:bookmarkStart w:id="2" w:name="ditulogo"/>
      <w:bookmarkEnd w:id="2"/>
      <w:r w:rsidRPr="00F224BA">
        <w:rPr>
          <w:rFonts w:asciiTheme="minorHAnsi" w:hAnsiTheme="minorHAnsi"/>
          <w:sz w:val="24"/>
          <w:lang w:val="es-ES"/>
        </w:rPr>
        <w:t>Muy Señora mía/Muy Señor mío:</w:t>
      </w:r>
    </w:p>
    <w:p w14:paraId="5ABA9846" w14:textId="5D50D149" w:rsidR="00781AC9" w:rsidRPr="00F224BA" w:rsidRDefault="00781AC9" w:rsidP="00781AC9">
      <w:pPr>
        <w:rPr>
          <w:lang w:val="es-ES"/>
        </w:rPr>
      </w:pPr>
      <w:r w:rsidRPr="00F224BA">
        <w:rPr>
          <w:lang w:val="es-ES"/>
        </w:rPr>
        <w:t>1</w:t>
      </w:r>
      <w:r w:rsidR="001679BB" w:rsidRPr="00F224BA">
        <w:rPr>
          <w:lang w:val="es-ES"/>
        </w:rPr>
        <w:t>)</w:t>
      </w:r>
      <w:r w:rsidRPr="00F224BA">
        <w:rPr>
          <w:lang w:val="es-ES"/>
        </w:rPr>
        <w:tab/>
        <w:t>Me complace invitarle a participar en la próxima reunión de la Comisión de Estudio 17 (Seguridad), que se ha previsto celebrar de forma totalmente virtual el 8 de octubre de 2026, de las 11.00 a las 15.00 horas, hora de Ginebra.</w:t>
      </w:r>
    </w:p>
    <w:p w14:paraId="4370A140" w14:textId="5D0841B7" w:rsidR="00781AC9" w:rsidRPr="00F224BA" w:rsidRDefault="00781AC9" w:rsidP="00781AC9">
      <w:pPr>
        <w:rPr>
          <w:lang w:val="es-ES"/>
        </w:rPr>
      </w:pPr>
      <w:r w:rsidRPr="00F224BA">
        <w:rPr>
          <w:lang w:val="es-ES"/>
        </w:rPr>
        <w:t>2</w:t>
      </w:r>
      <w:r w:rsidR="001679BB" w:rsidRPr="00F224BA">
        <w:rPr>
          <w:lang w:val="es-ES"/>
        </w:rPr>
        <w:t>)</w:t>
      </w:r>
      <w:r w:rsidRPr="00F224BA">
        <w:rPr>
          <w:lang w:val="es-ES"/>
        </w:rPr>
        <w:tab/>
        <w:t>Los objetivos de la reunión son los siguientes:</w:t>
      </w:r>
    </w:p>
    <w:p w14:paraId="52E6FCB3" w14:textId="7E4256AD" w:rsidR="00781AC9" w:rsidRPr="00F224BA" w:rsidRDefault="00781AC9" w:rsidP="001679BB">
      <w:pPr>
        <w:pStyle w:val="enumlev1"/>
        <w:rPr>
          <w:lang w:val="es-ES"/>
        </w:rPr>
      </w:pPr>
      <w:r w:rsidRPr="00F224BA">
        <w:rPr>
          <w:lang w:val="es-ES"/>
        </w:rPr>
        <w:t>•</w:t>
      </w:r>
      <w:r w:rsidRPr="00F224BA">
        <w:rPr>
          <w:lang w:val="es-ES"/>
        </w:rPr>
        <w:tab/>
        <w:t>recopilar las enseñanzas extraídas de todas las actividades llevadas a cabo por la Comisión de Estudio 17 desde la sesión plenaria celebrada por dicha Comisión en junio de 2026 (reuniones de Cuestiones, talleres, preparación de la primera reunión de los FG, segunda semana de contenidos de la CE</w:t>
      </w:r>
      <w:r w:rsidR="001679BB" w:rsidRPr="00F224BA">
        <w:rPr>
          <w:lang w:val="es-ES"/>
        </w:rPr>
        <w:t> </w:t>
      </w:r>
      <w:r w:rsidRPr="00F224BA">
        <w:rPr>
          <w:lang w:val="es-ES"/>
        </w:rPr>
        <w:t>17, reuniones de los GR del GANT, etc.) y celebrar debates al respecto;</w:t>
      </w:r>
    </w:p>
    <w:p w14:paraId="027940D0" w14:textId="3E2ECDD7" w:rsidR="00781AC9" w:rsidRPr="00F224BA" w:rsidRDefault="00781AC9" w:rsidP="001679BB">
      <w:pPr>
        <w:pStyle w:val="enumlev1"/>
        <w:rPr>
          <w:lang w:val="es-ES"/>
        </w:rPr>
      </w:pPr>
      <w:r w:rsidRPr="00F224BA">
        <w:rPr>
          <w:lang w:val="es-ES"/>
        </w:rPr>
        <w:t>•</w:t>
      </w:r>
      <w:r w:rsidRPr="00F224BA">
        <w:rPr>
          <w:lang w:val="es-ES"/>
        </w:rPr>
        <w:tab/>
        <w:t>identificar y procesar todas las cuestiones pendientes de la CE</w:t>
      </w:r>
      <w:r w:rsidR="001679BB" w:rsidRPr="00F224BA">
        <w:rPr>
          <w:lang w:val="es-ES"/>
        </w:rPr>
        <w:t> </w:t>
      </w:r>
      <w:r w:rsidRPr="00F224BA">
        <w:rPr>
          <w:lang w:val="es-ES"/>
        </w:rPr>
        <w:t>17 antes de la PP-26; y</w:t>
      </w:r>
    </w:p>
    <w:p w14:paraId="00B8209E" w14:textId="58AD2363" w:rsidR="00781AC9" w:rsidRPr="00F224BA" w:rsidRDefault="00781AC9" w:rsidP="001679BB">
      <w:pPr>
        <w:pStyle w:val="enumlev1"/>
        <w:rPr>
          <w:lang w:val="es-ES"/>
        </w:rPr>
      </w:pPr>
      <w:r w:rsidRPr="00F224BA">
        <w:rPr>
          <w:lang w:val="es-ES"/>
        </w:rPr>
        <w:t>•</w:t>
      </w:r>
      <w:r w:rsidRPr="00F224BA">
        <w:rPr>
          <w:lang w:val="es-ES"/>
        </w:rPr>
        <w:tab/>
        <w:t>adoptar las decisiones necesarias, especialmente, en relación con los anuncios relativos a la sesión plenaria totalmente virtual de la CE</w:t>
      </w:r>
      <w:r w:rsidR="001679BB" w:rsidRPr="00F224BA">
        <w:rPr>
          <w:lang w:val="es-ES"/>
        </w:rPr>
        <w:t> </w:t>
      </w:r>
      <w:r w:rsidRPr="00F224BA">
        <w:rPr>
          <w:lang w:val="es-ES"/>
        </w:rPr>
        <w:t>17 prevista para el 9 de diciembre de 2026, el taller y las reuniones de la CE</w:t>
      </w:r>
      <w:r w:rsidR="001679BB" w:rsidRPr="00F224BA">
        <w:rPr>
          <w:lang w:val="es-ES"/>
        </w:rPr>
        <w:t> </w:t>
      </w:r>
      <w:r w:rsidRPr="00F224BA">
        <w:rPr>
          <w:lang w:val="es-ES"/>
        </w:rPr>
        <w:t>17 previstos para enero de 2027, y las declaraciones de coordinación que proceda enviar en respuesta a las recibidas desde la sesión plenaria de junio de 2026.</w:t>
      </w:r>
    </w:p>
    <w:p w14:paraId="32C7F198" w14:textId="2300FBB9" w:rsidR="00781AC9" w:rsidRPr="00F224BA" w:rsidRDefault="00781AC9" w:rsidP="00781AC9">
      <w:pPr>
        <w:rPr>
          <w:lang w:val="es-ES"/>
        </w:rPr>
      </w:pPr>
      <w:r w:rsidRPr="00F224BA">
        <w:rPr>
          <w:lang w:val="es-ES"/>
        </w:rPr>
        <w:t>3</w:t>
      </w:r>
      <w:r w:rsidR="001679BB" w:rsidRPr="00F224BA">
        <w:rPr>
          <w:lang w:val="es-ES"/>
        </w:rPr>
        <w:t>)</w:t>
      </w:r>
      <w:r w:rsidRPr="00F224BA">
        <w:rPr>
          <w:lang w:val="es-ES"/>
        </w:rPr>
        <w:tab/>
        <w:t>No se solicitarán aportaciones de los miembros del UIT-T para esta reunión de la CE</w:t>
      </w:r>
      <w:r w:rsidR="001679BB" w:rsidRPr="00F224BA">
        <w:rPr>
          <w:lang w:val="es-ES"/>
        </w:rPr>
        <w:t> </w:t>
      </w:r>
      <w:r w:rsidRPr="00F224BA">
        <w:rPr>
          <w:lang w:val="es-ES"/>
        </w:rPr>
        <w:t>17.</w:t>
      </w:r>
    </w:p>
    <w:p w14:paraId="3B8C146D" w14:textId="69620B81" w:rsidR="00781AC9" w:rsidRPr="00F224BA" w:rsidRDefault="00781AC9" w:rsidP="00781AC9">
      <w:pPr>
        <w:rPr>
          <w:lang w:val="es-ES"/>
        </w:rPr>
      </w:pPr>
      <w:r w:rsidRPr="00F224BA">
        <w:rPr>
          <w:lang w:val="es-ES"/>
        </w:rPr>
        <w:t>4</w:t>
      </w:r>
      <w:r w:rsidR="001679BB" w:rsidRPr="00F224BA">
        <w:rPr>
          <w:lang w:val="es-ES"/>
        </w:rPr>
        <w:t>)</w:t>
      </w:r>
      <w:r w:rsidRPr="00F224BA">
        <w:rPr>
          <w:lang w:val="es-ES"/>
        </w:rPr>
        <w:tab/>
        <w:t>Le rogamos tenga en cuenta que la reunión se celebrará únicamente en inglés, sin servicio de interpretación. Tampoco se concederán becas para esta reunión.</w:t>
      </w:r>
    </w:p>
    <w:p w14:paraId="07F879D9" w14:textId="169FEC32" w:rsidR="00781AC9" w:rsidRPr="00F224BA" w:rsidRDefault="00781AC9" w:rsidP="00781AC9">
      <w:pPr>
        <w:rPr>
          <w:lang w:val="es-ES"/>
        </w:rPr>
      </w:pPr>
      <w:r w:rsidRPr="00F224BA">
        <w:rPr>
          <w:lang w:val="es-ES"/>
        </w:rPr>
        <w:t>5</w:t>
      </w:r>
      <w:r w:rsidR="001679BB" w:rsidRPr="00F224BA">
        <w:rPr>
          <w:lang w:val="es-ES"/>
        </w:rPr>
        <w:t>)</w:t>
      </w:r>
      <w:r w:rsidRPr="00F224BA">
        <w:rPr>
          <w:lang w:val="es-ES"/>
        </w:rPr>
        <w:tab/>
        <w:t>La reunión comenzará a las 11.00 horas, hora de Ginebra, y se podrá acceder a ella a través de la herramienta de participación a distancia MyMeetings.</w:t>
      </w:r>
    </w:p>
    <w:p w14:paraId="62672656" w14:textId="5CEBD773" w:rsidR="00781AC9" w:rsidRPr="00F224BA" w:rsidRDefault="00781AC9" w:rsidP="00781AC9">
      <w:pPr>
        <w:rPr>
          <w:lang w:val="es-ES"/>
        </w:rPr>
      </w:pPr>
      <w:r w:rsidRPr="00F224BA">
        <w:rPr>
          <w:lang w:val="es-ES"/>
        </w:rPr>
        <w:t>6</w:t>
      </w:r>
      <w:r w:rsidR="001679BB" w:rsidRPr="00F224BA">
        <w:rPr>
          <w:lang w:val="es-ES"/>
        </w:rPr>
        <w:t>)</w:t>
      </w:r>
      <w:r w:rsidRPr="00F224BA">
        <w:rPr>
          <w:lang w:val="es-ES"/>
        </w:rPr>
        <w:tab/>
        <w:t>La preinscripción es obligatoria y debe realizarse en línea a través de la página de inicio de la Comisión de Estudio al menos una semana antes del inicio de la reunión. Sólo podrán participar aquellas personas cuya inscripción haya sido aprobada por el coordinador correspondiente.</w:t>
      </w:r>
    </w:p>
    <w:p w14:paraId="07A3CD07" w14:textId="7379742A" w:rsidR="002545AA" w:rsidRPr="00F224BA" w:rsidRDefault="00781AC9" w:rsidP="00781AC9">
      <w:pPr>
        <w:rPr>
          <w:lang w:val="es-ES"/>
        </w:rPr>
      </w:pPr>
      <w:r w:rsidRPr="00F224BA">
        <w:rPr>
          <w:lang w:val="es-ES"/>
        </w:rPr>
        <w:t>7</w:t>
      </w:r>
      <w:r w:rsidR="001679BB" w:rsidRPr="00F224BA">
        <w:rPr>
          <w:lang w:val="es-ES"/>
        </w:rPr>
        <w:t>)</w:t>
      </w:r>
      <w:r w:rsidRPr="00F224BA">
        <w:rPr>
          <w:lang w:val="es-ES"/>
        </w:rPr>
        <w:tab/>
        <w:t>El Anexo A contiene información práctica sobre la reunión. El proyecto de orden del día de la reunión, elaborado en consulta con el Presidente de la CE</w:t>
      </w:r>
      <w:r w:rsidR="001679BB" w:rsidRPr="00F224BA">
        <w:rPr>
          <w:lang w:val="es-ES"/>
        </w:rPr>
        <w:t> </w:t>
      </w:r>
      <w:r w:rsidRPr="00F224BA">
        <w:rPr>
          <w:lang w:val="es-ES"/>
        </w:rPr>
        <w:t>17, Sr. Arnaud Taddei, figura en el Anexo B.</w:t>
      </w:r>
    </w:p>
    <w:p w14:paraId="31FD387F" w14:textId="2EEC977F" w:rsidR="002545AA" w:rsidRPr="00F224BA" w:rsidRDefault="002545AA" w:rsidP="002545AA">
      <w:pPr>
        <w:keepNext/>
        <w:keepLines/>
        <w:spacing w:after="120"/>
        <w:rPr>
          <w:b/>
          <w:bCs/>
          <w:lang w:val="es-ES"/>
        </w:rPr>
      </w:pPr>
      <w:r w:rsidRPr="00F224BA">
        <w:rPr>
          <w:b/>
          <w:bCs/>
          <w:lang w:val="es-ES"/>
        </w:rPr>
        <w:t>PLAZOS CLAVE</w:t>
      </w:r>
    </w:p>
    <w:tbl>
      <w:tblPr>
        <w:tblStyle w:val="TableGrid"/>
        <w:tblW w:w="9634" w:type="dxa"/>
        <w:tblLook w:val="04A0" w:firstRow="1" w:lastRow="0" w:firstColumn="1" w:lastColumn="0" w:noHBand="0" w:noVBand="1"/>
      </w:tblPr>
      <w:tblGrid>
        <w:gridCol w:w="2418"/>
        <w:gridCol w:w="7216"/>
      </w:tblGrid>
      <w:tr w:rsidR="00781AC9" w:rsidRPr="00F224BA" w14:paraId="48B40F47" w14:textId="77777777" w:rsidTr="00CA025F">
        <w:tc>
          <w:tcPr>
            <w:tcW w:w="2418" w:type="dxa"/>
            <w:tcBorders>
              <w:top w:val="single" w:sz="4" w:space="0" w:color="auto"/>
              <w:left w:val="single" w:sz="4" w:space="0" w:color="auto"/>
              <w:bottom w:val="single" w:sz="4" w:space="0" w:color="auto"/>
              <w:right w:val="single" w:sz="4" w:space="0" w:color="auto"/>
            </w:tcBorders>
          </w:tcPr>
          <w:p w14:paraId="5A6D2764" w14:textId="28BA5628" w:rsidR="00781AC9" w:rsidRPr="00F224BA" w:rsidRDefault="00781AC9" w:rsidP="00781AC9">
            <w:pPr>
              <w:spacing w:before="40" w:after="40"/>
              <w:rPr>
                <w:b/>
                <w:bCs/>
                <w:lang w:val="es-ES"/>
              </w:rPr>
            </w:pPr>
            <w:r w:rsidRPr="00F224BA">
              <w:rPr>
                <w:rFonts w:ascii="Calibri" w:hAnsi="Calibri" w:cs="Calibri"/>
                <w:szCs w:val="22"/>
                <w:lang w:val="es-ES"/>
              </w:rPr>
              <w:t>2 de octubre de 2026</w:t>
            </w:r>
          </w:p>
        </w:tc>
        <w:tc>
          <w:tcPr>
            <w:tcW w:w="7216" w:type="dxa"/>
            <w:tcBorders>
              <w:top w:val="single" w:sz="4" w:space="0" w:color="auto"/>
              <w:left w:val="single" w:sz="4" w:space="0" w:color="auto"/>
              <w:bottom w:val="single" w:sz="4" w:space="0" w:color="auto"/>
              <w:right w:val="single" w:sz="4" w:space="0" w:color="auto"/>
            </w:tcBorders>
          </w:tcPr>
          <w:p w14:paraId="288D1D91" w14:textId="7DDF60EE" w:rsidR="00781AC9" w:rsidRPr="00F224BA" w:rsidRDefault="00781AC9" w:rsidP="00781AC9">
            <w:pPr>
              <w:pStyle w:val="enumlev1"/>
              <w:tabs>
                <w:tab w:val="clear" w:pos="794"/>
                <w:tab w:val="left" w:pos="318"/>
              </w:tabs>
              <w:spacing w:before="40" w:after="40"/>
              <w:ind w:left="318" w:hanging="318"/>
              <w:rPr>
                <w:b/>
                <w:bCs/>
                <w:lang w:val="es-ES"/>
              </w:rPr>
            </w:pPr>
            <w:r w:rsidRPr="00F224BA">
              <w:rPr>
                <w:rFonts w:ascii="Calibri" w:hAnsi="Calibri" w:cs="Calibri"/>
                <w:szCs w:val="22"/>
                <w:lang w:val="es-ES"/>
              </w:rPr>
              <w:t>–</w:t>
            </w:r>
            <w:r w:rsidRPr="00F224BA">
              <w:rPr>
                <w:rFonts w:ascii="Calibri" w:hAnsi="Calibri" w:cs="Calibri"/>
                <w:szCs w:val="22"/>
                <w:lang w:val="es-ES"/>
              </w:rPr>
              <w:tab/>
              <w:t xml:space="preserve">Preinscripción (mediante el formulario de inscripción en línea disponible en la </w:t>
            </w:r>
            <w:hyperlink r:id="rId11" w:history="1">
              <w:r w:rsidRPr="00F224BA">
                <w:rPr>
                  <w:rStyle w:val="Hyperlink"/>
                  <w:rFonts w:ascii="Calibri" w:hAnsi="Calibri" w:cs="Calibri"/>
                  <w:szCs w:val="22"/>
                  <w:lang w:val="es-ES"/>
                </w:rPr>
                <w:t>página de inicio de la Comisión de Es</w:t>
              </w:r>
              <w:r w:rsidRPr="00F224BA">
                <w:rPr>
                  <w:rStyle w:val="Hyperlink"/>
                  <w:rFonts w:ascii="Calibri" w:hAnsi="Calibri" w:cs="Calibri"/>
                  <w:szCs w:val="22"/>
                  <w:lang w:val="es-ES"/>
                </w:rPr>
                <w:t>t</w:t>
              </w:r>
              <w:r w:rsidRPr="00F224BA">
                <w:rPr>
                  <w:rStyle w:val="Hyperlink"/>
                  <w:rFonts w:ascii="Calibri" w:hAnsi="Calibri" w:cs="Calibri"/>
                  <w:szCs w:val="22"/>
                  <w:lang w:val="es-ES"/>
                </w:rPr>
                <w:t>udio</w:t>
              </w:r>
            </w:hyperlink>
            <w:r w:rsidRPr="00F224BA">
              <w:rPr>
                <w:rFonts w:ascii="Calibri" w:hAnsi="Calibri" w:cs="Calibri"/>
                <w:szCs w:val="22"/>
                <w:lang w:val="es-ES"/>
              </w:rPr>
              <w:t>)</w:t>
            </w:r>
          </w:p>
        </w:tc>
      </w:tr>
    </w:tbl>
    <w:p w14:paraId="774CE699" w14:textId="77777777" w:rsidR="002545AA" w:rsidRPr="00F224BA" w:rsidRDefault="002545AA" w:rsidP="001679BB">
      <w:pPr>
        <w:spacing w:before="360" w:after="120"/>
        <w:rPr>
          <w:bCs/>
          <w:lang w:val="es-ES"/>
        </w:rPr>
      </w:pPr>
      <w:r w:rsidRPr="00F224BA">
        <w:rPr>
          <w:bCs/>
          <w:lang w:val="es-ES"/>
        </w:rPr>
        <w:lastRenderedPageBreak/>
        <w:t>Le deseo una reunión agradable y productiva.</w:t>
      </w:r>
    </w:p>
    <w:tbl>
      <w:tblPr>
        <w:tblStyle w:val="TableGrid"/>
        <w:tblW w:w="0" w:type="auto"/>
        <w:tblLook w:val="04A0" w:firstRow="1" w:lastRow="0" w:firstColumn="1" w:lastColumn="0" w:noHBand="0" w:noVBand="1"/>
      </w:tblPr>
      <w:tblGrid>
        <w:gridCol w:w="4814"/>
        <w:gridCol w:w="4815"/>
      </w:tblGrid>
      <w:tr w:rsidR="00781AC9" w:rsidRPr="00F224BA" w14:paraId="25D07492" w14:textId="77777777" w:rsidTr="001679BB">
        <w:trPr>
          <w:cantSplit/>
          <w:trHeight w:val="1958"/>
        </w:trPr>
        <w:tc>
          <w:tcPr>
            <w:tcW w:w="4814" w:type="dxa"/>
            <w:vMerge w:val="restart"/>
            <w:tcBorders>
              <w:top w:val="nil"/>
              <w:left w:val="nil"/>
              <w:bottom w:val="nil"/>
            </w:tcBorders>
          </w:tcPr>
          <w:p w14:paraId="179996CE" w14:textId="77777777" w:rsidR="00781AC9" w:rsidRPr="00F224BA" w:rsidRDefault="00781AC9" w:rsidP="00781AC9">
            <w:pPr>
              <w:keepNext/>
              <w:keepLines/>
              <w:rPr>
                <w:rFonts w:cstheme="minorHAnsi"/>
                <w:szCs w:val="22"/>
                <w:lang w:val="es-ES"/>
              </w:rPr>
            </w:pPr>
            <w:r w:rsidRPr="00F224BA">
              <w:rPr>
                <w:rFonts w:cstheme="minorHAnsi"/>
                <w:szCs w:val="22"/>
                <w:lang w:val="es-ES"/>
              </w:rPr>
              <w:t>Atentamente,</w:t>
            </w:r>
          </w:p>
          <w:p w14:paraId="25D582E5" w14:textId="70A34343" w:rsidR="00781AC9" w:rsidRPr="00F224BA" w:rsidRDefault="00781AC9" w:rsidP="00781AC9">
            <w:pPr>
              <w:keepNext/>
              <w:keepLines/>
              <w:rPr>
                <w:rFonts w:cstheme="minorHAnsi"/>
                <w:i/>
                <w:iCs/>
                <w:szCs w:val="22"/>
                <w:lang w:val="es-ES"/>
              </w:rPr>
            </w:pPr>
            <w:r w:rsidRPr="00F224BA">
              <w:rPr>
                <w:rFonts w:cstheme="minorHAnsi"/>
                <w:i/>
                <w:iCs/>
                <w:szCs w:val="22"/>
                <w:lang w:val="es-ES"/>
              </w:rPr>
              <w:t>(firmado)</w:t>
            </w:r>
          </w:p>
          <w:p w14:paraId="57722151" w14:textId="0B0B4CD5" w:rsidR="00781AC9" w:rsidRPr="00F224BA" w:rsidRDefault="00781AC9" w:rsidP="00781AC9">
            <w:pPr>
              <w:spacing w:before="960"/>
              <w:ind w:right="91"/>
              <w:rPr>
                <w:lang w:val="es-ES"/>
              </w:rPr>
            </w:pPr>
            <w:r w:rsidRPr="00F224BA">
              <w:rPr>
                <w:rFonts w:cstheme="minorHAnsi"/>
                <w:szCs w:val="22"/>
                <w:lang w:val="es-ES"/>
              </w:rPr>
              <w:t>Seizo Onoe</w:t>
            </w:r>
            <w:r w:rsidRPr="00F224BA">
              <w:rPr>
                <w:rFonts w:cstheme="minorHAnsi"/>
                <w:szCs w:val="22"/>
                <w:lang w:val="es-ES"/>
              </w:rPr>
              <w:br/>
              <w:t>Director de la Oficina de</w:t>
            </w:r>
            <w:r w:rsidRPr="00F224BA">
              <w:rPr>
                <w:rFonts w:cstheme="minorHAnsi"/>
                <w:szCs w:val="22"/>
                <w:lang w:val="es-ES"/>
              </w:rPr>
              <w:br/>
              <w:t>Normalización de las Telecomunicaciones</w:t>
            </w:r>
          </w:p>
        </w:tc>
        <w:tc>
          <w:tcPr>
            <w:tcW w:w="4815" w:type="dxa"/>
            <w:tcBorders>
              <w:bottom w:val="nil"/>
            </w:tcBorders>
            <w:textDirection w:val="btLr"/>
          </w:tcPr>
          <w:p w14:paraId="355555FC" w14:textId="316187D0" w:rsidR="00781AC9" w:rsidRPr="00F224BA" w:rsidRDefault="00781AC9" w:rsidP="001679BB">
            <w:pPr>
              <w:tabs>
                <w:tab w:val="clear" w:pos="794"/>
                <w:tab w:val="clear" w:pos="1191"/>
                <w:tab w:val="clear" w:pos="1588"/>
                <w:tab w:val="clear" w:pos="1985"/>
              </w:tabs>
              <w:overflowPunct/>
              <w:autoSpaceDE/>
              <w:autoSpaceDN/>
              <w:adjustRightInd/>
              <w:spacing w:before="1560"/>
              <w:ind w:left="113" w:right="113"/>
              <w:jc w:val="center"/>
              <w:textAlignment w:val="auto"/>
              <w:rPr>
                <w:bCs/>
                <w:lang w:val="es-ES"/>
              </w:rPr>
            </w:pPr>
            <w:r w:rsidRPr="00F224BA">
              <w:rPr>
                <w:rFonts w:ascii="Calibri" w:hAnsi="Calibri" w:cs="Calibri"/>
                <w:noProof/>
                <w:lang w:val="es-ES"/>
              </w:rPr>
              <w:drawing>
                <wp:inline distT="0" distB="0" distL="0" distR="0" wp14:anchorId="7C82E519" wp14:editId="44896B12">
                  <wp:extent cx="978535" cy="882015"/>
                  <wp:effectExtent l="0" t="0" r="12065" b="133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978535" cy="882015"/>
                          </a:xfrm>
                          <a:prstGeom prst="rect">
                            <a:avLst/>
                          </a:prstGeom>
                          <a:noFill/>
                          <a:ln>
                            <a:noFill/>
                          </a:ln>
                        </pic:spPr>
                      </pic:pic>
                    </a:graphicData>
                  </a:graphic>
                </wp:inline>
              </w:drawing>
            </w:r>
          </w:p>
        </w:tc>
      </w:tr>
      <w:tr w:rsidR="00781AC9" w:rsidRPr="00F224BA" w14:paraId="5B82C3F3" w14:textId="77777777" w:rsidTr="001679BB">
        <w:trPr>
          <w:trHeight w:val="581"/>
        </w:trPr>
        <w:tc>
          <w:tcPr>
            <w:tcW w:w="4814" w:type="dxa"/>
            <w:vMerge/>
            <w:tcBorders>
              <w:left w:val="nil"/>
              <w:bottom w:val="nil"/>
            </w:tcBorders>
          </w:tcPr>
          <w:p w14:paraId="304343F4" w14:textId="77777777" w:rsidR="00781AC9" w:rsidRPr="00F224BA" w:rsidRDefault="00781AC9" w:rsidP="00781AC9">
            <w:pPr>
              <w:keepNext/>
              <w:keepLines/>
              <w:rPr>
                <w:rFonts w:cstheme="minorHAnsi"/>
                <w:szCs w:val="22"/>
                <w:lang w:val="es-ES"/>
              </w:rPr>
            </w:pPr>
          </w:p>
        </w:tc>
        <w:tc>
          <w:tcPr>
            <w:tcW w:w="4815" w:type="dxa"/>
            <w:tcBorders>
              <w:top w:val="nil"/>
            </w:tcBorders>
          </w:tcPr>
          <w:p w14:paraId="1F92BDA9" w14:textId="77777777" w:rsidR="00781AC9" w:rsidRPr="00F224BA" w:rsidRDefault="00781AC9" w:rsidP="00781AC9">
            <w:pPr>
              <w:jc w:val="center"/>
              <w:rPr>
                <w:rFonts w:ascii="Calibri" w:hAnsi="Calibri" w:cs="Calibri"/>
                <w:noProof/>
                <w:lang w:val="es-ES"/>
              </w:rPr>
            </w:pPr>
            <w:r w:rsidRPr="00F224BA">
              <w:rPr>
                <w:bCs/>
                <w:lang w:val="es-ES"/>
              </w:rPr>
              <w:t>Última información sobre la reunión</w:t>
            </w:r>
          </w:p>
        </w:tc>
      </w:tr>
    </w:tbl>
    <w:p w14:paraId="4914DE94" w14:textId="587470A8" w:rsidR="002545AA" w:rsidRPr="00F224BA" w:rsidRDefault="00C10FFB" w:rsidP="00C10FFB">
      <w:pPr>
        <w:rPr>
          <w:rFonts w:cstheme="minorHAnsi"/>
          <w:szCs w:val="22"/>
          <w:lang w:val="es-ES"/>
        </w:rPr>
      </w:pPr>
      <w:r w:rsidRPr="00F224BA">
        <w:rPr>
          <w:rFonts w:cstheme="minorHAnsi"/>
          <w:b/>
          <w:bCs/>
          <w:szCs w:val="22"/>
          <w:lang w:val="es-ES"/>
        </w:rPr>
        <w:t>Anexos</w:t>
      </w:r>
      <w:r w:rsidRPr="00F224BA">
        <w:rPr>
          <w:rFonts w:cstheme="minorHAnsi"/>
          <w:szCs w:val="22"/>
          <w:lang w:val="es-ES"/>
        </w:rPr>
        <w:t>: 2</w:t>
      </w:r>
    </w:p>
    <w:p w14:paraId="40ABAFED" w14:textId="77777777" w:rsidR="002545AA" w:rsidRPr="00F224BA" w:rsidRDefault="002545AA" w:rsidP="002545AA">
      <w:pPr>
        <w:ind w:right="91"/>
        <w:rPr>
          <w:bCs/>
          <w:lang w:val="es-ES"/>
        </w:rPr>
      </w:pPr>
      <w:r w:rsidRPr="00F224BA">
        <w:rPr>
          <w:bCs/>
          <w:lang w:val="es-ES"/>
        </w:rPr>
        <w:br w:type="page"/>
      </w:r>
    </w:p>
    <w:p w14:paraId="4801E348" w14:textId="77777777" w:rsidR="001679BB" w:rsidRPr="00F224BA" w:rsidRDefault="001679BB" w:rsidP="001679BB">
      <w:pPr>
        <w:pStyle w:val="Annextitle0"/>
        <w:rPr>
          <w:lang w:val="es-ES"/>
        </w:rPr>
      </w:pPr>
      <w:r w:rsidRPr="00F224BA">
        <w:rPr>
          <w:lang w:val="es-ES"/>
        </w:rPr>
        <w:lastRenderedPageBreak/>
        <w:t>ANEXO A</w:t>
      </w:r>
      <w:r w:rsidRPr="00F224BA">
        <w:rPr>
          <w:lang w:val="es-ES"/>
        </w:rPr>
        <w:br/>
        <w:t>Información práctica sobre la reunión</w:t>
      </w:r>
    </w:p>
    <w:p w14:paraId="0B792291" w14:textId="77777777" w:rsidR="001679BB" w:rsidRPr="00F224BA" w:rsidRDefault="001679BB" w:rsidP="001679BB">
      <w:pPr>
        <w:tabs>
          <w:tab w:val="left" w:pos="1418"/>
          <w:tab w:val="left" w:pos="1702"/>
          <w:tab w:val="left" w:pos="2160"/>
        </w:tabs>
        <w:spacing w:before="80" w:after="120"/>
        <w:ind w:right="91"/>
        <w:jc w:val="center"/>
        <w:rPr>
          <w:b/>
          <w:bCs/>
          <w:szCs w:val="22"/>
          <w:lang w:val="es-ES"/>
        </w:rPr>
      </w:pPr>
      <w:r w:rsidRPr="00F224BA">
        <w:rPr>
          <w:b/>
          <w:bCs/>
          <w:szCs w:val="22"/>
          <w:lang w:val="es-ES"/>
        </w:rPr>
        <w:t>MÉTODOS DE TRABAJO E INSTALACIONES</w:t>
      </w:r>
    </w:p>
    <w:p w14:paraId="412FCD3F" w14:textId="77777777" w:rsidR="001679BB" w:rsidRPr="00F224BA" w:rsidRDefault="001679BB" w:rsidP="001679BB">
      <w:pPr>
        <w:spacing w:after="120"/>
        <w:rPr>
          <w:rFonts w:eastAsia="SimSun"/>
          <w:szCs w:val="22"/>
          <w:lang w:val="es-ES" w:eastAsia="zh-CN"/>
        </w:rPr>
      </w:pPr>
      <w:r w:rsidRPr="00F224BA">
        <w:rPr>
          <w:b/>
          <w:bCs/>
          <w:lang w:val="es-ES"/>
        </w:rPr>
        <w:t>PRESENTACIÓN DE DOCUMENTOS Y ACCESO A LOS MISMOS</w:t>
      </w:r>
      <w:r w:rsidRPr="00F224BA">
        <w:rPr>
          <w:rFonts w:eastAsia="SimSun"/>
          <w:szCs w:val="22"/>
          <w:lang w:val="es-ES" w:eastAsia="zh-CN"/>
        </w:rPr>
        <w:t xml:space="preserve">: A fin de presentar una contribución, los miembros deben utilizar el sistema de </w:t>
      </w:r>
      <w:hyperlink r:id="rId14" w:history="1">
        <w:r w:rsidRPr="00F224BA">
          <w:rPr>
            <w:rStyle w:val="Hyperlink"/>
            <w:rFonts w:eastAsia="SimSun"/>
            <w:szCs w:val="22"/>
            <w:lang w:val="es-ES" w:eastAsia="zh-CN"/>
          </w:rPr>
          <w:t>Publicación Directa de Documentos</w:t>
        </w:r>
      </w:hyperlink>
      <w:r w:rsidRPr="00F224BA">
        <w:rPr>
          <w:rFonts w:eastAsia="SimSun"/>
          <w:szCs w:val="22"/>
          <w:lang w:val="es-ES" w:eastAsia="zh-CN"/>
        </w:rPr>
        <w:t xml:space="preserve">; los proyectos de DT deben enviarse por correo electrónico a la secretaría de la Comisión de Estudio utilizando la </w:t>
      </w:r>
      <w:hyperlink r:id="rId15" w:history="1">
        <w:r w:rsidRPr="00F224BA">
          <w:rPr>
            <w:rStyle w:val="Hyperlink"/>
            <w:rFonts w:eastAsia="SimSun"/>
            <w:szCs w:val="22"/>
            <w:lang w:val="es-ES" w:eastAsia="zh-CN"/>
          </w:rPr>
          <w:t>plantilla adecuada</w:t>
        </w:r>
      </w:hyperlink>
      <w:r w:rsidRPr="00F224BA">
        <w:rPr>
          <w:rFonts w:eastAsia="SimSun"/>
          <w:szCs w:val="22"/>
          <w:lang w:val="es-ES" w:eastAsia="zh-CN"/>
        </w:rPr>
        <w:t xml:space="preserve">. El acceso a los documentos de la reunión se facilita a partir de la página de inicio de la Comisión de Estudio y está restringido a los miembros del UIT-T que dispongan de una </w:t>
      </w:r>
      <w:hyperlink r:id="rId16" w:history="1">
        <w:r w:rsidRPr="00F224BA">
          <w:rPr>
            <w:rStyle w:val="Hyperlink"/>
            <w:rFonts w:eastAsia="SimSun"/>
            <w:szCs w:val="22"/>
            <w:lang w:val="es-ES" w:eastAsia="zh-CN"/>
          </w:rPr>
          <w:t>cuenta de usuario</w:t>
        </w:r>
      </w:hyperlink>
      <w:r w:rsidRPr="00F224BA">
        <w:rPr>
          <w:rFonts w:eastAsia="SimSun"/>
          <w:szCs w:val="22"/>
          <w:lang w:val="es-ES" w:eastAsia="zh-CN"/>
        </w:rPr>
        <w:t xml:space="preserve"> de la UIT con derechos de acceso TIES.</w:t>
      </w:r>
    </w:p>
    <w:p w14:paraId="61E1C90B" w14:textId="77777777" w:rsidR="001679BB" w:rsidRPr="00F224BA" w:rsidRDefault="001679BB" w:rsidP="001679BB">
      <w:pPr>
        <w:rPr>
          <w:rFonts w:cstheme="majorBidi"/>
          <w:szCs w:val="22"/>
          <w:lang w:val="es-ES"/>
        </w:rPr>
      </w:pPr>
      <w:r w:rsidRPr="00F224BA">
        <w:rPr>
          <w:rFonts w:cstheme="majorBidi"/>
          <w:b/>
          <w:bCs/>
          <w:szCs w:val="22"/>
          <w:lang w:val="es-ES"/>
        </w:rPr>
        <w:t>IDIOMA DE TRABAJO</w:t>
      </w:r>
      <w:r w:rsidRPr="00F224BA">
        <w:rPr>
          <w:rFonts w:cstheme="majorBidi"/>
          <w:szCs w:val="22"/>
          <w:lang w:val="es-ES"/>
        </w:rPr>
        <w:t>: La reunión se celebrará exclusivamente en inglés</w:t>
      </w:r>
      <w:r w:rsidRPr="00F224BA">
        <w:rPr>
          <w:rFonts w:ascii="Calibri" w:eastAsia="SimSun" w:hAnsi="Calibri" w:cs="Calibri"/>
          <w:szCs w:val="22"/>
          <w:lang w:val="es-ES" w:eastAsia="zh-CN"/>
        </w:rPr>
        <w:t>, sin servicio de interpretación.</w:t>
      </w:r>
    </w:p>
    <w:p w14:paraId="2DEA9F10" w14:textId="77777777" w:rsidR="001679BB" w:rsidRPr="00F224BA" w:rsidRDefault="001679BB" w:rsidP="001679BB">
      <w:pPr>
        <w:rPr>
          <w:szCs w:val="22"/>
          <w:lang w:val="es-ES"/>
        </w:rPr>
      </w:pPr>
      <w:bookmarkStart w:id="3" w:name="lt_pId082"/>
      <w:r w:rsidRPr="00F224BA">
        <w:rPr>
          <w:b/>
          <w:lang w:val="es-ES"/>
        </w:rPr>
        <w:t>PARTICIPACIÓN A DISTANCIA INTERACTIVA:</w:t>
      </w:r>
      <w:r w:rsidRPr="00F224BA">
        <w:rPr>
          <w:lang w:val="es-ES"/>
        </w:rPr>
        <w:t xml:space="preserve"> Se utilizará la herramienta </w:t>
      </w:r>
      <w:hyperlink r:id="rId17" w:history="1">
        <w:r w:rsidRPr="00F224BA">
          <w:rPr>
            <w:rStyle w:val="Hyperlink"/>
            <w:lang w:val="es-ES"/>
          </w:rPr>
          <w:t>MyMeetings</w:t>
        </w:r>
      </w:hyperlink>
      <w:r w:rsidRPr="00F224BA">
        <w:rPr>
          <w:lang w:val="es-ES"/>
        </w:rPr>
        <w:t xml:space="preserve"> para facilitar la participación a distancia en todas las sesiones, incluidas sesiones en las que se tomen decisiones, como pueden ser las plenarias de los Grupos de Trabajo y de las Comisiones de Estudio. Los delegados deben inscribirse en la reunión e identificarse y dar a conocer su afiliación </w:t>
      </w:r>
      <w:r w:rsidRPr="00F224BA">
        <w:rPr>
          <w:szCs w:val="22"/>
          <w:lang w:val="es-ES"/>
        </w:rPr>
        <w:t>cuando tomen la palabra</w:t>
      </w:r>
      <w:r w:rsidRPr="00F224BA">
        <w:rPr>
          <w:lang w:val="es-ES"/>
        </w:rPr>
        <w:t xml:space="preserve">. Los participantes en la reunión virtual deben tener presente que la reunión no se retrasará ni se interrumpirá porque un participante a distancia no sea capaz de conectarse, escuchar o ser escuchado, según el criterio del Presidente. Si se considera que la calidad de la voz de un participante a distancia es insuficiente, el Presidente podrá interrumpirlo y abstenerse de concederle la palabra hasta que se indique que el problema se ha resuelto. </w:t>
      </w:r>
      <w:bookmarkEnd w:id="3"/>
      <w:r w:rsidRPr="00F224BA">
        <w:rPr>
          <w:lang w:val="es-ES"/>
        </w:rPr>
        <w:t>Se alienta a los participantes a utilizar el chat de la reunión para asegurar la gestión eficaz del tiempo durante las sesiones, a discreción del Presidente</w:t>
      </w:r>
      <w:r w:rsidRPr="00F224BA">
        <w:rPr>
          <w:szCs w:val="22"/>
          <w:lang w:val="es-ES"/>
        </w:rPr>
        <w:t>.</w:t>
      </w:r>
    </w:p>
    <w:p w14:paraId="1CE4EA27" w14:textId="77777777" w:rsidR="001679BB" w:rsidRPr="00F224BA" w:rsidRDefault="001679BB" w:rsidP="001679BB">
      <w:pPr>
        <w:tabs>
          <w:tab w:val="left" w:pos="720"/>
        </w:tabs>
        <w:spacing w:before="200" w:after="120"/>
        <w:ind w:right="91"/>
        <w:jc w:val="center"/>
        <w:rPr>
          <w:b/>
          <w:szCs w:val="22"/>
          <w:lang w:val="es-ES"/>
        </w:rPr>
      </w:pPr>
      <w:r w:rsidRPr="00F224BA">
        <w:rPr>
          <w:b/>
          <w:szCs w:val="22"/>
          <w:lang w:val="es-ES"/>
        </w:rPr>
        <w:t>INSCRIPCIÓN, NUEVOS DELEGADOS, BECAS Y APOYO PARA LA OBTENCIÓN DE VISADOS</w:t>
      </w:r>
    </w:p>
    <w:p w14:paraId="14F79CA2" w14:textId="77777777" w:rsidR="001679BB" w:rsidRPr="00F224BA" w:rsidRDefault="001679BB" w:rsidP="001679BB">
      <w:pPr>
        <w:rPr>
          <w:rFonts w:cstheme="minorHAnsi"/>
          <w:lang w:val="es-ES"/>
        </w:rPr>
      </w:pPr>
      <w:r w:rsidRPr="00F224BA">
        <w:rPr>
          <w:b/>
          <w:bCs/>
          <w:szCs w:val="22"/>
          <w:lang w:val="es-ES"/>
        </w:rPr>
        <w:t>PREINSCRIPCIÓN</w:t>
      </w:r>
      <w:r w:rsidRPr="00F224BA">
        <w:rPr>
          <w:szCs w:val="22"/>
          <w:lang w:val="es-ES"/>
        </w:rPr>
        <w:t xml:space="preserve">: </w:t>
      </w:r>
      <w:r w:rsidRPr="00F224BA">
        <w:rPr>
          <w:rFonts w:cstheme="minorHAnsi"/>
          <w:lang w:val="es-ES"/>
        </w:rPr>
        <w:t xml:space="preserve">La preinscripción es obligatoria para </w:t>
      </w:r>
      <w:r w:rsidRPr="00F224BA">
        <w:rPr>
          <w:rFonts w:cstheme="minorHAnsi"/>
          <w:u w:val="single"/>
          <w:lang w:val="es-ES"/>
        </w:rPr>
        <w:t>participar tanto en persona como a distancia</w:t>
      </w:r>
      <w:r w:rsidRPr="00F224BA">
        <w:rPr>
          <w:rFonts w:cstheme="minorHAnsi"/>
          <w:lang w:val="es-ES"/>
        </w:rPr>
        <w:t xml:space="preserve"> y debe realizarse en línea a través de la página de inicio de la Comisión de Estudio. El sistema de inscripción del UIT-T requiere que el coordinador apruebe las solicitudes de inscripción; no obstante, es posible modificar el proceso a fin de permitir la aprobación automática de las mismas, según se indica en la </w:t>
      </w:r>
      <w:hyperlink r:id="rId18" w:history="1">
        <w:r w:rsidRPr="00F224BA">
          <w:rPr>
            <w:rStyle w:val="Hyperlink"/>
            <w:rFonts w:cstheme="minorHAnsi"/>
            <w:lang w:val="es-ES"/>
          </w:rPr>
          <w:t>Circular TSB 1</w:t>
        </w:r>
      </w:hyperlink>
      <w:r w:rsidRPr="00F224BA">
        <w:rPr>
          <w:rFonts w:cstheme="minorHAnsi"/>
          <w:lang w:val="es-ES"/>
        </w:rPr>
        <w:t xml:space="preserve">. Algunas opciones del formulario de inscripción se aplican únicamente a los Estados Miembros, entre ellas las funciones, las solicitudes de interpretación y las solicitudes de becas. Se alienta a los miembros a incluir a mujeres </w:t>
      </w:r>
      <w:r w:rsidRPr="00F224BA">
        <w:rPr>
          <w:szCs w:val="22"/>
          <w:lang w:val="es-ES"/>
        </w:rPr>
        <w:t xml:space="preserve">y a personas con necesidades específicas </w:t>
      </w:r>
      <w:r w:rsidRPr="00F224BA">
        <w:rPr>
          <w:rFonts w:cstheme="minorHAnsi"/>
          <w:lang w:val="es-ES"/>
        </w:rPr>
        <w:t>en sus delegaciones siempre que sea posible.</w:t>
      </w:r>
    </w:p>
    <w:p w14:paraId="1DE34E8F" w14:textId="297CC991" w:rsidR="001679BB" w:rsidRPr="00F224BA" w:rsidRDefault="001679BB" w:rsidP="001679BB">
      <w:pPr>
        <w:rPr>
          <w:szCs w:val="22"/>
          <w:lang w:val="es-ES"/>
        </w:rPr>
      </w:pPr>
      <w:r w:rsidRPr="00F224BA">
        <w:rPr>
          <w:b/>
          <w:bCs/>
          <w:szCs w:val="22"/>
          <w:lang w:val="es-ES"/>
        </w:rPr>
        <w:t xml:space="preserve">NUEVOS DELEGADOS, BECAS Y APOYO PARA LA OBTENCIÓN DE VISADOS: </w:t>
      </w:r>
      <w:r w:rsidRPr="00F224BA">
        <w:rPr>
          <w:szCs w:val="22"/>
          <w:lang w:val="es-ES"/>
        </w:rPr>
        <w:t>Dado que las reuniones virtuales no implican desplazamientos, no se concederán becas ni apoyo para la obtención de visados. Se organizarán sesiones de orientación para nuevos delegados cuando el Presidente de la Comisión de Estudio lo considere apropiado.</w:t>
      </w:r>
    </w:p>
    <w:p w14:paraId="34499074" w14:textId="77777777" w:rsidR="001679BB" w:rsidRPr="00F224BA" w:rsidRDefault="001679BB" w:rsidP="001679BB">
      <w:pPr>
        <w:rPr>
          <w:b/>
          <w:bCs/>
          <w:szCs w:val="22"/>
          <w:lang w:val="es-ES"/>
        </w:rPr>
      </w:pPr>
      <w:r w:rsidRPr="00F224BA">
        <w:rPr>
          <w:b/>
          <w:bCs/>
          <w:szCs w:val="22"/>
          <w:lang w:val="es-ES"/>
        </w:rPr>
        <w:br w:type="page"/>
      </w:r>
    </w:p>
    <w:p w14:paraId="05377714" w14:textId="2EA75589" w:rsidR="001679BB" w:rsidRPr="00F224BA" w:rsidRDefault="001679BB" w:rsidP="001679BB">
      <w:pPr>
        <w:pStyle w:val="Annextitle0"/>
        <w:rPr>
          <w:rFonts w:ascii="Calibri" w:hAnsi="Calibri" w:cs="Calibri"/>
          <w:sz w:val="22"/>
          <w:szCs w:val="22"/>
          <w:lang w:val="es-ES"/>
        </w:rPr>
      </w:pPr>
      <w:r w:rsidRPr="00F224BA">
        <w:rPr>
          <w:sz w:val="22"/>
          <w:szCs w:val="22"/>
          <w:lang w:val="es-ES"/>
        </w:rPr>
        <w:lastRenderedPageBreak/>
        <w:t>ANEXO B</w:t>
      </w:r>
      <w:r w:rsidRPr="00F224BA">
        <w:rPr>
          <w:sz w:val="22"/>
          <w:szCs w:val="22"/>
          <w:lang w:val="es-ES"/>
        </w:rPr>
        <w:br/>
      </w:r>
      <w:r w:rsidRPr="00F224BA">
        <w:rPr>
          <w:rFonts w:ascii="Calibri" w:hAnsi="Calibri" w:cs="Calibri"/>
          <w:sz w:val="22"/>
          <w:szCs w:val="22"/>
          <w:lang w:val="es-ES"/>
        </w:rPr>
        <w:t>Proyecto de orden del día de la sesión plenaria de la CE</w:t>
      </w:r>
      <w:r w:rsidR="00013D62">
        <w:rPr>
          <w:rFonts w:ascii="Calibri" w:hAnsi="Calibri" w:cs="Calibri"/>
          <w:sz w:val="22"/>
          <w:szCs w:val="22"/>
          <w:lang w:val="es-ES"/>
        </w:rPr>
        <w:t> </w:t>
      </w:r>
      <w:r w:rsidRPr="00F224BA">
        <w:rPr>
          <w:rFonts w:ascii="Calibri" w:hAnsi="Calibri" w:cs="Calibri"/>
          <w:sz w:val="22"/>
          <w:szCs w:val="22"/>
          <w:lang w:val="es-ES"/>
        </w:rPr>
        <w:t xml:space="preserve">17 </w:t>
      </w:r>
      <w:r w:rsidRPr="00F224BA">
        <w:rPr>
          <w:rFonts w:ascii="Calibri" w:hAnsi="Calibri" w:cs="Calibri"/>
          <w:sz w:val="22"/>
          <w:szCs w:val="22"/>
          <w:lang w:val="es-ES"/>
        </w:rPr>
        <w:br/>
        <w:t>Totalmente virtual</w:t>
      </w:r>
      <w:r w:rsidRPr="00F224BA">
        <w:rPr>
          <w:rFonts w:ascii="Calibri" w:hAnsi="Calibri" w:cs="Calibri"/>
          <w:bCs/>
          <w:sz w:val="22"/>
          <w:szCs w:val="22"/>
          <w:lang w:val="es-ES"/>
        </w:rPr>
        <w:t>, 8 de octubre de 2026</w:t>
      </w:r>
      <w:r w:rsidRPr="00F224BA">
        <w:rPr>
          <w:rFonts w:ascii="Calibri" w:hAnsi="Calibri" w:cs="Calibri"/>
          <w:sz w:val="22"/>
          <w:szCs w:val="22"/>
          <w:lang w:val="es-ES"/>
        </w:rPr>
        <w:t>, de</w:t>
      </w:r>
      <w:r w:rsidRPr="00F224BA">
        <w:rPr>
          <w:rFonts w:ascii="Calibri" w:hAnsi="Calibri" w:cs="Calibri"/>
          <w:bCs/>
          <w:sz w:val="22"/>
          <w:szCs w:val="22"/>
          <w:lang w:val="es-ES"/>
        </w:rPr>
        <w:t xml:space="preserve"> las 11.00 a las 15.00 horas (hora de Ginebra)</w:t>
      </w:r>
    </w:p>
    <w:p w14:paraId="3BDFF1F0" w14:textId="1DF4869A" w:rsidR="001679BB" w:rsidRPr="00F224BA" w:rsidRDefault="001679BB" w:rsidP="001679BB">
      <w:pPr>
        <w:rPr>
          <w:lang w:val="es-ES"/>
        </w:rPr>
      </w:pPr>
      <w:r w:rsidRPr="00F224BA">
        <w:rPr>
          <w:lang w:val="es-ES"/>
        </w:rPr>
        <w:t>1</w:t>
      </w:r>
      <w:r w:rsidRPr="00F224BA">
        <w:rPr>
          <w:lang w:val="es-ES"/>
        </w:rPr>
        <w:tab/>
      </w:r>
      <w:r w:rsidRPr="00F224BA">
        <w:rPr>
          <w:lang w:val="es-ES"/>
        </w:rPr>
        <w:t>Apertura de la reunión</w:t>
      </w:r>
    </w:p>
    <w:p w14:paraId="4E6E614C" w14:textId="77777777" w:rsidR="001679BB" w:rsidRPr="00F224BA" w:rsidRDefault="001679BB" w:rsidP="001679BB">
      <w:pPr>
        <w:rPr>
          <w:lang w:val="es-ES"/>
        </w:rPr>
      </w:pPr>
      <w:r w:rsidRPr="00F224BA">
        <w:rPr>
          <w:lang w:val="es-ES"/>
        </w:rPr>
        <w:t>2</w:t>
      </w:r>
      <w:r w:rsidRPr="00F224BA">
        <w:rPr>
          <w:lang w:val="es-ES"/>
        </w:rPr>
        <w:tab/>
      </w:r>
      <w:r w:rsidRPr="00F224BA">
        <w:rPr>
          <w:lang w:val="es-ES"/>
        </w:rPr>
        <w:t>Aprobación del orden del día</w:t>
      </w:r>
    </w:p>
    <w:p w14:paraId="6154A6EE" w14:textId="1FB9F5F9" w:rsidR="001679BB" w:rsidRPr="00F224BA" w:rsidRDefault="001679BB" w:rsidP="00556F88">
      <w:pPr>
        <w:ind w:left="794" w:hanging="794"/>
        <w:rPr>
          <w:lang w:val="es-ES"/>
        </w:rPr>
      </w:pPr>
      <w:r w:rsidRPr="00F224BA">
        <w:rPr>
          <w:lang w:val="es-ES"/>
        </w:rPr>
        <w:t>3</w:t>
      </w:r>
      <w:r w:rsidRPr="00F224BA">
        <w:rPr>
          <w:lang w:val="es-ES"/>
        </w:rPr>
        <w:tab/>
      </w:r>
      <w:r w:rsidRPr="00F224BA">
        <w:rPr>
          <w:rFonts w:ascii="Calibri" w:hAnsi="Calibri" w:cs="Calibri"/>
          <w:szCs w:val="22"/>
          <w:lang w:val="es-ES"/>
        </w:rPr>
        <w:t>Examen de los avances logrados/aspectos destacados desde la reunión de la CE</w:t>
      </w:r>
      <w:r w:rsidR="00556F88" w:rsidRPr="00F224BA">
        <w:rPr>
          <w:rFonts w:ascii="Calibri" w:hAnsi="Calibri" w:cs="Calibri"/>
          <w:szCs w:val="22"/>
          <w:lang w:val="es-ES"/>
        </w:rPr>
        <w:t> </w:t>
      </w:r>
      <w:r w:rsidRPr="00F224BA">
        <w:rPr>
          <w:rFonts w:ascii="Calibri" w:hAnsi="Calibri" w:cs="Calibri"/>
          <w:szCs w:val="22"/>
          <w:lang w:val="es-ES"/>
        </w:rPr>
        <w:t>17 celebrada en junio de 2026, para debate e información</w:t>
      </w:r>
    </w:p>
    <w:p w14:paraId="0794DBAB" w14:textId="4AB0F144" w:rsidR="001679BB" w:rsidRPr="00F224BA" w:rsidRDefault="00556F88" w:rsidP="00556F88">
      <w:pPr>
        <w:spacing w:before="100" w:after="120"/>
        <w:ind w:left="1191" w:right="91" w:hanging="399"/>
        <w:textAlignment w:val="auto"/>
        <w:rPr>
          <w:rFonts w:ascii="Calibri" w:hAnsi="Calibri" w:cs="Calibri"/>
          <w:szCs w:val="22"/>
          <w:lang w:val="es-ES"/>
        </w:rPr>
      </w:pPr>
      <w:r w:rsidRPr="00F224BA">
        <w:rPr>
          <w:rFonts w:ascii="Calibri" w:hAnsi="Calibri" w:cs="Calibri"/>
          <w:szCs w:val="22"/>
          <w:lang w:val="es-ES"/>
        </w:rPr>
        <w:t>3.1</w:t>
      </w:r>
      <w:r w:rsidRPr="00F224BA">
        <w:rPr>
          <w:rFonts w:ascii="Calibri" w:hAnsi="Calibri" w:cs="Calibri"/>
          <w:szCs w:val="22"/>
          <w:lang w:val="es-ES"/>
        </w:rPr>
        <w:tab/>
      </w:r>
      <w:r w:rsidR="001679BB" w:rsidRPr="00F224BA">
        <w:rPr>
          <w:rFonts w:ascii="Calibri" w:hAnsi="Calibri" w:cs="Calibri"/>
          <w:szCs w:val="22"/>
          <w:lang w:val="es-ES"/>
        </w:rPr>
        <w:t>Aspectos destacados y enseñanzas extraídas de la segunda semana de contenidos (Chongqing, 7-11 de septiembre de 2026) con respecto a la primera semana de contenidos y la reunión del GT4/17 de septiembre de 2025, análisis basado en datos y consideraciones de cara a la próxima semana de contenidos</w:t>
      </w:r>
    </w:p>
    <w:p w14:paraId="74BBF57A" w14:textId="28FB0CC9" w:rsidR="001679BB" w:rsidRPr="00F224BA" w:rsidRDefault="00556F88" w:rsidP="00556F88">
      <w:pPr>
        <w:spacing w:before="100" w:after="120"/>
        <w:ind w:left="1191" w:right="91" w:hanging="399"/>
        <w:textAlignment w:val="auto"/>
        <w:rPr>
          <w:rFonts w:ascii="Calibri" w:hAnsi="Calibri" w:cs="Calibri"/>
          <w:szCs w:val="22"/>
          <w:lang w:val="es-ES"/>
        </w:rPr>
      </w:pPr>
      <w:r w:rsidRPr="00F224BA">
        <w:rPr>
          <w:rFonts w:ascii="Calibri" w:hAnsi="Calibri" w:cs="Calibri"/>
          <w:szCs w:val="22"/>
          <w:lang w:val="es-ES"/>
        </w:rPr>
        <w:t>3.2</w:t>
      </w:r>
      <w:r w:rsidRPr="00F224BA">
        <w:rPr>
          <w:rFonts w:ascii="Calibri" w:hAnsi="Calibri" w:cs="Calibri"/>
          <w:szCs w:val="22"/>
          <w:lang w:val="es-ES"/>
        </w:rPr>
        <w:tab/>
      </w:r>
      <w:r w:rsidR="001679BB" w:rsidRPr="00F224BA">
        <w:rPr>
          <w:rFonts w:ascii="Calibri" w:hAnsi="Calibri" w:cs="Calibri"/>
          <w:szCs w:val="22"/>
          <w:lang w:val="es-ES"/>
        </w:rPr>
        <w:t>Reuniones de los Grupos Regionales de la CE</w:t>
      </w:r>
      <w:r w:rsidRPr="00F224BA">
        <w:rPr>
          <w:rFonts w:ascii="Calibri" w:hAnsi="Calibri" w:cs="Calibri"/>
          <w:szCs w:val="22"/>
          <w:lang w:val="es-ES"/>
        </w:rPr>
        <w:t> </w:t>
      </w:r>
      <w:r w:rsidR="001679BB" w:rsidRPr="00F224BA">
        <w:rPr>
          <w:rFonts w:ascii="Calibri" w:hAnsi="Calibri" w:cs="Calibri"/>
          <w:szCs w:val="22"/>
          <w:lang w:val="es-ES"/>
        </w:rPr>
        <w:t>17 para los Estados Árabes y África y simulacro cuántico del UIT-T (Dubái, 17 de septiembre de 2026)</w:t>
      </w:r>
    </w:p>
    <w:p w14:paraId="69C538A9" w14:textId="340E2FBF" w:rsidR="001679BB" w:rsidRPr="00F224BA" w:rsidRDefault="00556F88" w:rsidP="00556F88">
      <w:pPr>
        <w:spacing w:before="100" w:after="120"/>
        <w:ind w:left="792" w:right="91"/>
        <w:textAlignment w:val="auto"/>
        <w:rPr>
          <w:rFonts w:ascii="Calibri" w:hAnsi="Calibri" w:cs="Calibri"/>
          <w:szCs w:val="22"/>
          <w:lang w:val="es-ES"/>
        </w:rPr>
      </w:pPr>
      <w:r w:rsidRPr="00F224BA">
        <w:rPr>
          <w:rFonts w:ascii="Calibri" w:hAnsi="Calibri" w:cs="Calibri"/>
          <w:szCs w:val="22"/>
          <w:lang w:val="es-ES"/>
        </w:rPr>
        <w:t>3.3</w:t>
      </w:r>
      <w:r w:rsidRPr="00F224BA">
        <w:rPr>
          <w:rFonts w:ascii="Calibri" w:hAnsi="Calibri" w:cs="Calibri"/>
          <w:szCs w:val="22"/>
          <w:lang w:val="es-ES"/>
        </w:rPr>
        <w:tab/>
      </w:r>
      <w:r w:rsidR="001679BB" w:rsidRPr="00F224BA">
        <w:rPr>
          <w:rFonts w:ascii="Calibri" w:hAnsi="Calibri" w:cs="Calibri"/>
          <w:szCs w:val="22"/>
          <w:lang w:val="es-ES"/>
        </w:rPr>
        <w:t xml:space="preserve">Preparación del FG-TIDA </w:t>
      </w:r>
    </w:p>
    <w:p w14:paraId="4E1BA899" w14:textId="46464BEF" w:rsidR="001679BB" w:rsidRPr="00F224BA" w:rsidRDefault="00556F88" w:rsidP="00556F88">
      <w:pPr>
        <w:spacing w:before="100" w:after="120"/>
        <w:ind w:left="1985" w:right="91" w:hanging="761"/>
        <w:textAlignment w:val="auto"/>
        <w:rPr>
          <w:rFonts w:ascii="Calibri" w:hAnsi="Calibri" w:cs="Calibri"/>
          <w:szCs w:val="22"/>
          <w:lang w:val="es-ES"/>
        </w:rPr>
      </w:pPr>
      <w:r w:rsidRPr="00F224BA">
        <w:rPr>
          <w:rFonts w:ascii="Calibri" w:hAnsi="Calibri" w:cs="Calibri"/>
          <w:szCs w:val="22"/>
          <w:lang w:val="es-ES"/>
        </w:rPr>
        <w:t>3.3.1</w:t>
      </w:r>
      <w:r w:rsidRPr="00F224BA">
        <w:rPr>
          <w:rFonts w:ascii="Calibri" w:hAnsi="Calibri" w:cs="Calibri"/>
          <w:i/>
          <w:iCs/>
          <w:szCs w:val="22"/>
          <w:lang w:val="es-ES"/>
        </w:rPr>
        <w:tab/>
      </w:r>
      <w:r w:rsidR="001679BB" w:rsidRPr="00F224BA">
        <w:rPr>
          <w:rFonts w:ascii="Calibri" w:hAnsi="Calibri" w:cs="Calibri"/>
          <w:i/>
          <w:iCs/>
          <w:szCs w:val="22"/>
          <w:lang w:val="es-ES"/>
        </w:rPr>
        <w:t>Información del Presidente de la CE</w:t>
      </w:r>
      <w:r w:rsidRPr="00F224BA">
        <w:rPr>
          <w:rFonts w:ascii="Calibri" w:hAnsi="Calibri" w:cs="Calibri"/>
          <w:i/>
          <w:iCs/>
          <w:szCs w:val="22"/>
          <w:lang w:val="es-ES"/>
        </w:rPr>
        <w:t> </w:t>
      </w:r>
      <w:r w:rsidR="001679BB" w:rsidRPr="00F224BA">
        <w:rPr>
          <w:rFonts w:ascii="Calibri" w:hAnsi="Calibri" w:cs="Calibri"/>
          <w:i/>
          <w:iCs/>
          <w:szCs w:val="22"/>
          <w:lang w:val="es-ES"/>
        </w:rPr>
        <w:t>17 y de los Copresidentes del FG-TIDA sobre la primera aplicación de la cláusula 2 del mandato del FG-TIDA a la atribución de temas de trabajo entre la CE</w:t>
      </w:r>
      <w:r w:rsidRPr="00F224BA">
        <w:rPr>
          <w:rFonts w:ascii="Calibri" w:hAnsi="Calibri" w:cs="Calibri"/>
          <w:i/>
          <w:iCs/>
          <w:szCs w:val="22"/>
          <w:lang w:val="es-ES"/>
        </w:rPr>
        <w:t> </w:t>
      </w:r>
      <w:r w:rsidR="001679BB" w:rsidRPr="00F224BA">
        <w:rPr>
          <w:rFonts w:ascii="Calibri" w:hAnsi="Calibri" w:cs="Calibri"/>
          <w:i/>
          <w:iCs/>
          <w:szCs w:val="22"/>
          <w:lang w:val="es-ES"/>
        </w:rPr>
        <w:t>17 y el Grupo Temático</w:t>
      </w:r>
      <w:r w:rsidR="001679BB" w:rsidRPr="00F224BA">
        <w:rPr>
          <w:rFonts w:ascii="Calibri" w:hAnsi="Calibri" w:cs="Calibri"/>
          <w:szCs w:val="22"/>
          <w:lang w:val="es-ES"/>
        </w:rPr>
        <w:t xml:space="preserve"> (</w:t>
      </w:r>
      <w:r w:rsidR="001679BB" w:rsidRPr="00F224BA">
        <w:rPr>
          <w:rFonts w:ascii="Calibri" w:hAnsi="Calibri" w:cs="Calibri"/>
          <w:b/>
          <w:bCs/>
          <w:szCs w:val="22"/>
          <w:lang w:val="es-ES"/>
        </w:rPr>
        <w:t>a título meramente informativo</w:t>
      </w:r>
      <w:r w:rsidR="001679BB" w:rsidRPr="00F224BA">
        <w:rPr>
          <w:rFonts w:ascii="Calibri" w:hAnsi="Calibri" w:cs="Calibri"/>
          <w:szCs w:val="22"/>
          <w:lang w:val="es-ES"/>
        </w:rPr>
        <w:t>)</w:t>
      </w:r>
    </w:p>
    <w:p w14:paraId="161FE36E" w14:textId="5B123DFA" w:rsidR="001679BB" w:rsidRPr="00F224BA" w:rsidRDefault="00556F88" w:rsidP="00556F88">
      <w:pPr>
        <w:spacing w:before="100" w:after="120"/>
        <w:ind w:left="792" w:right="91"/>
        <w:textAlignment w:val="auto"/>
        <w:rPr>
          <w:rFonts w:ascii="Calibri" w:hAnsi="Calibri" w:cs="Calibri"/>
          <w:szCs w:val="22"/>
          <w:lang w:val="es-ES"/>
        </w:rPr>
      </w:pPr>
      <w:r w:rsidRPr="00F224BA">
        <w:rPr>
          <w:rFonts w:ascii="Calibri" w:hAnsi="Calibri" w:cs="Calibri"/>
          <w:szCs w:val="22"/>
          <w:lang w:val="es-ES"/>
        </w:rPr>
        <w:t>3.4</w:t>
      </w:r>
      <w:r w:rsidRPr="00F224BA">
        <w:rPr>
          <w:rFonts w:ascii="Calibri" w:hAnsi="Calibri" w:cs="Calibri"/>
          <w:szCs w:val="22"/>
          <w:lang w:val="es-ES"/>
        </w:rPr>
        <w:tab/>
      </w:r>
      <w:r w:rsidR="001679BB" w:rsidRPr="00F224BA">
        <w:rPr>
          <w:rFonts w:ascii="Calibri" w:hAnsi="Calibri" w:cs="Calibri"/>
          <w:szCs w:val="22"/>
          <w:lang w:val="es-ES"/>
        </w:rPr>
        <w:t>Equipo directivo de la CE</w:t>
      </w:r>
      <w:r w:rsidRPr="00F224BA">
        <w:rPr>
          <w:rFonts w:ascii="Calibri" w:hAnsi="Calibri" w:cs="Calibri"/>
          <w:szCs w:val="22"/>
          <w:lang w:val="es-ES"/>
        </w:rPr>
        <w:t> </w:t>
      </w:r>
      <w:r w:rsidR="001679BB" w:rsidRPr="00F224BA">
        <w:rPr>
          <w:rFonts w:ascii="Calibri" w:hAnsi="Calibri" w:cs="Calibri"/>
          <w:szCs w:val="22"/>
          <w:lang w:val="es-ES"/>
        </w:rPr>
        <w:t>17</w:t>
      </w:r>
    </w:p>
    <w:p w14:paraId="6064B160" w14:textId="53BB6740" w:rsidR="001679BB" w:rsidRPr="00F224BA" w:rsidRDefault="00556F88" w:rsidP="00556F88">
      <w:pPr>
        <w:spacing w:before="100" w:after="120"/>
        <w:ind w:left="792" w:right="91"/>
        <w:textAlignment w:val="auto"/>
        <w:rPr>
          <w:rFonts w:ascii="Calibri" w:hAnsi="Calibri" w:cs="Calibri"/>
          <w:szCs w:val="22"/>
          <w:lang w:val="es-ES"/>
        </w:rPr>
      </w:pPr>
      <w:r w:rsidRPr="00F224BA">
        <w:rPr>
          <w:rFonts w:ascii="Calibri" w:hAnsi="Calibri" w:cs="Calibri"/>
          <w:szCs w:val="22"/>
          <w:lang w:val="es-ES"/>
        </w:rPr>
        <w:t>3.5</w:t>
      </w:r>
      <w:r w:rsidRPr="00F224BA">
        <w:rPr>
          <w:rFonts w:ascii="Calibri" w:hAnsi="Calibri" w:cs="Calibri"/>
          <w:szCs w:val="22"/>
          <w:lang w:val="es-ES"/>
        </w:rPr>
        <w:tab/>
      </w:r>
      <w:r w:rsidR="001679BB" w:rsidRPr="00F224BA">
        <w:rPr>
          <w:rFonts w:ascii="Calibri" w:hAnsi="Calibri" w:cs="Calibri"/>
          <w:szCs w:val="22"/>
          <w:lang w:val="es-ES"/>
        </w:rPr>
        <w:t xml:space="preserve">CG-COP y CG-NSP-MODERN </w:t>
      </w:r>
    </w:p>
    <w:p w14:paraId="11F5957B" w14:textId="5C49328F" w:rsidR="001679BB" w:rsidRPr="00F224BA" w:rsidRDefault="00556F88" w:rsidP="00556F88">
      <w:pPr>
        <w:spacing w:before="100" w:after="120"/>
        <w:ind w:left="1191" w:right="91" w:hanging="399"/>
        <w:textAlignment w:val="auto"/>
        <w:rPr>
          <w:rFonts w:ascii="Calibri" w:hAnsi="Calibri" w:cs="Calibri"/>
          <w:szCs w:val="22"/>
          <w:lang w:val="es-ES"/>
        </w:rPr>
      </w:pPr>
      <w:r w:rsidRPr="00F224BA">
        <w:rPr>
          <w:rFonts w:ascii="Calibri" w:hAnsi="Calibri" w:cs="Calibri"/>
          <w:szCs w:val="22"/>
          <w:lang w:val="es-ES"/>
        </w:rPr>
        <w:t>3.6</w:t>
      </w:r>
      <w:r w:rsidRPr="00F224BA">
        <w:rPr>
          <w:rFonts w:ascii="Calibri" w:hAnsi="Calibri" w:cs="Calibri"/>
          <w:szCs w:val="22"/>
          <w:lang w:val="es-ES"/>
        </w:rPr>
        <w:tab/>
      </w:r>
      <w:r w:rsidR="001679BB" w:rsidRPr="00F224BA">
        <w:rPr>
          <w:rFonts w:ascii="Calibri" w:hAnsi="Calibri" w:cs="Calibri"/>
          <w:szCs w:val="22"/>
          <w:lang w:val="es-ES"/>
        </w:rPr>
        <w:t>Planificación a corto, medio y largo plazo de la CE</w:t>
      </w:r>
      <w:r w:rsidRPr="00F224BA">
        <w:rPr>
          <w:rFonts w:ascii="Calibri" w:hAnsi="Calibri" w:cs="Calibri"/>
          <w:szCs w:val="22"/>
          <w:lang w:val="es-ES"/>
        </w:rPr>
        <w:t> </w:t>
      </w:r>
      <w:r w:rsidR="001679BB" w:rsidRPr="00F224BA">
        <w:rPr>
          <w:rFonts w:ascii="Calibri" w:hAnsi="Calibri" w:cs="Calibri"/>
          <w:szCs w:val="22"/>
          <w:lang w:val="es-ES"/>
        </w:rPr>
        <w:t>17 (futuro del TD239/P), por el</w:t>
      </w:r>
      <w:r w:rsidRPr="00F224BA">
        <w:rPr>
          <w:rFonts w:ascii="Calibri" w:hAnsi="Calibri" w:cs="Calibri"/>
          <w:szCs w:val="22"/>
          <w:lang w:val="es-ES"/>
        </w:rPr>
        <w:t> </w:t>
      </w:r>
      <w:r w:rsidR="001679BB" w:rsidRPr="00F224BA">
        <w:rPr>
          <w:rFonts w:ascii="Calibri" w:hAnsi="Calibri" w:cs="Calibri"/>
          <w:szCs w:val="22"/>
          <w:lang w:val="es-ES"/>
        </w:rPr>
        <w:t>Sr.</w:t>
      </w:r>
      <w:r w:rsidRPr="00F224BA">
        <w:rPr>
          <w:rFonts w:ascii="Calibri" w:hAnsi="Calibri" w:cs="Calibri"/>
          <w:szCs w:val="22"/>
          <w:lang w:val="es-ES"/>
        </w:rPr>
        <w:t> </w:t>
      </w:r>
      <w:r w:rsidR="001679BB" w:rsidRPr="00F224BA">
        <w:rPr>
          <w:rFonts w:ascii="Calibri" w:hAnsi="Calibri" w:cs="Calibri"/>
          <w:szCs w:val="22"/>
          <w:lang w:val="es-ES"/>
        </w:rPr>
        <w:t>Fatah</w:t>
      </w:r>
      <w:r w:rsidRPr="00F224BA">
        <w:rPr>
          <w:rFonts w:ascii="Calibri" w:hAnsi="Calibri" w:cs="Calibri"/>
          <w:szCs w:val="22"/>
          <w:lang w:val="es-ES"/>
        </w:rPr>
        <w:t> </w:t>
      </w:r>
      <w:r w:rsidR="001679BB" w:rsidRPr="00F224BA">
        <w:rPr>
          <w:rFonts w:ascii="Calibri" w:hAnsi="Calibri" w:cs="Calibri"/>
          <w:szCs w:val="22"/>
          <w:lang w:val="es-ES"/>
        </w:rPr>
        <w:t>Doumaz</w:t>
      </w:r>
    </w:p>
    <w:p w14:paraId="0E5B98DA" w14:textId="77777777" w:rsidR="00556F88" w:rsidRPr="00F224BA" w:rsidRDefault="00556F88" w:rsidP="00556F88">
      <w:pPr>
        <w:overflowPunct/>
        <w:autoSpaceDE/>
        <w:adjustRightInd/>
        <w:spacing w:after="120"/>
        <w:ind w:left="1191" w:right="91" w:hanging="399"/>
        <w:textAlignment w:val="auto"/>
        <w:rPr>
          <w:rFonts w:ascii="Calibri" w:hAnsi="Calibri" w:cs="Calibri"/>
          <w:szCs w:val="22"/>
          <w:lang w:val="es-ES"/>
        </w:rPr>
      </w:pPr>
      <w:r w:rsidRPr="00F224BA">
        <w:rPr>
          <w:rFonts w:ascii="Calibri" w:hAnsi="Calibri" w:cs="Calibri"/>
          <w:szCs w:val="22"/>
          <w:lang w:val="es-ES"/>
        </w:rPr>
        <w:t>3.7</w:t>
      </w:r>
      <w:r w:rsidRPr="00F224BA">
        <w:rPr>
          <w:rFonts w:ascii="Calibri" w:hAnsi="Calibri" w:cs="Calibri"/>
          <w:szCs w:val="22"/>
          <w:lang w:val="es-ES"/>
        </w:rPr>
        <w:tab/>
      </w:r>
      <w:r w:rsidR="001679BB" w:rsidRPr="00F224BA">
        <w:rPr>
          <w:rFonts w:ascii="Calibri" w:hAnsi="Calibri" w:cs="Calibri"/>
          <w:szCs w:val="22"/>
          <w:lang w:val="es-ES"/>
        </w:rPr>
        <w:t>Información actualizada sobre las medidas de apoyo y la reestructuración del liderazgo, facilitada por el Presidente de la CE</w:t>
      </w:r>
      <w:r w:rsidRPr="00F224BA">
        <w:rPr>
          <w:rFonts w:ascii="Calibri" w:hAnsi="Calibri" w:cs="Calibri"/>
          <w:szCs w:val="22"/>
          <w:lang w:val="es-ES"/>
        </w:rPr>
        <w:t> </w:t>
      </w:r>
      <w:r w:rsidR="001679BB" w:rsidRPr="00F224BA">
        <w:rPr>
          <w:rFonts w:ascii="Calibri" w:hAnsi="Calibri" w:cs="Calibri"/>
          <w:szCs w:val="22"/>
          <w:lang w:val="es-ES"/>
        </w:rPr>
        <w:t>17</w:t>
      </w:r>
    </w:p>
    <w:p w14:paraId="2A01B965" w14:textId="03C0B5C6" w:rsidR="001679BB" w:rsidRPr="00F224BA" w:rsidRDefault="00556F88" w:rsidP="00556F88">
      <w:pPr>
        <w:rPr>
          <w:lang w:val="es-ES"/>
        </w:rPr>
      </w:pPr>
      <w:r w:rsidRPr="00F224BA">
        <w:rPr>
          <w:lang w:val="es-ES"/>
        </w:rPr>
        <w:t>4</w:t>
      </w:r>
      <w:r w:rsidRPr="00F224BA">
        <w:rPr>
          <w:lang w:val="es-ES"/>
        </w:rPr>
        <w:tab/>
      </w:r>
      <w:r w:rsidR="001679BB" w:rsidRPr="00F224BA">
        <w:rPr>
          <w:lang w:val="es-ES"/>
        </w:rPr>
        <w:t>Adopción de decisiones sobre:</w:t>
      </w:r>
    </w:p>
    <w:p w14:paraId="1F321403" w14:textId="31334303" w:rsidR="001679BB" w:rsidRPr="00F224BA" w:rsidRDefault="00556F88" w:rsidP="00556F88">
      <w:pPr>
        <w:overflowPunct/>
        <w:autoSpaceDE/>
        <w:adjustRightInd/>
        <w:spacing w:after="120"/>
        <w:ind w:left="1191" w:right="91" w:hanging="399"/>
        <w:textAlignment w:val="auto"/>
        <w:rPr>
          <w:rFonts w:ascii="Calibri" w:hAnsi="Calibri" w:cs="Calibri"/>
          <w:szCs w:val="22"/>
          <w:lang w:val="es-ES"/>
        </w:rPr>
      </w:pPr>
      <w:r w:rsidRPr="00F224BA">
        <w:rPr>
          <w:rFonts w:ascii="Calibri" w:hAnsi="Calibri" w:cs="Calibri"/>
          <w:szCs w:val="22"/>
          <w:lang w:val="es-ES"/>
        </w:rPr>
        <w:t>4.1</w:t>
      </w:r>
      <w:r w:rsidRPr="00F224BA">
        <w:rPr>
          <w:rFonts w:ascii="Calibri" w:hAnsi="Calibri" w:cs="Calibri"/>
          <w:szCs w:val="22"/>
          <w:lang w:val="es-ES"/>
        </w:rPr>
        <w:tab/>
      </w:r>
      <w:r w:rsidR="001679BB" w:rsidRPr="00F224BA">
        <w:rPr>
          <w:rFonts w:ascii="Calibri" w:hAnsi="Calibri" w:cs="Calibri"/>
          <w:szCs w:val="22"/>
          <w:lang w:val="es-ES"/>
        </w:rPr>
        <w:t xml:space="preserve">Aprobación de los </w:t>
      </w:r>
      <w:hyperlink r:id="rId19" w:history="1">
        <w:r w:rsidR="001679BB" w:rsidRPr="00F224BA">
          <w:rPr>
            <w:rStyle w:val="Hyperlink"/>
            <w:rFonts w:ascii="Calibri" w:hAnsi="Calibri" w:cs="Calibri"/>
            <w:szCs w:val="22"/>
            <w:lang w:val="es-ES"/>
          </w:rPr>
          <w:t>informes</w:t>
        </w:r>
      </w:hyperlink>
      <w:r w:rsidR="001679BB" w:rsidRPr="00F224BA">
        <w:rPr>
          <w:rFonts w:ascii="Calibri" w:hAnsi="Calibri" w:cs="Calibri"/>
          <w:szCs w:val="22"/>
          <w:lang w:val="es-ES"/>
        </w:rPr>
        <w:t xml:space="preserve"> pendientes de los Grupos de Trabajo y la Plenaria de la CE</w:t>
      </w:r>
      <w:r w:rsidRPr="00F224BA">
        <w:rPr>
          <w:rFonts w:ascii="Calibri" w:hAnsi="Calibri" w:cs="Calibri"/>
          <w:szCs w:val="22"/>
          <w:lang w:val="es-ES"/>
        </w:rPr>
        <w:t> </w:t>
      </w:r>
      <w:r w:rsidR="001679BB" w:rsidRPr="00F224BA">
        <w:rPr>
          <w:rFonts w:ascii="Calibri" w:hAnsi="Calibri" w:cs="Calibri"/>
          <w:szCs w:val="22"/>
          <w:lang w:val="es-ES"/>
        </w:rPr>
        <w:t>17 (R38-R46, R66-69)</w:t>
      </w:r>
    </w:p>
    <w:p w14:paraId="5F367308" w14:textId="6F51DDF2" w:rsidR="001679BB" w:rsidRPr="00F224BA" w:rsidRDefault="00556F88" w:rsidP="00556F88">
      <w:pPr>
        <w:overflowPunct/>
        <w:autoSpaceDE/>
        <w:adjustRightInd/>
        <w:spacing w:after="120"/>
        <w:ind w:left="1191" w:right="91" w:hanging="399"/>
        <w:textAlignment w:val="auto"/>
        <w:rPr>
          <w:rFonts w:ascii="Calibri" w:hAnsi="Calibri" w:cs="Calibri"/>
          <w:szCs w:val="22"/>
          <w:lang w:val="es-ES"/>
        </w:rPr>
      </w:pPr>
      <w:r w:rsidRPr="00F224BA">
        <w:rPr>
          <w:rFonts w:ascii="Calibri" w:hAnsi="Calibri" w:cs="Calibri"/>
          <w:szCs w:val="22"/>
          <w:lang w:val="es-ES"/>
        </w:rPr>
        <w:t>4.2</w:t>
      </w:r>
      <w:r w:rsidRPr="00F224BA">
        <w:rPr>
          <w:rFonts w:ascii="Calibri" w:hAnsi="Calibri" w:cs="Calibri"/>
          <w:szCs w:val="22"/>
          <w:lang w:val="es-ES"/>
        </w:rPr>
        <w:tab/>
      </w:r>
      <w:r w:rsidR="001679BB" w:rsidRPr="00F224BA">
        <w:rPr>
          <w:rFonts w:ascii="Calibri" w:hAnsi="Calibri" w:cs="Calibri"/>
          <w:szCs w:val="22"/>
          <w:lang w:val="es-ES"/>
        </w:rPr>
        <w:t>Acuerdo de las aportaciones de la CE</w:t>
      </w:r>
      <w:r w:rsidRPr="00F224BA">
        <w:rPr>
          <w:rFonts w:ascii="Calibri" w:hAnsi="Calibri" w:cs="Calibri"/>
          <w:szCs w:val="22"/>
          <w:lang w:val="es-ES"/>
        </w:rPr>
        <w:t> </w:t>
      </w:r>
      <w:r w:rsidR="001679BB" w:rsidRPr="00F224BA">
        <w:rPr>
          <w:rFonts w:ascii="Calibri" w:hAnsi="Calibri" w:cs="Calibri"/>
          <w:szCs w:val="22"/>
          <w:lang w:val="es-ES"/>
        </w:rPr>
        <w:t>17 a la reunión virtual del GT2 del GANT sobre la delimitación de la seguridad de la IoT (y la confianza, la tecnología cuántica y la IA agéntica, en función de su nivel de preparación)</w:t>
      </w:r>
    </w:p>
    <w:p w14:paraId="46E7DFBC" w14:textId="01F53DE6" w:rsidR="001679BB" w:rsidRPr="00F224BA" w:rsidRDefault="00556F88" w:rsidP="00556F88">
      <w:pPr>
        <w:overflowPunct/>
        <w:autoSpaceDE/>
        <w:adjustRightInd/>
        <w:spacing w:after="120"/>
        <w:ind w:left="1191" w:right="91" w:hanging="399"/>
        <w:textAlignment w:val="auto"/>
        <w:rPr>
          <w:rFonts w:ascii="Calibri" w:hAnsi="Calibri" w:cs="Calibri"/>
          <w:szCs w:val="22"/>
          <w:lang w:val="es-ES"/>
        </w:rPr>
      </w:pPr>
      <w:r w:rsidRPr="00F224BA">
        <w:rPr>
          <w:rFonts w:ascii="Calibri" w:hAnsi="Calibri" w:cs="Calibri"/>
          <w:szCs w:val="22"/>
          <w:lang w:val="es-ES"/>
        </w:rPr>
        <w:t>4.3</w:t>
      </w:r>
      <w:r w:rsidRPr="00F224BA">
        <w:rPr>
          <w:rFonts w:ascii="Calibri" w:hAnsi="Calibri" w:cs="Calibri"/>
          <w:szCs w:val="22"/>
          <w:lang w:val="es-ES"/>
        </w:rPr>
        <w:tab/>
      </w:r>
      <w:r w:rsidR="001679BB" w:rsidRPr="00F224BA">
        <w:rPr>
          <w:rFonts w:ascii="Calibri" w:hAnsi="Calibri" w:cs="Calibri"/>
          <w:szCs w:val="22"/>
          <w:lang w:val="es-ES"/>
        </w:rPr>
        <w:t>Anuncio del taller de la CE</w:t>
      </w:r>
      <w:r w:rsidRPr="00F224BA">
        <w:rPr>
          <w:rFonts w:ascii="Calibri" w:hAnsi="Calibri" w:cs="Calibri"/>
          <w:szCs w:val="22"/>
          <w:lang w:val="es-ES"/>
        </w:rPr>
        <w:t> </w:t>
      </w:r>
      <w:r w:rsidR="001679BB" w:rsidRPr="00F224BA">
        <w:rPr>
          <w:rFonts w:ascii="Calibri" w:hAnsi="Calibri" w:cs="Calibri"/>
          <w:szCs w:val="22"/>
          <w:lang w:val="es-ES"/>
        </w:rPr>
        <w:t>17 previsto para el 25 de enero de 2027 y acuerdo para crear su comisión de dirección</w:t>
      </w:r>
    </w:p>
    <w:p w14:paraId="487F035E" w14:textId="13AD452A" w:rsidR="001679BB" w:rsidRPr="00F224BA" w:rsidRDefault="00556F88" w:rsidP="00556F88">
      <w:pPr>
        <w:overflowPunct/>
        <w:autoSpaceDE/>
        <w:adjustRightInd/>
        <w:spacing w:after="120"/>
        <w:ind w:left="1191" w:right="91" w:hanging="399"/>
        <w:textAlignment w:val="auto"/>
        <w:rPr>
          <w:rFonts w:ascii="Calibri" w:hAnsi="Calibri" w:cs="Calibri"/>
          <w:szCs w:val="22"/>
          <w:lang w:val="es-ES"/>
        </w:rPr>
      </w:pPr>
      <w:r w:rsidRPr="00F224BA">
        <w:rPr>
          <w:rFonts w:ascii="Calibri" w:hAnsi="Calibri" w:cs="Calibri"/>
          <w:szCs w:val="22"/>
          <w:lang w:val="es-ES"/>
        </w:rPr>
        <w:t>4.4</w:t>
      </w:r>
      <w:r w:rsidRPr="00F224BA">
        <w:rPr>
          <w:rFonts w:ascii="Calibri" w:hAnsi="Calibri" w:cs="Calibri"/>
          <w:szCs w:val="22"/>
          <w:lang w:val="es-ES"/>
        </w:rPr>
        <w:tab/>
      </w:r>
      <w:r w:rsidR="001679BB" w:rsidRPr="00F224BA">
        <w:rPr>
          <w:rFonts w:ascii="Calibri" w:hAnsi="Calibri" w:cs="Calibri"/>
          <w:szCs w:val="22"/>
          <w:lang w:val="es-ES"/>
        </w:rPr>
        <w:t>Anuncio de las próximas reuniones de la CE</w:t>
      </w:r>
      <w:r w:rsidRPr="00F224BA">
        <w:rPr>
          <w:rFonts w:ascii="Calibri" w:hAnsi="Calibri" w:cs="Calibri"/>
          <w:szCs w:val="22"/>
          <w:lang w:val="es-ES"/>
        </w:rPr>
        <w:t> </w:t>
      </w:r>
      <w:r w:rsidR="001679BB" w:rsidRPr="00F224BA">
        <w:rPr>
          <w:rFonts w:ascii="Calibri" w:hAnsi="Calibri" w:cs="Calibri"/>
          <w:szCs w:val="22"/>
          <w:lang w:val="es-ES"/>
        </w:rPr>
        <w:t>17: 1) sesión plenaria totalmente virtual el 9 de diciembre de 2026; 2) Ginebra, del 18 al 29 de enero de 2027</w:t>
      </w:r>
    </w:p>
    <w:p w14:paraId="4BB0FF58" w14:textId="577C1EBD" w:rsidR="001679BB" w:rsidRPr="00F224BA" w:rsidRDefault="00556F88" w:rsidP="00556F88">
      <w:pPr>
        <w:overflowPunct/>
        <w:autoSpaceDE/>
        <w:adjustRightInd/>
        <w:spacing w:after="120"/>
        <w:ind w:left="792" w:right="91"/>
        <w:textAlignment w:val="auto"/>
        <w:rPr>
          <w:rFonts w:ascii="Calibri" w:hAnsi="Calibri" w:cs="Calibri"/>
          <w:szCs w:val="22"/>
          <w:lang w:val="es-ES"/>
        </w:rPr>
      </w:pPr>
      <w:r w:rsidRPr="00F224BA">
        <w:rPr>
          <w:rFonts w:ascii="Calibri" w:hAnsi="Calibri" w:cs="Calibri"/>
          <w:szCs w:val="22"/>
          <w:lang w:val="es-ES"/>
        </w:rPr>
        <w:t>4.5</w:t>
      </w:r>
      <w:r w:rsidRPr="00F224BA">
        <w:rPr>
          <w:rFonts w:ascii="Calibri" w:hAnsi="Calibri" w:cs="Calibri"/>
          <w:szCs w:val="22"/>
          <w:lang w:val="es-ES"/>
        </w:rPr>
        <w:tab/>
      </w:r>
      <w:r w:rsidR="001679BB" w:rsidRPr="00F224BA">
        <w:rPr>
          <w:rFonts w:ascii="Calibri" w:hAnsi="Calibri" w:cs="Calibri"/>
          <w:szCs w:val="22"/>
          <w:lang w:val="es-ES"/>
        </w:rPr>
        <w:t>Envío de declaraciones de coordinación, en su caso</w:t>
      </w:r>
    </w:p>
    <w:p w14:paraId="6040B6C6" w14:textId="29A62D31" w:rsidR="001679BB" w:rsidRPr="00F224BA" w:rsidRDefault="00556F88" w:rsidP="00556F88">
      <w:pPr>
        <w:rPr>
          <w:lang w:val="es-ES"/>
        </w:rPr>
      </w:pPr>
      <w:r w:rsidRPr="00F224BA">
        <w:rPr>
          <w:lang w:val="es-ES"/>
        </w:rPr>
        <w:t>5</w:t>
      </w:r>
      <w:r w:rsidRPr="00F224BA">
        <w:rPr>
          <w:lang w:val="es-ES"/>
        </w:rPr>
        <w:tab/>
      </w:r>
      <w:r w:rsidR="001679BB" w:rsidRPr="00F224BA">
        <w:rPr>
          <w:lang w:val="es-ES"/>
        </w:rPr>
        <w:t>Otros asuntos</w:t>
      </w:r>
    </w:p>
    <w:p w14:paraId="6C3711DB" w14:textId="40D26E9E" w:rsidR="001679BB" w:rsidRPr="00F224BA" w:rsidRDefault="00556F88" w:rsidP="00556F88">
      <w:pPr>
        <w:rPr>
          <w:lang w:val="es-ES"/>
        </w:rPr>
      </w:pPr>
      <w:r w:rsidRPr="00F224BA">
        <w:rPr>
          <w:lang w:val="es-ES"/>
        </w:rPr>
        <w:t>6</w:t>
      </w:r>
      <w:r w:rsidRPr="00F224BA">
        <w:rPr>
          <w:lang w:val="es-ES"/>
        </w:rPr>
        <w:tab/>
      </w:r>
      <w:r w:rsidR="001679BB" w:rsidRPr="00F224BA">
        <w:rPr>
          <w:lang w:val="es-ES"/>
        </w:rPr>
        <w:t>Agradecimientos y clausura de la reunión</w:t>
      </w:r>
    </w:p>
    <w:p w14:paraId="17B4FE9D" w14:textId="56F46663" w:rsidR="001679BB" w:rsidRPr="00F224BA" w:rsidRDefault="001679BB" w:rsidP="00556F88">
      <w:pPr>
        <w:pStyle w:val="Note"/>
        <w:spacing w:before="360"/>
        <w:rPr>
          <w:lang w:val="es-ES"/>
        </w:rPr>
      </w:pPr>
      <w:r w:rsidRPr="00F224BA">
        <w:rPr>
          <w:lang w:val="es-ES"/>
        </w:rPr>
        <w:t xml:space="preserve">NOTA: Las actualizaciones del presente orden del día podrán consultarse en la </w:t>
      </w:r>
      <w:hyperlink r:id="rId20" w:history="1">
        <w:r w:rsidRPr="00F224BA">
          <w:rPr>
            <w:rStyle w:val="Hyperlink"/>
            <w:rFonts w:ascii="Calibri" w:hAnsi="Calibri" w:cs="Calibri"/>
            <w:szCs w:val="22"/>
            <w:lang w:val="es-ES"/>
          </w:rPr>
          <w:t>pág</w:t>
        </w:r>
        <w:r w:rsidRPr="00F224BA">
          <w:rPr>
            <w:rStyle w:val="Hyperlink"/>
            <w:rFonts w:ascii="Calibri" w:hAnsi="Calibri" w:cs="Calibri"/>
            <w:szCs w:val="22"/>
            <w:lang w:val="es-ES"/>
          </w:rPr>
          <w:t>i</w:t>
        </w:r>
        <w:r w:rsidRPr="00F224BA">
          <w:rPr>
            <w:rStyle w:val="Hyperlink"/>
            <w:rFonts w:ascii="Calibri" w:hAnsi="Calibri" w:cs="Calibri"/>
            <w:szCs w:val="22"/>
            <w:lang w:val="es-ES"/>
          </w:rPr>
          <w:t>na de inicio de la Comisión de Estudio</w:t>
        </w:r>
      </w:hyperlink>
      <w:r w:rsidRPr="00F224BA">
        <w:rPr>
          <w:lang w:val="es-ES"/>
        </w:rPr>
        <w:t>.</w:t>
      </w:r>
    </w:p>
    <w:p w14:paraId="09CAAE74" w14:textId="77777777" w:rsidR="001679BB" w:rsidRPr="00F224BA" w:rsidRDefault="001679BB" w:rsidP="00411C49">
      <w:pPr>
        <w:pStyle w:val="Reasons"/>
        <w:rPr>
          <w:lang w:val="es-ES"/>
        </w:rPr>
      </w:pPr>
    </w:p>
    <w:p w14:paraId="3F934745" w14:textId="77777777" w:rsidR="001679BB" w:rsidRPr="00F224BA" w:rsidRDefault="001679BB">
      <w:pPr>
        <w:jc w:val="center"/>
        <w:rPr>
          <w:lang w:val="es-ES"/>
        </w:rPr>
      </w:pPr>
      <w:r w:rsidRPr="00F224BA">
        <w:rPr>
          <w:lang w:val="es-ES"/>
        </w:rPr>
        <w:t>______________</w:t>
      </w:r>
    </w:p>
    <w:p w14:paraId="4051B564" w14:textId="77777777" w:rsidR="00C34772" w:rsidRPr="00F224BA" w:rsidRDefault="00C34772" w:rsidP="001679BB">
      <w:pPr>
        <w:pStyle w:val="AnnexNotitle"/>
        <w:spacing w:after="80"/>
        <w:rPr>
          <w:sz w:val="4"/>
          <w:szCs w:val="4"/>
          <w:lang w:val="es-ES"/>
        </w:rPr>
      </w:pPr>
    </w:p>
    <w:sectPr w:rsidR="00C34772" w:rsidRPr="00F224BA" w:rsidSect="002545AA">
      <w:headerReference w:type="even" r:id="rId21"/>
      <w:headerReference w:type="default" r:id="rId22"/>
      <w:footerReference w:type="default" r:id="rId23"/>
      <w:footerReference w:type="first" r:id="rId24"/>
      <w:pgSz w:w="11907" w:h="16840" w:code="9"/>
      <w:pgMar w:top="1134" w:right="1134" w:bottom="1134" w:left="1134" w:header="567" w:footer="567" w:gutter="0"/>
      <w:paperSrc w:first="261" w:other="26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00BA5" w14:textId="77777777" w:rsidR="00141CB4" w:rsidRDefault="00141CB4">
      <w:r>
        <w:separator/>
      </w:r>
    </w:p>
  </w:endnote>
  <w:endnote w:type="continuationSeparator" w:id="0">
    <w:p w14:paraId="5BF76172" w14:textId="77777777" w:rsidR="00141CB4" w:rsidRDefault="00141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1A6C5" w14:textId="21D54593" w:rsidR="00141CB4" w:rsidRPr="006B5061" w:rsidRDefault="00141CB4" w:rsidP="006B5061">
    <w:pPr>
      <w:pStyle w:val="Footer"/>
      <w:tabs>
        <w:tab w:val="center" w:pos="5387"/>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B48E" w14:textId="77777777" w:rsidR="005E67CA" w:rsidRPr="00F834B9" w:rsidRDefault="005E67CA" w:rsidP="005E67CA">
    <w:pPr>
      <w:pStyle w:val="FirstFooter"/>
      <w:ind w:left="-397" w:right="-397"/>
      <w:jc w:val="center"/>
      <w:rPr>
        <w:color w:val="0070C0"/>
        <w:szCs w:val="18"/>
        <w:lang w:val="es-ES"/>
      </w:rPr>
    </w:pPr>
    <w:r w:rsidRPr="00F834B9">
      <w:rPr>
        <w:color w:val="0070C0"/>
        <w:szCs w:val="18"/>
        <w:lang w:val="es-ES"/>
      </w:rPr>
      <w:t>Unión Internacional de Telecomunicaciones • Place des Nations, CH</w:t>
    </w:r>
    <w:r w:rsidRPr="00F834B9">
      <w:rPr>
        <w:color w:val="0070C0"/>
        <w:szCs w:val="18"/>
        <w:lang w:val="es-ES"/>
      </w:rPr>
      <w:noBreakHyphen/>
      <w:t xml:space="preserve">1211 Ginebra 20, Suiza </w:t>
    </w:r>
    <w:r w:rsidRPr="00F834B9">
      <w:rPr>
        <w:color w:val="0070C0"/>
        <w:szCs w:val="18"/>
        <w:lang w:val="es-ES"/>
      </w:rPr>
      <w:br/>
      <w:t xml:space="preserve">Tel: +41 22 730 5111 • Fax: +41 22 733 7256 • Correo-e: </w:t>
    </w:r>
    <w:hyperlink r:id="rId1" w:history="1">
      <w:r w:rsidRPr="00F834B9">
        <w:rPr>
          <w:rStyle w:val="Hyperlink"/>
          <w:color w:val="0070C0"/>
          <w:lang w:val="es-ES"/>
        </w:rPr>
        <w:t>itumail@itu.int</w:t>
      </w:r>
    </w:hyperlink>
    <w:r w:rsidRPr="00F834B9">
      <w:rPr>
        <w:color w:val="0070C0"/>
        <w:szCs w:val="18"/>
        <w:lang w:val="es-ES"/>
      </w:rPr>
      <w:t xml:space="preserve"> • </w:t>
    </w:r>
    <w:hyperlink r:id="rId2" w:history="1">
      <w:r w:rsidRPr="00F834B9">
        <w:rPr>
          <w:rStyle w:val="Hyperlink"/>
          <w:color w:val="0070C0"/>
          <w:lang w:val="es-ES"/>
        </w:rPr>
        <w:t>www.itu.int</w:t>
      </w:r>
    </w:hyperlink>
    <w:r w:rsidRPr="00F834B9">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2FCA3" w14:textId="77777777" w:rsidR="00141CB4" w:rsidRDefault="00141CB4">
      <w:r>
        <w:t>____________________</w:t>
      </w:r>
    </w:p>
  </w:footnote>
  <w:footnote w:type="continuationSeparator" w:id="0">
    <w:p w14:paraId="6AACE5AC" w14:textId="77777777" w:rsidR="00141CB4" w:rsidRDefault="00141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4290009"/>
      <w:docPartObj>
        <w:docPartGallery w:val="Page Numbers (Top of Page)"/>
        <w:docPartUnique/>
      </w:docPartObj>
    </w:sdtPr>
    <w:sdtEndPr>
      <w:rPr>
        <w:noProof/>
        <w:sz w:val="18"/>
        <w:szCs w:val="18"/>
      </w:rPr>
    </w:sdtEndPr>
    <w:sdtContent>
      <w:p w14:paraId="22281329" w14:textId="6FD6B392" w:rsidR="00141CB4"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2</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sidR="00C10FFB">
          <w:rPr>
            <w:bCs/>
            <w:sz w:val="18"/>
            <w:szCs w:val="18"/>
          </w:rPr>
          <w:t>TSB 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9141411"/>
      <w:docPartObj>
        <w:docPartGallery w:val="Page Numbers (Top of Page)"/>
        <w:docPartUnique/>
      </w:docPartObj>
    </w:sdtPr>
    <w:sdtEndPr>
      <w:rPr>
        <w:noProof/>
        <w:sz w:val="18"/>
        <w:szCs w:val="18"/>
      </w:rPr>
    </w:sdtEndPr>
    <w:sdtContent>
      <w:p w14:paraId="539DD8DF" w14:textId="5031A4F1" w:rsidR="00BC1FB8"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3</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Carta Colectiva</w:t>
        </w:r>
        <w:r w:rsidR="001679BB">
          <w:rPr>
            <w:bCs/>
            <w:sz w:val="18"/>
            <w:szCs w:val="18"/>
          </w:rPr>
          <w:t xml:space="preserve"> TSB 10</w:t>
        </w:r>
        <w:r w:rsidR="001679BB">
          <w:rPr>
            <w:noProof/>
            <w:sz w:val="18"/>
            <w:szCs w:val="18"/>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FA227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A405B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E266F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D2B2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3CA6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0042CB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4C37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52F15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4ADF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F09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1" w15:restartNumberingAfterBreak="0">
    <w:nsid w:val="52F139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30F3BD4"/>
    <w:multiLevelType w:val="hybridMultilevel"/>
    <w:tmpl w:val="0C9CFDBA"/>
    <w:lvl w:ilvl="0" w:tplc="9BD247BA">
      <w:numFmt w:val="bullet"/>
      <w:lvlText w:val="-"/>
      <w:lvlJc w:val="left"/>
      <w:pPr>
        <w:ind w:left="2345" w:hanging="360"/>
      </w:pPr>
      <w:rPr>
        <w:rFonts w:ascii="Times New Roman" w:eastAsia="Times New Roman" w:hAnsi="Times New Roman" w:cs="Times New Roman" w:hint="default"/>
      </w:rPr>
    </w:lvl>
    <w:lvl w:ilvl="1" w:tplc="04090003">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3"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4" w15:restartNumberingAfterBreak="0">
    <w:nsid w:val="5AAB1857"/>
    <w:multiLevelType w:val="hybridMultilevel"/>
    <w:tmpl w:val="1BD4DB70"/>
    <w:lvl w:ilvl="0" w:tplc="62B2D03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8F7012"/>
    <w:multiLevelType w:val="multilevel"/>
    <w:tmpl w:val="5CC6ABCA"/>
    <w:lvl w:ilvl="0">
      <w:start w:val="1"/>
      <w:numFmt w:val="decimal"/>
      <w:lvlText w:val="%1."/>
      <w:legacy w:legacy="1" w:legacySpace="0" w:legacyIndent="708"/>
      <w:lvlJc w:val="left"/>
      <w:pPr>
        <w:ind w:left="708" w:hanging="708"/>
      </w:pPr>
      <w:rPr>
        <w:rFonts w:asciiTheme="minorHAnsi" w:hAnsiTheme="minorHAnsi" w:cs="Times New Roman" w:hint="default"/>
        <w:b w:val="0"/>
        <w:bCs w:val="0"/>
        <w:sz w:val="24"/>
        <w:szCs w:val="24"/>
      </w:rPr>
    </w:lvl>
    <w:lvl w:ilvl="1">
      <w:start w:val="1"/>
      <w:numFmt w:val="lowerLetter"/>
      <w:lvlText w:val="%2)"/>
      <w:legacy w:legacy="1" w:legacySpace="0" w:legacyIndent="708"/>
      <w:lvlJc w:val="left"/>
      <w:pPr>
        <w:ind w:left="5670" w:hanging="708"/>
      </w:pPr>
      <w:rPr>
        <w:rFonts w:cs="Times New Roman"/>
      </w:rPr>
    </w:lvl>
    <w:lvl w:ilvl="2">
      <w:start w:val="1"/>
      <w:numFmt w:val="lowerRoman"/>
      <w:lvlText w:val="%3)"/>
      <w:legacy w:legacy="1" w:legacySpace="0" w:legacyIndent="708"/>
      <w:lvlJc w:val="left"/>
      <w:pPr>
        <w:ind w:left="2124" w:hanging="708"/>
      </w:pPr>
      <w:rPr>
        <w:rFonts w:cs="Times New Roman"/>
        <w:i w:val="0"/>
        <w:iCs w:val="0"/>
      </w:rPr>
    </w:lvl>
    <w:lvl w:ilvl="3">
      <w:start w:val="5"/>
      <w:numFmt w:val="bullet"/>
      <w:lvlText w:val="-"/>
      <w:lvlJc w:val="left"/>
      <w:pPr>
        <w:ind w:left="2832" w:hanging="708"/>
      </w:pPr>
      <w:rPr>
        <w:rFonts w:ascii="Times New Roman" w:hAnsi="Times New Roman" w:cs="Times New Roman" w:hint="default"/>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16"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abstractNumId w:val="10"/>
  </w:num>
  <w:num w:numId="2">
    <w:abstractNumId w:val="17"/>
  </w:num>
  <w:num w:numId="3">
    <w:abstractNumId w:val="16"/>
  </w:num>
  <w:num w:numId="4">
    <w:abstractNumId w:val="13"/>
  </w:num>
  <w:num w:numId="5">
    <w:abstractNumId w:val="14"/>
  </w:num>
  <w:num w:numId="6">
    <w:abstractNumId w:val="15"/>
  </w:num>
  <w:num w:numId="7">
    <w:abstractNumId w:val="12"/>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7987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72"/>
    <w:rsid w:val="00002529"/>
    <w:rsid w:val="00002634"/>
    <w:rsid w:val="00013D62"/>
    <w:rsid w:val="00043D90"/>
    <w:rsid w:val="000678BB"/>
    <w:rsid w:val="00080F6C"/>
    <w:rsid w:val="000C375D"/>
    <w:rsid w:val="000C382F"/>
    <w:rsid w:val="000F67AE"/>
    <w:rsid w:val="00114963"/>
    <w:rsid w:val="001173CC"/>
    <w:rsid w:val="00126D02"/>
    <w:rsid w:val="001344C2"/>
    <w:rsid w:val="00136FC2"/>
    <w:rsid w:val="00141CB4"/>
    <w:rsid w:val="001641C8"/>
    <w:rsid w:val="001671BC"/>
    <w:rsid w:val="001679BB"/>
    <w:rsid w:val="001A2905"/>
    <w:rsid w:val="001A54CC"/>
    <w:rsid w:val="001C2FAD"/>
    <w:rsid w:val="001D1BA9"/>
    <w:rsid w:val="001F0D48"/>
    <w:rsid w:val="002021BB"/>
    <w:rsid w:val="00212668"/>
    <w:rsid w:val="00221C83"/>
    <w:rsid w:val="002545AA"/>
    <w:rsid w:val="00257FB4"/>
    <w:rsid w:val="00271D3E"/>
    <w:rsid w:val="0027571F"/>
    <w:rsid w:val="002C1570"/>
    <w:rsid w:val="00303D62"/>
    <w:rsid w:val="00313DBB"/>
    <w:rsid w:val="00324783"/>
    <w:rsid w:val="00327BC9"/>
    <w:rsid w:val="00335367"/>
    <w:rsid w:val="0033768F"/>
    <w:rsid w:val="00370C2D"/>
    <w:rsid w:val="003B60AA"/>
    <w:rsid w:val="003C00D3"/>
    <w:rsid w:val="003C2ECD"/>
    <w:rsid w:val="003D1E8D"/>
    <w:rsid w:val="003D4DFE"/>
    <w:rsid w:val="003D673B"/>
    <w:rsid w:val="003F0402"/>
    <w:rsid w:val="003F073D"/>
    <w:rsid w:val="003F2855"/>
    <w:rsid w:val="00401C20"/>
    <w:rsid w:val="00402B00"/>
    <w:rsid w:val="00421116"/>
    <w:rsid w:val="00427EA6"/>
    <w:rsid w:val="00450C73"/>
    <w:rsid w:val="004C1AD1"/>
    <w:rsid w:val="004C4144"/>
    <w:rsid w:val="004E26E4"/>
    <w:rsid w:val="004F0A81"/>
    <w:rsid w:val="004F5584"/>
    <w:rsid w:val="00505119"/>
    <w:rsid w:val="005267F7"/>
    <w:rsid w:val="00535F99"/>
    <w:rsid w:val="00545669"/>
    <w:rsid w:val="00555E45"/>
    <w:rsid w:val="00556F88"/>
    <w:rsid w:val="00560EDA"/>
    <w:rsid w:val="00567B54"/>
    <w:rsid w:val="0057186B"/>
    <w:rsid w:val="005827E3"/>
    <w:rsid w:val="00586B1D"/>
    <w:rsid w:val="005B4854"/>
    <w:rsid w:val="005B6711"/>
    <w:rsid w:val="005E67CA"/>
    <w:rsid w:val="00607393"/>
    <w:rsid w:val="00622CE3"/>
    <w:rsid w:val="00635FA2"/>
    <w:rsid w:val="0064235A"/>
    <w:rsid w:val="00647213"/>
    <w:rsid w:val="00653A0E"/>
    <w:rsid w:val="00653B29"/>
    <w:rsid w:val="0067009C"/>
    <w:rsid w:val="006760CF"/>
    <w:rsid w:val="006969B4"/>
    <w:rsid w:val="006A0C05"/>
    <w:rsid w:val="006A335A"/>
    <w:rsid w:val="006B5061"/>
    <w:rsid w:val="006E24F0"/>
    <w:rsid w:val="006F6581"/>
    <w:rsid w:val="007128A1"/>
    <w:rsid w:val="00715D93"/>
    <w:rsid w:val="00720BA2"/>
    <w:rsid w:val="00781AC9"/>
    <w:rsid w:val="00781E2A"/>
    <w:rsid w:val="007A6373"/>
    <w:rsid w:val="007B34FB"/>
    <w:rsid w:val="008134A7"/>
    <w:rsid w:val="00823E22"/>
    <w:rsid w:val="008258C2"/>
    <w:rsid w:val="00833CCA"/>
    <w:rsid w:val="00846D89"/>
    <w:rsid w:val="008505BD"/>
    <w:rsid w:val="00850C78"/>
    <w:rsid w:val="00855B98"/>
    <w:rsid w:val="008C17AD"/>
    <w:rsid w:val="008D02CD"/>
    <w:rsid w:val="008F29BD"/>
    <w:rsid w:val="0091255A"/>
    <w:rsid w:val="00934054"/>
    <w:rsid w:val="0095172A"/>
    <w:rsid w:val="00963CD8"/>
    <w:rsid w:val="00975A06"/>
    <w:rsid w:val="009900B7"/>
    <w:rsid w:val="009D3E5C"/>
    <w:rsid w:val="009D4C42"/>
    <w:rsid w:val="009F0942"/>
    <w:rsid w:val="00A119A2"/>
    <w:rsid w:val="00A41330"/>
    <w:rsid w:val="00A42718"/>
    <w:rsid w:val="00A54E47"/>
    <w:rsid w:val="00A6120F"/>
    <w:rsid w:val="00A85283"/>
    <w:rsid w:val="00A9210B"/>
    <w:rsid w:val="00AA30D4"/>
    <w:rsid w:val="00AD1512"/>
    <w:rsid w:val="00AE7093"/>
    <w:rsid w:val="00AF276D"/>
    <w:rsid w:val="00B00CEC"/>
    <w:rsid w:val="00B07A99"/>
    <w:rsid w:val="00B17920"/>
    <w:rsid w:val="00B321C3"/>
    <w:rsid w:val="00B422BC"/>
    <w:rsid w:val="00B43F77"/>
    <w:rsid w:val="00B44D9D"/>
    <w:rsid w:val="00B616C2"/>
    <w:rsid w:val="00B95F0A"/>
    <w:rsid w:val="00B96180"/>
    <w:rsid w:val="00BC172A"/>
    <w:rsid w:val="00BC1FB8"/>
    <w:rsid w:val="00C0097C"/>
    <w:rsid w:val="00C05882"/>
    <w:rsid w:val="00C10FFB"/>
    <w:rsid w:val="00C17AC0"/>
    <w:rsid w:val="00C24BFC"/>
    <w:rsid w:val="00C31ED4"/>
    <w:rsid w:val="00C34772"/>
    <w:rsid w:val="00C36657"/>
    <w:rsid w:val="00C44C79"/>
    <w:rsid w:val="00C50A2D"/>
    <w:rsid w:val="00C71699"/>
    <w:rsid w:val="00C717E3"/>
    <w:rsid w:val="00CB3300"/>
    <w:rsid w:val="00CC1DE4"/>
    <w:rsid w:val="00CD4AE3"/>
    <w:rsid w:val="00D027A3"/>
    <w:rsid w:val="00D119EC"/>
    <w:rsid w:val="00DA16FC"/>
    <w:rsid w:val="00DA7E46"/>
    <w:rsid w:val="00DD77C9"/>
    <w:rsid w:val="00DD7900"/>
    <w:rsid w:val="00DF4D66"/>
    <w:rsid w:val="00DF5926"/>
    <w:rsid w:val="00DF61F3"/>
    <w:rsid w:val="00E25441"/>
    <w:rsid w:val="00E5040E"/>
    <w:rsid w:val="00E764E2"/>
    <w:rsid w:val="00E81A56"/>
    <w:rsid w:val="00E839B0"/>
    <w:rsid w:val="00E85734"/>
    <w:rsid w:val="00E92C09"/>
    <w:rsid w:val="00EA3374"/>
    <w:rsid w:val="00EB4E19"/>
    <w:rsid w:val="00EF4FA4"/>
    <w:rsid w:val="00F224BA"/>
    <w:rsid w:val="00F40F4E"/>
    <w:rsid w:val="00F453C5"/>
    <w:rsid w:val="00F55157"/>
    <w:rsid w:val="00F6461F"/>
    <w:rsid w:val="00F81188"/>
    <w:rsid w:val="00F834B9"/>
    <w:rsid w:val="00F8524F"/>
    <w:rsid w:val="00F85832"/>
    <w:rsid w:val="00F904D8"/>
    <w:rsid w:val="00FA4A45"/>
    <w:rsid w:val="00FB1841"/>
    <w:rsid w:val="00FD2B2D"/>
    <w:rsid w:val="00FD2B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5DEFE9AD"/>
  <w15:docId w15:val="{E80F4606-20FD-4547-8ADB-03D9C0C7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5441"/>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Style 58,超????,超?级链,하이퍼링크2,하이퍼링크21,CEO_Hyperlink,超??级链Ú,fL????,fL?级,超??级链,超?级链Ú,’´?级链,’´????,’´??级链Ú,’´??级,超链接1,超?级链ïÈ,õ±?级链,õ±链ïÈ1,õ±???,超?级链?,Style?,S"/>
    <w:basedOn w:val="DefaultParagraphFont"/>
    <w:uiPriority w:val="99"/>
    <w:qForma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paragraph" w:styleId="BalloonText">
    <w:name w:val="Balloon Text"/>
    <w:basedOn w:val="Normal"/>
    <w:link w:val="BalloonTextChar"/>
    <w:rsid w:val="0091255A"/>
    <w:pPr>
      <w:spacing w:before="0"/>
    </w:pPr>
    <w:rPr>
      <w:rFonts w:ascii="Tahoma" w:hAnsi="Tahoma" w:cs="Tahoma"/>
      <w:sz w:val="16"/>
      <w:szCs w:val="16"/>
    </w:rPr>
  </w:style>
  <w:style w:type="character" w:customStyle="1" w:styleId="BalloonTextChar">
    <w:name w:val="Balloon Text Char"/>
    <w:basedOn w:val="DefaultParagraphFont"/>
    <w:link w:val="BalloonText"/>
    <w:rsid w:val="0091255A"/>
    <w:rPr>
      <w:rFonts w:ascii="Tahoma" w:hAnsi="Tahoma" w:cs="Tahoma"/>
      <w:sz w:val="16"/>
      <w:szCs w:val="16"/>
      <w:lang w:val="es-ES_tradnl" w:eastAsia="en-US"/>
    </w:rPr>
  </w:style>
  <w:style w:type="paragraph" w:styleId="ListParagraph">
    <w:name w:val="List Paragraph"/>
    <w:basedOn w:val="Normal"/>
    <w:uiPriority w:val="34"/>
    <w:qFormat/>
    <w:rsid w:val="00F8524F"/>
    <w:pPr>
      <w:ind w:left="720"/>
      <w:contextualSpacing/>
    </w:pPr>
  </w:style>
  <w:style w:type="paragraph" w:customStyle="1" w:styleId="AnnexNo">
    <w:name w:val="Annex_No"/>
    <w:basedOn w:val="Normal"/>
    <w:next w:val="Normal"/>
    <w:rsid w:val="005B4854"/>
    <w:pPr>
      <w:keepNext/>
      <w:keepLines/>
      <w:spacing w:before="480" w:after="80"/>
      <w:jc w:val="center"/>
      <w:textAlignment w:val="auto"/>
    </w:pPr>
    <w:rPr>
      <w:caps/>
      <w:sz w:val="28"/>
      <w:lang w:val="fr-FR"/>
    </w:rPr>
  </w:style>
  <w:style w:type="table" w:styleId="TableGrid">
    <w:name w:val="Table Grid"/>
    <w:basedOn w:val="TableNormal"/>
    <w:rsid w:val="002545A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asons">
    <w:name w:val="Reasons"/>
    <w:basedOn w:val="Normal"/>
    <w:qFormat/>
    <w:rsid w:val="002545AA"/>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 w:type="character" w:styleId="UnresolvedMention">
    <w:name w:val="Unresolved Mention"/>
    <w:basedOn w:val="DefaultParagraphFont"/>
    <w:uiPriority w:val="99"/>
    <w:semiHidden/>
    <w:unhideWhenUsed/>
    <w:rsid w:val="00781AC9"/>
    <w:rPr>
      <w:color w:val="605E5C"/>
      <w:shd w:val="clear" w:color="auto" w:fill="E1DFDD"/>
    </w:rPr>
  </w:style>
  <w:style w:type="paragraph" w:styleId="CommentText">
    <w:name w:val="annotation text"/>
    <w:basedOn w:val="Normal"/>
    <w:link w:val="CommentTextChar"/>
    <w:semiHidden/>
    <w:unhideWhenUsed/>
    <w:rsid w:val="00781AC9"/>
    <w:pPr>
      <w:spacing w:before="100"/>
      <w:textAlignment w:val="auto"/>
    </w:pPr>
    <w:rPr>
      <w:sz w:val="20"/>
      <w:lang w:val="en-GB"/>
    </w:rPr>
  </w:style>
  <w:style w:type="character" w:customStyle="1" w:styleId="CommentTextChar">
    <w:name w:val="Comment Text Char"/>
    <w:basedOn w:val="DefaultParagraphFont"/>
    <w:link w:val="CommentText"/>
    <w:semiHidden/>
    <w:rsid w:val="00781AC9"/>
    <w:rPr>
      <w:rFonts w:asciiTheme="minorHAnsi" w:hAnsiTheme="minorHAnsi"/>
      <w:lang w:val="en-GB" w:eastAsia="en-US"/>
    </w:rPr>
  </w:style>
  <w:style w:type="character" w:styleId="CommentReference">
    <w:name w:val="annotation reference"/>
    <w:basedOn w:val="DefaultParagraphFont"/>
    <w:semiHidden/>
    <w:unhideWhenUsed/>
    <w:rsid w:val="00781AC9"/>
    <w:rPr>
      <w:sz w:val="16"/>
      <w:szCs w:val="16"/>
    </w:rPr>
  </w:style>
  <w:style w:type="paragraph" w:customStyle="1" w:styleId="Annextitle0">
    <w:name w:val="Annex_title"/>
    <w:basedOn w:val="Normal"/>
    <w:next w:val="Normal"/>
    <w:rsid w:val="001679BB"/>
    <w:pPr>
      <w:keepNext/>
      <w:keepLines/>
      <w:spacing w:before="240" w:after="280"/>
      <w:jc w:val="center"/>
      <w:textAlignment w:val="auto"/>
    </w:pPr>
    <w:rPr>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12619">
      <w:bodyDiv w:val="1"/>
      <w:marLeft w:val="0"/>
      <w:marRight w:val="0"/>
      <w:marTop w:val="0"/>
      <w:marBottom w:val="0"/>
      <w:divBdr>
        <w:top w:val="none" w:sz="0" w:space="0" w:color="auto"/>
        <w:left w:val="none" w:sz="0" w:space="0" w:color="auto"/>
        <w:bottom w:val="none" w:sz="0" w:space="0" w:color="auto"/>
        <w:right w:val="none" w:sz="0" w:space="0" w:color="auto"/>
      </w:divBdr>
    </w:div>
    <w:div w:id="186142175">
      <w:bodyDiv w:val="1"/>
      <w:marLeft w:val="0"/>
      <w:marRight w:val="0"/>
      <w:marTop w:val="0"/>
      <w:marBottom w:val="0"/>
      <w:divBdr>
        <w:top w:val="none" w:sz="0" w:space="0" w:color="auto"/>
        <w:left w:val="none" w:sz="0" w:space="0" w:color="auto"/>
        <w:bottom w:val="none" w:sz="0" w:space="0" w:color="auto"/>
        <w:right w:val="none" w:sz="0" w:space="0" w:color="auto"/>
      </w:divBdr>
    </w:div>
    <w:div w:id="468476161">
      <w:bodyDiv w:val="1"/>
      <w:marLeft w:val="0"/>
      <w:marRight w:val="0"/>
      <w:marTop w:val="0"/>
      <w:marBottom w:val="0"/>
      <w:divBdr>
        <w:top w:val="none" w:sz="0" w:space="0" w:color="auto"/>
        <w:left w:val="none" w:sz="0" w:space="0" w:color="auto"/>
        <w:bottom w:val="none" w:sz="0" w:space="0" w:color="auto"/>
        <w:right w:val="none" w:sz="0" w:space="0" w:color="auto"/>
      </w:divBdr>
    </w:div>
    <w:div w:id="499856400">
      <w:bodyDiv w:val="1"/>
      <w:marLeft w:val="0"/>
      <w:marRight w:val="0"/>
      <w:marTop w:val="0"/>
      <w:marBottom w:val="0"/>
      <w:divBdr>
        <w:top w:val="none" w:sz="0" w:space="0" w:color="auto"/>
        <w:left w:val="none" w:sz="0" w:space="0" w:color="auto"/>
        <w:bottom w:val="none" w:sz="0" w:space="0" w:color="auto"/>
        <w:right w:val="none" w:sz="0" w:space="0" w:color="auto"/>
      </w:divBdr>
    </w:div>
    <w:div w:id="719593056">
      <w:bodyDiv w:val="1"/>
      <w:marLeft w:val="0"/>
      <w:marRight w:val="0"/>
      <w:marTop w:val="0"/>
      <w:marBottom w:val="0"/>
      <w:divBdr>
        <w:top w:val="none" w:sz="0" w:space="0" w:color="auto"/>
        <w:left w:val="none" w:sz="0" w:space="0" w:color="auto"/>
        <w:bottom w:val="none" w:sz="0" w:space="0" w:color="auto"/>
        <w:right w:val="none" w:sz="0" w:space="0" w:color="auto"/>
      </w:divBdr>
    </w:div>
    <w:div w:id="976687038">
      <w:bodyDiv w:val="1"/>
      <w:marLeft w:val="0"/>
      <w:marRight w:val="0"/>
      <w:marTop w:val="0"/>
      <w:marBottom w:val="0"/>
      <w:divBdr>
        <w:top w:val="none" w:sz="0" w:space="0" w:color="auto"/>
        <w:left w:val="none" w:sz="0" w:space="0" w:color="auto"/>
        <w:bottom w:val="none" w:sz="0" w:space="0" w:color="auto"/>
        <w:right w:val="none" w:sz="0" w:space="0" w:color="auto"/>
      </w:divBdr>
    </w:div>
    <w:div w:id="1048803434">
      <w:bodyDiv w:val="1"/>
      <w:marLeft w:val="0"/>
      <w:marRight w:val="0"/>
      <w:marTop w:val="0"/>
      <w:marBottom w:val="0"/>
      <w:divBdr>
        <w:top w:val="none" w:sz="0" w:space="0" w:color="auto"/>
        <w:left w:val="none" w:sz="0" w:space="0" w:color="auto"/>
        <w:bottom w:val="none" w:sz="0" w:space="0" w:color="auto"/>
        <w:right w:val="none" w:sz="0" w:space="0" w:color="auto"/>
      </w:divBdr>
    </w:div>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 w:id="1275748757">
      <w:bodyDiv w:val="1"/>
      <w:marLeft w:val="0"/>
      <w:marRight w:val="0"/>
      <w:marTop w:val="0"/>
      <w:marBottom w:val="0"/>
      <w:divBdr>
        <w:top w:val="none" w:sz="0" w:space="0" w:color="auto"/>
        <w:left w:val="none" w:sz="0" w:space="0" w:color="auto"/>
        <w:bottom w:val="none" w:sz="0" w:space="0" w:color="auto"/>
        <w:right w:val="none" w:sz="0" w:space="0" w:color="auto"/>
      </w:divBdr>
    </w:div>
    <w:div w:id="1294948064">
      <w:bodyDiv w:val="1"/>
      <w:marLeft w:val="0"/>
      <w:marRight w:val="0"/>
      <w:marTop w:val="0"/>
      <w:marBottom w:val="0"/>
      <w:divBdr>
        <w:top w:val="none" w:sz="0" w:space="0" w:color="auto"/>
        <w:left w:val="none" w:sz="0" w:space="0" w:color="auto"/>
        <w:bottom w:val="none" w:sz="0" w:space="0" w:color="auto"/>
        <w:right w:val="none" w:sz="0" w:space="0" w:color="auto"/>
      </w:divBdr>
    </w:div>
    <w:div w:id="1525050513">
      <w:bodyDiv w:val="1"/>
      <w:marLeft w:val="0"/>
      <w:marRight w:val="0"/>
      <w:marTop w:val="0"/>
      <w:marBottom w:val="0"/>
      <w:divBdr>
        <w:top w:val="none" w:sz="0" w:space="0" w:color="auto"/>
        <w:left w:val="none" w:sz="0" w:space="0" w:color="auto"/>
        <w:bottom w:val="none" w:sz="0" w:space="0" w:color="auto"/>
        <w:right w:val="none" w:sz="0" w:space="0" w:color="auto"/>
      </w:divBdr>
    </w:div>
    <w:div w:id="1679622420">
      <w:bodyDiv w:val="1"/>
      <w:marLeft w:val="0"/>
      <w:marRight w:val="0"/>
      <w:marTop w:val="0"/>
      <w:marBottom w:val="0"/>
      <w:divBdr>
        <w:top w:val="none" w:sz="0" w:space="0" w:color="auto"/>
        <w:left w:val="none" w:sz="0" w:space="0" w:color="auto"/>
        <w:bottom w:val="none" w:sz="0" w:space="0" w:color="auto"/>
        <w:right w:val="none" w:sz="0" w:space="0" w:color="auto"/>
      </w:divBdr>
    </w:div>
    <w:div w:id="1782143656">
      <w:bodyDiv w:val="1"/>
      <w:marLeft w:val="0"/>
      <w:marRight w:val="0"/>
      <w:marTop w:val="0"/>
      <w:marBottom w:val="0"/>
      <w:divBdr>
        <w:top w:val="none" w:sz="0" w:space="0" w:color="auto"/>
        <w:left w:val="none" w:sz="0" w:space="0" w:color="auto"/>
        <w:bottom w:val="none" w:sz="0" w:space="0" w:color="auto"/>
        <w:right w:val="none" w:sz="0" w:space="0" w:color="auto"/>
      </w:divBdr>
    </w:div>
    <w:div w:id="185240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1.png@01D2C590.81C3C8E0" TargetMode="External"/><Relationship Id="rId18" Type="http://schemas.openxmlformats.org/officeDocument/2006/relationships/hyperlink" Target="https://www.itu.int/md/T25-TSB-CIR-0001/e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remote.itu.in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tu.int/TIES/" TargetMode="External"/><Relationship Id="rId20" Type="http://schemas.openxmlformats.org/officeDocument/2006/relationships/hyperlink" Target="https://www.itu.int/en/ITU-T/studygroups/2025-2028/17/Pages/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T/studygroups/2025-2028/17/Pages/default.asp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itu.int/en/ITU-T/studygroups/Pages/templates.aspx" TargetMode="External"/><Relationship Id="rId23" Type="http://schemas.openxmlformats.org/officeDocument/2006/relationships/footer" Target="footer1.xml"/><Relationship Id="rId10" Type="http://schemas.openxmlformats.org/officeDocument/2006/relationships/hyperlink" Target="https://itu.int/go/tsg17" TargetMode="External"/><Relationship Id="rId19" Type="http://schemas.openxmlformats.org/officeDocument/2006/relationships/hyperlink" Target="https://www.itu.int/md/T25-SG17-R" TargetMode="External"/><Relationship Id="rId4" Type="http://schemas.openxmlformats.org/officeDocument/2006/relationships/settings" Target="settings.xml"/><Relationship Id="rId9" Type="http://schemas.openxmlformats.org/officeDocument/2006/relationships/hyperlink" Target="mailto:tsbsg17@itu.int" TargetMode="External"/><Relationship Id="rId14" Type="http://schemas.openxmlformats.org/officeDocument/2006/relationships/hyperlink" Target="http://itu.int/net/ITU-T/ddp/" TargetMode="Externa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al\AppData\Roaming\Microsoft\Templates\PS_TSBCIRC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58446-A7FA-4DB2-81C2-D7DAF5BB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PS_TSBCIRC1.dotm</Template>
  <TotalTime>14</TotalTime>
  <Pages>4</Pages>
  <Words>1365</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8755</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tello</dc:creator>
  <cp:lastModifiedBy>Spanish</cp:lastModifiedBy>
  <cp:revision>6</cp:revision>
  <cp:lastPrinted>2012-02-21T14:52:00Z</cp:lastPrinted>
  <dcterms:created xsi:type="dcterms:W3CDTF">2026-09-15T13:38:00Z</dcterms:created>
  <dcterms:modified xsi:type="dcterms:W3CDTF">2026-09-15T13:52:00Z</dcterms:modified>
</cp:coreProperties>
</file>