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21"/>
        <w:tblW w:w="9781" w:type="dxa"/>
        <w:tblLayout w:type="fixed"/>
        <w:tblCellMar>
          <w:left w:w="0" w:type="dxa"/>
          <w:right w:w="0" w:type="dxa"/>
        </w:tblCellMar>
        <w:tblLook w:val="0000" w:firstRow="0" w:lastRow="0" w:firstColumn="0" w:lastColumn="0" w:noHBand="0" w:noVBand="0"/>
      </w:tblPr>
      <w:tblGrid>
        <w:gridCol w:w="1418"/>
        <w:gridCol w:w="6379"/>
        <w:gridCol w:w="1984"/>
      </w:tblGrid>
      <w:tr w:rsidR="00427EA6" w:rsidRPr="00697BC1" w14:paraId="0B03DD3B" w14:textId="77777777" w:rsidTr="00427EA6">
        <w:trPr>
          <w:cantSplit/>
        </w:trPr>
        <w:tc>
          <w:tcPr>
            <w:tcW w:w="1418" w:type="dxa"/>
            <w:vAlign w:val="center"/>
          </w:tcPr>
          <w:p w14:paraId="109F1C1E" w14:textId="77777777" w:rsidR="00427EA6" w:rsidRPr="00697BC1" w:rsidRDefault="00CD4AE3" w:rsidP="00427EA6">
            <w:pPr>
              <w:tabs>
                <w:tab w:val="right" w:pos="8732"/>
              </w:tabs>
              <w:spacing w:before="0"/>
              <w:rPr>
                <w:b/>
                <w:bCs/>
                <w:iCs/>
                <w:color w:val="FFFFFF"/>
                <w:sz w:val="30"/>
                <w:szCs w:val="30"/>
              </w:rPr>
            </w:pPr>
            <w:r w:rsidRPr="00F1238A">
              <w:rPr>
                <w:noProof/>
                <w:lang w:val="en-US" w:eastAsia="zh-CN"/>
              </w:rPr>
              <w:drawing>
                <wp:inline distT="0" distB="0" distL="0" distR="0" wp14:anchorId="29BF0307" wp14:editId="1FE3EF5F">
                  <wp:extent cx="812165" cy="81216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International Teleocmmunication Union - Connecting the World." title="ITU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165" cy="812165"/>
                          </a:xfrm>
                          <a:prstGeom prst="rect">
                            <a:avLst/>
                          </a:prstGeom>
                          <a:noFill/>
                          <a:ln>
                            <a:noFill/>
                          </a:ln>
                        </pic:spPr>
                      </pic:pic>
                    </a:graphicData>
                  </a:graphic>
                </wp:inline>
              </w:drawing>
            </w:r>
          </w:p>
        </w:tc>
        <w:tc>
          <w:tcPr>
            <w:tcW w:w="6379" w:type="dxa"/>
            <w:vAlign w:val="center"/>
          </w:tcPr>
          <w:p w14:paraId="430667E4" w14:textId="77777777" w:rsidR="00427EA6" w:rsidRPr="00161F9A" w:rsidRDefault="00427EA6" w:rsidP="00427EA6">
            <w:pPr>
              <w:spacing w:before="0"/>
              <w:rPr>
                <w:rFonts w:cs="Times New Roman Bold"/>
                <w:b/>
                <w:bCs/>
                <w:smallCaps/>
                <w:sz w:val="26"/>
                <w:szCs w:val="26"/>
              </w:rPr>
            </w:pPr>
            <w:r>
              <w:rPr>
                <w:rFonts w:cs="Times New Roman Bold"/>
                <w:b/>
                <w:bCs/>
                <w:smallCaps/>
                <w:sz w:val="36"/>
                <w:szCs w:val="36"/>
              </w:rPr>
              <w:t>Unión Internacional de Telecomunicaciones</w:t>
            </w:r>
          </w:p>
          <w:p w14:paraId="67CC6A1F" w14:textId="77777777" w:rsidR="00427EA6" w:rsidRPr="00884D12" w:rsidRDefault="00427EA6" w:rsidP="00427EA6">
            <w:pPr>
              <w:tabs>
                <w:tab w:val="right" w:pos="8732"/>
              </w:tabs>
              <w:spacing w:before="0"/>
              <w:rPr>
                <w:b/>
                <w:bCs/>
                <w:iCs/>
                <w:color w:val="FFFFFF"/>
                <w:sz w:val="30"/>
                <w:szCs w:val="30"/>
                <w:lang w:val="es-ES"/>
              </w:rPr>
            </w:pPr>
            <w:r>
              <w:rPr>
                <w:rFonts w:cs="Times New Roman Bold"/>
                <w:b/>
                <w:bCs/>
                <w:iCs/>
                <w:smallCaps/>
                <w:sz w:val="28"/>
                <w:szCs w:val="28"/>
              </w:rPr>
              <w:t>Oficina de Normalización de las Telecomunicaciones</w:t>
            </w:r>
          </w:p>
        </w:tc>
        <w:tc>
          <w:tcPr>
            <w:tcW w:w="1984" w:type="dxa"/>
            <w:vAlign w:val="center"/>
          </w:tcPr>
          <w:p w14:paraId="28100E5D" w14:textId="77777777" w:rsidR="00427EA6" w:rsidRPr="00697BC1" w:rsidRDefault="00427EA6" w:rsidP="00427EA6">
            <w:pPr>
              <w:spacing w:before="0"/>
              <w:jc w:val="right"/>
              <w:rPr>
                <w:color w:val="FFFFFF"/>
                <w:sz w:val="26"/>
                <w:szCs w:val="26"/>
              </w:rPr>
            </w:pPr>
          </w:p>
        </w:tc>
      </w:tr>
    </w:tbl>
    <w:p w14:paraId="2E4AD2F0" w14:textId="77777777" w:rsidR="002545AA" w:rsidRPr="007F23CA" w:rsidRDefault="002545AA" w:rsidP="007F23CA">
      <w:pPr>
        <w:spacing w:before="0"/>
        <w:rPr>
          <w:sz w:val="2"/>
          <w:szCs w:val="2"/>
        </w:rPr>
      </w:pPr>
    </w:p>
    <w:tbl>
      <w:tblPr>
        <w:tblW w:w="9639" w:type="dxa"/>
        <w:tblInd w:w="8" w:type="dxa"/>
        <w:tblLayout w:type="fixed"/>
        <w:tblCellMar>
          <w:left w:w="0" w:type="dxa"/>
          <w:right w:w="0" w:type="dxa"/>
        </w:tblCellMar>
        <w:tblLook w:val="0000" w:firstRow="0" w:lastRow="0" w:firstColumn="0" w:lastColumn="0" w:noHBand="0" w:noVBand="0"/>
      </w:tblPr>
      <w:tblGrid>
        <w:gridCol w:w="1342"/>
        <w:gridCol w:w="3535"/>
        <w:gridCol w:w="4762"/>
      </w:tblGrid>
      <w:tr w:rsidR="002545AA" w:rsidRPr="00E35001" w14:paraId="7A231F32" w14:textId="77777777" w:rsidTr="007F23CA">
        <w:trPr>
          <w:cantSplit/>
          <w:trHeight w:val="649"/>
        </w:trPr>
        <w:tc>
          <w:tcPr>
            <w:tcW w:w="1342" w:type="dxa"/>
          </w:tcPr>
          <w:p w14:paraId="078B0500" w14:textId="77777777" w:rsidR="002545AA" w:rsidRPr="00E35001" w:rsidRDefault="002545AA" w:rsidP="002C58A4">
            <w:pPr>
              <w:tabs>
                <w:tab w:val="left" w:pos="4111"/>
              </w:tabs>
              <w:spacing w:before="10"/>
              <w:ind w:left="57"/>
              <w:rPr>
                <w:szCs w:val="24"/>
              </w:rPr>
            </w:pPr>
          </w:p>
        </w:tc>
        <w:tc>
          <w:tcPr>
            <w:tcW w:w="3535" w:type="dxa"/>
          </w:tcPr>
          <w:p w14:paraId="7B4B933C" w14:textId="77777777" w:rsidR="002545AA" w:rsidRPr="00E35001" w:rsidRDefault="002545AA" w:rsidP="002C58A4">
            <w:pPr>
              <w:tabs>
                <w:tab w:val="left" w:pos="4111"/>
              </w:tabs>
              <w:spacing w:before="10"/>
              <w:ind w:left="57"/>
              <w:rPr>
                <w:b/>
              </w:rPr>
            </w:pPr>
          </w:p>
        </w:tc>
        <w:tc>
          <w:tcPr>
            <w:tcW w:w="4762" w:type="dxa"/>
          </w:tcPr>
          <w:p w14:paraId="1D5C5484" w14:textId="4C091832" w:rsidR="002545AA" w:rsidRPr="00E35001" w:rsidRDefault="002545AA" w:rsidP="002C58A4">
            <w:pPr>
              <w:pStyle w:val="Tabletext0"/>
              <w:tabs>
                <w:tab w:val="clear" w:pos="1134"/>
                <w:tab w:val="clear" w:pos="2268"/>
                <w:tab w:val="left" w:pos="794"/>
                <w:tab w:val="left" w:pos="1191"/>
                <w:tab w:val="left" w:pos="1588"/>
              </w:tabs>
              <w:spacing w:before="240" w:after="120"/>
              <w:rPr>
                <w:bCs/>
              </w:rPr>
            </w:pPr>
            <w:r w:rsidRPr="009B61DC">
              <w:rPr>
                <w:lang w:val="en-GB"/>
              </w:rPr>
              <w:t>Ginebra</w:t>
            </w:r>
            <w:r w:rsidRPr="00E35001">
              <w:t xml:space="preserve">, </w:t>
            </w:r>
            <w:r w:rsidR="00665A9E">
              <w:t>22 de diciembre de 2025</w:t>
            </w:r>
          </w:p>
        </w:tc>
      </w:tr>
      <w:tr w:rsidR="002545AA" w:rsidRPr="00E35001" w14:paraId="2E0EE69F" w14:textId="77777777" w:rsidTr="007F23CA">
        <w:trPr>
          <w:cantSplit/>
          <w:trHeight w:val="649"/>
        </w:trPr>
        <w:tc>
          <w:tcPr>
            <w:tcW w:w="1342" w:type="dxa"/>
          </w:tcPr>
          <w:p w14:paraId="3070B9CD" w14:textId="77777777" w:rsidR="002545AA" w:rsidRPr="00E35001" w:rsidRDefault="002545AA" w:rsidP="007F23CA">
            <w:pPr>
              <w:tabs>
                <w:tab w:val="left" w:pos="4111"/>
              </w:tabs>
              <w:spacing w:before="40" w:after="40"/>
              <w:ind w:left="-10"/>
              <w:rPr>
                <w:szCs w:val="24"/>
              </w:rPr>
            </w:pPr>
            <w:r w:rsidRPr="007F23CA">
              <w:rPr>
                <w:b/>
                <w:bCs/>
                <w:szCs w:val="24"/>
              </w:rPr>
              <w:t>Ref</w:t>
            </w:r>
            <w:r w:rsidRPr="00E35001">
              <w:rPr>
                <w:szCs w:val="24"/>
              </w:rPr>
              <w:t>.:</w:t>
            </w:r>
          </w:p>
        </w:tc>
        <w:tc>
          <w:tcPr>
            <w:tcW w:w="3535" w:type="dxa"/>
          </w:tcPr>
          <w:p w14:paraId="6F94B208" w14:textId="2512D363" w:rsidR="002545AA" w:rsidRPr="00E35001" w:rsidRDefault="002545AA" w:rsidP="002C58A4">
            <w:pPr>
              <w:tabs>
                <w:tab w:val="left" w:pos="4111"/>
              </w:tabs>
              <w:spacing w:before="40" w:after="40"/>
              <w:ind w:left="57"/>
              <w:rPr>
                <w:b/>
                <w:szCs w:val="24"/>
              </w:rPr>
            </w:pPr>
            <w:r w:rsidRPr="00E35001">
              <w:rPr>
                <w:b/>
              </w:rPr>
              <w:t xml:space="preserve">Carta Colectiva TSB </w:t>
            </w:r>
            <w:r w:rsidR="00665A9E">
              <w:rPr>
                <w:b/>
                <w:szCs w:val="24"/>
              </w:rPr>
              <w:t>6</w:t>
            </w:r>
            <w:r w:rsidRPr="00E35001">
              <w:rPr>
                <w:b/>
                <w:szCs w:val="24"/>
              </w:rPr>
              <w:t>/</w:t>
            </w:r>
            <w:r w:rsidR="00665A9E">
              <w:rPr>
                <w:b/>
                <w:szCs w:val="24"/>
              </w:rPr>
              <w:t>17</w:t>
            </w:r>
          </w:p>
          <w:p w14:paraId="367EBE77" w14:textId="13961F99" w:rsidR="002545AA" w:rsidRPr="00E35001" w:rsidRDefault="002545AA" w:rsidP="002C58A4">
            <w:pPr>
              <w:tabs>
                <w:tab w:val="left" w:pos="4111"/>
              </w:tabs>
              <w:spacing w:before="0" w:after="40"/>
              <w:ind w:left="57"/>
              <w:rPr>
                <w:u w:val="single"/>
              </w:rPr>
            </w:pPr>
            <w:bookmarkStart w:id="0" w:name="lt_pId018"/>
            <w:r w:rsidRPr="00E35001">
              <w:t>CE </w:t>
            </w:r>
            <w:r w:rsidR="00665A9E">
              <w:t>17</w:t>
            </w:r>
            <w:r w:rsidRPr="00E35001">
              <w:t>/XY</w:t>
            </w:r>
            <w:bookmarkEnd w:id="0"/>
          </w:p>
        </w:tc>
        <w:tc>
          <w:tcPr>
            <w:tcW w:w="4762" w:type="dxa"/>
            <w:vMerge w:val="restart"/>
          </w:tcPr>
          <w:p w14:paraId="375DA1E4" w14:textId="77777777" w:rsidR="002545AA" w:rsidRPr="00E35001" w:rsidRDefault="002545AA" w:rsidP="002C58A4">
            <w:pPr>
              <w:tabs>
                <w:tab w:val="left" w:pos="4111"/>
              </w:tabs>
              <w:spacing w:before="40" w:after="40"/>
              <w:ind w:left="57"/>
              <w:rPr>
                <w:bCs/>
              </w:rPr>
            </w:pPr>
            <w:r w:rsidRPr="00E35001">
              <w:rPr>
                <w:bCs/>
              </w:rPr>
              <w:t>A:</w:t>
            </w:r>
          </w:p>
          <w:p w14:paraId="1E186652" w14:textId="293DE91D" w:rsidR="002545AA" w:rsidRDefault="00665A9E" w:rsidP="002C58A4">
            <w:pPr>
              <w:tabs>
                <w:tab w:val="clear" w:pos="794"/>
                <w:tab w:val="left" w:pos="218"/>
              </w:tabs>
              <w:spacing w:before="0" w:after="40"/>
              <w:ind w:left="218" w:hanging="161"/>
            </w:pPr>
            <w:r>
              <w:t>–</w:t>
            </w:r>
            <w:r w:rsidR="002545AA" w:rsidRPr="00E35001">
              <w:tab/>
              <w:t>Las Administraciones de los Estados Miembros de la Unión;</w:t>
            </w:r>
          </w:p>
          <w:p w14:paraId="42399567" w14:textId="0DF69658" w:rsidR="00665A9E" w:rsidRPr="00E35001" w:rsidRDefault="00665A9E" w:rsidP="002C58A4">
            <w:pPr>
              <w:tabs>
                <w:tab w:val="clear" w:pos="794"/>
                <w:tab w:val="left" w:pos="218"/>
              </w:tabs>
              <w:spacing w:before="0" w:after="40"/>
              <w:ind w:left="218" w:hanging="161"/>
            </w:pPr>
            <w:r>
              <w:t>–</w:t>
            </w:r>
            <w:r>
              <w:tab/>
              <w:t>El Estado de Palestina (Res. 99 (Rev. Dubái, 2018));</w:t>
            </w:r>
          </w:p>
          <w:p w14:paraId="291A1E00" w14:textId="6A2DFDA4" w:rsidR="002545AA" w:rsidRPr="00E35001" w:rsidRDefault="00665A9E" w:rsidP="002C58A4">
            <w:pPr>
              <w:tabs>
                <w:tab w:val="clear" w:pos="794"/>
                <w:tab w:val="left" w:pos="218"/>
              </w:tabs>
              <w:spacing w:before="0" w:after="40"/>
              <w:ind w:left="57"/>
            </w:pPr>
            <w:r>
              <w:t>–</w:t>
            </w:r>
            <w:r w:rsidR="002545AA" w:rsidRPr="00E35001">
              <w:tab/>
              <w:t>Los Miembros del Sector UIT</w:t>
            </w:r>
            <w:r w:rsidR="002545AA" w:rsidRPr="00E35001">
              <w:noBreakHyphen/>
              <w:t>T;</w:t>
            </w:r>
          </w:p>
          <w:p w14:paraId="69FDA10B" w14:textId="1ECA4A60" w:rsidR="002545AA" w:rsidRPr="00E35001" w:rsidRDefault="00665A9E" w:rsidP="002C58A4">
            <w:pPr>
              <w:tabs>
                <w:tab w:val="clear" w:pos="794"/>
                <w:tab w:val="left" w:pos="218"/>
              </w:tabs>
              <w:spacing w:before="0" w:after="40"/>
              <w:ind w:left="218" w:hanging="161"/>
            </w:pPr>
            <w:r>
              <w:t>–</w:t>
            </w:r>
            <w:r w:rsidR="002545AA" w:rsidRPr="00E35001">
              <w:tab/>
              <w:t>Los Asociados que participan en los trabajos de la Comisión de Estudio 17</w:t>
            </w:r>
            <w:r>
              <w:t xml:space="preserve"> del UIT-T</w:t>
            </w:r>
            <w:r w:rsidR="002545AA" w:rsidRPr="00E35001">
              <w:t>; y a</w:t>
            </w:r>
          </w:p>
          <w:p w14:paraId="421801EE" w14:textId="38576794" w:rsidR="002545AA" w:rsidRPr="00E35001" w:rsidRDefault="00665A9E" w:rsidP="002C58A4">
            <w:pPr>
              <w:tabs>
                <w:tab w:val="clear" w:pos="794"/>
                <w:tab w:val="left" w:pos="218"/>
              </w:tabs>
              <w:spacing w:before="0" w:after="40"/>
              <w:ind w:left="57"/>
              <w:rPr>
                <w:bCs/>
              </w:rPr>
            </w:pPr>
            <w:r>
              <w:t>–</w:t>
            </w:r>
            <w:r w:rsidR="002545AA" w:rsidRPr="00E35001">
              <w:tab/>
              <w:t>Las Instituciones Académicas de la UIT</w:t>
            </w:r>
          </w:p>
        </w:tc>
      </w:tr>
      <w:tr w:rsidR="002545AA" w:rsidRPr="00E35001" w14:paraId="15DBF4C3" w14:textId="77777777" w:rsidTr="007F23CA">
        <w:trPr>
          <w:cantSplit/>
          <w:trHeight w:val="390"/>
        </w:trPr>
        <w:tc>
          <w:tcPr>
            <w:tcW w:w="1342" w:type="dxa"/>
          </w:tcPr>
          <w:p w14:paraId="0CB22F77" w14:textId="77777777" w:rsidR="002545AA" w:rsidRPr="00E35001" w:rsidRDefault="002545AA" w:rsidP="007F23CA">
            <w:pPr>
              <w:tabs>
                <w:tab w:val="left" w:pos="4111"/>
              </w:tabs>
              <w:spacing w:before="40" w:after="40"/>
              <w:ind w:left="-10"/>
              <w:rPr>
                <w:szCs w:val="24"/>
              </w:rPr>
            </w:pPr>
            <w:r w:rsidRPr="00E35001">
              <w:rPr>
                <w:szCs w:val="24"/>
              </w:rPr>
              <w:t>Tel.:</w:t>
            </w:r>
          </w:p>
        </w:tc>
        <w:tc>
          <w:tcPr>
            <w:tcW w:w="3535" w:type="dxa"/>
          </w:tcPr>
          <w:p w14:paraId="2AD3A992" w14:textId="49F218B4" w:rsidR="002545AA" w:rsidRPr="00E35001" w:rsidRDefault="002545AA" w:rsidP="002C58A4">
            <w:pPr>
              <w:tabs>
                <w:tab w:val="left" w:pos="4111"/>
              </w:tabs>
              <w:spacing w:before="40" w:after="40"/>
              <w:ind w:left="57"/>
            </w:pPr>
            <w:r w:rsidRPr="00E35001">
              <w:t xml:space="preserve">+41 22 730 </w:t>
            </w:r>
            <w:r w:rsidR="00665A9E">
              <w:t>6206</w:t>
            </w:r>
          </w:p>
        </w:tc>
        <w:tc>
          <w:tcPr>
            <w:tcW w:w="4762" w:type="dxa"/>
            <w:vMerge/>
          </w:tcPr>
          <w:p w14:paraId="151D0881" w14:textId="77777777" w:rsidR="002545AA" w:rsidRPr="00E35001" w:rsidRDefault="002545AA" w:rsidP="002C58A4">
            <w:pPr>
              <w:tabs>
                <w:tab w:val="left" w:pos="4111"/>
              </w:tabs>
              <w:spacing w:beforeLines="40" w:before="96" w:after="40"/>
              <w:ind w:left="57"/>
              <w:rPr>
                <w:bCs/>
              </w:rPr>
            </w:pPr>
          </w:p>
        </w:tc>
      </w:tr>
      <w:tr w:rsidR="002545AA" w:rsidRPr="00E35001" w14:paraId="5C08297F" w14:textId="77777777" w:rsidTr="007F23CA">
        <w:trPr>
          <w:cantSplit/>
          <w:trHeight w:val="431"/>
        </w:trPr>
        <w:tc>
          <w:tcPr>
            <w:tcW w:w="1342" w:type="dxa"/>
          </w:tcPr>
          <w:p w14:paraId="3249A3A6" w14:textId="77777777" w:rsidR="002545AA" w:rsidRPr="00E35001" w:rsidRDefault="002545AA" w:rsidP="007F23CA">
            <w:pPr>
              <w:tabs>
                <w:tab w:val="left" w:pos="4111"/>
              </w:tabs>
              <w:spacing w:before="40" w:after="40"/>
              <w:ind w:left="-10"/>
              <w:rPr>
                <w:szCs w:val="24"/>
              </w:rPr>
            </w:pPr>
            <w:r w:rsidRPr="00E35001">
              <w:rPr>
                <w:szCs w:val="24"/>
              </w:rPr>
              <w:t>Fax:</w:t>
            </w:r>
          </w:p>
        </w:tc>
        <w:tc>
          <w:tcPr>
            <w:tcW w:w="3535" w:type="dxa"/>
          </w:tcPr>
          <w:p w14:paraId="4E17E3BB" w14:textId="77777777" w:rsidR="002545AA" w:rsidRPr="00E35001" w:rsidRDefault="002545AA" w:rsidP="002C58A4">
            <w:pPr>
              <w:tabs>
                <w:tab w:val="left" w:pos="4111"/>
              </w:tabs>
              <w:spacing w:before="40" w:after="40"/>
              <w:ind w:left="57"/>
            </w:pPr>
            <w:r w:rsidRPr="00E35001">
              <w:t>+41 22 730 5853</w:t>
            </w:r>
          </w:p>
        </w:tc>
        <w:tc>
          <w:tcPr>
            <w:tcW w:w="4762" w:type="dxa"/>
            <w:vMerge/>
          </w:tcPr>
          <w:p w14:paraId="05886144" w14:textId="77777777" w:rsidR="002545AA" w:rsidRPr="00E35001" w:rsidRDefault="002545AA" w:rsidP="002C58A4">
            <w:pPr>
              <w:tabs>
                <w:tab w:val="left" w:pos="4111"/>
              </w:tabs>
              <w:spacing w:beforeLines="40" w:before="96" w:after="40"/>
              <w:ind w:left="57"/>
              <w:rPr>
                <w:bCs/>
              </w:rPr>
            </w:pPr>
          </w:p>
        </w:tc>
      </w:tr>
      <w:tr w:rsidR="002545AA" w:rsidRPr="00E35001" w14:paraId="74CE4935" w14:textId="77777777" w:rsidTr="007F23CA">
        <w:trPr>
          <w:cantSplit/>
        </w:trPr>
        <w:tc>
          <w:tcPr>
            <w:tcW w:w="1342" w:type="dxa"/>
          </w:tcPr>
          <w:p w14:paraId="402CC507" w14:textId="77777777" w:rsidR="002545AA" w:rsidRPr="00E35001" w:rsidRDefault="002545AA" w:rsidP="007F23CA">
            <w:pPr>
              <w:tabs>
                <w:tab w:val="left" w:pos="4111"/>
              </w:tabs>
              <w:spacing w:before="40" w:after="40"/>
              <w:ind w:left="-10"/>
              <w:rPr>
                <w:szCs w:val="24"/>
              </w:rPr>
            </w:pPr>
            <w:r w:rsidRPr="00E35001">
              <w:rPr>
                <w:szCs w:val="24"/>
              </w:rPr>
              <w:t>Correo-e:</w:t>
            </w:r>
          </w:p>
        </w:tc>
        <w:tc>
          <w:tcPr>
            <w:tcW w:w="3535" w:type="dxa"/>
          </w:tcPr>
          <w:p w14:paraId="108F79DC" w14:textId="5A276665" w:rsidR="002545AA" w:rsidRPr="00E35001" w:rsidRDefault="00665A9E" w:rsidP="002C58A4">
            <w:pPr>
              <w:tabs>
                <w:tab w:val="left" w:pos="4111"/>
              </w:tabs>
              <w:spacing w:before="40" w:after="40"/>
              <w:ind w:left="57"/>
            </w:pPr>
            <w:hyperlink r:id="rId9" w:history="1">
              <w:r w:rsidRPr="006261CC">
                <w:rPr>
                  <w:rStyle w:val="Hyperlink"/>
                  <w:szCs w:val="24"/>
                </w:rPr>
                <w:t>tsbsg17@itu.int</w:t>
              </w:r>
            </w:hyperlink>
          </w:p>
        </w:tc>
        <w:tc>
          <w:tcPr>
            <w:tcW w:w="4762" w:type="dxa"/>
            <w:vMerge/>
          </w:tcPr>
          <w:p w14:paraId="6B429801" w14:textId="77777777" w:rsidR="002545AA" w:rsidRPr="00E35001" w:rsidRDefault="002545AA" w:rsidP="002C58A4">
            <w:pPr>
              <w:tabs>
                <w:tab w:val="left" w:pos="4111"/>
              </w:tabs>
              <w:spacing w:beforeLines="40" w:before="96" w:after="40"/>
              <w:ind w:left="57"/>
            </w:pPr>
          </w:p>
        </w:tc>
      </w:tr>
      <w:tr w:rsidR="002545AA" w:rsidRPr="00E35001" w14:paraId="4B4B2035" w14:textId="77777777" w:rsidTr="007F23CA">
        <w:trPr>
          <w:cantSplit/>
        </w:trPr>
        <w:tc>
          <w:tcPr>
            <w:tcW w:w="1342" w:type="dxa"/>
          </w:tcPr>
          <w:p w14:paraId="28DB775B" w14:textId="77777777" w:rsidR="002545AA" w:rsidRPr="00E35001" w:rsidRDefault="002545AA" w:rsidP="007F23CA">
            <w:pPr>
              <w:tabs>
                <w:tab w:val="left" w:pos="4111"/>
              </w:tabs>
              <w:spacing w:before="40" w:after="40"/>
              <w:ind w:left="-10"/>
              <w:rPr>
                <w:szCs w:val="24"/>
              </w:rPr>
            </w:pPr>
            <w:r w:rsidRPr="00E35001">
              <w:rPr>
                <w:szCs w:val="24"/>
              </w:rPr>
              <w:t>Web:</w:t>
            </w:r>
          </w:p>
        </w:tc>
        <w:tc>
          <w:tcPr>
            <w:tcW w:w="3535" w:type="dxa"/>
          </w:tcPr>
          <w:p w14:paraId="067EB6B4" w14:textId="331D05E2" w:rsidR="002545AA" w:rsidRPr="00E35001" w:rsidRDefault="00665A9E" w:rsidP="002C58A4">
            <w:pPr>
              <w:tabs>
                <w:tab w:val="left" w:pos="4111"/>
              </w:tabs>
              <w:spacing w:before="40" w:after="40"/>
              <w:ind w:left="57"/>
            </w:pPr>
            <w:hyperlink r:id="rId10" w:history="1">
              <w:r w:rsidRPr="00CC54BD">
                <w:rPr>
                  <w:rStyle w:val="Hyperlink"/>
                </w:rPr>
                <w:t>http://itu.int/go/tsg17</w:t>
              </w:r>
            </w:hyperlink>
          </w:p>
        </w:tc>
        <w:tc>
          <w:tcPr>
            <w:tcW w:w="4762" w:type="dxa"/>
            <w:vMerge/>
          </w:tcPr>
          <w:p w14:paraId="4633C64C" w14:textId="77777777" w:rsidR="002545AA" w:rsidRPr="00E35001" w:rsidRDefault="002545AA" w:rsidP="002C58A4">
            <w:pPr>
              <w:tabs>
                <w:tab w:val="left" w:pos="4111"/>
              </w:tabs>
              <w:spacing w:beforeLines="40" w:before="96" w:after="40"/>
              <w:ind w:left="57"/>
            </w:pPr>
          </w:p>
        </w:tc>
      </w:tr>
      <w:tr w:rsidR="002545AA" w:rsidRPr="00E35001" w14:paraId="4DA8EE6E" w14:textId="77777777" w:rsidTr="007F23CA">
        <w:trPr>
          <w:cantSplit/>
          <w:trHeight w:val="680"/>
        </w:trPr>
        <w:tc>
          <w:tcPr>
            <w:tcW w:w="1342" w:type="dxa"/>
          </w:tcPr>
          <w:p w14:paraId="1C1F7FDA" w14:textId="77777777" w:rsidR="002545AA" w:rsidRPr="00E35001" w:rsidRDefault="002545AA" w:rsidP="007F23CA">
            <w:pPr>
              <w:tabs>
                <w:tab w:val="left" w:pos="4111"/>
              </w:tabs>
              <w:spacing w:before="40" w:after="40"/>
              <w:ind w:left="-10"/>
              <w:rPr>
                <w:szCs w:val="24"/>
              </w:rPr>
            </w:pPr>
            <w:r w:rsidRPr="007F23CA">
              <w:rPr>
                <w:b/>
                <w:bCs/>
                <w:szCs w:val="24"/>
              </w:rPr>
              <w:t>Asunto</w:t>
            </w:r>
            <w:r w:rsidRPr="00E35001">
              <w:rPr>
                <w:szCs w:val="24"/>
              </w:rPr>
              <w:t>:</w:t>
            </w:r>
          </w:p>
        </w:tc>
        <w:tc>
          <w:tcPr>
            <w:tcW w:w="8297" w:type="dxa"/>
            <w:gridSpan w:val="2"/>
          </w:tcPr>
          <w:p w14:paraId="7F788590" w14:textId="38414894" w:rsidR="002545AA" w:rsidRPr="00E35001" w:rsidRDefault="00665A9E" w:rsidP="002C58A4">
            <w:pPr>
              <w:tabs>
                <w:tab w:val="left" w:pos="4111"/>
              </w:tabs>
              <w:spacing w:before="40" w:after="40"/>
              <w:ind w:left="57"/>
              <w:rPr>
                <w:b/>
                <w:bCs/>
              </w:rPr>
            </w:pPr>
            <w:r>
              <w:rPr>
                <w:b/>
                <w:bCs/>
                <w:color w:val="000000"/>
                <w:lang w:val="es-ES"/>
              </w:rPr>
              <w:t>Reuniones de los Grupos de Trabajo 1, 2, 3 y 4/17;</w:t>
            </w:r>
            <w:r>
              <w:rPr>
                <w:color w:val="000000"/>
                <w:lang w:val="es-ES"/>
              </w:rPr>
              <w:br/>
            </w:r>
            <w:r>
              <w:rPr>
                <w:b/>
                <w:bCs/>
                <w:color w:val="000000"/>
                <w:lang w:val="es-ES"/>
              </w:rPr>
              <w:t>Ginebra, 2 de abril de 2026</w:t>
            </w:r>
          </w:p>
        </w:tc>
      </w:tr>
    </w:tbl>
    <w:p w14:paraId="64CFDB62" w14:textId="3B160202" w:rsidR="002545AA" w:rsidRPr="001E1E1E" w:rsidRDefault="002545AA" w:rsidP="006D338D">
      <w:bookmarkStart w:id="1" w:name="ditulogo"/>
      <w:bookmarkEnd w:id="1"/>
      <w:r w:rsidRPr="001E1E1E">
        <w:t>Muy Señora mía/Muy Señor mío</w:t>
      </w:r>
      <w:r w:rsidR="007F23CA">
        <w:t>,</w:t>
      </w:r>
    </w:p>
    <w:p w14:paraId="33433C76" w14:textId="0585193B" w:rsidR="001E1E1E" w:rsidRPr="001E1E1E" w:rsidRDefault="001E1E1E" w:rsidP="001E1E1E">
      <w:pPr>
        <w:rPr>
          <w:bCs/>
        </w:rPr>
      </w:pPr>
      <w:r w:rsidRPr="00430D15">
        <w:rPr>
          <w:rFonts w:cstheme="minorHAnsi"/>
          <w:lang w:val="es-ES"/>
        </w:rPr>
        <w:t>Con mi acuerdo a la solicitud del Sr</w:t>
      </w:r>
      <w:r>
        <w:rPr>
          <w:rFonts w:cstheme="minorHAnsi"/>
          <w:lang w:val="es-ES"/>
        </w:rPr>
        <w:t>. </w:t>
      </w:r>
      <w:r w:rsidRPr="00430D15">
        <w:rPr>
          <w:rFonts w:cstheme="minorHAnsi"/>
          <w:lang w:val="es-ES"/>
        </w:rPr>
        <w:t>Arnaud Taddei, Presidente de la Comisión de Estudio 17, y según lo refrendado en la reunión de la Comisión de Estudio</w:t>
      </w:r>
      <w:r>
        <w:rPr>
          <w:rFonts w:cstheme="minorHAnsi"/>
          <w:lang w:val="es-ES"/>
        </w:rPr>
        <w:t> </w:t>
      </w:r>
      <w:r w:rsidRPr="00430D15">
        <w:rPr>
          <w:rFonts w:cstheme="minorHAnsi"/>
          <w:lang w:val="es-ES"/>
        </w:rPr>
        <w:t>17 (Ginebra, 3-11 de diciembre de 2025), me complace invitarle a asistir a las próximas reuniones del GT</w:t>
      </w:r>
      <w:r>
        <w:rPr>
          <w:rFonts w:cstheme="minorHAnsi"/>
          <w:lang w:val="es-ES"/>
        </w:rPr>
        <w:t> </w:t>
      </w:r>
      <w:r w:rsidRPr="00430D15">
        <w:rPr>
          <w:rFonts w:cstheme="minorHAnsi"/>
          <w:lang w:val="es-ES"/>
        </w:rPr>
        <w:t>1/17 (</w:t>
      </w:r>
      <w:r w:rsidRPr="00430D15">
        <w:rPr>
          <w:rFonts w:cstheme="minorHAnsi"/>
          <w:i/>
          <w:iCs/>
          <w:lang w:val="es-ES"/>
        </w:rPr>
        <w:t>Identidad digital, seguridad cuántica, PKI y tecnologías de seguridad fundamentales</w:t>
      </w:r>
      <w:r w:rsidRPr="00430D15">
        <w:rPr>
          <w:rFonts w:cstheme="minorHAnsi"/>
          <w:lang w:val="es-ES"/>
        </w:rPr>
        <w:t>), el GT</w:t>
      </w:r>
      <w:r>
        <w:rPr>
          <w:rFonts w:cstheme="minorHAnsi"/>
          <w:lang w:val="es-ES"/>
        </w:rPr>
        <w:t> </w:t>
      </w:r>
      <w:r w:rsidRPr="00430D15">
        <w:rPr>
          <w:rFonts w:cstheme="minorHAnsi"/>
          <w:lang w:val="es-ES"/>
        </w:rPr>
        <w:t>2/17 (Seguridad de las IMT, IoT, metaverso y STI/CAV), GT</w:t>
      </w:r>
      <w:r>
        <w:rPr>
          <w:rFonts w:cstheme="minorHAnsi"/>
          <w:lang w:val="es-ES"/>
        </w:rPr>
        <w:t> </w:t>
      </w:r>
      <w:r w:rsidRPr="00430D15">
        <w:rPr>
          <w:rFonts w:cstheme="minorHAnsi"/>
          <w:lang w:val="es-ES"/>
        </w:rPr>
        <w:t>3/17 (</w:t>
      </w:r>
      <w:r w:rsidRPr="00430D15">
        <w:rPr>
          <w:rFonts w:cstheme="minorHAnsi"/>
          <w:i/>
          <w:iCs/>
          <w:lang w:val="es-ES"/>
        </w:rPr>
        <w:t>Ciberseguridad y gestión, estrategia y coordinación de seguridad</w:t>
      </w:r>
      <w:r w:rsidRPr="00430D15">
        <w:rPr>
          <w:rFonts w:cstheme="minorHAnsi"/>
          <w:lang w:val="es-ES"/>
        </w:rPr>
        <w:t>) y GT</w:t>
      </w:r>
      <w:r>
        <w:rPr>
          <w:rFonts w:cstheme="minorHAnsi"/>
          <w:lang w:val="es-ES"/>
        </w:rPr>
        <w:t> </w:t>
      </w:r>
      <w:r w:rsidRPr="00430D15">
        <w:rPr>
          <w:rFonts w:cstheme="minorHAnsi"/>
          <w:lang w:val="es-ES"/>
        </w:rPr>
        <w:t>4/17 (</w:t>
      </w:r>
      <w:r w:rsidRPr="00430D15">
        <w:rPr>
          <w:rFonts w:cstheme="minorHAnsi"/>
          <w:i/>
          <w:iCs/>
          <w:lang w:val="es-ES"/>
        </w:rPr>
        <w:t>Seguridad de la IA, servicios y aplicaciones de computación en la nube</w:t>
      </w:r>
      <w:r w:rsidRPr="00430D15">
        <w:rPr>
          <w:rFonts w:cstheme="minorHAnsi"/>
          <w:lang w:val="es-ES"/>
        </w:rPr>
        <w:t>), que se prevé celebrar en la sede de la Unión Internacional de Telecomunicaciones (UIT), en Ginebra, el 2 de abril de 2026. Las siguientes reuniones y eventos precederán a las reuniones del GT/17 en el mismo lugar:</w:t>
      </w:r>
    </w:p>
    <w:p w14:paraId="247CD5D1" w14:textId="5670AD9B" w:rsidR="001E1E1E" w:rsidRPr="001E1E1E" w:rsidRDefault="001E1E1E" w:rsidP="006D338D">
      <w:pPr>
        <w:pStyle w:val="enumlev1"/>
        <w:rPr>
          <w:bCs/>
        </w:rPr>
      </w:pPr>
      <w:r w:rsidRPr="001E1E1E">
        <w:rPr>
          <w:bCs/>
        </w:rPr>
        <w:t>–</w:t>
      </w:r>
      <w:r>
        <w:rPr>
          <w:bCs/>
        </w:rPr>
        <w:tab/>
      </w:r>
      <w:hyperlink r:id="rId11" w:history="1">
        <w:r w:rsidRPr="00113D0C">
          <w:rPr>
            <w:rStyle w:val="Hyperlink"/>
            <w:lang w:val="es-ES"/>
          </w:rPr>
          <w:t xml:space="preserve">Taller de la UIT sobre "Identidades digitales fiables </w:t>
        </w:r>
        <w:r w:rsidRPr="00113D0C">
          <w:rPr>
            <w:rStyle w:val="Hyperlink"/>
            <w:lang w:val="es-ES"/>
          </w:rPr>
          <w:t>e</w:t>
        </w:r>
        <w:r w:rsidRPr="00113D0C">
          <w:rPr>
            <w:rStyle w:val="Hyperlink"/>
            <w:lang w:val="es-ES"/>
          </w:rPr>
          <w:t xml:space="preserve"> interoperables para la IA humana y de agentes"</w:t>
        </w:r>
      </w:hyperlink>
      <w:r w:rsidRPr="00430D15">
        <w:rPr>
          <w:lang w:val="es-ES"/>
        </w:rPr>
        <w:t xml:space="preserve">, los días 30 y 31 de marzo de 2026 (véase la </w:t>
      </w:r>
      <w:hyperlink r:id="rId12" w:history="1">
        <w:r w:rsidRPr="00530066">
          <w:rPr>
            <w:rStyle w:val="Hyperlink"/>
            <w:lang w:val="es-ES"/>
          </w:rPr>
          <w:t>Circular TSB</w:t>
        </w:r>
        <w:r w:rsidRPr="00530066">
          <w:rPr>
            <w:rStyle w:val="Hyperlink"/>
            <w:lang w:val="es-ES"/>
          </w:rPr>
          <w:t xml:space="preserve"> </w:t>
        </w:r>
        <w:r w:rsidRPr="00530066">
          <w:rPr>
            <w:rStyle w:val="Hyperlink"/>
            <w:lang w:val="es-ES"/>
          </w:rPr>
          <w:t>103</w:t>
        </w:r>
      </w:hyperlink>
      <w:r w:rsidRPr="00430D15">
        <w:rPr>
          <w:lang w:val="es-ES"/>
        </w:rPr>
        <w:t>), y</w:t>
      </w:r>
    </w:p>
    <w:p w14:paraId="3EE55A87" w14:textId="189E1DB2" w:rsidR="001E1E1E" w:rsidRDefault="001E1E1E" w:rsidP="006D338D">
      <w:pPr>
        <w:pStyle w:val="enumlev1"/>
        <w:rPr>
          <w:lang w:val="es-ES"/>
        </w:rPr>
      </w:pPr>
      <w:r w:rsidRPr="001E1E1E">
        <w:rPr>
          <w:bCs/>
        </w:rPr>
        <w:t>–</w:t>
      </w:r>
      <w:r>
        <w:rPr>
          <w:bCs/>
        </w:rPr>
        <w:tab/>
      </w:r>
      <w:r w:rsidRPr="00430D15">
        <w:rPr>
          <w:lang w:val="es-ES"/>
        </w:rPr>
        <w:t>Reuniones de los Grupos de Relator de la CE 17 del 30 de marzo al 1 de abril de 2026</w:t>
      </w:r>
      <w:r>
        <w:rPr>
          <w:lang w:val="es-ES"/>
        </w:rPr>
        <w:t>.</w:t>
      </w:r>
    </w:p>
    <w:p w14:paraId="04E5F3EF" w14:textId="3237A631" w:rsidR="001E1E1E" w:rsidRDefault="001E1E1E" w:rsidP="001E1E1E">
      <w:pPr>
        <w:rPr>
          <w:lang w:val="es-ES"/>
        </w:rPr>
      </w:pPr>
      <w:r w:rsidRPr="00430D15">
        <w:rPr>
          <w:rFonts w:cstheme="minorHAnsi"/>
          <w:lang w:val="es-ES"/>
        </w:rPr>
        <w:t>La reunión del GT/17 comenzará a las 09.00 horas. La inscripción de los participantes comenzará a las</w:t>
      </w:r>
      <w:r w:rsidR="006D338D">
        <w:rPr>
          <w:rFonts w:cstheme="minorHAnsi"/>
          <w:lang w:val="es-ES"/>
        </w:rPr>
        <w:t> </w:t>
      </w:r>
      <w:r w:rsidRPr="00430D15">
        <w:rPr>
          <w:rFonts w:cstheme="minorHAnsi"/>
          <w:lang w:val="es-ES"/>
        </w:rPr>
        <w:t>08.00</w:t>
      </w:r>
      <w:r w:rsidR="006D338D">
        <w:rPr>
          <w:rFonts w:cstheme="minorHAnsi"/>
          <w:lang w:val="es-ES"/>
        </w:rPr>
        <w:t> </w:t>
      </w:r>
      <w:r w:rsidRPr="00430D15">
        <w:rPr>
          <w:rFonts w:cstheme="minorHAnsi"/>
          <w:lang w:val="es-ES"/>
        </w:rPr>
        <w:t xml:space="preserve">horas del 30 de marzo y el 2 de abril de 2026 en la </w:t>
      </w:r>
      <w:hyperlink r:id="rId13" w:history="1">
        <w:r w:rsidRPr="005F7A0D">
          <w:rPr>
            <w:rStyle w:val="Hyperlink"/>
            <w:rFonts w:cstheme="minorHAnsi"/>
            <w:lang w:val="es-ES"/>
          </w:rPr>
          <w:t>entrada del edifici</w:t>
        </w:r>
        <w:r w:rsidRPr="005F7A0D">
          <w:rPr>
            <w:rStyle w:val="Hyperlink"/>
            <w:rFonts w:cstheme="minorHAnsi"/>
            <w:lang w:val="es-ES"/>
          </w:rPr>
          <w:t>o</w:t>
        </w:r>
        <w:r w:rsidRPr="005F7A0D">
          <w:rPr>
            <w:rStyle w:val="Hyperlink"/>
            <w:rFonts w:cstheme="minorHAnsi"/>
            <w:lang w:val="es-ES"/>
          </w:rPr>
          <w:t xml:space="preserve"> de Montbrillant</w:t>
        </w:r>
      </w:hyperlink>
      <w:r w:rsidRPr="00430D15">
        <w:rPr>
          <w:rFonts w:cstheme="minorHAnsi"/>
          <w:lang w:val="es-ES"/>
        </w:rPr>
        <w:t>. La atribución de salas de reunión se mostrará en las pantallas distribuidas por toda la Sede de la UIT, y en línea</w:t>
      </w:r>
      <w:r w:rsidR="006D338D">
        <w:rPr>
          <w:rFonts w:cstheme="minorHAnsi"/>
          <w:lang w:val="es-ES"/>
        </w:rPr>
        <w:t> </w:t>
      </w:r>
      <w:hyperlink r:id="rId14" w:history="1">
        <w:r w:rsidRPr="00D83298">
          <w:rPr>
            <w:rStyle w:val="Hyperlink"/>
            <w:rFonts w:cstheme="minorHAnsi"/>
            <w:lang w:val="es-ES"/>
          </w:rPr>
          <w:t>aq</w:t>
        </w:r>
        <w:r w:rsidRPr="00D83298">
          <w:rPr>
            <w:rStyle w:val="Hyperlink"/>
            <w:rFonts w:cstheme="minorHAnsi"/>
            <w:lang w:val="es-ES"/>
          </w:rPr>
          <w:t>u</w:t>
        </w:r>
        <w:r w:rsidRPr="00D83298">
          <w:rPr>
            <w:rStyle w:val="Hyperlink"/>
            <w:rFonts w:cstheme="minorHAnsi"/>
            <w:lang w:val="es-ES"/>
          </w:rPr>
          <w:t>í</w:t>
        </w:r>
      </w:hyperlink>
      <w:r w:rsidRPr="00430D15">
        <w:rPr>
          <w:rFonts w:cstheme="minorHAnsi"/>
          <w:lang w:val="es-ES"/>
        </w:rPr>
        <w:t>.</w:t>
      </w:r>
    </w:p>
    <w:p w14:paraId="18EFBE66" w14:textId="02FD64C9" w:rsidR="001E1E1E" w:rsidRDefault="001E1E1E" w:rsidP="001E1E1E">
      <w:pPr>
        <w:rPr>
          <w:lang w:val="es-ES"/>
        </w:rPr>
      </w:pPr>
      <w:r w:rsidRPr="00430D15">
        <w:rPr>
          <w:rFonts w:cstheme="minorHAnsi"/>
          <w:lang w:val="es-ES"/>
        </w:rPr>
        <w:t xml:space="preserve">No se concederán becas, y las reuniones se celebrarán únicamente en inglés, sin interpretación. La documentación, la inscripción y otras informaciones conexas pueden consultarse en la </w:t>
      </w:r>
      <w:hyperlink r:id="rId15" w:history="1">
        <w:r w:rsidRPr="004E7228">
          <w:rPr>
            <w:rStyle w:val="Hyperlink"/>
            <w:rFonts w:cstheme="minorHAnsi"/>
            <w:lang w:val="es-ES"/>
          </w:rPr>
          <w:t>página pr</w:t>
        </w:r>
        <w:r w:rsidRPr="004E7228">
          <w:rPr>
            <w:rStyle w:val="Hyperlink"/>
            <w:rFonts w:cstheme="minorHAnsi"/>
            <w:lang w:val="es-ES"/>
          </w:rPr>
          <w:t>i</w:t>
        </w:r>
        <w:r w:rsidRPr="004E7228">
          <w:rPr>
            <w:rStyle w:val="Hyperlink"/>
            <w:rFonts w:cstheme="minorHAnsi"/>
            <w:lang w:val="es-ES"/>
          </w:rPr>
          <w:t>ncipal de la Comisión de Estudio 17</w:t>
        </w:r>
      </w:hyperlink>
      <w:r w:rsidRPr="00430D15">
        <w:rPr>
          <w:rFonts w:cstheme="minorHAnsi"/>
          <w:lang w:val="es-ES"/>
        </w:rPr>
        <w:t>.</w:t>
      </w:r>
    </w:p>
    <w:p w14:paraId="71CE4639" w14:textId="0357C6C9" w:rsidR="001E1E1E" w:rsidRDefault="001E1E1E" w:rsidP="001E1E1E">
      <w:pPr>
        <w:rPr>
          <w:lang w:val="es-ES"/>
        </w:rPr>
      </w:pPr>
      <w:r w:rsidRPr="00430D15">
        <w:rPr>
          <w:rFonts w:cstheme="minorHAnsi"/>
          <w:lang w:val="es-ES"/>
        </w:rPr>
        <w:t>El principal objetivo de las reuniones de los Grupos de Trabajo es estudiar la posibilidad de iniciar el proceso de aprobación de los siguientes proyectos de Recomendación UIT-T y examinar los Suplementos para su aprobación, según proceda, sobre la base de los resultados de las reuniones de los Grupos de Relator celebradas en días anteriores (30 de marzo – 1 de abril de 2026, Ginebra):</w:t>
      </w:r>
    </w:p>
    <w:p w14:paraId="665870D7" w14:textId="77777777" w:rsidR="001E1E1E" w:rsidRPr="00430D15" w:rsidRDefault="001E1E1E" w:rsidP="006D338D">
      <w:pPr>
        <w:pStyle w:val="Headingb0"/>
        <w:rPr>
          <w:szCs w:val="22"/>
        </w:rPr>
      </w:pPr>
      <w:r w:rsidRPr="00430D15">
        <w:rPr>
          <w:lang w:val="es-ES"/>
        </w:rPr>
        <w:t>GT</w:t>
      </w:r>
      <w:r>
        <w:rPr>
          <w:lang w:val="es-ES"/>
        </w:rPr>
        <w:t> </w:t>
      </w:r>
      <w:r w:rsidRPr="00430D15">
        <w:rPr>
          <w:lang w:val="es-ES"/>
        </w:rPr>
        <w:t>1/17:</w:t>
      </w:r>
    </w:p>
    <w:p w14:paraId="69EDD220" w14:textId="581AB4A8" w:rsidR="001E1E1E" w:rsidRPr="00430D15" w:rsidRDefault="001E1E1E" w:rsidP="006D338D">
      <w:pPr>
        <w:pStyle w:val="enumlev1"/>
        <w:rPr>
          <w:lang w:val="es-ES"/>
        </w:rPr>
      </w:pPr>
      <w:r w:rsidRPr="001E1E1E">
        <w:rPr>
          <w:lang w:val="es-ES"/>
        </w:rPr>
        <w:t>•</w:t>
      </w:r>
      <w:r>
        <w:rPr>
          <w:lang w:val="es-ES"/>
        </w:rPr>
        <w:tab/>
      </w:r>
      <w:r w:rsidRPr="00430D15">
        <w:rPr>
          <w:lang w:val="es-ES"/>
        </w:rPr>
        <w:t>X.1281Amd1 "API para la interoperabilidad de los sistemas de gestión de identidades" (C10/17)</w:t>
      </w:r>
    </w:p>
    <w:p w14:paraId="63A316A6" w14:textId="1391773D" w:rsidR="001E1E1E" w:rsidRPr="00430D15" w:rsidRDefault="001E1E1E" w:rsidP="006D338D">
      <w:pPr>
        <w:pStyle w:val="enumlev1"/>
        <w:rPr>
          <w:lang w:val="es-ES"/>
        </w:rPr>
      </w:pPr>
      <w:r w:rsidRPr="001E1E1E">
        <w:rPr>
          <w:lang w:val="es-ES"/>
        </w:rPr>
        <w:t>•</w:t>
      </w:r>
      <w:r>
        <w:rPr>
          <w:lang w:val="es-ES"/>
        </w:rPr>
        <w:tab/>
      </w:r>
      <w:r w:rsidRPr="00430D15">
        <w:rPr>
          <w:lang w:val="es-ES"/>
        </w:rPr>
        <w:t>X.1254rev "Marco de garantía de auten</w:t>
      </w:r>
      <w:r>
        <w:rPr>
          <w:lang w:val="es-ES"/>
        </w:rPr>
        <w:t>ticació</w:t>
      </w:r>
      <w:r w:rsidRPr="00430D15">
        <w:rPr>
          <w:lang w:val="es-ES"/>
        </w:rPr>
        <w:t>n de entidad" (C10/17)</w:t>
      </w:r>
    </w:p>
    <w:p w14:paraId="02A8D645" w14:textId="4E980958" w:rsidR="001E1E1E" w:rsidRPr="00430D15" w:rsidRDefault="001E1E1E" w:rsidP="006D338D">
      <w:pPr>
        <w:pStyle w:val="enumlev1"/>
        <w:rPr>
          <w:lang w:val="es-ES"/>
        </w:rPr>
      </w:pPr>
      <w:r w:rsidRPr="001E1E1E">
        <w:rPr>
          <w:lang w:val="es-ES"/>
        </w:rPr>
        <w:t>•</w:t>
      </w:r>
      <w:r>
        <w:rPr>
          <w:lang w:val="es-ES"/>
        </w:rPr>
        <w:tab/>
      </w:r>
      <w:r w:rsidRPr="00430D15">
        <w:rPr>
          <w:lang w:val="es-ES"/>
        </w:rPr>
        <w:t>X.vctp "Marco de propagación de confianza basado en credenciales verificables en la identidad descentralizada" (C10/17)</w:t>
      </w:r>
    </w:p>
    <w:p w14:paraId="2230C120" w14:textId="39AB58EC" w:rsidR="001E1E1E" w:rsidRPr="00430D15" w:rsidRDefault="001E1E1E" w:rsidP="006D338D">
      <w:pPr>
        <w:pStyle w:val="enumlev1"/>
        <w:rPr>
          <w:lang w:val="es-ES"/>
        </w:rPr>
      </w:pPr>
      <w:r w:rsidRPr="001E1E1E">
        <w:rPr>
          <w:lang w:val="es-ES"/>
        </w:rPr>
        <w:t>•</w:t>
      </w:r>
      <w:r>
        <w:rPr>
          <w:lang w:val="es-ES"/>
        </w:rPr>
        <w:tab/>
      </w:r>
      <w:r w:rsidRPr="00430D15">
        <w:rPr>
          <w:lang w:val="es-ES"/>
        </w:rPr>
        <w:t>XSTR.ac-pqc "Informe técnico: Orientaciones sobre la utilización de criptografía avanzada basada en PQC" (C11/17)</w:t>
      </w:r>
    </w:p>
    <w:p w14:paraId="436DBAF9" w14:textId="77777777" w:rsidR="001E1E1E" w:rsidRPr="00430D15" w:rsidRDefault="001E1E1E" w:rsidP="006D338D">
      <w:pPr>
        <w:pStyle w:val="Headingb0"/>
        <w:rPr>
          <w:szCs w:val="22"/>
        </w:rPr>
      </w:pPr>
      <w:r w:rsidRPr="00430D15">
        <w:rPr>
          <w:lang w:val="es-ES"/>
        </w:rPr>
        <w:lastRenderedPageBreak/>
        <w:t>GT</w:t>
      </w:r>
      <w:r>
        <w:rPr>
          <w:lang w:val="es-ES"/>
        </w:rPr>
        <w:t> </w:t>
      </w:r>
      <w:r w:rsidRPr="00430D15">
        <w:rPr>
          <w:lang w:val="es-ES"/>
        </w:rPr>
        <w:t>2/17:</w:t>
      </w:r>
    </w:p>
    <w:p w14:paraId="63AAC4D6" w14:textId="439594F4" w:rsidR="001E1E1E" w:rsidRPr="00430D15" w:rsidRDefault="001E1E1E" w:rsidP="006D338D">
      <w:pPr>
        <w:pStyle w:val="enumlev1"/>
        <w:rPr>
          <w:lang w:val="es-ES"/>
        </w:rPr>
      </w:pPr>
      <w:r w:rsidRPr="001E1E1E">
        <w:rPr>
          <w:lang w:val="es-ES"/>
        </w:rPr>
        <w:t>•</w:t>
      </w:r>
      <w:r>
        <w:rPr>
          <w:lang w:val="es-ES"/>
        </w:rPr>
        <w:tab/>
      </w:r>
      <w:r w:rsidRPr="00430D15">
        <w:rPr>
          <w:lang w:val="es-ES"/>
        </w:rPr>
        <w:t>XSTR. IMT2030-sec-con "Informe técnico: Consideraciones de seguridad para las redes IMT</w:t>
      </w:r>
      <w:r w:rsidR="006D338D">
        <w:rPr>
          <w:lang w:val="es-ES"/>
        </w:rPr>
        <w:noBreakHyphen/>
      </w:r>
      <w:r w:rsidRPr="00430D15">
        <w:rPr>
          <w:lang w:val="es-ES"/>
        </w:rPr>
        <w:t>2030" (C2/17)</w:t>
      </w:r>
    </w:p>
    <w:p w14:paraId="294E328A" w14:textId="743120A1" w:rsidR="001E1E1E" w:rsidRPr="00430D15" w:rsidRDefault="001E1E1E" w:rsidP="006D338D">
      <w:pPr>
        <w:pStyle w:val="enumlev1"/>
        <w:rPr>
          <w:lang w:val="es-ES"/>
        </w:rPr>
      </w:pPr>
      <w:r w:rsidRPr="001E1E1E">
        <w:rPr>
          <w:lang w:val="es-ES"/>
        </w:rPr>
        <w:t>•</w:t>
      </w:r>
      <w:r>
        <w:rPr>
          <w:lang w:val="es-ES"/>
        </w:rPr>
        <w:tab/>
      </w:r>
      <w:r w:rsidRPr="00430D15">
        <w:rPr>
          <w:lang w:val="es-ES"/>
        </w:rPr>
        <w:t>X.ztmc "Directrices para el modelo de confianza cero de alto nivel y sus capacidades de seguridad en las redes de telecomunicaciones" (C2/17)</w:t>
      </w:r>
    </w:p>
    <w:p w14:paraId="37F5A815" w14:textId="017B59D0" w:rsidR="001E1E1E" w:rsidRPr="00430D15" w:rsidRDefault="001E1E1E" w:rsidP="006D338D">
      <w:pPr>
        <w:pStyle w:val="enumlev1"/>
        <w:rPr>
          <w:lang w:val="es-ES"/>
        </w:rPr>
      </w:pPr>
      <w:r w:rsidRPr="001E1E1E">
        <w:rPr>
          <w:lang w:val="es-ES"/>
        </w:rPr>
        <w:t>•</w:t>
      </w:r>
      <w:r>
        <w:rPr>
          <w:lang w:val="es-ES"/>
        </w:rPr>
        <w:tab/>
      </w:r>
      <w:r w:rsidRPr="00430D15">
        <w:rPr>
          <w:lang w:val="es-ES"/>
        </w:rPr>
        <w:t>XSTR.sa-ran "Informe técnico: Ataques a la seguridad en las redes de acceso radioeléctrico" (C2/17)</w:t>
      </w:r>
    </w:p>
    <w:p w14:paraId="663E0033" w14:textId="3A4DAFD5" w:rsidR="001E1E1E" w:rsidRPr="00430D15" w:rsidRDefault="001E1E1E" w:rsidP="006D338D">
      <w:pPr>
        <w:pStyle w:val="enumlev1"/>
        <w:rPr>
          <w:lang w:val="es-ES"/>
        </w:rPr>
      </w:pPr>
      <w:r w:rsidRPr="001E1E1E">
        <w:rPr>
          <w:lang w:val="es-ES"/>
        </w:rPr>
        <w:t>•</w:t>
      </w:r>
      <w:r>
        <w:rPr>
          <w:lang w:val="es-ES"/>
        </w:rPr>
        <w:tab/>
      </w:r>
      <w:r w:rsidRPr="00430D15">
        <w:rPr>
          <w:lang w:val="es-ES"/>
        </w:rPr>
        <w:t>XSTR.sec-int-cpc "Informe técnico: Consideraciones de seguridad para la interconexión de centros de potencia de computación"</w:t>
      </w:r>
      <w:r w:rsidR="006D338D">
        <w:rPr>
          <w:lang w:val="es-ES"/>
        </w:rPr>
        <w:t xml:space="preserve"> </w:t>
      </w:r>
      <w:r w:rsidRPr="00430D15">
        <w:rPr>
          <w:lang w:val="es-ES"/>
        </w:rPr>
        <w:t>(C2/17)</w:t>
      </w:r>
    </w:p>
    <w:p w14:paraId="739A84CF" w14:textId="746DC7FE" w:rsidR="001E1E1E" w:rsidRPr="00430D15" w:rsidRDefault="001E1E1E" w:rsidP="006D338D">
      <w:pPr>
        <w:pStyle w:val="enumlev1"/>
        <w:rPr>
          <w:lang w:val="es-ES"/>
        </w:rPr>
      </w:pPr>
      <w:r w:rsidRPr="001E1E1E">
        <w:rPr>
          <w:lang w:val="es-ES"/>
        </w:rPr>
        <w:t>•</w:t>
      </w:r>
      <w:r>
        <w:rPr>
          <w:lang w:val="es-ES"/>
        </w:rPr>
        <w:tab/>
      </w:r>
      <w:r w:rsidRPr="00430D15">
        <w:rPr>
          <w:lang w:val="es-ES"/>
        </w:rPr>
        <w:t>XSTR.srsec "Informe técnico: Aspectos de seguridad del encaminamiento de segmento IPv6 para la convergencia de la computación y la red para los operadores de telecomunicaciones" (C2/17)</w:t>
      </w:r>
    </w:p>
    <w:p w14:paraId="09E5E2B4" w14:textId="2EB51830" w:rsidR="001E1E1E" w:rsidRPr="00430D15" w:rsidRDefault="001E1E1E" w:rsidP="006D338D">
      <w:pPr>
        <w:pStyle w:val="enumlev1"/>
        <w:rPr>
          <w:lang w:val="es-ES"/>
        </w:rPr>
      </w:pPr>
      <w:r w:rsidRPr="001E1E1E">
        <w:rPr>
          <w:lang w:val="es-ES"/>
        </w:rPr>
        <w:t>•</w:t>
      </w:r>
      <w:r>
        <w:rPr>
          <w:lang w:val="es-ES"/>
        </w:rPr>
        <w:tab/>
      </w:r>
      <w:r w:rsidRPr="00430D15">
        <w:rPr>
          <w:lang w:val="es-ES"/>
        </w:rPr>
        <w:t>X.sm-iot "Requisitos técnicos de la supervisión de la situación de seguridad para dispositivos de Internet de las cosas (IoT)" (C6/17)</w:t>
      </w:r>
    </w:p>
    <w:p w14:paraId="5336BD46" w14:textId="553D60BD" w:rsidR="001E1E1E" w:rsidRPr="00430D15" w:rsidRDefault="001E1E1E" w:rsidP="006D338D">
      <w:pPr>
        <w:pStyle w:val="enumlev1"/>
        <w:rPr>
          <w:lang w:val="es-ES"/>
        </w:rPr>
      </w:pPr>
      <w:r w:rsidRPr="001E1E1E">
        <w:rPr>
          <w:lang w:val="es-ES"/>
        </w:rPr>
        <w:t>•</w:t>
      </w:r>
      <w:r>
        <w:rPr>
          <w:lang w:val="es-ES"/>
        </w:rPr>
        <w:tab/>
      </w:r>
      <w:r w:rsidRPr="00430D15">
        <w:rPr>
          <w:lang w:val="es-ES"/>
        </w:rPr>
        <w:t>X.sr-smb "Requisitos de seguridad para los datos de IoT industrial de fabricación inteligente utilizando cadenas de bloques"</w:t>
      </w:r>
      <w:r w:rsidRPr="00430D15">
        <w:rPr>
          <w:lang w:val="es-ES"/>
        </w:rPr>
        <w:tab/>
        <w:t>(C6/17)</w:t>
      </w:r>
    </w:p>
    <w:p w14:paraId="760814DF" w14:textId="1D760F80" w:rsidR="001E1E1E" w:rsidRPr="00430D15" w:rsidRDefault="001E1E1E" w:rsidP="006D338D">
      <w:pPr>
        <w:pStyle w:val="enumlev1"/>
        <w:rPr>
          <w:lang w:val="es-ES"/>
        </w:rPr>
      </w:pPr>
      <w:r w:rsidRPr="001E1E1E">
        <w:rPr>
          <w:lang w:val="es-ES"/>
        </w:rPr>
        <w:t>•</w:t>
      </w:r>
      <w:r>
        <w:rPr>
          <w:lang w:val="es-ES"/>
        </w:rPr>
        <w:tab/>
      </w:r>
      <w:r w:rsidRPr="00430D15">
        <w:rPr>
          <w:lang w:val="es-ES"/>
        </w:rPr>
        <w:t>XSTR.st-iot "Informe técnico: Escenarios de amenazas de seguridad en Internet de las cosas" (C6/17)</w:t>
      </w:r>
    </w:p>
    <w:p w14:paraId="2F15A52D" w14:textId="4C3EBA18" w:rsidR="001E1E1E" w:rsidRPr="00430D15" w:rsidRDefault="001E1E1E" w:rsidP="006D338D">
      <w:pPr>
        <w:pStyle w:val="enumlev1"/>
        <w:rPr>
          <w:lang w:val="es-ES"/>
        </w:rPr>
      </w:pPr>
      <w:r w:rsidRPr="001E1E1E">
        <w:rPr>
          <w:lang w:val="es-ES"/>
        </w:rPr>
        <w:t>•</w:t>
      </w:r>
      <w:r>
        <w:rPr>
          <w:lang w:val="es-ES"/>
        </w:rPr>
        <w:tab/>
      </w:r>
      <w:r w:rsidRPr="00430D15">
        <w:rPr>
          <w:lang w:val="es-ES"/>
        </w:rPr>
        <w:t>X.evpnc-sec "Directrices de seguridad para los servicios de conexión y carga (PnC) de vehículos eléctricos que utilizan la identidad del vehículo (VID)" (C13/17)</w:t>
      </w:r>
    </w:p>
    <w:p w14:paraId="6C6E740E" w14:textId="563BB940" w:rsidR="001E1E1E" w:rsidRPr="00430D15" w:rsidRDefault="001E1E1E" w:rsidP="006D338D">
      <w:pPr>
        <w:pStyle w:val="enumlev1"/>
        <w:rPr>
          <w:lang w:val="es-ES"/>
        </w:rPr>
      </w:pPr>
      <w:r w:rsidRPr="001E1E1E">
        <w:rPr>
          <w:lang w:val="es-ES"/>
        </w:rPr>
        <w:t>•</w:t>
      </w:r>
      <w:r>
        <w:rPr>
          <w:lang w:val="es-ES"/>
        </w:rPr>
        <w:tab/>
      </w:r>
      <w:r w:rsidRPr="00430D15">
        <w:rPr>
          <w:lang w:val="es-ES"/>
        </w:rPr>
        <w:t>X.idse "Metodología de evaluación para sistemas de detección de intrusiones en vehículos" (C13/17)</w:t>
      </w:r>
    </w:p>
    <w:p w14:paraId="64672C94" w14:textId="515F5DFD" w:rsidR="001E1E1E" w:rsidRPr="00430D15" w:rsidRDefault="001E1E1E" w:rsidP="006D338D">
      <w:pPr>
        <w:pStyle w:val="enumlev1"/>
        <w:rPr>
          <w:lang w:val="es-ES"/>
        </w:rPr>
      </w:pPr>
      <w:r w:rsidRPr="001E1E1E">
        <w:rPr>
          <w:lang w:val="es-ES"/>
        </w:rPr>
        <w:t>•</w:t>
      </w:r>
      <w:r>
        <w:rPr>
          <w:lang w:val="es-ES"/>
        </w:rPr>
        <w:tab/>
      </w:r>
      <w:r w:rsidRPr="00430D15">
        <w:rPr>
          <w:lang w:val="es-ES"/>
        </w:rPr>
        <w:t>X.fod-sec "Directrices de seguridad para un servicio con características a la carta en un entorno de vehículo conectado" (C13/17)</w:t>
      </w:r>
    </w:p>
    <w:p w14:paraId="65260E64" w14:textId="698DEFA9" w:rsidR="001E1E1E" w:rsidRPr="00430D15" w:rsidRDefault="001E1E1E" w:rsidP="006D338D">
      <w:pPr>
        <w:pStyle w:val="enumlev1"/>
        <w:rPr>
          <w:lang w:val="es-ES"/>
        </w:rPr>
      </w:pPr>
      <w:r w:rsidRPr="001E1E1E">
        <w:rPr>
          <w:lang w:val="es-ES"/>
        </w:rPr>
        <w:t>•</w:t>
      </w:r>
      <w:r>
        <w:rPr>
          <w:lang w:val="es-ES"/>
        </w:rPr>
        <w:tab/>
      </w:r>
      <w:r w:rsidRPr="00430D15">
        <w:rPr>
          <w:lang w:val="es-ES"/>
        </w:rPr>
        <w:t>X.af-sec "Metodologías de evaluación para técnicas de an</w:t>
      </w:r>
      <w:r>
        <w:rPr>
          <w:lang w:val="es-ES"/>
        </w:rPr>
        <w:t>onimato</w:t>
      </w:r>
      <w:r w:rsidRPr="00430D15">
        <w:rPr>
          <w:lang w:val="es-ES"/>
        </w:rPr>
        <w:t xml:space="preserve"> mediante imágenes faciales en vehículos autónomos" (C13/17)</w:t>
      </w:r>
    </w:p>
    <w:p w14:paraId="0003105D" w14:textId="77777777" w:rsidR="001E1E1E" w:rsidRPr="00430D15" w:rsidRDefault="001E1E1E" w:rsidP="006D338D">
      <w:pPr>
        <w:pStyle w:val="Headingb0"/>
        <w:rPr>
          <w:szCs w:val="22"/>
        </w:rPr>
      </w:pPr>
      <w:r w:rsidRPr="00430D15">
        <w:rPr>
          <w:lang w:val="es-ES"/>
        </w:rPr>
        <w:t>GT 3/17:</w:t>
      </w:r>
    </w:p>
    <w:p w14:paraId="109760D5" w14:textId="2F7F6C3C" w:rsidR="001E1E1E" w:rsidRPr="00430D15" w:rsidRDefault="001E1E1E" w:rsidP="006D338D">
      <w:pPr>
        <w:pStyle w:val="enumlev1"/>
        <w:rPr>
          <w:lang w:val="es-ES"/>
        </w:rPr>
      </w:pPr>
      <w:r w:rsidRPr="001E1E1E">
        <w:rPr>
          <w:lang w:val="es-ES"/>
        </w:rPr>
        <w:t>•</w:t>
      </w:r>
      <w:r>
        <w:rPr>
          <w:lang w:val="es-ES"/>
        </w:rPr>
        <w:tab/>
      </w:r>
      <w:r w:rsidRPr="00430D15">
        <w:rPr>
          <w:lang w:val="es-ES"/>
        </w:rPr>
        <w:t>X.1221(X.stie) "Expresión estructurada de información sobre amenazas" (C4/17)</w:t>
      </w:r>
    </w:p>
    <w:p w14:paraId="1A6A82D4" w14:textId="54D99E13" w:rsidR="001E1E1E" w:rsidRPr="00430D15" w:rsidRDefault="001E1E1E" w:rsidP="006D338D">
      <w:pPr>
        <w:pStyle w:val="enumlev1"/>
        <w:rPr>
          <w:lang w:val="es-ES"/>
        </w:rPr>
      </w:pPr>
      <w:r w:rsidRPr="001E1E1E">
        <w:rPr>
          <w:lang w:val="es-ES"/>
        </w:rPr>
        <w:t>•</w:t>
      </w:r>
      <w:r>
        <w:rPr>
          <w:lang w:val="es-ES"/>
        </w:rPr>
        <w:tab/>
      </w:r>
      <w:r w:rsidRPr="00430D15">
        <w:rPr>
          <w:lang w:val="es-ES"/>
        </w:rPr>
        <w:t>X.1222 (X.taeii) "Intercambio automatizado fiable de información de inteligencia" (C4/17)</w:t>
      </w:r>
    </w:p>
    <w:p w14:paraId="0329D034" w14:textId="20DA707E" w:rsidR="001E1E1E" w:rsidRPr="00430D15" w:rsidRDefault="001E1E1E" w:rsidP="006D338D">
      <w:pPr>
        <w:pStyle w:val="enumlev1"/>
        <w:rPr>
          <w:lang w:val="es-ES"/>
        </w:rPr>
      </w:pPr>
      <w:r w:rsidRPr="001E1E1E">
        <w:rPr>
          <w:lang w:val="es-ES"/>
        </w:rPr>
        <w:t>•</w:t>
      </w:r>
      <w:r>
        <w:rPr>
          <w:lang w:val="es-ES"/>
        </w:rPr>
        <w:tab/>
      </w:r>
      <w:r w:rsidRPr="00430D15">
        <w:rPr>
          <w:lang w:val="es-ES"/>
        </w:rPr>
        <w:t>X.sf-dtea "Marco de seguridad para detectar ataques selectivos al correo electrónico" (C4/17)</w:t>
      </w:r>
    </w:p>
    <w:p w14:paraId="76251A2A" w14:textId="771A63D1" w:rsidR="001E1E1E" w:rsidRPr="00430D15" w:rsidRDefault="001E1E1E" w:rsidP="006D338D">
      <w:pPr>
        <w:pStyle w:val="enumlev1"/>
        <w:rPr>
          <w:lang w:val="es-ES"/>
        </w:rPr>
      </w:pPr>
      <w:r w:rsidRPr="001E1E1E">
        <w:rPr>
          <w:lang w:val="es-ES"/>
        </w:rPr>
        <w:t>•</w:t>
      </w:r>
      <w:r>
        <w:rPr>
          <w:lang w:val="es-ES"/>
        </w:rPr>
        <w:tab/>
      </w:r>
      <w:r w:rsidRPr="00430D15">
        <w:rPr>
          <w:lang w:val="es-ES"/>
        </w:rPr>
        <w:t xml:space="preserve">X.icd-schemas </w:t>
      </w:r>
      <w:r w:rsidRPr="00430D15">
        <w:rPr>
          <w:lang w:val="es-ES"/>
        </w:rPr>
        <w:tab/>
        <w:t>"Sistemas de datos de seguridad independientes del proveedor para soluciones integradas de ciberdefensa" (C4/17)</w:t>
      </w:r>
    </w:p>
    <w:p w14:paraId="0869B975" w14:textId="4A744528" w:rsidR="001E1E1E" w:rsidRPr="00430D15" w:rsidRDefault="001E1E1E" w:rsidP="006D338D">
      <w:pPr>
        <w:pStyle w:val="enumlev1"/>
        <w:rPr>
          <w:lang w:val="es-ES"/>
        </w:rPr>
      </w:pPr>
      <w:r w:rsidRPr="001E1E1E">
        <w:rPr>
          <w:lang w:val="es-ES"/>
        </w:rPr>
        <w:t>•</w:t>
      </w:r>
      <w:r>
        <w:rPr>
          <w:lang w:val="es-ES"/>
        </w:rPr>
        <w:tab/>
      </w:r>
      <w:r w:rsidRPr="00430D15">
        <w:rPr>
          <w:lang w:val="es-ES"/>
        </w:rPr>
        <w:t>XSTR.verm "Informe técnico: Marco para la verificación de mensajes" (C4/17)</w:t>
      </w:r>
    </w:p>
    <w:p w14:paraId="5AFC7792" w14:textId="77777777" w:rsidR="001E1E1E" w:rsidRPr="00430D15" w:rsidRDefault="001E1E1E" w:rsidP="006D338D">
      <w:pPr>
        <w:pStyle w:val="Headingb0"/>
        <w:rPr>
          <w:szCs w:val="22"/>
        </w:rPr>
      </w:pPr>
      <w:r w:rsidRPr="00430D15">
        <w:rPr>
          <w:lang w:val="es-ES"/>
        </w:rPr>
        <w:t>GT 4/17:</w:t>
      </w:r>
    </w:p>
    <w:p w14:paraId="2284137A" w14:textId="1938B4DE" w:rsidR="001E1E1E" w:rsidRPr="00430D15" w:rsidRDefault="001E1E1E" w:rsidP="006D338D">
      <w:pPr>
        <w:pStyle w:val="enumlev1"/>
        <w:rPr>
          <w:lang w:val="es-ES"/>
        </w:rPr>
      </w:pPr>
      <w:r w:rsidRPr="001E1E1E">
        <w:rPr>
          <w:lang w:val="es-ES"/>
        </w:rPr>
        <w:t>•</w:t>
      </w:r>
      <w:r>
        <w:rPr>
          <w:lang w:val="es-ES"/>
        </w:rPr>
        <w:tab/>
      </w:r>
      <w:r w:rsidRPr="00430D15">
        <w:rPr>
          <w:lang w:val="es-ES"/>
        </w:rPr>
        <w:t>X.srgsc "Requisitos y directrices de seguridad de las aplicaciones y servicios para plataformas de ciudades inteligentes" (C7/17)</w:t>
      </w:r>
    </w:p>
    <w:p w14:paraId="3FEBF754" w14:textId="0F67B934" w:rsidR="001E1E1E" w:rsidRPr="00430D15" w:rsidRDefault="001E1E1E" w:rsidP="006D338D">
      <w:pPr>
        <w:pStyle w:val="enumlev1"/>
        <w:rPr>
          <w:lang w:val="es-ES"/>
        </w:rPr>
      </w:pPr>
      <w:r w:rsidRPr="001E1E1E">
        <w:rPr>
          <w:lang w:val="es-ES"/>
        </w:rPr>
        <w:t>•</w:t>
      </w:r>
      <w:r>
        <w:rPr>
          <w:lang w:val="es-ES"/>
        </w:rPr>
        <w:tab/>
      </w:r>
      <w:r w:rsidRPr="00430D15">
        <w:rPr>
          <w:lang w:val="es-ES"/>
        </w:rPr>
        <w:t>X.sgrtem "Directrices de seguridad para la supervisión de eventos en tiempo real y la gestión integrada en plataformas de ciudades inteligentes" (C7/17)</w:t>
      </w:r>
    </w:p>
    <w:p w14:paraId="5A7C1A58" w14:textId="29C89779" w:rsidR="001E1E1E" w:rsidRPr="00430D15" w:rsidRDefault="001E1E1E" w:rsidP="006D338D">
      <w:pPr>
        <w:pStyle w:val="enumlev1"/>
        <w:rPr>
          <w:lang w:val="es-ES"/>
        </w:rPr>
      </w:pPr>
      <w:r w:rsidRPr="001E1E1E">
        <w:rPr>
          <w:lang w:val="es-ES"/>
        </w:rPr>
        <w:t>•</w:t>
      </w:r>
      <w:r>
        <w:rPr>
          <w:lang w:val="es-ES"/>
        </w:rPr>
        <w:tab/>
      </w:r>
      <w:r w:rsidRPr="00430D15">
        <w:rPr>
          <w:lang w:val="es-ES"/>
        </w:rPr>
        <w:t>X.AI-App_policy "Arquitectura de referencia para el análisis asistido por IA de la coherencia entre el comportamiento de utilización de datos de la aplicación y su política de privacidad" (C7/17)</w:t>
      </w:r>
    </w:p>
    <w:p w14:paraId="660B9116" w14:textId="14E82B0F" w:rsidR="001E1E1E" w:rsidRPr="00430D15" w:rsidRDefault="001E1E1E" w:rsidP="006D338D">
      <w:pPr>
        <w:pStyle w:val="enumlev1"/>
        <w:rPr>
          <w:lang w:val="es-ES"/>
        </w:rPr>
      </w:pPr>
      <w:r w:rsidRPr="001E1E1E">
        <w:rPr>
          <w:lang w:val="es-ES"/>
        </w:rPr>
        <w:t>•</w:t>
      </w:r>
      <w:r>
        <w:rPr>
          <w:lang w:val="es-ES"/>
        </w:rPr>
        <w:tab/>
      </w:r>
      <w:r w:rsidRPr="00430D15">
        <w:rPr>
          <w:lang w:val="es-ES"/>
        </w:rPr>
        <w:t>X.sgGenAI "Directrices de seguridad para el servicio de aplicación de inteligencia artificial generativa" (C7/17)</w:t>
      </w:r>
    </w:p>
    <w:p w14:paraId="64C9E124" w14:textId="4D536F78" w:rsidR="001E1E1E" w:rsidRPr="00430D15" w:rsidRDefault="001E1E1E" w:rsidP="006D338D">
      <w:pPr>
        <w:pStyle w:val="enumlev1"/>
        <w:rPr>
          <w:lang w:val="es-ES"/>
        </w:rPr>
      </w:pPr>
      <w:r w:rsidRPr="001E1E1E">
        <w:rPr>
          <w:lang w:val="es-ES"/>
        </w:rPr>
        <w:t>•</w:t>
      </w:r>
      <w:r>
        <w:rPr>
          <w:lang w:val="es-ES"/>
        </w:rPr>
        <w:tab/>
      </w:r>
      <w:r w:rsidRPr="00430D15">
        <w:rPr>
          <w:lang w:val="es-ES"/>
        </w:rPr>
        <w:t>X.sr-ai "Requisitos de seguridad para los sistemas de IA" (C7/17)</w:t>
      </w:r>
    </w:p>
    <w:p w14:paraId="2FCF0E5A" w14:textId="09D1B683" w:rsidR="001E1E1E" w:rsidRPr="00430D15" w:rsidRDefault="001E1E1E" w:rsidP="006D338D">
      <w:pPr>
        <w:pStyle w:val="enumlev1"/>
        <w:rPr>
          <w:lang w:val="es-ES"/>
        </w:rPr>
      </w:pPr>
      <w:r w:rsidRPr="001E1E1E">
        <w:rPr>
          <w:lang w:val="es-ES"/>
        </w:rPr>
        <w:t>•</w:t>
      </w:r>
      <w:r>
        <w:rPr>
          <w:lang w:val="es-ES"/>
        </w:rPr>
        <w:tab/>
      </w:r>
      <w:r w:rsidRPr="00430D15">
        <w:rPr>
          <w:lang w:val="es-ES"/>
        </w:rPr>
        <w:t>X.srm-fml "Requisitos y medidas de seguridad del aprendizaje automático federado" (C7/17)</w:t>
      </w:r>
    </w:p>
    <w:p w14:paraId="3566583B" w14:textId="72DC55BA" w:rsidR="001E1E1E" w:rsidRPr="00430D15" w:rsidRDefault="001E1E1E" w:rsidP="006D338D">
      <w:pPr>
        <w:pStyle w:val="enumlev1"/>
        <w:rPr>
          <w:lang w:val="es-ES"/>
        </w:rPr>
      </w:pPr>
      <w:r w:rsidRPr="001E1E1E">
        <w:rPr>
          <w:lang w:val="es-ES"/>
        </w:rPr>
        <w:t>•</w:t>
      </w:r>
      <w:r>
        <w:rPr>
          <w:lang w:val="es-ES"/>
        </w:rPr>
        <w:tab/>
      </w:r>
      <w:r w:rsidRPr="00430D15">
        <w:rPr>
          <w:lang w:val="es-ES"/>
        </w:rPr>
        <w:t>XSTR.fcnsc "Informe técnico: Marco para mecanismos de colaboración en materia de seguridad nativos en la nube entre proveedores de servicios en la nube" (C8/17)</w:t>
      </w:r>
    </w:p>
    <w:p w14:paraId="3253987D" w14:textId="1E530B11" w:rsidR="001E1E1E" w:rsidRPr="00430D15" w:rsidRDefault="001E1E1E" w:rsidP="006D338D">
      <w:pPr>
        <w:pStyle w:val="enumlev1"/>
        <w:rPr>
          <w:lang w:val="es-ES"/>
        </w:rPr>
      </w:pPr>
      <w:r w:rsidRPr="001E1E1E">
        <w:rPr>
          <w:lang w:val="es-ES"/>
        </w:rPr>
        <w:lastRenderedPageBreak/>
        <w:t>•</w:t>
      </w:r>
      <w:r>
        <w:rPr>
          <w:lang w:val="es-ES"/>
        </w:rPr>
        <w:tab/>
      </w:r>
      <w:r w:rsidRPr="00430D15">
        <w:rPr>
          <w:lang w:val="es-ES"/>
        </w:rPr>
        <w:t>X.ckrp "Marco de recursos de claves criptográficas para la computación en la nube" (C8/17)</w:t>
      </w:r>
    </w:p>
    <w:p w14:paraId="4C0DD112" w14:textId="4015C5D3" w:rsidR="001E1E1E" w:rsidRPr="00430D15" w:rsidRDefault="001E1E1E" w:rsidP="006D338D">
      <w:pPr>
        <w:pStyle w:val="enumlev1"/>
        <w:rPr>
          <w:lang w:val="es-ES"/>
        </w:rPr>
      </w:pPr>
      <w:r w:rsidRPr="001E1E1E">
        <w:rPr>
          <w:lang w:val="es-ES"/>
        </w:rPr>
        <w:t>•</w:t>
      </w:r>
      <w:r>
        <w:rPr>
          <w:lang w:val="es-ES"/>
        </w:rPr>
        <w:tab/>
      </w:r>
      <w:r w:rsidRPr="00430D15">
        <w:rPr>
          <w:lang w:val="es-ES"/>
        </w:rPr>
        <w:t>X.sgcnp "Directrices de seguridad de la plataforma como servicio para aplicaciones nativas de la nube" (C8/17)</w:t>
      </w:r>
    </w:p>
    <w:p w14:paraId="491A7B53" w14:textId="1D0ABD88" w:rsidR="001E1E1E" w:rsidRPr="00430D15" w:rsidRDefault="001E1E1E" w:rsidP="006D338D">
      <w:pPr>
        <w:pStyle w:val="enumlev1"/>
        <w:rPr>
          <w:lang w:val="es-ES"/>
        </w:rPr>
      </w:pPr>
      <w:r w:rsidRPr="001E1E1E">
        <w:rPr>
          <w:lang w:val="es-ES"/>
        </w:rPr>
        <w:t>•</w:t>
      </w:r>
      <w:r>
        <w:rPr>
          <w:lang w:val="es-ES"/>
        </w:rPr>
        <w:tab/>
      </w:r>
      <w:r w:rsidRPr="00430D15">
        <w:rPr>
          <w:lang w:val="es-ES"/>
        </w:rPr>
        <w:t>X.sr-di "Requisitos de seguridad para las facturas basadas en DLT" (C14/17)</w:t>
      </w:r>
    </w:p>
    <w:p w14:paraId="17FA0C8D" w14:textId="4B733024" w:rsidR="001E1E1E" w:rsidRPr="00430D15" w:rsidRDefault="001E1E1E" w:rsidP="006D338D">
      <w:pPr>
        <w:pStyle w:val="enumlev1"/>
        <w:rPr>
          <w:lang w:val="es-ES"/>
        </w:rPr>
      </w:pPr>
      <w:r w:rsidRPr="001E1E1E">
        <w:rPr>
          <w:lang w:val="es-ES"/>
        </w:rPr>
        <w:t>•</w:t>
      </w:r>
      <w:r>
        <w:rPr>
          <w:lang w:val="es-ES"/>
        </w:rPr>
        <w:tab/>
      </w:r>
      <w:r w:rsidRPr="00430D15">
        <w:rPr>
          <w:lang w:val="es-ES"/>
        </w:rPr>
        <w:t>X.dlt-share "Requisitos de seguridad para el software de estadísticas de datos basado en DLT para compartir datos" (C14/17)</w:t>
      </w:r>
    </w:p>
    <w:p w14:paraId="6EC03830" w14:textId="3CEC2C7B" w:rsidR="001E1E1E" w:rsidRPr="00430D15" w:rsidRDefault="001E1E1E" w:rsidP="006D338D">
      <w:pPr>
        <w:pStyle w:val="enumlev1"/>
        <w:rPr>
          <w:lang w:val="es-ES"/>
        </w:rPr>
      </w:pPr>
      <w:r w:rsidRPr="001E1E1E">
        <w:rPr>
          <w:lang w:val="es-ES"/>
        </w:rPr>
        <w:t>•</w:t>
      </w:r>
      <w:r>
        <w:rPr>
          <w:lang w:val="es-ES"/>
        </w:rPr>
        <w:tab/>
      </w:r>
      <w:r w:rsidRPr="00430D15">
        <w:rPr>
          <w:lang w:val="es-ES"/>
        </w:rPr>
        <w:t>X.qsdlt-ca "Directrices para la creación de agilidad criptográfica y la migración a sistemas DLT de seguridad cuántica" (C14/17)</w:t>
      </w:r>
    </w:p>
    <w:p w14:paraId="5F3887C4" w14:textId="2C633D01" w:rsidR="001E1E1E" w:rsidRPr="00430D15" w:rsidRDefault="001E1E1E" w:rsidP="006D338D">
      <w:pPr>
        <w:pStyle w:val="enumlev1"/>
        <w:rPr>
          <w:lang w:val="es-ES"/>
        </w:rPr>
      </w:pPr>
      <w:r w:rsidRPr="001E1E1E">
        <w:rPr>
          <w:lang w:val="es-ES"/>
        </w:rPr>
        <w:t>•</w:t>
      </w:r>
      <w:r>
        <w:rPr>
          <w:lang w:val="es-ES"/>
        </w:rPr>
        <w:tab/>
      </w:r>
      <w:r w:rsidRPr="00430D15">
        <w:rPr>
          <w:lang w:val="es-ES"/>
        </w:rPr>
        <w:t>X.sg-dcs "Directrices de seguridad para los servicios de recopilación digital basados en DLT" (C14/17)</w:t>
      </w:r>
    </w:p>
    <w:p w14:paraId="16BD4DA3" w14:textId="020E0D34" w:rsidR="001E1E1E" w:rsidRPr="00430D15" w:rsidRDefault="001E1E1E" w:rsidP="006D338D">
      <w:pPr>
        <w:pStyle w:val="enumlev1"/>
        <w:rPr>
          <w:lang w:val="es-ES"/>
        </w:rPr>
      </w:pPr>
      <w:r w:rsidRPr="001E1E1E">
        <w:rPr>
          <w:lang w:val="es-ES"/>
        </w:rPr>
        <w:t>•</w:t>
      </w:r>
      <w:r>
        <w:rPr>
          <w:lang w:val="es-ES"/>
        </w:rPr>
        <w:tab/>
      </w:r>
      <w:r w:rsidRPr="00430D15">
        <w:rPr>
          <w:lang w:val="es-ES"/>
        </w:rPr>
        <w:t>X.sr-dpts "Requisitos de seguridad para la tecnología de libro mayor distribuido (DLT) en sistemas de distribución de potencia autorizados basados en DLT" (C14/17)</w:t>
      </w:r>
    </w:p>
    <w:p w14:paraId="0A150A85" w14:textId="77777777" w:rsidR="001E1E1E" w:rsidRPr="00430D15" w:rsidRDefault="001E1E1E" w:rsidP="006D338D">
      <w:pPr>
        <w:rPr>
          <w:rFonts w:cstheme="minorHAnsi"/>
          <w:lang w:val="es-ES"/>
        </w:rPr>
      </w:pPr>
      <w:r w:rsidRPr="00430D15">
        <w:rPr>
          <w:rFonts w:cstheme="minorHAnsi"/>
          <w:lang w:val="es-ES"/>
        </w:rPr>
        <w:t>El examen de los nuevos temas de trabajo, las declaraciones de coordinación salientes y los planes futuros también forman parte del orden del día de las reuniones de los Grupos de Trabajo 1/17, 2/17, 3/17 y 4/17.</w:t>
      </w:r>
    </w:p>
    <w:p w14:paraId="7F142326" w14:textId="644141D8" w:rsidR="001E1E1E" w:rsidRPr="001E1E1E" w:rsidRDefault="001E1E1E" w:rsidP="001E1E1E">
      <w:pPr>
        <w:rPr>
          <w:bCs/>
        </w:rPr>
      </w:pPr>
      <w:r w:rsidRPr="00430D15">
        <w:rPr>
          <w:rFonts w:cstheme="minorHAnsi"/>
          <w:lang w:val="es-ES"/>
        </w:rPr>
        <w:t xml:space="preserve">En el </w:t>
      </w:r>
      <w:r w:rsidRPr="00214C69">
        <w:rPr>
          <w:rFonts w:cstheme="minorHAnsi"/>
          <w:b/>
          <w:bCs/>
          <w:lang w:val="es-ES"/>
        </w:rPr>
        <w:t>Anexo A</w:t>
      </w:r>
      <w:r w:rsidRPr="00430D15">
        <w:rPr>
          <w:rFonts w:cstheme="minorHAnsi"/>
          <w:lang w:val="es-ES"/>
        </w:rPr>
        <w:t xml:space="preserve"> encontrará información práctica sobre la reunión. En el </w:t>
      </w:r>
      <w:r w:rsidRPr="00214C69">
        <w:rPr>
          <w:rFonts w:cstheme="minorHAnsi"/>
          <w:b/>
          <w:bCs/>
          <w:lang w:val="es-ES"/>
        </w:rPr>
        <w:t>Anexo B</w:t>
      </w:r>
      <w:r w:rsidRPr="00430D15">
        <w:rPr>
          <w:rFonts w:cstheme="minorHAnsi"/>
          <w:lang w:val="es-ES"/>
        </w:rPr>
        <w:t xml:space="preserve"> figura el proyecto de </w:t>
      </w:r>
      <w:r w:rsidRPr="00214C69">
        <w:rPr>
          <w:rFonts w:cstheme="minorHAnsi"/>
          <w:b/>
          <w:bCs/>
          <w:lang w:val="es-ES"/>
        </w:rPr>
        <w:t>orden del día</w:t>
      </w:r>
      <w:r w:rsidRPr="00430D15">
        <w:rPr>
          <w:rFonts w:cstheme="minorHAnsi"/>
          <w:lang w:val="es-ES"/>
        </w:rPr>
        <w:t xml:space="preserve"> de la reunión, preparado por los Presidentes de los Grupos de Trabajo 1/17, 2/17, 3/17 y 4/17.</w:t>
      </w:r>
    </w:p>
    <w:p w14:paraId="6BE80705" w14:textId="77777777" w:rsidR="001E1E1E" w:rsidRPr="00E35001" w:rsidRDefault="001E1E1E" w:rsidP="001E1E1E">
      <w:pPr>
        <w:keepNext/>
        <w:keepLines/>
        <w:spacing w:after="120"/>
        <w:rPr>
          <w:b/>
          <w:bCs/>
        </w:rPr>
      </w:pPr>
      <w:r w:rsidRPr="00E35001">
        <w:rPr>
          <w:b/>
          <w:bCs/>
        </w:rPr>
        <w:t>PLAZOS CLAVE (antes de la reunión)</w:t>
      </w:r>
    </w:p>
    <w:tbl>
      <w:tblPr>
        <w:tblStyle w:val="TableGrid"/>
        <w:tblW w:w="9634" w:type="dxa"/>
        <w:tblLook w:val="04A0" w:firstRow="1" w:lastRow="0" w:firstColumn="1" w:lastColumn="0" w:noHBand="0" w:noVBand="1"/>
      </w:tblPr>
      <w:tblGrid>
        <w:gridCol w:w="2418"/>
        <w:gridCol w:w="7216"/>
      </w:tblGrid>
      <w:tr w:rsidR="001E1E1E" w:rsidRPr="00E35001" w14:paraId="412E0703" w14:textId="77777777" w:rsidTr="008F17FB">
        <w:tc>
          <w:tcPr>
            <w:tcW w:w="2418" w:type="dxa"/>
          </w:tcPr>
          <w:p w14:paraId="3F6246AC" w14:textId="58D684BC" w:rsidR="001E1E1E" w:rsidRPr="00E35001" w:rsidRDefault="001E1E1E" w:rsidP="008F17FB">
            <w:pPr>
              <w:spacing w:before="40" w:after="40"/>
              <w:rPr>
                <w:b/>
                <w:bCs/>
              </w:rPr>
            </w:pPr>
            <w:r>
              <w:rPr>
                <w:bCs/>
              </w:rPr>
              <w:t>2 de febrero de 2026</w:t>
            </w:r>
          </w:p>
        </w:tc>
        <w:tc>
          <w:tcPr>
            <w:tcW w:w="7216" w:type="dxa"/>
          </w:tcPr>
          <w:p w14:paraId="383E1811" w14:textId="2DE6BD5E" w:rsidR="001E1E1E" w:rsidRPr="00E35001" w:rsidRDefault="001E1E1E" w:rsidP="00C97F9C">
            <w:pPr>
              <w:pStyle w:val="enumlev1"/>
              <w:tabs>
                <w:tab w:val="clear" w:pos="794"/>
              </w:tabs>
              <w:ind w:left="444" w:hanging="425"/>
              <w:rPr>
                <w:b/>
                <w:bCs/>
              </w:rPr>
            </w:pPr>
            <w:r w:rsidRPr="00E35001">
              <w:t>–</w:t>
            </w:r>
            <w:r w:rsidRPr="00E35001">
              <w:tab/>
            </w:r>
            <w:hyperlink r:id="rId16" w:history="1">
              <w:r w:rsidR="00C97F9C">
                <w:rPr>
                  <w:rStyle w:val="Hyperlink"/>
                </w:rPr>
                <w:t>Pr</w:t>
              </w:r>
              <w:r w:rsidRPr="00E35001">
                <w:rPr>
                  <w:rStyle w:val="Hyperlink"/>
                </w:rPr>
                <w:t xml:space="preserve">esentación de las contribuciones </w:t>
              </w:r>
              <w:r w:rsidRPr="00E35001">
                <w:rPr>
                  <w:rStyle w:val="Hyperlink"/>
                </w:rPr>
                <w:t>d</w:t>
              </w:r>
              <w:r w:rsidRPr="00E35001">
                <w:rPr>
                  <w:rStyle w:val="Hyperlink"/>
                </w:rPr>
                <w:t>e los miembros del UIT-T</w:t>
              </w:r>
            </w:hyperlink>
            <w:r w:rsidRPr="00E35001">
              <w:t xml:space="preserve"> para las que se requiera </w:t>
            </w:r>
            <w:r w:rsidRPr="00C97F9C">
              <w:t>traducción</w:t>
            </w:r>
          </w:p>
        </w:tc>
      </w:tr>
      <w:tr w:rsidR="001E1E1E" w:rsidRPr="00E35001" w14:paraId="14AC25AF" w14:textId="77777777" w:rsidTr="008F17FB">
        <w:tc>
          <w:tcPr>
            <w:tcW w:w="2418" w:type="dxa"/>
          </w:tcPr>
          <w:p w14:paraId="1DCFD8D5" w14:textId="76B1DD1D" w:rsidR="001E1E1E" w:rsidRPr="00E35001" w:rsidRDefault="001E1E1E" w:rsidP="008F17FB">
            <w:pPr>
              <w:spacing w:before="40" w:after="40"/>
            </w:pPr>
            <w:r w:rsidRPr="00214C69">
              <w:rPr>
                <w:rFonts w:cstheme="minorHAnsi"/>
                <w:color w:val="000000"/>
                <w:lang w:val="es-ES"/>
              </w:rPr>
              <w:t>2 de marzo de 2026</w:t>
            </w:r>
          </w:p>
        </w:tc>
        <w:tc>
          <w:tcPr>
            <w:tcW w:w="7216" w:type="dxa"/>
          </w:tcPr>
          <w:p w14:paraId="49BE1595" w14:textId="22CFC928" w:rsidR="001E1E1E" w:rsidRPr="00E35001" w:rsidRDefault="001E1E1E" w:rsidP="00C97F9C">
            <w:pPr>
              <w:pStyle w:val="enumlev1"/>
              <w:tabs>
                <w:tab w:val="clear" w:pos="794"/>
              </w:tabs>
              <w:ind w:left="444" w:hanging="425"/>
            </w:pPr>
            <w:r w:rsidRPr="00E35001">
              <w:t>–</w:t>
            </w:r>
            <w:r w:rsidRPr="00E35001">
              <w:tab/>
            </w:r>
            <w:r w:rsidRPr="00C97F9C">
              <w:t>Preinscripción</w:t>
            </w:r>
            <w:r w:rsidRPr="00214C69">
              <w:rPr>
                <w:lang w:val="es-ES"/>
              </w:rPr>
              <w:t xml:space="preserve"> (en línea a través del formulario de inscripción en línea de la </w:t>
            </w:r>
            <w:hyperlink r:id="rId17" w:history="1">
              <w:r w:rsidRPr="003F5E85">
                <w:rPr>
                  <w:rStyle w:val="Hyperlink"/>
                  <w:lang w:val="es-ES"/>
                </w:rPr>
                <w:t>página de inicio de la Comisión d</w:t>
              </w:r>
              <w:r w:rsidRPr="003F5E85">
                <w:rPr>
                  <w:rStyle w:val="Hyperlink"/>
                  <w:lang w:val="es-ES"/>
                </w:rPr>
                <w:t>e</w:t>
              </w:r>
              <w:r w:rsidRPr="003F5E85">
                <w:rPr>
                  <w:rStyle w:val="Hyperlink"/>
                  <w:lang w:val="es-ES"/>
                </w:rPr>
                <w:t xml:space="preserve"> Estudio</w:t>
              </w:r>
            </w:hyperlink>
            <w:r w:rsidRPr="00214C69">
              <w:rPr>
                <w:lang w:val="es-ES"/>
              </w:rPr>
              <w:t>)</w:t>
            </w:r>
          </w:p>
          <w:p w14:paraId="1C4EC36E" w14:textId="3E76BB29" w:rsidR="001E1E1E" w:rsidRPr="00E35001" w:rsidRDefault="001E1E1E" w:rsidP="00C97F9C">
            <w:pPr>
              <w:pStyle w:val="enumlev1"/>
              <w:tabs>
                <w:tab w:val="clear" w:pos="794"/>
              </w:tabs>
              <w:ind w:left="444" w:hanging="425"/>
            </w:pPr>
            <w:r w:rsidRPr="00E35001">
              <w:t>–</w:t>
            </w:r>
            <w:r w:rsidRPr="00E35001">
              <w:tab/>
            </w:r>
            <w:r w:rsidRPr="00C97F9C">
              <w:t>Presentación</w:t>
            </w:r>
            <w:r w:rsidRPr="00214C69">
              <w:rPr>
                <w:lang w:val="es-ES"/>
              </w:rPr>
              <w:t xml:space="preserve"> de solicitudes de cartas para la obtención de visados (mediante el formulario de inscripción en línea; véanse los detalles en el</w:t>
            </w:r>
            <w:r w:rsidR="00C97F9C">
              <w:rPr>
                <w:lang w:val="es-ES"/>
              </w:rPr>
              <w:t> </w:t>
            </w:r>
            <w:r w:rsidRPr="00214C69">
              <w:rPr>
                <w:lang w:val="es-ES"/>
              </w:rPr>
              <w:t>Anexo</w:t>
            </w:r>
            <w:r w:rsidR="00C97F9C">
              <w:rPr>
                <w:lang w:val="es-ES"/>
              </w:rPr>
              <w:t> </w:t>
            </w:r>
            <w:r w:rsidRPr="00214C69">
              <w:rPr>
                <w:lang w:val="es-ES"/>
              </w:rPr>
              <w:t>A)</w:t>
            </w:r>
          </w:p>
        </w:tc>
      </w:tr>
      <w:tr w:rsidR="001E1E1E" w:rsidRPr="00E35001" w14:paraId="095B7103" w14:textId="77777777" w:rsidTr="008F17FB">
        <w:tc>
          <w:tcPr>
            <w:tcW w:w="2418" w:type="dxa"/>
          </w:tcPr>
          <w:p w14:paraId="2B2E726F" w14:textId="779CFA6F" w:rsidR="001E1E1E" w:rsidRPr="00E35001" w:rsidRDefault="001E1E1E" w:rsidP="008F17FB">
            <w:pPr>
              <w:spacing w:before="40" w:after="40"/>
              <w:rPr>
                <w:bCs/>
              </w:rPr>
            </w:pPr>
            <w:r w:rsidRPr="00214C69">
              <w:rPr>
                <w:rFonts w:cstheme="minorHAnsi"/>
                <w:color w:val="000000"/>
                <w:lang w:val="es-ES"/>
              </w:rPr>
              <w:t>20 de marzo de 2026</w:t>
            </w:r>
          </w:p>
        </w:tc>
        <w:tc>
          <w:tcPr>
            <w:tcW w:w="7216" w:type="dxa"/>
          </w:tcPr>
          <w:p w14:paraId="102F8058" w14:textId="3E711B5B" w:rsidR="001E1E1E" w:rsidRPr="00E35001" w:rsidRDefault="001E1E1E" w:rsidP="00C97F9C">
            <w:pPr>
              <w:pStyle w:val="enumlev1"/>
              <w:tabs>
                <w:tab w:val="clear" w:pos="794"/>
              </w:tabs>
              <w:ind w:left="444" w:hanging="425"/>
            </w:pPr>
            <w:r w:rsidRPr="00E35001">
              <w:t>–</w:t>
            </w:r>
            <w:r w:rsidRPr="00E35001">
              <w:tab/>
            </w:r>
            <w:hyperlink r:id="rId18" w:history="1">
              <w:r w:rsidRPr="00C97F9C">
                <w:rPr>
                  <w:rStyle w:val="Hyperlink"/>
                  <w:lang w:val="es-ES"/>
                </w:rPr>
                <w:t>Presentaci</w:t>
              </w:r>
              <w:r w:rsidRPr="00C97F9C">
                <w:rPr>
                  <w:rStyle w:val="Hyperlink"/>
                  <w:lang w:val="es-ES"/>
                </w:rPr>
                <w:t>ó</w:t>
              </w:r>
              <w:r w:rsidRPr="00C97F9C">
                <w:rPr>
                  <w:rStyle w:val="Hyperlink"/>
                  <w:lang w:val="es-ES"/>
                </w:rPr>
                <w:t>n</w:t>
              </w:r>
              <w:r w:rsidRPr="006E7DF5">
                <w:rPr>
                  <w:rStyle w:val="Hyperlink"/>
                  <w:lang w:val="es-ES"/>
                </w:rPr>
                <w:t xml:space="preserve"> de contribuciones de los Miembros del UIT-T (a través de la Publicación Directa de Documentos)</w:t>
              </w:r>
            </w:hyperlink>
          </w:p>
        </w:tc>
      </w:tr>
    </w:tbl>
    <w:p w14:paraId="058DDA78" w14:textId="4B42495E" w:rsidR="002545AA" w:rsidRPr="00E35001" w:rsidRDefault="001E1E1E" w:rsidP="002545AA">
      <w:pPr>
        <w:rPr>
          <w:bCs/>
        </w:rPr>
      </w:pPr>
      <w:r>
        <w:rPr>
          <w:lang w:val="es-ES"/>
        </w:rPr>
        <w:t>Le deseo una reunión agradable y productiva.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2545AA" w:rsidRPr="00E35001" w14:paraId="4D607148" w14:textId="77777777" w:rsidTr="007F23CA">
        <w:tc>
          <w:tcPr>
            <w:tcW w:w="4814" w:type="dxa"/>
          </w:tcPr>
          <w:p w14:paraId="2E02E724" w14:textId="66D57819" w:rsidR="002545AA" w:rsidRDefault="001E1E1E" w:rsidP="007F23CA">
            <w:pPr>
              <w:ind w:left="-110"/>
              <w:rPr>
                <w:bCs/>
              </w:rPr>
            </w:pPr>
            <w:r>
              <w:rPr>
                <w:bCs/>
              </w:rPr>
              <w:t>Le saluda a</w:t>
            </w:r>
            <w:r w:rsidR="002545AA" w:rsidRPr="00E35001">
              <w:rPr>
                <w:bCs/>
              </w:rPr>
              <w:t>tentamente,</w:t>
            </w:r>
          </w:p>
          <w:p w14:paraId="406A16BC" w14:textId="266D55DD" w:rsidR="002545AA" w:rsidRPr="00E35001" w:rsidRDefault="002D54DB" w:rsidP="007F23CA">
            <w:pPr>
              <w:spacing w:before="720"/>
              <w:ind w:left="-115" w:right="86"/>
            </w:pPr>
            <w:r>
              <w:rPr>
                <w:bCs/>
                <w:noProof/>
              </w:rPr>
              <w:drawing>
                <wp:anchor distT="0" distB="0" distL="114300" distR="114300" simplePos="0" relativeHeight="251664896" behindDoc="1" locked="0" layoutInCell="1" allowOverlap="1" wp14:anchorId="3829EEA6" wp14:editId="6EE3D9F4">
                  <wp:simplePos x="0" y="0"/>
                  <wp:positionH relativeFrom="column">
                    <wp:posOffset>-77470</wp:posOffset>
                  </wp:positionH>
                  <wp:positionV relativeFrom="paragraph">
                    <wp:posOffset>53340</wp:posOffset>
                  </wp:positionV>
                  <wp:extent cx="825542" cy="330217"/>
                  <wp:effectExtent l="0" t="0" r="0" b="0"/>
                  <wp:wrapNone/>
                  <wp:docPr id="2139109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109222" name="Picture 2139109222"/>
                          <pic:cNvPicPr/>
                        </pic:nvPicPr>
                        <pic:blipFill>
                          <a:blip r:embed="rId19">
                            <a:extLst>
                              <a:ext uri="{28A0092B-C50C-407E-A947-70E740481C1C}">
                                <a14:useLocalDpi xmlns:a14="http://schemas.microsoft.com/office/drawing/2010/main" val="0"/>
                              </a:ext>
                            </a:extLst>
                          </a:blip>
                          <a:stretch>
                            <a:fillRect/>
                          </a:stretch>
                        </pic:blipFill>
                        <pic:spPr>
                          <a:xfrm>
                            <a:off x="0" y="0"/>
                            <a:ext cx="825542" cy="330217"/>
                          </a:xfrm>
                          <a:prstGeom prst="rect">
                            <a:avLst/>
                          </a:prstGeom>
                        </pic:spPr>
                      </pic:pic>
                    </a:graphicData>
                  </a:graphic>
                </wp:anchor>
              </w:drawing>
            </w:r>
            <w:r w:rsidR="00A9210B">
              <w:rPr>
                <w:rFonts w:cstheme="minorHAnsi"/>
                <w:szCs w:val="22"/>
                <w:lang w:val="es-ES"/>
              </w:rPr>
              <w:t>Seizo Onoe</w:t>
            </w:r>
            <w:r w:rsidR="002545AA" w:rsidRPr="00E35001">
              <w:br/>
            </w:r>
            <w:proofErr w:type="gramStart"/>
            <w:r w:rsidR="002545AA" w:rsidRPr="00E35001">
              <w:t>Director</w:t>
            </w:r>
            <w:proofErr w:type="gramEnd"/>
            <w:r w:rsidR="002545AA" w:rsidRPr="00E35001">
              <w:t xml:space="preserve"> de la Oficina de Normalización</w:t>
            </w:r>
            <w:r w:rsidR="002545AA" w:rsidRPr="00E35001">
              <w:br/>
              <w:t>de las Telecomunicaciones</w:t>
            </w:r>
          </w:p>
        </w:tc>
        <w:tc>
          <w:tcPr>
            <w:tcW w:w="4815" w:type="dxa"/>
          </w:tcPr>
          <w:p w14:paraId="610D1160" w14:textId="5E36BD3C" w:rsidR="002545AA" w:rsidRPr="00E35001" w:rsidRDefault="001E1E1E" w:rsidP="001E1E1E">
            <w:pPr>
              <w:spacing w:before="1680"/>
              <w:jc w:val="center"/>
              <w:rPr>
                <w:bCs/>
              </w:rPr>
            </w:pPr>
            <w:r w:rsidRPr="00A038E2">
              <w:rPr>
                <w:noProof/>
                <w:color w:val="000000"/>
                <w:lang w:val="es-ES"/>
              </w:rPr>
              <w:drawing>
                <wp:anchor distT="0" distB="0" distL="114300" distR="114300" simplePos="0" relativeHeight="251663872" behindDoc="1" locked="0" layoutInCell="1" allowOverlap="1" wp14:anchorId="2847A9EC" wp14:editId="62248B15">
                  <wp:simplePos x="0" y="0"/>
                  <wp:positionH relativeFrom="column">
                    <wp:posOffset>1008162</wp:posOffset>
                  </wp:positionH>
                  <wp:positionV relativeFrom="paragraph">
                    <wp:posOffset>81377</wp:posOffset>
                  </wp:positionV>
                  <wp:extent cx="984250" cy="889000"/>
                  <wp:effectExtent l="0" t="0" r="6350" b="6350"/>
                  <wp:wrapNone/>
                  <wp:docPr id="2" name="Picture 2" descr="cid:image001.png@01D2C590.81C3C8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png@01D2C590.81C3C8E0"/>
                          <pic:cNvPicPr>
                            <a:picLocks noChangeAspect="1" noChangeArrowheads="1"/>
                          </pic:cNvPicPr>
                        </pic:nvPicPr>
                        <pic:blipFill>
                          <a:blip r:embed="rId20" r:link="rId22">
                            <a:extLst>
                              <a:ext uri="{BEBA8EAE-BF5A-486C-A8C5-ECC9F3942E4B}">
                                <a14:imgProps xmlns:a14="http://schemas.microsoft.com/office/drawing/2010/main">
                                  <a14:imgLayer r:embed="rId2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984250" cy="889000"/>
                          </a:xfrm>
                          <a:prstGeom prst="rect">
                            <a:avLst/>
                          </a:prstGeom>
                          <a:noFill/>
                          <a:ln>
                            <a:noFill/>
                          </a:ln>
                        </pic:spPr>
                      </pic:pic>
                    </a:graphicData>
                  </a:graphic>
                </wp:anchor>
              </w:drawing>
            </w:r>
            <w:r w:rsidR="002545AA" w:rsidRPr="00E35001">
              <w:rPr>
                <w:bCs/>
              </w:rPr>
              <w:t>Última información sobre la reunión</w:t>
            </w:r>
          </w:p>
        </w:tc>
      </w:tr>
    </w:tbl>
    <w:p w14:paraId="07E6B618" w14:textId="3C71CA26" w:rsidR="002545AA" w:rsidRPr="00E35001" w:rsidRDefault="001E1E1E" w:rsidP="002545AA">
      <w:pPr>
        <w:rPr>
          <w:bCs/>
        </w:rPr>
      </w:pPr>
      <w:r w:rsidRPr="001E1E1E">
        <w:rPr>
          <w:b/>
        </w:rPr>
        <w:t>Anexos:</w:t>
      </w:r>
      <w:r>
        <w:rPr>
          <w:bCs/>
        </w:rPr>
        <w:t xml:space="preserve"> 2</w:t>
      </w:r>
    </w:p>
    <w:p w14:paraId="38E46F84" w14:textId="41B70903" w:rsidR="002545AA" w:rsidRPr="00E35001" w:rsidRDefault="002545AA" w:rsidP="002545AA">
      <w:pPr>
        <w:ind w:right="91"/>
        <w:rPr>
          <w:bCs/>
        </w:rPr>
      </w:pPr>
      <w:r w:rsidRPr="00E35001">
        <w:rPr>
          <w:bCs/>
        </w:rPr>
        <w:br w:type="page"/>
      </w:r>
    </w:p>
    <w:p w14:paraId="0F1D18D2" w14:textId="77777777" w:rsidR="001E1E1E" w:rsidRDefault="00BC1FB8" w:rsidP="00E25441">
      <w:pPr>
        <w:pStyle w:val="AnnexNotitle"/>
        <w:spacing w:after="80"/>
        <w:rPr>
          <w:bCs/>
          <w:lang w:val="es-ES"/>
        </w:rPr>
      </w:pPr>
      <w:r w:rsidRPr="00E35001">
        <w:rPr>
          <w:bCs/>
        </w:rPr>
        <w:lastRenderedPageBreak/>
        <w:t xml:space="preserve">Anexo </w:t>
      </w:r>
      <w:r w:rsidR="002545AA" w:rsidRPr="00E35001">
        <w:rPr>
          <w:bCs/>
          <w:caps/>
        </w:rPr>
        <w:t>A</w:t>
      </w:r>
      <w:r w:rsidR="001E1E1E">
        <w:rPr>
          <w:bCs/>
          <w:caps/>
        </w:rPr>
        <w:br/>
      </w:r>
      <w:r w:rsidR="001E1E1E">
        <w:rPr>
          <w:bCs/>
          <w:lang w:val="es-ES"/>
        </w:rPr>
        <w:t>Información práctica sobre la reunión</w:t>
      </w:r>
    </w:p>
    <w:p w14:paraId="2E96E8A8" w14:textId="6D7C931D" w:rsidR="002545AA" w:rsidRPr="001E1E1E" w:rsidRDefault="001E1E1E" w:rsidP="000F44A4">
      <w:pPr>
        <w:spacing w:before="240"/>
        <w:jc w:val="center"/>
        <w:rPr>
          <w:b/>
          <w:bCs/>
        </w:rPr>
      </w:pPr>
      <w:r w:rsidRPr="001E1E1E">
        <w:rPr>
          <w:b/>
          <w:bCs/>
        </w:rPr>
        <w:t>MÉTODOS DE TRABAJO E INSTALACIONES</w:t>
      </w:r>
    </w:p>
    <w:p w14:paraId="6E68365E" w14:textId="77C0C59E" w:rsidR="002545AA" w:rsidRDefault="00785108" w:rsidP="002545AA">
      <w:pPr>
        <w:rPr>
          <w:lang w:val="es-ES"/>
        </w:rPr>
      </w:pPr>
      <w:r w:rsidRPr="00D31213">
        <w:rPr>
          <w:b/>
          <w:bCs/>
          <w:lang w:val="es-ES"/>
        </w:rPr>
        <w:t>PRESENTACIÓN Y ACCESO A LOS DOCUMENTOS</w:t>
      </w:r>
      <w:r>
        <w:rPr>
          <w:lang w:val="es-ES"/>
        </w:rPr>
        <w:t xml:space="preserve">: En la reunión no se utilizará documentación impresa. Las contribuciones de los miembros deben presentarse utilizando la </w:t>
      </w:r>
      <w:hyperlink r:id="rId23" w:history="1">
        <w:r w:rsidRPr="00807C92">
          <w:rPr>
            <w:rStyle w:val="Hyperlink"/>
            <w:lang w:val="es-ES"/>
          </w:rPr>
          <w:t>Publicación Directa de Documentos</w:t>
        </w:r>
      </w:hyperlink>
      <w:r>
        <w:rPr>
          <w:lang w:val="es-ES"/>
        </w:rPr>
        <w:t xml:space="preserve">; los proyectos de DT deben enviarse por correo electrónico a la secretaría de la Comisión de Estudio utilizando la </w:t>
      </w:r>
      <w:hyperlink r:id="rId24" w:history="1">
        <w:r w:rsidRPr="00C761A3">
          <w:rPr>
            <w:rStyle w:val="Hyperlink"/>
            <w:lang w:val="es-ES"/>
          </w:rPr>
          <w:t>plantilla adecuada</w:t>
        </w:r>
      </w:hyperlink>
      <w:r>
        <w:rPr>
          <w:lang w:val="es-ES"/>
        </w:rPr>
        <w:t xml:space="preserve">. El acceso a los documentos de la reunión se facilita a partir de la página web de la Comisión de Estudio y está restringido a los Miembros del UIT-T titulares de una </w:t>
      </w:r>
      <w:hyperlink r:id="rId25" w:history="1">
        <w:r w:rsidRPr="00A94101">
          <w:rPr>
            <w:rStyle w:val="Hyperlink"/>
            <w:lang w:val="es-ES"/>
          </w:rPr>
          <w:t>cuenta de usuario de la UIT</w:t>
        </w:r>
      </w:hyperlink>
      <w:r>
        <w:rPr>
          <w:lang w:val="es-ES"/>
        </w:rPr>
        <w:t xml:space="preserve"> con acceso TIES.</w:t>
      </w:r>
    </w:p>
    <w:p w14:paraId="396A36BC" w14:textId="47CB90C0" w:rsidR="00785108" w:rsidRPr="00E35001" w:rsidRDefault="00785108" w:rsidP="002545AA">
      <w:r w:rsidRPr="00D31213">
        <w:rPr>
          <w:b/>
          <w:bCs/>
          <w:lang w:val="es-ES"/>
        </w:rPr>
        <w:t>IDIOMA DE TRABAJO</w:t>
      </w:r>
      <w:r>
        <w:rPr>
          <w:lang w:val="es-ES"/>
        </w:rPr>
        <w:t>: La reunión se celebrará únicamente en inglés, sin interpretación.</w:t>
      </w:r>
    </w:p>
    <w:p w14:paraId="5F64DACA" w14:textId="0D284390" w:rsidR="002545AA" w:rsidRPr="00E35001" w:rsidRDefault="00785108" w:rsidP="002545AA">
      <w:r w:rsidRPr="00D31213">
        <w:rPr>
          <w:b/>
          <w:bCs/>
          <w:lang w:val="es-ES"/>
        </w:rPr>
        <w:t>LAN INALÁMBRICA</w:t>
      </w:r>
      <w:r>
        <w:rPr>
          <w:lang w:val="es-ES"/>
        </w:rPr>
        <w:t>: Los delegados disponen de instalaciones de red de área local inalámbrica en todas las salas de reunión de la UIT. En la dirección web del UIT-T (</w:t>
      </w:r>
      <w:hyperlink r:id="rId26" w:history="1">
        <w:r w:rsidRPr="000F33F5">
          <w:rPr>
            <w:rStyle w:val="Hyperlink"/>
            <w:lang w:val="es-ES"/>
          </w:rPr>
          <w:t>https://www.itu.int/en/general-secretariat/ICT-Services/Pages/default.aspx</w:t>
        </w:r>
      </w:hyperlink>
      <w:r>
        <w:rPr>
          <w:lang w:val="es-ES"/>
        </w:rPr>
        <w:t xml:space="preserve">) e </w:t>
      </w:r>
      <w:r w:rsidRPr="00B17838">
        <w:rPr>
          <w:i/>
          <w:iCs/>
          <w:lang w:val="es-ES"/>
        </w:rPr>
        <w:t>in situ</w:t>
      </w:r>
      <w:r>
        <w:rPr>
          <w:lang w:val="es-ES"/>
        </w:rPr>
        <w:t xml:space="preserve"> se puede encontrar información más detallada al respecto.</w:t>
      </w:r>
    </w:p>
    <w:p w14:paraId="02E2FB81" w14:textId="77777777" w:rsidR="00785108" w:rsidRPr="00E81D4A" w:rsidRDefault="00785108" w:rsidP="00785108">
      <w:pPr>
        <w:spacing w:after="120"/>
        <w:rPr>
          <w:rFonts w:eastAsia="SimSun"/>
          <w:lang w:val="es-ES"/>
        </w:rPr>
      </w:pPr>
      <w:r w:rsidRPr="00D31213">
        <w:rPr>
          <w:b/>
          <w:bCs/>
          <w:lang w:val="es-ES"/>
        </w:rPr>
        <w:t>TAQUILLAS ELECTRÓNICAS</w:t>
      </w:r>
      <w:r>
        <w:rPr>
          <w:lang w:val="es-ES"/>
        </w:rPr>
        <w:t>: Durante toda la reunión, se pondrán a disposición taquillas electrónicas que los delegados podrán utilizar con su tarjeta de identificación RFID del UIT-T. Las taquillas electrónicas están situadas en la planta baja y el primer subsuelo de la Torre de la UIT, así como en la planta baja del edificio Montbrillant.</w:t>
      </w:r>
    </w:p>
    <w:p w14:paraId="58D73BFC" w14:textId="77777777" w:rsidR="00785108" w:rsidRPr="00E81D4A" w:rsidRDefault="00785108" w:rsidP="00785108">
      <w:pPr>
        <w:rPr>
          <w:szCs w:val="22"/>
          <w:lang w:val="es-ES"/>
        </w:rPr>
      </w:pPr>
      <w:r w:rsidRPr="00D31213">
        <w:rPr>
          <w:b/>
          <w:bCs/>
          <w:lang w:val="es-ES"/>
        </w:rPr>
        <w:t>IMPRESORAS</w:t>
      </w:r>
      <w:r>
        <w:rPr>
          <w:lang w:val="es-ES"/>
        </w:rPr>
        <w:t xml:space="preserve">: En las salas para los delegados y en las proximidades de las </w:t>
      </w:r>
      <w:hyperlink r:id="rId27" w:history="1">
        <w:r w:rsidRPr="00CC7693">
          <w:rPr>
            <w:rStyle w:val="Hyperlink"/>
            <w:lang w:val="es-ES"/>
          </w:rPr>
          <w:t>principales salas de reunión</w:t>
        </w:r>
      </w:hyperlink>
      <w:r>
        <w:rPr>
          <w:lang w:val="es-ES"/>
        </w:rPr>
        <w:t xml:space="preserve"> se han puesto a disposición impresoras. Para no tener que instalar controladores en su computadora, puede imprimir directamente los documentos enviándolos por correo electrónico a la impresora deseada. Consulte los detalles en </w:t>
      </w:r>
      <w:hyperlink r:id="rId28" w:history="1">
        <w:r w:rsidRPr="000F33F5">
          <w:rPr>
            <w:rStyle w:val="Hyperlink"/>
            <w:lang w:val="es-ES"/>
          </w:rPr>
          <w:t>https://itu.int/go/e-print</w:t>
        </w:r>
      </w:hyperlink>
      <w:r>
        <w:rPr>
          <w:lang w:val="es-ES"/>
        </w:rPr>
        <w:t xml:space="preserve">. </w:t>
      </w:r>
      <w:hyperlink r:id="rId29" w:history="1"/>
      <w:bookmarkStart w:id="2" w:name="_Hlk94878660"/>
      <w:bookmarkEnd w:id="2"/>
    </w:p>
    <w:p w14:paraId="54250E43" w14:textId="77777777" w:rsidR="00785108" w:rsidRPr="00E81D4A" w:rsidRDefault="00785108" w:rsidP="00785108">
      <w:pPr>
        <w:rPr>
          <w:szCs w:val="22"/>
          <w:lang w:val="es-ES"/>
        </w:rPr>
      </w:pPr>
      <w:r w:rsidRPr="00D31213">
        <w:rPr>
          <w:b/>
          <w:bCs/>
          <w:lang w:val="es-ES"/>
        </w:rPr>
        <w:t>PRÉSTAMO DE COMPUTADORAS PORTÁTILES</w:t>
      </w:r>
      <w:r>
        <w:rPr>
          <w:lang w:val="es-ES"/>
        </w:rPr>
        <w:t>: El Servicio de Asistencia de la UIT (</w:t>
      </w:r>
      <w:hyperlink r:id="rId30" w:history="1">
        <w:r w:rsidRPr="000F33F5">
          <w:rPr>
            <w:rStyle w:val="Hyperlink"/>
            <w:lang w:val="es-ES"/>
          </w:rPr>
          <w:t>servicedesk@itu.int</w:t>
        </w:r>
      </w:hyperlink>
      <w:r>
        <w:rPr>
          <w:lang w:val="es-ES"/>
        </w:rPr>
        <w:t>) pondrá computadoras portátiles a disposición de los delegados. Se atenderán las solicitudes por orden de llegada.</w:t>
      </w:r>
      <w:hyperlink r:id="rId31" w:history="1"/>
    </w:p>
    <w:p w14:paraId="7117973F" w14:textId="2CA0F768" w:rsidR="002545AA" w:rsidRPr="00E35001" w:rsidRDefault="00785108" w:rsidP="00785108">
      <w:r w:rsidRPr="00CC7693">
        <w:rPr>
          <w:b/>
          <w:bCs/>
          <w:lang w:val="es-ES"/>
        </w:rPr>
        <w:t>PARTICIPACIÓN A DISTANCIA</w:t>
      </w:r>
      <w:r>
        <w:rPr>
          <w:lang w:val="es-ES"/>
        </w:rPr>
        <w:t xml:space="preserve">: Se utilizará la herramienta </w:t>
      </w:r>
      <w:hyperlink r:id="rId32" w:history="1">
        <w:r w:rsidRPr="00CF782D">
          <w:rPr>
            <w:rStyle w:val="Hyperlink"/>
            <w:lang w:val="es-ES"/>
          </w:rPr>
          <w:t>MyMeetings</w:t>
        </w:r>
      </w:hyperlink>
      <w:r>
        <w:rPr>
          <w:lang w:val="es-ES"/>
        </w:rPr>
        <w:t xml:space="preserve"> para facilitar la participación a distancia en todas las reuniones de los Grupos de Trabajo.</w:t>
      </w:r>
    </w:p>
    <w:p w14:paraId="311250E3" w14:textId="1C9588C4" w:rsidR="002545AA" w:rsidRPr="00E35001" w:rsidRDefault="00785108" w:rsidP="002545AA">
      <w:pPr>
        <w:pStyle w:val="AnnexTitle"/>
        <w:spacing w:after="200"/>
        <w:rPr>
          <w:bCs/>
          <w:szCs w:val="24"/>
        </w:rPr>
      </w:pPr>
      <w:r>
        <w:rPr>
          <w:bCs/>
          <w:lang w:val="es-ES"/>
        </w:rPr>
        <w:t>PREINSCRIPCIÓN Y APOYO PARA LA OBTENCIÓN DE VISADO</w:t>
      </w:r>
    </w:p>
    <w:p w14:paraId="046AB2AA" w14:textId="77777777" w:rsidR="00785108" w:rsidRPr="00E81D4A" w:rsidRDefault="00785108" w:rsidP="00785108">
      <w:pPr>
        <w:rPr>
          <w:b/>
          <w:bCs/>
          <w:szCs w:val="22"/>
          <w:lang w:val="es-ES"/>
        </w:rPr>
      </w:pPr>
      <w:r w:rsidRPr="00746180">
        <w:rPr>
          <w:b/>
          <w:bCs/>
          <w:lang w:val="es-ES"/>
        </w:rPr>
        <w:t>PREINSCRIPCIÓN</w:t>
      </w:r>
      <w:r>
        <w:rPr>
          <w:lang w:val="es-ES"/>
        </w:rPr>
        <w:t xml:space="preserve">: La preinscripción es obligatoria, </w:t>
      </w:r>
      <w:r w:rsidRPr="008A5358">
        <w:rPr>
          <w:u w:val="single"/>
          <w:lang w:val="es-ES"/>
        </w:rPr>
        <w:t>tanto para los participantes presenciales como para los participantes a distancia</w:t>
      </w:r>
      <w:r>
        <w:rPr>
          <w:lang w:val="es-ES"/>
        </w:rPr>
        <w:t xml:space="preserve">, y ha de hacerse en línea a través de la página principal de la Comisión de </w:t>
      </w:r>
      <w:r w:rsidRPr="00926EAA">
        <w:rPr>
          <w:b/>
          <w:bCs/>
          <w:lang w:val="es-ES"/>
        </w:rPr>
        <w:t>Estudio a más tardar un mes antes del inicio de la reunión</w:t>
      </w:r>
      <w:r>
        <w:rPr>
          <w:lang w:val="es-ES"/>
        </w:rPr>
        <w:t xml:space="preserve">. El sistema de inscripción del UIT-T requiere la aprobación del Coordinador de las solicitudes de inscripción; sin embargo, esto puede modificarse para permitir la aprobación automática, tal y como figura en la </w:t>
      </w:r>
      <w:hyperlink r:id="rId33" w:history="1">
        <w:r w:rsidRPr="00746180">
          <w:rPr>
            <w:rStyle w:val="Hyperlink"/>
            <w:lang w:val="es-ES"/>
          </w:rPr>
          <w:t>Circular 1 de la TSB</w:t>
        </w:r>
      </w:hyperlink>
      <w:r>
        <w:rPr>
          <w:lang w:val="es-ES"/>
        </w:rPr>
        <w:t>. Algunas de las opciones en el formulario de inscripción se aplican únicamente a los Estados Miembros (por ejemplo, función). Se alienta a los miembros a incluir mujeres en sus delegaciones siempre que sea posible.</w:t>
      </w:r>
      <w:hyperlink r:id="rId34" w:history="1"/>
    </w:p>
    <w:p w14:paraId="0C54E027" w14:textId="77777777" w:rsidR="00785108" w:rsidRPr="00E81D4A" w:rsidRDefault="00785108" w:rsidP="00785108">
      <w:pPr>
        <w:rPr>
          <w:bCs/>
          <w:szCs w:val="22"/>
          <w:lang w:val="es-ES"/>
        </w:rPr>
      </w:pPr>
      <w:r w:rsidRPr="00746180">
        <w:rPr>
          <w:b/>
          <w:bCs/>
          <w:lang w:val="es-ES"/>
        </w:rPr>
        <w:t>APOYO PARA LA OBTENCIÓN DEL VISADO</w:t>
      </w:r>
      <w:r>
        <w:rPr>
          <w:lang w:val="es-ES"/>
        </w:rPr>
        <w:t>: En su caso, los visados deben solicitarse antes de la fecha de llegada a Suiza en la embajada o el consulado que represente a Suiza en su país o, en su defecto, en la entidad más próxima a su país de partida. Habida cuenta de que los plazos aplicables pueden variar, se recomienda consultar directamente a la representación adecuada y presentar la solicitud con antelación.</w:t>
      </w:r>
    </w:p>
    <w:p w14:paraId="234A26EB" w14:textId="2F27FB15" w:rsidR="002545AA" w:rsidRPr="00E35001" w:rsidRDefault="00785108" w:rsidP="00785108">
      <w:r>
        <w:rPr>
          <w:lang w:val="es-ES"/>
        </w:rPr>
        <w:t xml:space="preserve">En caso de necesidad, la Unión puede, previa solicitud oficial de la administración o la entidad que usted representa, intervenir ante las autoridades suizas competentes para facilitar la expedición de ese visado. Una vez que el coordinador de inscripciones de su organización haya aprobado su inscripción, suelen transcurrir 15 días antes de que se emita la carta de solicitud de visado. Por consiguiente, las solicitudes deberán efectuarse marcando la casilla correspondiente en el formulario de inscripción </w:t>
      </w:r>
      <w:r w:rsidRPr="00746180">
        <w:rPr>
          <w:b/>
          <w:bCs/>
          <w:lang w:val="es-ES"/>
        </w:rPr>
        <w:t>a más tardar un mes antes de la reunión</w:t>
      </w:r>
      <w:r>
        <w:rPr>
          <w:lang w:val="es-ES"/>
        </w:rPr>
        <w:t>. Toda consulta al respecto debe remitirse a la Sección de Viajes de la UIT (</w:t>
      </w:r>
      <w:hyperlink r:id="rId35" w:history="1">
        <w:r w:rsidRPr="000F33F5">
          <w:rPr>
            <w:rStyle w:val="Hyperlink"/>
            <w:lang w:val="es-ES"/>
          </w:rPr>
          <w:t>travel@itu.int</w:t>
        </w:r>
      </w:hyperlink>
      <w:r>
        <w:rPr>
          <w:lang w:val="es-ES"/>
        </w:rPr>
        <w:t>) con la indicación "</w:t>
      </w:r>
      <w:r w:rsidRPr="00FF4672">
        <w:rPr>
          <w:b/>
          <w:bCs/>
          <w:lang w:val="es-ES"/>
        </w:rPr>
        <w:t>apoyo para la obtención de visado</w:t>
      </w:r>
      <w:r>
        <w:rPr>
          <w:lang w:val="es-ES"/>
        </w:rPr>
        <w:t>".</w:t>
      </w:r>
    </w:p>
    <w:p w14:paraId="6EC3D64B" w14:textId="77777777" w:rsidR="002545AA" w:rsidRPr="00E35001" w:rsidRDefault="002545AA" w:rsidP="002545AA">
      <w:pPr>
        <w:pStyle w:val="AnnexTitle"/>
        <w:rPr>
          <w:bCs/>
          <w:szCs w:val="24"/>
        </w:rPr>
      </w:pPr>
      <w:r w:rsidRPr="00E35001">
        <w:rPr>
          <w:bCs/>
          <w:szCs w:val="24"/>
        </w:rPr>
        <w:lastRenderedPageBreak/>
        <w:t>VISITAS A GINEBRA: HOTELES, TRANSPORTE PÚBLICO Y VISADOS</w:t>
      </w:r>
    </w:p>
    <w:p w14:paraId="479FC14D" w14:textId="387EF1C2" w:rsidR="00785108" w:rsidRPr="00E81D4A" w:rsidRDefault="00785108" w:rsidP="00785108">
      <w:pPr>
        <w:pStyle w:val="Normalaftertitle"/>
        <w:spacing w:before="120"/>
        <w:rPr>
          <w:lang w:val="es-ES"/>
        </w:rPr>
      </w:pPr>
      <w:r w:rsidRPr="00C425DB">
        <w:rPr>
          <w:b/>
          <w:bCs/>
          <w:lang w:val="es-ES"/>
        </w:rPr>
        <w:t>VISITAS A GINEBRA</w:t>
      </w:r>
      <w:r>
        <w:rPr>
          <w:lang w:val="es-ES"/>
        </w:rPr>
        <w:t xml:space="preserve">: Los delegados que asistan a reuniones de la UIT en Ginebra pueden encontrar información práctica en: </w:t>
      </w:r>
      <w:hyperlink r:id="rId36" w:history="1">
        <w:r w:rsidRPr="000F33F5">
          <w:rPr>
            <w:rStyle w:val="Hyperlink"/>
            <w:lang w:val="es-ES"/>
          </w:rPr>
          <w:t>https://www.itu.int/es/delegates-corner</w:t>
        </w:r>
      </w:hyperlink>
      <w:r>
        <w:rPr>
          <w:lang w:val="es-ES"/>
        </w:rPr>
        <w:t>.</w:t>
      </w:r>
      <w:hyperlink r:id="rId37"/>
    </w:p>
    <w:p w14:paraId="484E90C4" w14:textId="56C772F3" w:rsidR="002545AA" w:rsidRPr="00E35001" w:rsidRDefault="00785108" w:rsidP="00785108">
      <w:pPr>
        <w:rPr>
          <w:szCs w:val="24"/>
        </w:rPr>
      </w:pPr>
      <w:r w:rsidRPr="00C425DB">
        <w:rPr>
          <w:b/>
          <w:bCs/>
          <w:lang w:val="es-ES"/>
        </w:rPr>
        <w:t>DESCUENTOS PARA HOTELES</w:t>
      </w:r>
      <w:r>
        <w:rPr>
          <w:lang w:val="es-ES"/>
        </w:rPr>
        <w:t xml:space="preserve">: Varios hoteles de Ginebra ofrecen precios especiales para los delegados que asisten a reuniones de la UIT, y regalan un abono gratuito para los transportes públicos de la ciudad. Puede consultar una lista de esos hoteles e información sobre cómo solicitar los descuentos en la dirección: </w:t>
      </w:r>
      <w:hyperlink r:id="rId38" w:history="1">
        <w:r w:rsidRPr="000F33F5">
          <w:rPr>
            <w:rStyle w:val="Hyperlink"/>
            <w:lang w:val="es-ES"/>
          </w:rPr>
          <w:t>http://www.itu.int/travel/</w:t>
        </w:r>
      </w:hyperlink>
      <w:r>
        <w:rPr>
          <w:lang w:val="es-ES"/>
        </w:rPr>
        <w:t>.</w:t>
      </w:r>
    </w:p>
    <w:p w14:paraId="09147869" w14:textId="77777777" w:rsidR="002545AA" w:rsidRPr="00E35001" w:rsidRDefault="002545AA" w:rsidP="002545AA">
      <w:r w:rsidRPr="00E35001">
        <w:br w:type="page"/>
      </w:r>
    </w:p>
    <w:p w14:paraId="77774A77" w14:textId="320A1FF4" w:rsidR="00785108" w:rsidRPr="00E35001" w:rsidRDefault="002545AA" w:rsidP="00785108">
      <w:pPr>
        <w:pStyle w:val="AnnexNotitle"/>
      </w:pPr>
      <w:r w:rsidRPr="00E35001">
        <w:lastRenderedPageBreak/>
        <w:t>Anexo B</w:t>
      </w:r>
      <w:r w:rsidR="00785108">
        <w:br/>
      </w:r>
      <w:r w:rsidR="00785108">
        <w:rPr>
          <w:lang w:val="es-ES"/>
        </w:rPr>
        <w:t>Reuniones de los Grupos de Trabajo 1/17, 2/17, 3/17 y 4/17</w:t>
      </w:r>
      <w:r w:rsidR="00785108">
        <w:rPr>
          <w:lang w:val="es-ES"/>
        </w:rPr>
        <w:br/>
        <w:t>Ginebra, 2 de abril de 2026</w:t>
      </w:r>
    </w:p>
    <w:p w14:paraId="754671C8" w14:textId="2C0E54B0" w:rsidR="002545AA" w:rsidRPr="000F44A4" w:rsidRDefault="002545AA" w:rsidP="00BC1FB8">
      <w:pPr>
        <w:spacing w:before="240"/>
        <w:ind w:right="-194"/>
        <w:jc w:val="center"/>
        <w:rPr>
          <w:b/>
          <w:bCs/>
          <w:sz w:val="24"/>
          <w:szCs w:val="24"/>
        </w:rPr>
      </w:pPr>
      <w:r w:rsidRPr="000F44A4">
        <w:rPr>
          <w:b/>
          <w:bCs/>
          <w:sz w:val="24"/>
          <w:szCs w:val="24"/>
        </w:rPr>
        <w:t>Proyecto de orden del día</w:t>
      </w:r>
    </w:p>
    <w:p w14:paraId="7AA53895" w14:textId="00187DF7" w:rsidR="00785108" w:rsidRPr="00E81D4A" w:rsidRDefault="00785108" w:rsidP="000F44A4">
      <w:pPr>
        <w:tabs>
          <w:tab w:val="clear" w:pos="794"/>
          <w:tab w:val="left" w:pos="426"/>
        </w:tabs>
        <w:spacing w:before="240"/>
        <w:rPr>
          <w:lang w:val="es-ES"/>
        </w:rPr>
      </w:pPr>
      <w:r>
        <w:rPr>
          <w:lang w:val="es-ES"/>
        </w:rPr>
        <w:t>1)</w:t>
      </w:r>
      <w:r>
        <w:rPr>
          <w:lang w:val="es-ES"/>
        </w:rPr>
        <w:tab/>
        <w:t>Discurso de apertura y bienvenida</w:t>
      </w:r>
    </w:p>
    <w:p w14:paraId="2F78B40D" w14:textId="46A527EC" w:rsidR="00785108" w:rsidRPr="00E81D4A" w:rsidRDefault="00785108" w:rsidP="00785108">
      <w:pPr>
        <w:tabs>
          <w:tab w:val="clear" w:pos="794"/>
          <w:tab w:val="left" w:pos="426"/>
        </w:tabs>
        <w:rPr>
          <w:lang w:val="es-ES"/>
        </w:rPr>
      </w:pPr>
      <w:r>
        <w:rPr>
          <w:lang w:val="es-ES"/>
        </w:rPr>
        <w:t>2)</w:t>
      </w:r>
      <w:r>
        <w:rPr>
          <w:lang w:val="es-ES"/>
        </w:rPr>
        <w:tab/>
        <w:t>Aprobación del orden del día de las Sesiones Plenarias de los Grupos de Trabajo 1, 2, 3 y 4/17</w:t>
      </w:r>
    </w:p>
    <w:p w14:paraId="44A01D61" w14:textId="48F9759B" w:rsidR="00785108" w:rsidRPr="00E81D4A" w:rsidRDefault="00785108" w:rsidP="00785108">
      <w:pPr>
        <w:tabs>
          <w:tab w:val="clear" w:pos="794"/>
          <w:tab w:val="left" w:pos="426"/>
        </w:tabs>
        <w:rPr>
          <w:lang w:val="es-ES"/>
        </w:rPr>
      </w:pPr>
      <w:r>
        <w:rPr>
          <w:lang w:val="es-ES"/>
        </w:rPr>
        <w:t>3)</w:t>
      </w:r>
      <w:r>
        <w:rPr>
          <w:lang w:val="es-ES"/>
        </w:rPr>
        <w:tab/>
        <w:t>Examen de los resultados de las reuniones de los Grupos de Relator (enero-marzo de 2026)</w:t>
      </w:r>
    </w:p>
    <w:p w14:paraId="4D93F717" w14:textId="25219FDD" w:rsidR="00785108" w:rsidRPr="00E81D4A" w:rsidRDefault="00785108" w:rsidP="00785108">
      <w:pPr>
        <w:tabs>
          <w:tab w:val="clear" w:pos="794"/>
          <w:tab w:val="left" w:pos="426"/>
          <w:tab w:val="left" w:pos="851"/>
        </w:tabs>
        <w:rPr>
          <w:lang w:val="es-ES"/>
        </w:rPr>
      </w:pPr>
      <w:r>
        <w:rPr>
          <w:lang w:val="es-ES"/>
        </w:rPr>
        <w:t>4)</w:t>
      </w:r>
      <w:r>
        <w:rPr>
          <w:lang w:val="es-ES"/>
        </w:rPr>
        <w:tab/>
        <w:t>Consentimiento de los proyectos de Recomendaciones</w:t>
      </w:r>
    </w:p>
    <w:p w14:paraId="407B19ED" w14:textId="15FEB1FC" w:rsidR="00785108" w:rsidRPr="00E81D4A" w:rsidRDefault="00785108" w:rsidP="00785108">
      <w:pPr>
        <w:tabs>
          <w:tab w:val="clear" w:pos="794"/>
          <w:tab w:val="left" w:pos="426"/>
        </w:tabs>
        <w:rPr>
          <w:lang w:val="es-ES"/>
        </w:rPr>
      </w:pPr>
      <w:r>
        <w:rPr>
          <w:lang w:val="es-ES"/>
        </w:rPr>
        <w:t>5)</w:t>
      </w:r>
      <w:r>
        <w:rPr>
          <w:lang w:val="es-ES"/>
        </w:rPr>
        <w:tab/>
        <w:t>Acuerdo de Suplementos</w:t>
      </w:r>
    </w:p>
    <w:p w14:paraId="4D9E7A81" w14:textId="7146FB02" w:rsidR="00785108" w:rsidRPr="00E81D4A" w:rsidRDefault="00785108" w:rsidP="00785108">
      <w:pPr>
        <w:tabs>
          <w:tab w:val="clear" w:pos="794"/>
          <w:tab w:val="left" w:pos="426"/>
        </w:tabs>
        <w:rPr>
          <w:lang w:val="es-ES"/>
        </w:rPr>
      </w:pPr>
      <w:r>
        <w:rPr>
          <w:lang w:val="es-ES"/>
        </w:rPr>
        <w:t>6)</w:t>
      </w:r>
      <w:r>
        <w:rPr>
          <w:lang w:val="es-ES"/>
        </w:rPr>
        <w:tab/>
        <w:t>Acuerdo sobre nuevos temas de trabajo</w:t>
      </w:r>
    </w:p>
    <w:p w14:paraId="53CE85CC" w14:textId="5A4DA256" w:rsidR="00785108" w:rsidRPr="00E81D4A" w:rsidRDefault="00785108" w:rsidP="00785108">
      <w:pPr>
        <w:tabs>
          <w:tab w:val="clear" w:pos="794"/>
          <w:tab w:val="left" w:pos="426"/>
        </w:tabs>
        <w:rPr>
          <w:lang w:val="es-ES"/>
        </w:rPr>
      </w:pPr>
      <w:r>
        <w:rPr>
          <w:lang w:val="es-ES"/>
        </w:rPr>
        <w:t>7)</w:t>
      </w:r>
      <w:r>
        <w:rPr>
          <w:lang w:val="es-ES"/>
        </w:rPr>
        <w:tab/>
        <w:t>Aprobación de las declaraciones de coordinación salientes</w:t>
      </w:r>
    </w:p>
    <w:p w14:paraId="34EFC245" w14:textId="6F59AA7C" w:rsidR="00785108" w:rsidRPr="00E81D4A" w:rsidRDefault="00785108" w:rsidP="00785108">
      <w:pPr>
        <w:tabs>
          <w:tab w:val="clear" w:pos="794"/>
          <w:tab w:val="left" w:pos="426"/>
        </w:tabs>
        <w:rPr>
          <w:lang w:val="es-ES"/>
        </w:rPr>
      </w:pPr>
      <w:r>
        <w:rPr>
          <w:lang w:val="es-ES"/>
        </w:rPr>
        <w:t>8)</w:t>
      </w:r>
      <w:r>
        <w:rPr>
          <w:lang w:val="es-ES"/>
        </w:rPr>
        <w:tab/>
        <w:t>Acuerdo sobre las actividades futuras</w:t>
      </w:r>
    </w:p>
    <w:p w14:paraId="097E0326" w14:textId="77777777" w:rsidR="00785108" w:rsidRDefault="00785108" w:rsidP="00785108">
      <w:pPr>
        <w:tabs>
          <w:tab w:val="clear" w:pos="794"/>
          <w:tab w:val="left" w:pos="426"/>
        </w:tabs>
        <w:rPr>
          <w:lang w:val="es-ES"/>
        </w:rPr>
      </w:pPr>
      <w:r>
        <w:rPr>
          <w:lang w:val="es-ES"/>
        </w:rPr>
        <w:t>9)</w:t>
      </w:r>
      <w:r>
        <w:rPr>
          <w:lang w:val="es-ES"/>
        </w:rPr>
        <w:tab/>
        <w:t>Otros asuntos</w:t>
      </w:r>
    </w:p>
    <w:p w14:paraId="6A78721F" w14:textId="23C38BF3" w:rsidR="00C34772" w:rsidRDefault="00785108" w:rsidP="00785108">
      <w:pPr>
        <w:tabs>
          <w:tab w:val="clear" w:pos="794"/>
          <w:tab w:val="left" w:pos="426"/>
        </w:tabs>
        <w:rPr>
          <w:lang w:val="es-ES"/>
        </w:rPr>
      </w:pPr>
      <w:r>
        <w:rPr>
          <w:lang w:val="es-ES"/>
        </w:rPr>
        <w:t>10)</w:t>
      </w:r>
      <w:r>
        <w:rPr>
          <w:lang w:val="es-ES"/>
        </w:rPr>
        <w:tab/>
        <w:t>Clausura de la reunión</w:t>
      </w:r>
    </w:p>
    <w:p w14:paraId="1FDCBC13" w14:textId="06BE2A5E" w:rsidR="00785108" w:rsidRPr="00785108" w:rsidRDefault="00785108" w:rsidP="00785108">
      <w:pPr>
        <w:jc w:val="center"/>
      </w:pPr>
      <w:r>
        <w:t>______________</w:t>
      </w:r>
    </w:p>
    <w:sectPr w:rsidR="00785108" w:rsidRPr="00785108" w:rsidSect="002545AA">
      <w:headerReference w:type="even" r:id="rId39"/>
      <w:headerReference w:type="default" r:id="rId40"/>
      <w:footerReference w:type="first" r:id="rId41"/>
      <w:pgSz w:w="11907" w:h="16840" w:code="9"/>
      <w:pgMar w:top="1134" w:right="1134" w:bottom="1134" w:left="1134" w:header="567" w:footer="567" w:gutter="0"/>
      <w:paperSrc w:first="261" w:other="26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AA13B" w14:textId="77777777" w:rsidR="00665A9E" w:rsidRDefault="00665A9E">
      <w:r>
        <w:separator/>
      </w:r>
    </w:p>
  </w:endnote>
  <w:endnote w:type="continuationSeparator" w:id="0">
    <w:p w14:paraId="6161E3D3" w14:textId="77777777" w:rsidR="00665A9E" w:rsidRDefault="00665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Futura Lt BT">
    <w:altName w:val="Arial"/>
    <w:charset w:val="00"/>
    <w:family w:val="swiss"/>
    <w:pitch w:val="variable"/>
    <w:sig w:usb0="00000087" w:usb1="00000000" w:usb2="00000000" w:usb3="00000000" w:csb0="0000001B" w:csb1="00000000"/>
  </w:font>
  <w:font w:name="Tahoma">
    <w:panose1 w:val="020B0604030504040204"/>
    <w:charset w:val="CC"/>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B75D6" w14:textId="77777777" w:rsidR="005E67CA" w:rsidRPr="00F834B9" w:rsidRDefault="005E67CA" w:rsidP="005E67CA">
    <w:pPr>
      <w:pStyle w:val="FirstFooter"/>
      <w:ind w:left="-397" w:right="-397"/>
      <w:jc w:val="center"/>
      <w:rPr>
        <w:color w:val="0070C0"/>
        <w:szCs w:val="18"/>
        <w:lang w:val="es-ES"/>
      </w:rPr>
    </w:pPr>
    <w:r w:rsidRPr="00F834B9">
      <w:rPr>
        <w:color w:val="0070C0"/>
        <w:szCs w:val="18"/>
        <w:lang w:val="es-ES"/>
      </w:rPr>
      <w:t>Unión Internacional de Telecomunicaciones • Place des Nations, CH</w:t>
    </w:r>
    <w:r w:rsidRPr="00F834B9">
      <w:rPr>
        <w:color w:val="0070C0"/>
        <w:szCs w:val="18"/>
        <w:lang w:val="es-ES"/>
      </w:rPr>
      <w:noBreakHyphen/>
      <w:t xml:space="preserve">1211 Ginebra 20, Suiza </w:t>
    </w:r>
    <w:r w:rsidRPr="00F834B9">
      <w:rPr>
        <w:color w:val="0070C0"/>
        <w:szCs w:val="18"/>
        <w:lang w:val="es-ES"/>
      </w:rPr>
      <w:br/>
      <w:t xml:space="preserve">Tel: +41 22 730 5111 • Fax: +41 22 733 7256 • Correo-e: </w:t>
    </w:r>
    <w:hyperlink r:id="rId1" w:history="1">
      <w:r w:rsidRPr="00F834B9">
        <w:rPr>
          <w:rStyle w:val="Hyperlink"/>
          <w:color w:val="0070C0"/>
          <w:lang w:val="es-ES"/>
        </w:rPr>
        <w:t>itumail@itu.int</w:t>
      </w:r>
    </w:hyperlink>
    <w:r w:rsidRPr="00F834B9">
      <w:rPr>
        <w:color w:val="0070C0"/>
        <w:szCs w:val="18"/>
        <w:lang w:val="es-ES"/>
      </w:rPr>
      <w:t xml:space="preserve"> • </w:t>
    </w:r>
    <w:hyperlink r:id="rId2" w:history="1">
      <w:r w:rsidRPr="00F834B9">
        <w:rPr>
          <w:rStyle w:val="Hyperlink"/>
          <w:color w:val="0070C0"/>
          <w:lang w:val="es-ES"/>
        </w:rPr>
        <w:t>www.itu.int</w:t>
      </w:r>
    </w:hyperlink>
    <w:r w:rsidRPr="00F834B9">
      <w:rPr>
        <w:color w:val="0070C0"/>
        <w:szCs w:val="18"/>
        <w:lang w:val="es-E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2E276" w14:textId="77777777" w:rsidR="00665A9E" w:rsidRDefault="00665A9E">
      <w:r>
        <w:t>____________________</w:t>
      </w:r>
    </w:p>
  </w:footnote>
  <w:footnote w:type="continuationSeparator" w:id="0">
    <w:p w14:paraId="1A9D2899" w14:textId="77777777" w:rsidR="00665A9E" w:rsidRDefault="00665A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4290009"/>
      <w:docPartObj>
        <w:docPartGallery w:val="Page Numbers (Top of Page)"/>
        <w:docPartUnique/>
      </w:docPartObj>
    </w:sdtPr>
    <w:sdtEndPr>
      <w:rPr>
        <w:noProof/>
        <w:sz w:val="18"/>
        <w:szCs w:val="18"/>
      </w:rPr>
    </w:sdtEndPr>
    <w:sdtContent>
      <w:p w14:paraId="2C0AE0A1" w14:textId="65C733C0" w:rsidR="00141CB4"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2</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77066D">
          <w:rPr>
            <w:bCs/>
            <w:sz w:val="18"/>
            <w:szCs w:val="18"/>
          </w:rPr>
          <w:t>6</w:t>
        </w:r>
        <w:r w:rsidRPr="001A50AB">
          <w:rPr>
            <w:bCs/>
            <w:sz w:val="18"/>
            <w:szCs w:val="18"/>
          </w:rPr>
          <w:t>/</w:t>
        </w:r>
        <w:r w:rsidR="0077066D">
          <w:rPr>
            <w:bCs/>
            <w:sz w:val="18"/>
            <w:szCs w:val="18"/>
          </w:rPr>
          <w:t>17</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9141411"/>
      <w:docPartObj>
        <w:docPartGallery w:val="Page Numbers (Top of Page)"/>
        <w:docPartUnique/>
      </w:docPartObj>
    </w:sdtPr>
    <w:sdtEndPr>
      <w:rPr>
        <w:noProof/>
        <w:sz w:val="18"/>
        <w:szCs w:val="18"/>
      </w:rPr>
    </w:sdtEndPr>
    <w:sdtContent>
      <w:p w14:paraId="2BB17230" w14:textId="2E591EF1" w:rsidR="00BC1FB8" w:rsidRPr="00BC1FB8" w:rsidRDefault="00BC1FB8" w:rsidP="00BC1FB8">
        <w:pPr>
          <w:pStyle w:val="Header"/>
          <w:spacing w:after="240"/>
          <w:rPr>
            <w:noProof/>
            <w:sz w:val="18"/>
            <w:szCs w:val="18"/>
          </w:rPr>
        </w:pPr>
        <w:r w:rsidRPr="00DF4D66">
          <w:rPr>
            <w:sz w:val="18"/>
            <w:szCs w:val="16"/>
          </w:rPr>
          <w:t xml:space="preserve">- </w:t>
        </w:r>
        <w:r w:rsidRPr="00F55157">
          <w:rPr>
            <w:sz w:val="18"/>
            <w:szCs w:val="18"/>
          </w:rPr>
          <w:fldChar w:fldCharType="begin"/>
        </w:r>
        <w:r w:rsidRPr="00F55157">
          <w:rPr>
            <w:sz w:val="18"/>
            <w:szCs w:val="18"/>
          </w:rPr>
          <w:instrText xml:space="preserve"> PAGE   \* MERGEFORMAT </w:instrText>
        </w:r>
        <w:r w:rsidRPr="00F55157">
          <w:rPr>
            <w:sz w:val="18"/>
            <w:szCs w:val="18"/>
          </w:rPr>
          <w:fldChar w:fldCharType="separate"/>
        </w:r>
        <w:r w:rsidR="005E67CA">
          <w:rPr>
            <w:noProof/>
            <w:sz w:val="18"/>
            <w:szCs w:val="18"/>
          </w:rPr>
          <w:t>3</w:t>
        </w:r>
        <w:r w:rsidRPr="00F55157">
          <w:rPr>
            <w:noProof/>
            <w:sz w:val="18"/>
            <w:szCs w:val="18"/>
          </w:rPr>
          <w:fldChar w:fldCharType="end"/>
        </w:r>
        <w:r>
          <w:rPr>
            <w:noProof/>
            <w:sz w:val="18"/>
            <w:szCs w:val="18"/>
          </w:rPr>
          <w:t xml:space="preserve"> -</w:t>
        </w:r>
        <w:r>
          <w:rPr>
            <w:noProof/>
            <w:sz w:val="18"/>
            <w:szCs w:val="18"/>
          </w:rPr>
          <w:br/>
        </w:r>
        <w:r w:rsidRPr="001A50AB">
          <w:rPr>
            <w:bCs/>
            <w:sz w:val="18"/>
            <w:szCs w:val="18"/>
          </w:rPr>
          <w:t xml:space="preserve">Carta Colectiva </w:t>
        </w:r>
        <w:r w:rsidR="00785108">
          <w:rPr>
            <w:bCs/>
            <w:sz w:val="18"/>
            <w:szCs w:val="18"/>
          </w:rPr>
          <w:t>6</w:t>
        </w:r>
        <w:r w:rsidRPr="001A50AB">
          <w:rPr>
            <w:bCs/>
            <w:sz w:val="18"/>
            <w:szCs w:val="18"/>
          </w:rPr>
          <w:t>/</w:t>
        </w:r>
        <w:r w:rsidR="00785108">
          <w:rPr>
            <w:bCs/>
            <w:sz w:val="18"/>
            <w:szCs w:val="18"/>
          </w:rPr>
          <w:t>17</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014EF"/>
    <w:multiLevelType w:val="hybridMultilevel"/>
    <w:tmpl w:val="5D3E9E12"/>
    <w:lvl w:ilvl="0" w:tplc="04090001">
      <w:start w:val="1"/>
      <w:numFmt w:val="bullet"/>
      <w:lvlText w:val=""/>
      <w:lvlJc w:val="left"/>
      <w:pPr>
        <w:ind w:left="780" w:hanging="420"/>
      </w:pPr>
      <w:rPr>
        <w:rFonts w:ascii="Symbol" w:hAnsi="Symbol"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 w15:restartNumberingAfterBreak="0">
    <w:nsid w:val="43345EBD"/>
    <w:multiLevelType w:val="singleLevel"/>
    <w:tmpl w:val="7E4A53FA"/>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2" w15:restartNumberingAfterBreak="0">
    <w:nsid w:val="530F3BD4"/>
    <w:multiLevelType w:val="hybridMultilevel"/>
    <w:tmpl w:val="0C9CFDBA"/>
    <w:lvl w:ilvl="0" w:tplc="9BD247BA">
      <w:numFmt w:val="bullet"/>
      <w:lvlText w:val="-"/>
      <w:lvlJc w:val="left"/>
      <w:pPr>
        <w:ind w:left="2345" w:hanging="360"/>
      </w:pPr>
      <w:rPr>
        <w:rFonts w:ascii="Times New Roman" w:eastAsia="Times New Roman" w:hAnsi="Times New Roman" w:cs="Times New Roman" w:hint="default"/>
      </w:rPr>
    </w:lvl>
    <w:lvl w:ilvl="1" w:tplc="04090003">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3" w15:restartNumberingAfterBreak="0">
    <w:nsid w:val="55781CBA"/>
    <w:multiLevelType w:val="singleLevel"/>
    <w:tmpl w:val="A9E8A218"/>
    <w:lvl w:ilvl="0">
      <w:start w:val="1"/>
      <w:numFmt w:val="decimal"/>
      <w:lvlText w:val="%1. "/>
      <w:legacy w:legacy="1" w:legacySpace="0" w:legacyIndent="283"/>
      <w:lvlJc w:val="left"/>
      <w:pPr>
        <w:ind w:left="283" w:hanging="283"/>
      </w:pPr>
      <w:rPr>
        <w:rFonts w:ascii="Times New Roman" w:hAnsi="Times New Roman" w:hint="default"/>
        <w:b w:val="0"/>
        <w:i w:val="0"/>
        <w:sz w:val="24"/>
        <w:u w:val="none"/>
      </w:rPr>
    </w:lvl>
  </w:abstractNum>
  <w:abstractNum w:abstractNumId="4" w15:restartNumberingAfterBreak="0">
    <w:nsid w:val="5AAB1857"/>
    <w:multiLevelType w:val="hybridMultilevel"/>
    <w:tmpl w:val="1BD4DB70"/>
    <w:lvl w:ilvl="0" w:tplc="62B2D03C">
      <w:start w:val="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8F7012"/>
    <w:multiLevelType w:val="multilevel"/>
    <w:tmpl w:val="5CC6ABCA"/>
    <w:lvl w:ilvl="0">
      <w:start w:val="1"/>
      <w:numFmt w:val="decimal"/>
      <w:lvlText w:val="%1."/>
      <w:legacy w:legacy="1" w:legacySpace="0" w:legacyIndent="708"/>
      <w:lvlJc w:val="left"/>
      <w:pPr>
        <w:ind w:left="708" w:hanging="708"/>
      </w:pPr>
      <w:rPr>
        <w:rFonts w:asciiTheme="minorHAnsi" w:hAnsiTheme="minorHAnsi" w:cs="Times New Roman" w:hint="default"/>
        <w:b w:val="0"/>
        <w:bCs w:val="0"/>
        <w:sz w:val="24"/>
        <w:szCs w:val="24"/>
      </w:rPr>
    </w:lvl>
    <w:lvl w:ilvl="1">
      <w:start w:val="1"/>
      <w:numFmt w:val="lowerLetter"/>
      <w:lvlText w:val="%2)"/>
      <w:legacy w:legacy="1" w:legacySpace="0" w:legacyIndent="708"/>
      <w:lvlJc w:val="left"/>
      <w:pPr>
        <w:ind w:left="5670" w:hanging="708"/>
      </w:pPr>
      <w:rPr>
        <w:rFonts w:cs="Times New Roman"/>
      </w:rPr>
    </w:lvl>
    <w:lvl w:ilvl="2">
      <w:start w:val="1"/>
      <w:numFmt w:val="lowerRoman"/>
      <w:lvlText w:val="%3)"/>
      <w:legacy w:legacy="1" w:legacySpace="0" w:legacyIndent="708"/>
      <w:lvlJc w:val="left"/>
      <w:pPr>
        <w:ind w:left="2124" w:hanging="708"/>
      </w:pPr>
      <w:rPr>
        <w:rFonts w:cs="Times New Roman"/>
        <w:i w:val="0"/>
        <w:iCs w:val="0"/>
      </w:rPr>
    </w:lvl>
    <w:lvl w:ilvl="3">
      <w:start w:val="5"/>
      <w:numFmt w:val="bullet"/>
      <w:lvlText w:val="-"/>
      <w:lvlJc w:val="left"/>
      <w:pPr>
        <w:ind w:left="2832" w:hanging="708"/>
      </w:pPr>
      <w:rPr>
        <w:rFonts w:ascii="Times New Roman" w:hAnsi="Times New Roman" w:cs="Times New Roman" w:hint="default"/>
      </w:rPr>
    </w:lvl>
    <w:lvl w:ilvl="4">
      <w:start w:val="1"/>
      <w:numFmt w:val="decimal"/>
      <w:lvlText w:val="(%5)"/>
      <w:legacy w:legacy="1" w:legacySpace="0" w:legacyIndent="708"/>
      <w:lvlJc w:val="left"/>
      <w:pPr>
        <w:ind w:left="3540" w:hanging="708"/>
      </w:pPr>
      <w:rPr>
        <w:rFonts w:cs="Times New Roman"/>
      </w:rPr>
    </w:lvl>
    <w:lvl w:ilvl="5">
      <w:start w:val="1"/>
      <w:numFmt w:val="lowerLetter"/>
      <w:lvlText w:val="(%6)"/>
      <w:legacy w:legacy="1" w:legacySpace="0" w:legacyIndent="708"/>
      <w:lvlJc w:val="left"/>
      <w:pPr>
        <w:ind w:left="4248" w:hanging="708"/>
      </w:pPr>
      <w:rPr>
        <w:rFonts w:cs="Times New Roman"/>
      </w:rPr>
    </w:lvl>
    <w:lvl w:ilvl="6">
      <w:start w:val="1"/>
      <w:numFmt w:val="lowerRoman"/>
      <w:lvlText w:val="(%7)"/>
      <w:legacy w:legacy="1" w:legacySpace="0" w:legacyIndent="708"/>
      <w:lvlJc w:val="left"/>
      <w:pPr>
        <w:ind w:left="4956" w:hanging="708"/>
      </w:pPr>
      <w:rPr>
        <w:rFonts w:cs="Times New Roman"/>
      </w:rPr>
    </w:lvl>
    <w:lvl w:ilvl="7">
      <w:start w:val="1"/>
      <w:numFmt w:val="lowerLetter"/>
      <w:lvlText w:val="(%8)"/>
      <w:legacy w:legacy="1" w:legacySpace="0" w:legacyIndent="708"/>
      <w:lvlJc w:val="left"/>
      <w:pPr>
        <w:ind w:left="5664" w:hanging="708"/>
      </w:pPr>
      <w:rPr>
        <w:rFonts w:cs="Times New Roman"/>
      </w:rPr>
    </w:lvl>
    <w:lvl w:ilvl="8">
      <w:start w:val="1"/>
      <w:numFmt w:val="lowerRoman"/>
      <w:lvlText w:val="(%9)"/>
      <w:legacy w:legacy="1" w:legacySpace="0" w:legacyIndent="708"/>
      <w:lvlJc w:val="left"/>
      <w:pPr>
        <w:ind w:left="6372" w:hanging="708"/>
      </w:pPr>
      <w:rPr>
        <w:rFonts w:cs="Times New Roman"/>
      </w:rPr>
    </w:lvl>
  </w:abstractNum>
  <w:abstractNum w:abstractNumId="6"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F497AEF"/>
    <w:multiLevelType w:val="hybridMultilevel"/>
    <w:tmpl w:val="6CECF91E"/>
    <w:lvl w:ilvl="0" w:tplc="755A9736">
      <w:numFmt w:val="bullet"/>
      <w:lvlText w:val="-"/>
      <w:lvlJc w:val="left"/>
      <w:pPr>
        <w:tabs>
          <w:tab w:val="num" w:pos="417"/>
        </w:tabs>
        <w:ind w:left="417" w:hanging="360"/>
      </w:pPr>
      <w:rPr>
        <w:rFonts w:ascii="Times New Roman" w:eastAsia="Times New Roman" w:hAnsi="Times New Roman" w:cs="Times New Roman" w:hint="default"/>
      </w:rPr>
    </w:lvl>
    <w:lvl w:ilvl="1" w:tplc="04090003" w:tentative="1">
      <w:start w:val="1"/>
      <w:numFmt w:val="bullet"/>
      <w:lvlText w:val="o"/>
      <w:lvlJc w:val="left"/>
      <w:pPr>
        <w:tabs>
          <w:tab w:val="num" w:pos="1137"/>
        </w:tabs>
        <w:ind w:left="1137" w:hanging="360"/>
      </w:pPr>
      <w:rPr>
        <w:rFonts w:ascii="Courier New" w:hAnsi="Courier New" w:hint="default"/>
      </w:rPr>
    </w:lvl>
    <w:lvl w:ilvl="2" w:tplc="04090005" w:tentative="1">
      <w:start w:val="1"/>
      <w:numFmt w:val="bullet"/>
      <w:lvlText w:val=""/>
      <w:lvlJc w:val="left"/>
      <w:pPr>
        <w:tabs>
          <w:tab w:val="num" w:pos="1857"/>
        </w:tabs>
        <w:ind w:left="1857" w:hanging="360"/>
      </w:pPr>
      <w:rPr>
        <w:rFonts w:ascii="Wingdings" w:hAnsi="Wingdings" w:hint="default"/>
      </w:rPr>
    </w:lvl>
    <w:lvl w:ilvl="3" w:tplc="04090001" w:tentative="1">
      <w:start w:val="1"/>
      <w:numFmt w:val="bullet"/>
      <w:lvlText w:val=""/>
      <w:lvlJc w:val="left"/>
      <w:pPr>
        <w:tabs>
          <w:tab w:val="num" w:pos="2577"/>
        </w:tabs>
        <w:ind w:left="2577" w:hanging="360"/>
      </w:pPr>
      <w:rPr>
        <w:rFonts w:ascii="Symbol" w:hAnsi="Symbol" w:hint="default"/>
      </w:rPr>
    </w:lvl>
    <w:lvl w:ilvl="4" w:tplc="04090003" w:tentative="1">
      <w:start w:val="1"/>
      <w:numFmt w:val="bullet"/>
      <w:lvlText w:val="o"/>
      <w:lvlJc w:val="left"/>
      <w:pPr>
        <w:tabs>
          <w:tab w:val="num" w:pos="3297"/>
        </w:tabs>
        <w:ind w:left="3297" w:hanging="360"/>
      </w:pPr>
      <w:rPr>
        <w:rFonts w:ascii="Courier New" w:hAnsi="Courier New" w:hint="default"/>
      </w:rPr>
    </w:lvl>
    <w:lvl w:ilvl="5" w:tplc="04090005" w:tentative="1">
      <w:start w:val="1"/>
      <w:numFmt w:val="bullet"/>
      <w:lvlText w:val=""/>
      <w:lvlJc w:val="left"/>
      <w:pPr>
        <w:tabs>
          <w:tab w:val="num" w:pos="4017"/>
        </w:tabs>
        <w:ind w:left="4017" w:hanging="360"/>
      </w:pPr>
      <w:rPr>
        <w:rFonts w:ascii="Wingdings" w:hAnsi="Wingdings" w:hint="default"/>
      </w:rPr>
    </w:lvl>
    <w:lvl w:ilvl="6" w:tplc="04090001" w:tentative="1">
      <w:start w:val="1"/>
      <w:numFmt w:val="bullet"/>
      <w:lvlText w:val=""/>
      <w:lvlJc w:val="left"/>
      <w:pPr>
        <w:tabs>
          <w:tab w:val="num" w:pos="4737"/>
        </w:tabs>
        <w:ind w:left="4737" w:hanging="360"/>
      </w:pPr>
      <w:rPr>
        <w:rFonts w:ascii="Symbol" w:hAnsi="Symbol" w:hint="default"/>
      </w:rPr>
    </w:lvl>
    <w:lvl w:ilvl="7" w:tplc="04090003" w:tentative="1">
      <w:start w:val="1"/>
      <w:numFmt w:val="bullet"/>
      <w:lvlText w:val="o"/>
      <w:lvlJc w:val="left"/>
      <w:pPr>
        <w:tabs>
          <w:tab w:val="num" w:pos="5457"/>
        </w:tabs>
        <w:ind w:left="5457" w:hanging="360"/>
      </w:pPr>
      <w:rPr>
        <w:rFonts w:ascii="Courier New" w:hAnsi="Courier New" w:hint="default"/>
      </w:rPr>
    </w:lvl>
    <w:lvl w:ilvl="8" w:tplc="04090005" w:tentative="1">
      <w:start w:val="1"/>
      <w:numFmt w:val="bullet"/>
      <w:lvlText w:val=""/>
      <w:lvlJc w:val="left"/>
      <w:pPr>
        <w:tabs>
          <w:tab w:val="num" w:pos="6177"/>
        </w:tabs>
        <w:ind w:left="6177" w:hanging="360"/>
      </w:pPr>
      <w:rPr>
        <w:rFonts w:ascii="Wingdings" w:hAnsi="Wingdings" w:hint="default"/>
      </w:rPr>
    </w:lvl>
  </w:abstractNum>
  <w:num w:numId="1" w16cid:durableId="1444111890">
    <w:abstractNumId w:val="1"/>
  </w:num>
  <w:num w:numId="2" w16cid:durableId="2019042747">
    <w:abstractNumId w:val="7"/>
  </w:num>
  <w:num w:numId="3" w16cid:durableId="719399487">
    <w:abstractNumId w:val="6"/>
  </w:num>
  <w:num w:numId="4" w16cid:durableId="104009228">
    <w:abstractNumId w:val="3"/>
  </w:num>
  <w:num w:numId="5" w16cid:durableId="734862130">
    <w:abstractNumId w:val="4"/>
  </w:num>
  <w:num w:numId="6" w16cid:durableId="1144541770">
    <w:abstractNumId w:val="5"/>
  </w:num>
  <w:num w:numId="7" w16cid:durableId="438335943">
    <w:abstractNumId w:val="2"/>
  </w:num>
  <w:num w:numId="8" w16cid:durableId="1190025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772"/>
    <w:rsid w:val="00002529"/>
    <w:rsid w:val="00002634"/>
    <w:rsid w:val="00043D90"/>
    <w:rsid w:val="000678BB"/>
    <w:rsid w:val="00080F6C"/>
    <w:rsid w:val="000C375D"/>
    <w:rsid w:val="000C382F"/>
    <w:rsid w:val="000F44A4"/>
    <w:rsid w:val="000F67AE"/>
    <w:rsid w:val="00114963"/>
    <w:rsid w:val="001173CC"/>
    <w:rsid w:val="00126D02"/>
    <w:rsid w:val="001344C2"/>
    <w:rsid w:val="00136FC2"/>
    <w:rsid w:val="00141CB4"/>
    <w:rsid w:val="001671BC"/>
    <w:rsid w:val="001A2905"/>
    <w:rsid w:val="001A54CC"/>
    <w:rsid w:val="001C2FAD"/>
    <w:rsid w:val="001D1BA9"/>
    <w:rsid w:val="001E1E1E"/>
    <w:rsid w:val="001F0D48"/>
    <w:rsid w:val="002021BB"/>
    <w:rsid w:val="00212668"/>
    <w:rsid w:val="00221C83"/>
    <w:rsid w:val="002545AA"/>
    <w:rsid w:val="00257FB4"/>
    <w:rsid w:val="00271D3E"/>
    <w:rsid w:val="0027571F"/>
    <w:rsid w:val="002C1570"/>
    <w:rsid w:val="002D54DB"/>
    <w:rsid w:val="00303D62"/>
    <w:rsid w:val="00313DBB"/>
    <w:rsid w:val="00324783"/>
    <w:rsid w:val="00327BC9"/>
    <w:rsid w:val="00335367"/>
    <w:rsid w:val="0033768F"/>
    <w:rsid w:val="00370C2D"/>
    <w:rsid w:val="003B60AA"/>
    <w:rsid w:val="003C00D3"/>
    <w:rsid w:val="003C2ECD"/>
    <w:rsid w:val="003D1E8D"/>
    <w:rsid w:val="003D4DFE"/>
    <w:rsid w:val="003D673B"/>
    <w:rsid w:val="003F0402"/>
    <w:rsid w:val="003F073D"/>
    <w:rsid w:val="003F2855"/>
    <w:rsid w:val="00401C20"/>
    <w:rsid w:val="00402B00"/>
    <w:rsid w:val="00421116"/>
    <w:rsid w:val="00427EA6"/>
    <w:rsid w:val="00450C73"/>
    <w:rsid w:val="004C1AD1"/>
    <w:rsid w:val="004C4144"/>
    <w:rsid w:val="004E26E4"/>
    <w:rsid w:val="004F0A81"/>
    <w:rsid w:val="004F5584"/>
    <w:rsid w:val="00505119"/>
    <w:rsid w:val="005267F7"/>
    <w:rsid w:val="00535F99"/>
    <w:rsid w:val="00545669"/>
    <w:rsid w:val="00555E45"/>
    <w:rsid w:val="00560EDA"/>
    <w:rsid w:val="00567B54"/>
    <w:rsid w:val="0057186B"/>
    <w:rsid w:val="005827E3"/>
    <w:rsid w:val="00586B1D"/>
    <w:rsid w:val="005B4854"/>
    <w:rsid w:val="005B6711"/>
    <w:rsid w:val="005E67CA"/>
    <w:rsid w:val="00607393"/>
    <w:rsid w:val="00622CE3"/>
    <w:rsid w:val="00635FA2"/>
    <w:rsid w:val="0064235A"/>
    <w:rsid w:val="00647213"/>
    <w:rsid w:val="00653A0E"/>
    <w:rsid w:val="00653B29"/>
    <w:rsid w:val="00665A9E"/>
    <w:rsid w:val="0067009C"/>
    <w:rsid w:val="006760CF"/>
    <w:rsid w:val="006969B4"/>
    <w:rsid w:val="006A0C05"/>
    <w:rsid w:val="006A335A"/>
    <w:rsid w:val="006B5061"/>
    <w:rsid w:val="006D338D"/>
    <w:rsid w:val="006E24F0"/>
    <w:rsid w:val="006F6581"/>
    <w:rsid w:val="007128A1"/>
    <w:rsid w:val="00715D93"/>
    <w:rsid w:val="00720BA2"/>
    <w:rsid w:val="007577EE"/>
    <w:rsid w:val="0077066D"/>
    <w:rsid w:val="00781E2A"/>
    <w:rsid w:val="00785108"/>
    <w:rsid w:val="007A6373"/>
    <w:rsid w:val="007B34FB"/>
    <w:rsid w:val="007F23CA"/>
    <w:rsid w:val="008134A7"/>
    <w:rsid w:val="00823E22"/>
    <w:rsid w:val="008258C2"/>
    <w:rsid w:val="00833CCA"/>
    <w:rsid w:val="00846D89"/>
    <w:rsid w:val="008505BD"/>
    <w:rsid w:val="00850C78"/>
    <w:rsid w:val="00855B98"/>
    <w:rsid w:val="008C17AD"/>
    <w:rsid w:val="008D02CD"/>
    <w:rsid w:val="008F29BD"/>
    <w:rsid w:val="0091255A"/>
    <w:rsid w:val="00934054"/>
    <w:rsid w:val="0095172A"/>
    <w:rsid w:val="00963CD8"/>
    <w:rsid w:val="00975A06"/>
    <w:rsid w:val="009900B7"/>
    <w:rsid w:val="009D3E5C"/>
    <w:rsid w:val="009D4C42"/>
    <w:rsid w:val="009F0942"/>
    <w:rsid w:val="00A119A2"/>
    <w:rsid w:val="00A41330"/>
    <w:rsid w:val="00A42718"/>
    <w:rsid w:val="00A54E47"/>
    <w:rsid w:val="00A6120F"/>
    <w:rsid w:val="00A85283"/>
    <w:rsid w:val="00A9210B"/>
    <w:rsid w:val="00AA30D4"/>
    <w:rsid w:val="00AD1512"/>
    <w:rsid w:val="00AE7093"/>
    <w:rsid w:val="00AF276D"/>
    <w:rsid w:val="00B00CEC"/>
    <w:rsid w:val="00B07A99"/>
    <w:rsid w:val="00B17920"/>
    <w:rsid w:val="00B321C3"/>
    <w:rsid w:val="00B422BC"/>
    <w:rsid w:val="00B43F77"/>
    <w:rsid w:val="00B44D9D"/>
    <w:rsid w:val="00B616C2"/>
    <w:rsid w:val="00B95F0A"/>
    <w:rsid w:val="00B96180"/>
    <w:rsid w:val="00BC172A"/>
    <w:rsid w:val="00BC1FB8"/>
    <w:rsid w:val="00C0097C"/>
    <w:rsid w:val="00C05882"/>
    <w:rsid w:val="00C17AC0"/>
    <w:rsid w:val="00C24BFC"/>
    <w:rsid w:val="00C31ED4"/>
    <w:rsid w:val="00C34772"/>
    <w:rsid w:val="00C36657"/>
    <w:rsid w:val="00C44C79"/>
    <w:rsid w:val="00C50A2D"/>
    <w:rsid w:val="00C71699"/>
    <w:rsid w:val="00C717E3"/>
    <w:rsid w:val="00C97F9C"/>
    <w:rsid w:val="00CB3300"/>
    <w:rsid w:val="00CC1DE4"/>
    <w:rsid w:val="00CD4AE3"/>
    <w:rsid w:val="00D027A3"/>
    <w:rsid w:val="00D119EC"/>
    <w:rsid w:val="00DA16FC"/>
    <w:rsid w:val="00DA7E46"/>
    <w:rsid w:val="00DD77C9"/>
    <w:rsid w:val="00DD7900"/>
    <w:rsid w:val="00DF4D66"/>
    <w:rsid w:val="00DF5926"/>
    <w:rsid w:val="00DF61F3"/>
    <w:rsid w:val="00E25441"/>
    <w:rsid w:val="00E5040E"/>
    <w:rsid w:val="00E764E2"/>
    <w:rsid w:val="00E81A56"/>
    <w:rsid w:val="00E839B0"/>
    <w:rsid w:val="00E85734"/>
    <w:rsid w:val="00E92C09"/>
    <w:rsid w:val="00EA3374"/>
    <w:rsid w:val="00EB4E19"/>
    <w:rsid w:val="00EF4FA4"/>
    <w:rsid w:val="00F40F4E"/>
    <w:rsid w:val="00F453C5"/>
    <w:rsid w:val="00F55157"/>
    <w:rsid w:val="00F6461F"/>
    <w:rsid w:val="00F81188"/>
    <w:rsid w:val="00F834B9"/>
    <w:rsid w:val="00F8524F"/>
    <w:rsid w:val="00F85832"/>
    <w:rsid w:val="00F904D8"/>
    <w:rsid w:val="00FA4A45"/>
    <w:rsid w:val="00FB1841"/>
    <w:rsid w:val="00FD2B2D"/>
    <w:rsid w:val="00FD2B8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A3DBB5"/>
  <w15:docId w15:val="{E80F4606-20FD-4547-8ADB-03D9C0C7E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5441"/>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2"/>
      <w:lang w:val="es-ES_tradnl" w:eastAsia="en-US"/>
    </w:rPr>
  </w:style>
  <w:style w:type="paragraph" w:styleId="Heading1">
    <w:name w:val="heading 1"/>
    <w:basedOn w:val="Normal"/>
    <w:next w:val="Normal"/>
    <w:qFormat/>
    <w:pPr>
      <w:keepNext/>
      <w:keepLines/>
      <w:tabs>
        <w:tab w:val="clear" w:pos="1191"/>
        <w:tab w:val="clear" w:pos="1588"/>
        <w:tab w:val="clear" w:pos="1985"/>
        <w:tab w:val="left" w:pos="2127"/>
        <w:tab w:val="left" w:pos="2410"/>
        <w:tab w:val="left" w:pos="2921"/>
        <w:tab w:val="left" w:pos="3261"/>
      </w:tabs>
      <w:spacing w:before="480"/>
      <w:ind w:left="794" w:hanging="794"/>
      <w:outlineLvl w:val="0"/>
    </w:pPr>
    <w:rPr>
      <w:b/>
    </w:rPr>
  </w:style>
  <w:style w:type="paragraph" w:styleId="Heading2">
    <w:name w:val="heading 2"/>
    <w:basedOn w:val="Heading1"/>
    <w:next w:val="Normal"/>
    <w:qFormat/>
    <w:pPr>
      <w:spacing w:before="320"/>
      <w:outlineLvl w:val="1"/>
    </w:pPr>
  </w:style>
  <w:style w:type="paragraph" w:styleId="Heading3">
    <w:name w:val="heading 3"/>
    <w:basedOn w:val="Heading1"/>
    <w:next w:val="Normal"/>
    <w:qFormat/>
    <w:pPr>
      <w:spacing w:before="200"/>
      <w:outlineLvl w:val="2"/>
    </w:pPr>
  </w:style>
  <w:style w:type="paragraph" w:styleId="Heading4">
    <w:name w:val="heading 4"/>
    <w:basedOn w:val="Heading3"/>
    <w:next w:val="Normal"/>
    <w:qFormat/>
    <w:pPr>
      <w:tabs>
        <w:tab w:val="clear" w:pos="794"/>
        <w:tab w:val="left" w:pos="1191"/>
      </w:tabs>
      <w:ind w:left="993" w:hanging="993"/>
      <w:outlineLvl w:val="3"/>
    </w:pPr>
  </w:style>
  <w:style w:type="paragraph" w:styleId="Heading5">
    <w:name w:val="heading 5"/>
    <w:basedOn w:val="Heading3"/>
    <w:next w:val="Normal"/>
    <w:qFormat/>
    <w:pPr>
      <w:tabs>
        <w:tab w:val="clear" w:pos="794"/>
        <w:tab w:val="left" w:pos="1191"/>
      </w:tabs>
      <w:outlineLvl w:val="4"/>
    </w:pPr>
  </w:style>
  <w:style w:type="paragraph" w:styleId="Heading6">
    <w:name w:val="heading 6"/>
    <w:basedOn w:val="Heading3"/>
    <w:next w:val="Normal"/>
    <w:qFormat/>
    <w:pPr>
      <w:tabs>
        <w:tab w:val="clear" w:pos="794"/>
        <w:tab w:val="left" w:pos="1191"/>
      </w:tabs>
      <w:outlineLvl w:val="5"/>
    </w:pPr>
  </w:style>
  <w:style w:type="paragraph" w:styleId="Heading7">
    <w:name w:val="heading 7"/>
    <w:basedOn w:val="Heading3"/>
    <w:next w:val="Normal"/>
    <w:qFormat/>
    <w:pPr>
      <w:tabs>
        <w:tab w:val="clear" w:pos="794"/>
        <w:tab w:val="left" w:pos="1191"/>
      </w:tabs>
      <w:outlineLvl w:val="6"/>
    </w:pPr>
  </w:style>
  <w:style w:type="paragraph" w:styleId="Heading8">
    <w:name w:val="heading 8"/>
    <w:basedOn w:val="Heading3"/>
    <w:next w:val="Normal"/>
    <w:qFormat/>
    <w:pPr>
      <w:tabs>
        <w:tab w:val="clear" w:pos="794"/>
        <w:tab w:val="left" w:pos="1191"/>
      </w:tabs>
      <w:outlineLvl w:val="7"/>
    </w:pPr>
  </w:style>
  <w:style w:type="paragraph" w:styleId="Heading9">
    <w:name w:val="heading 9"/>
    <w:basedOn w:val="Heading3"/>
    <w:next w:val="Normal"/>
    <w:qFormat/>
    <w:pPr>
      <w:tabs>
        <w:tab w:val="clear" w:pos="794"/>
        <w:tab w:val="left" w:pos="1191"/>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basedOn w:val="DefaultParagraphFont"/>
    <w:rPr>
      <w:vertAlign w:val="superscript"/>
    </w:rPr>
  </w:style>
  <w:style w:type="paragraph" w:styleId="TOC8">
    <w:name w:val="toc 8"/>
    <w:basedOn w:val="TOC3"/>
  </w:style>
  <w:style w:type="paragraph" w:styleId="TOC7">
    <w:name w:val="toc 7"/>
    <w:basedOn w:val="TOC3"/>
  </w:style>
  <w:style w:type="paragraph" w:styleId="TOC6">
    <w:name w:val="toc 6"/>
    <w:basedOn w:val="TOC3"/>
  </w:style>
  <w:style w:type="paragraph" w:styleId="TOC5">
    <w:name w:val="toc 5"/>
    <w:basedOn w:val="TOC3"/>
  </w:style>
  <w:style w:type="paragraph" w:styleId="TOC4">
    <w:name w:val="toc 4"/>
    <w:basedOn w:val="TOC3"/>
  </w:style>
  <w:style w:type="paragraph" w:styleId="TOC3">
    <w:name w:val="toc 3"/>
    <w:basedOn w:val="TOC2"/>
    <w:pPr>
      <w:spacing w:before="80"/>
    </w:pPr>
  </w:style>
  <w:style w:type="paragraph" w:styleId="TOC2">
    <w:name w:val="toc 2"/>
    <w:basedOn w:val="TOC1"/>
    <w:pPr>
      <w:spacing w:before="120"/>
    </w:pPr>
  </w:style>
  <w:style w:type="paragraph" w:styleId="TOC1">
    <w:name w:val="toc 1"/>
    <w:basedOn w:val="Normal"/>
    <w:pPr>
      <w:tabs>
        <w:tab w:val="clear" w:pos="794"/>
        <w:tab w:val="clear" w:pos="1191"/>
        <w:tab w:val="clear" w:pos="1588"/>
        <w:tab w:val="clear" w:pos="1985"/>
        <w:tab w:val="left" w:leader="dot" w:pos="8789"/>
        <w:tab w:val="right" w:pos="9555"/>
      </w:tabs>
      <w:spacing w:before="200"/>
      <w:ind w:left="794" w:hanging="794"/>
    </w:pPr>
  </w:style>
  <w:style w:type="paragraph" w:styleId="Index7">
    <w:name w:val="index 7"/>
    <w:basedOn w:val="Normal"/>
    <w:next w:val="Normal"/>
    <w:semiHidden/>
    <w:pPr>
      <w:ind w:left="1698"/>
    </w:pPr>
  </w:style>
  <w:style w:type="paragraph" w:styleId="Index6">
    <w:name w:val="index 6"/>
    <w:basedOn w:val="Normal"/>
    <w:next w:val="Normal"/>
    <w:semiHidden/>
    <w:pPr>
      <w:ind w:left="1415"/>
    </w:pPr>
  </w:style>
  <w:style w:type="paragraph" w:styleId="Index5">
    <w:name w:val="index 5"/>
    <w:basedOn w:val="Normal"/>
    <w:next w:val="Normal"/>
    <w:semiHidden/>
    <w:pPr>
      <w:ind w:left="1132"/>
    </w:pPr>
  </w:style>
  <w:style w:type="paragraph" w:styleId="Index4">
    <w:name w:val="index 4"/>
    <w:basedOn w:val="Normal"/>
    <w:next w:val="Normal"/>
    <w:semiHidden/>
    <w:pPr>
      <w:ind w:left="849"/>
    </w:pPr>
  </w:style>
  <w:style w:type="paragraph" w:styleId="Index3">
    <w:name w:val="index 3"/>
    <w:basedOn w:val="Normal"/>
    <w:next w:val="Normal"/>
    <w:pPr>
      <w:ind w:left="566"/>
    </w:pPr>
  </w:style>
  <w:style w:type="paragraph" w:styleId="Index2">
    <w:name w:val="index 2"/>
    <w:basedOn w:val="Normal"/>
    <w:next w:val="Normal"/>
    <w:pPr>
      <w:ind w:left="283"/>
    </w:pPr>
  </w:style>
  <w:style w:type="paragraph" w:styleId="Index1">
    <w:name w:val="index 1"/>
    <w:basedOn w:val="Normal"/>
    <w:next w:val="Normal"/>
  </w:style>
  <w:style w:type="character" w:styleId="LineNumber">
    <w:name w:val="line number"/>
    <w:basedOn w:val="DefaultParagraphFont"/>
  </w:style>
  <w:style w:type="paragraph" w:styleId="IndexHeading">
    <w:name w:val="index heading"/>
    <w:basedOn w:val="Normal"/>
    <w:next w:val="Index1"/>
    <w:semiHidden/>
  </w:style>
  <w:style w:type="paragraph" w:styleId="Footer">
    <w:name w:val="footer"/>
    <w:basedOn w:val="Normal"/>
    <w:link w:val="FooterChar"/>
    <w:pPr>
      <w:tabs>
        <w:tab w:val="clear" w:pos="794"/>
        <w:tab w:val="clear" w:pos="1191"/>
        <w:tab w:val="clear" w:pos="1588"/>
        <w:tab w:val="clear" w:pos="1985"/>
        <w:tab w:val="left" w:pos="5954"/>
        <w:tab w:val="right" w:pos="9639"/>
      </w:tabs>
      <w:spacing w:before="0"/>
    </w:pPr>
    <w:rPr>
      <w:caps/>
      <w:sz w:val="18"/>
    </w:rPr>
  </w:style>
  <w:style w:type="paragraph" w:styleId="Header">
    <w:name w:val="header"/>
    <w:aliases w:val="encabezado,Page No"/>
    <w:basedOn w:val="Normal"/>
    <w:link w:val="HeaderChar"/>
    <w:uiPriority w:val="99"/>
    <w:pPr>
      <w:tabs>
        <w:tab w:val="clear" w:pos="794"/>
        <w:tab w:val="clear" w:pos="1191"/>
        <w:tab w:val="clear" w:pos="1588"/>
        <w:tab w:val="clear" w:pos="1985"/>
      </w:tabs>
      <w:spacing w:before="0"/>
      <w:jc w:val="center"/>
    </w:pPr>
  </w:style>
  <w:style w:type="character" w:styleId="FootnoteReference">
    <w:name w:val="footnote reference"/>
    <w:basedOn w:val="DefaultParagraphFont"/>
    <w:rPr>
      <w:position w:val="6"/>
      <w:sz w:val="16"/>
    </w:rPr>
  </w:style>
  <w:style w:type="paragraph" w:styleId="FootnoteText">
    <w:name w:val="footnote text"/>
    <w:basedOn w:val="Normal"/>
    <w:pPr>
      <w:keepLines/>
      <w:tabs>
        <w:tab w:val="left" w:pos="256"/>
      </w:tabs>
      <w:ind w:left="256" w:hanging="256"/>
    </w:pPr>
  </w:style>
  <w:style w:type="paragraph" w:styleId="NormalIndent">
    <w:name w:val="Normal Indent"/>
    <w:basedOn w:val="Normal"/>
    <w:pPr>
      <w:ind w:left="794"/>
    </w:pPr>
  </w:style>
  <w:style w:type="paragraph" w:customStyle="1" w:styleId="TableLegend">
    <w:name w:val="Table_Legend"/>
    <w:basedOn w:val="TableText"/>
    <w:pPr>
      <w:spacing w:before="120"/>
    </w:pPr>
  </w:style>
  <w:style w:type="paragraph" w:customStyle="1" w:styleId="TableText">
    <w:name w:val="Table_Text"/>
    <w:basedOn w:val="Normal"/>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
    <w:name w:val="Table_Title"/>
    <w:basedOn w:val="Table"/>
    <w:next w:val="TableText"/>
    <w:pPr>
      <w:keepLines/>
      <w:spacing w:before="0"/>
    </w:pPr>
    <w:rPr>
      <w:b/>
      <w:caps w:val="0"/>
    </w:rPr>
  </w:style>
  <w:style w:type="paragraph" w:customStyle="1" w:styleId="Table">
    <w:name w:val="Table_#"/>
    <w:basedOn w:val="Normal"/>
    <w:next w:val="TableTitle"/>
    <w:pPr>
      <w:keepNext/>
      <w:spacing w:before="560" w:after="120"/>
      <w:jc w:val="center"/>
    </w:pPr>
    <w:rPr>
      <w:caps/>
    </w:rPr>
  </w:style>
  <w:style w:type="paragraph" w:customStyle="1" w:styleId="enumlev1">
    <w:name w:val="enumlev1"/>
    <w:basedOn w:val="Normal"/>
    <w:pPr>
      <w:spacing w:before="80"/>
      <w:ind w:left="794" w:hanging="794"/>
    </w:pPr>
  </w:style>
  <w:style w:type="paragraph" w:customStyle="1" w:styleId="enumlev2">
    <w:name w:val="enumlev2"/>
    <w:basedOn w:val="enumlev1"/>
    <w:pPr>
      <w:ind w:left="1191" w:hanging="397"/>
    </w:pPr>
  </w:style>
  <w:style w:type="paragraph" w:customStyle="1" w:styleId="enumlev3">
    <w:name w:val="enumlev3"/>
    <w:basedOn w:val="enumlev2"/>
    <w:pPr>
      <w:ind w:left="1588"/>
    </w:pPr>
  </w:style>
  <w:style w:type="paragraph" w:customStyle="1" w:styleId="TableHead">
    <w:name w:val="Table_Head"/>
    <w:basedOn w:val="TableText"/>
    <w:pPr>
      <w:keepNext/>
      <w:spacing w:before="80" w:after="80"/>
      <w:jc w:val="center"/>
    </w:pPr>
    <w:rPr>
      <w:b/>
    </w:rPr>
  </w:style>
  <w:style w:type="paragraph" w:customStyle="1" w:styleId="FigureLegend">
    <w:name w:val="Figure_Legend"/>
    <w:basedOn w:val="Normal"/>
    <w:pPr>
      <w:keepNext/>
      <w:keepLines/>
      <w:tabs>
        <w:tab w:val="clear" w:pos="794"/>
        <w:tab w:val="clear" w:pos="1191"/>
        <w:tab w:val="clear" w:pos="1588"/>
        <w:tab w:val="clear" w:pos="1985"/>
      </w:tabs>
      <w:spacing w:before="20" w:after="20"/>
    </w:pPr>
    <w:rPr>
      <w:sz w:val="18"/>
    </w:rPr>
  </w:style>
  <w:style w:type="paragraph" w:customStyle="1" w:styleId="Figure">
    <w:name w:val="Figure_#"/>
    <w:basedOn w:val="Table"/>
    <w:next w:val="FigureTitle"/>
    <w:pPr>
      <w:spacing w:before="480"/>
    </w:pPr>
  </w:style>
  <w:style w:type="paragraph" w:customStyle="1" w:styleId="FigureTitle">
    <w:name w:val="Figure_Title"/>
    <w:basedOn w:val="TableTitle"/>
    <w:next w:val="Normal"/>
    <w:pPr>
      <w:keepNext w:val="0"/>
      <w:spacing w:after="480"/>
    </w:pPr>
  </w:style>
  <w:style w:type="paragraph" w:customStyle="1" w:styleId="Annex">
    <w:name w:val="Annex_#"/>
    <w:basedOn w:val="Normal"/>
    <w:next w:val="AnnexRef"/>
    <w:pPr>
      <w:keepNext/>
      <w:keepLines/>
      <w:spacing w:before="480" w:after="80"/>
      <w:jc w:val="center"/>
    </w:pPr>
    <w:rPr>
      <w:caps/>
    </w:rPr>
  </w:style>
  <w:style w:type="paragraph" w:customStyle="1" w:styleId="AnnexRef">
    <w:name w:val="Annex_Ref"/>
    <w:basedOn w:val="Normal"/>
    <w:next w:val="AnnexTitle"/>
    <w:pPr>
      <w:keepNext/>
      <w:keepLines/>
      <w:jc w:val="center"/>
    </w:pPr>
  </w:style>
  <w:style w:type="paragraph" w:customStyle="1" w:styleId="AnnexTitle">
    <w:name w:val="Annex_Title"/>
    <w:basedOn w:val="Normal"/>
    <w:next w:val="Normal"/>
    <w:pPr>
      <w:keepNext/>
      <w:keepLines/>
      <w:spacing w:before="240" w:after="280"/>
      <w:jc w:val="center"/>
    </w:pPr>
    <w:rPr>
      <w:b/>
    </w:rPr>
  </w:style>
  <w:style w:type="paragraph" w:customStyle="1" w:styleId="Appendix">
    <w:name w:val="Appendix_#"/>
    <w:basedOn w:val="Annex"/>
    <w:next w:val="AppendixRef"/>
  </w:style>
  <w:style w:type="paragraph" w:customStyle="1" w:styleId="AppendixRef">
    <w:name w:val="Appendix_Ref"/>
    <w:basedOn w:val="AnnexRef"/>
    <w:next w:val="AppendixTitle"/>
  </w:style>
  <w:style w:type="paragraph" w:customStyle="1" w:styleId="AppendixTitle">
    <w:name w:val="Appendix_Title"/>
    <w:basedOn w:val="AnnexTitle"/>
    <w:next w:val="Normal"/>
  </w:style>
  <w:style w:type="paragraph" w:customStyle="1" w:styleId="RefTitle">
    <w:name w:val="Ref_Title"/>
    <w:basedOn w:val="Normal"/>
    <w:next w:val="RefText"/>
    <w:pPr>
      <w:spacing w:before="480"/>
      <w:jc w:val="center"/>
    </w:pPr>
    <w:rPr>
      <w:caps/>
    </w:rPr>
  </w:style>
  <w:style w:type="paragraph" w:customStyle="1" w:styleId="RefText">
    <w:name w:val="Ref_Text"/>
    <w:basedOn w:val="Normal"/>
    <w:pPr>
      <w:ind w:left="794" w:hanging="794"/>
    </w:pPr>
  </w:style>
  <w:style w:type="paragraph" w:customStyle="1" w:styleId="Equation">
    <w:name w:val="Equation"/>
    <w:basedOn w:val="Normal"/>
    <w:pPr>
      <w:tabs>
        <w:tab w:val="clear" w:pos="1191"/>
        <w:tab w:val="clear" w:pos="1588"/>
        <w:tab w:val="clear" w:pos="1985"/>
        <w:tab w:val="center" w:pos="4876"/>
        <w:tab w:val="right" w:pos="9752"/>
      </w:tabs>
    </w:pPr>
  </w:style>
  <w:style w:type="paragraph" w:customStyle="1" w:styleId="Head">
    <w:name w:val="Head"/>
    <w:basedOn w:val="Normal"/>
    <w:pPr>
      <w:tabs>
        <w:tab w:val="clear" w:pos="794"/>
        <w:tab w:val="clear" w:pos="1191"/>
        <w:tab w:val="clear" w:pos="1588"/>
        <w:tab w:val="clear" w:pos="1985"/>
        <w:tab w:val="left" w:pos="6663"/>
      </w:tabs>
      <w:spacing w:before="0"/>
    </w:pPr>
  </w:style>
  <w:style w:type="paragraph" w:customStyle="1" w:styleId="RecTitle">
    <w:name w:val="Rec_Title"/>
    <w:basedOn w:val="Normal"/>
    <w:next w:val="Heading1"/>
    <w:pPr>
      <w:keepNext/>
      <w:keepLines/>
      <w:spacing w:before="240"/>
      <w:jc w:val="center"/>
    </w:pPr>
    <w:rPr>
      <w:b/>
      <w:caps/>
    </w:rPr>
  </w:style>
  <w:style w:type="paragraph" w:customStyle="1" w:styleId="Normalaftertitle">
    <w:name w:val="Normal after title"/>
    <w:basedOn w:val="Normal"/>
    <w:next w:val="Normal"/>
    <w:pPr>
      <w:spacing w:before="320"/>
    </w:pPr>
  </w:style>
  <w:style w:type="paragraph" w:customStyle="1" w:styleId="call">
    <w:name w:val="call"/>
    <w:basedOn w:val="Normal"/>
    <w:next w:val="Normal"/>
    <w:pPr>
      <w:keepNext/>
      <w:keepLines/>
      <w:spacing w:before="160"/>
      <w:ind w:left="794"/>
    </w:pPr>
    <w:rPr>
      <w:i/>
    </w:rPr>
  </w:style>
  <w:style w:type="paragraph" w:customStyle="1" w:styleId="Rec">
    <w:name w:val="Rec_#"/>
    <w:basedOn w:val="Normal"/>
    <w:next w:val="RecTitle"/>
    <w:pPr>
      <w:keepNext/>
      <w:keepLines/>
      <w:spacing w:before="480"/>
      <w:jc w:val="center"/>
    </w:pPr>
    <w:rPr>
      <w:caps/>
    </w:rPr>
  </w:style>
  <w:style w:type="paragraph" w:customStyle="1" w:styleId="toc0">
    <w:name w:val="toc 0"/>
    <w:basedOn w:val="Normal"/>
    <w:next w:val="TOC1"/>
    <w:pPr>
      <w:tabs>
        <w:tab w:val="clear" w:pos="794"/>
        <w:tab w:val="clear" w:pos="1191"/>
        <w:tab w:val="clear" w:pos="1588"/>
        <w:tab w:val="clear" w:pos="1985"/>
        <w:tab w:val="right" w:pos="9781"/>
      </w:tabs>
    </w:pPr>
    <w:rPr>
      <w:b/>
    </w:rPr>
  </w:style>
  <w:style w:type="paragraph" w:styleId="List">
    <w:name w:val="List"/>
    <w:basedOn w:val="Normal"/>
    <w:pPr>
      <w:tabs>
        <w:tab w:val="clear" w:pos="794"/>
        <w:tab w:val="clear" w:pos="1191"/>
        <w:tab w:val="clear" w:pos="1588"/>
        <w:tab w:val="clear" w:pos="1985"/>
        <w:tab w:val="left" w:pos="1701"/>
        <w:tab w:val="left" w:pos="2127"/>
      </w:tabs>
      <w:ind w:left="2127" w:hanging="2127"/>
    </w:pPr>
  </w:style>
  <w:style w:type="paragraph" w:customStyle="1" w:styleId="Infodoc">
    <w:name w:val="Infodoc"/>
    <w:basedOn w:val="Normal"/>
    <w:pPr>
      <w:tabs>
        <w:tab w:val="clear" w:pos="794"/>
        <w:tab w:val="clear" w:pos="1191"/>
        <w:tab w:val="clear" w:pos="1588"/>
        <w:tab w:val="clear" w:pos="1985"/>
        <w:tab w:val="left" w:pos="1418"/>
      </w:tabs>
      <w:spacing w:before="0"/>
      <w:ind w:left="1418" w:hanging="1418"/>
    </w:pPr>
  </w:style>
  <w:style w:type="paragraph" w:customStyle="1" w:styleId="Part">
    <w:name w:val="Part"/>
    <w:basedOn w:val="Normal"/>
    <w:pPr>
      <w:tabs>
        <w:tab w:val="clear" w:pos="794"/>
        <w:tab w:val="clear" w:pos="1191"/>
        <w:tab w:val="clear" w:pos="1588"/>
        <w:tab w:val="clear" w:pos="1985"/>
        <w:tab w:val="left" w:pos="1276"/>
        <w:tab w:val="left" w:pos="1701"/>
      </w:tabs>
      <w:spacing w:before="200"/>
      <w:ind w:left="1701" w:hanging="1701"/>
    </w:pPr>
    <w:rPr>
      <w:caps/>
    </w:rPr>
  </w:style>
  <w:style w:type="paragraph" w:customStyle="1" w:styleId="Address">
    <w:name w:val="Address"/>
    <w:basedOn w:val="Normal"/>
    <w:pPr>
      <w:tabs>
        <w:tab w:val="clear" w:pos="794"/>
        <w:tab w:val="clear" w:pos="1191"/>
        <w:tab w:val="clear" w:pos="1588"/>
        <w:tab w:val="clear" w:pos="1985"/>
        <w:tab w:val="left" w:pos="4820"/>
        <w:tab w:val="left" w:pos="5529"/>
      </w:tabs>
      <w:ind w:left="794"/>
    </w:pPr>
  </w:style>
  <w:style w:type="paragraph" w:customStyle="1" w:styleId="headingb">
    <w:name w:val="heading_b"/>
    <w:basedOn w:val="Heading3"/>
    <w:next w:val="Normal"/>
    <w:pPr>
      <w:spacing w:before="160"/>
      <w:ind w:left="0" w:firstLine="0"/>
      <w:outlineLvl w:val="9"/>
    </w:pPr>
  </w:style>
  <w:style w:type="paragraph" w:customStyle="1" w:styleId="Keywords">
    <w:name w:val="Keywords"/>
    <w:basedOn w:val="Normal"/>
    <w:pPr>
      <w:tabs>
        <w:tab w:val="clear" w:pos="1191"/>
        <w:tab w:val="clear" w:pos="1588"/>
      </w:tabs>
      <w:ind w:left="794" w:hanging="794"/>
    </w:pPr>
  </w:style>
  <w:style w:type="paragraph" w:customStyle="1" w:styleId="ASN1">
    <w:name w:val="ASN.1"/>
    <w:basedOn w:val="Normal"/>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b/>
      <w:noProof/>
      <w:sz w:val="20"/>
    </w:rPr>
  </w:style>
  <w:style w:type="paragraph" w:customStyle="1" w:styleId="EquationLegend">
    <w:name w:val="Equation_Legend"/>
    <w:basedOn w:val="Normal"/>
    <w:pPr>
      <w:tabs>
        <w:tab w:val="clear" w:pos="794"/>
        <w:tab w:val="clear" w:pos="1191"/>
        <w:tab w:val="clear" w:pos="1588"/>
        <w:tab w:val="clear" w:pos="1985"/>
        <w:tab w:val="right" w:pos="1531"/>
        <w:tab w:val="left" w:pos="1701"/>
      </w:tabs>
      <w:spacing w:before="80"/>
      <w:ind w:left="1701" w:hanging="1701"/>
    </w:pPr>
  </w:style>
  <w:style w:type="paragraph" w:styleId="Signature">
    <w:name w:val="Signature"/>
    <w:basedOn w:val="Normal"/>
    <w:pPr>
      <w:tabs>
        <w:tab w:val="clear" w:pos="794"/>
        <w:tab w:val="clear" w:pos="1191"/>
        <w:tab w:val="clear" w:pos="1588"/>
        <w:tab w:val="clear" w:pos="1985"/>
      </w:tabs>
      <w:spacing w:before="480"/>
      <w:ind w:left="4961"/>
    </w:pPr>
    <w:rPr>
      <w:rFonts w:ascii="Arial" w:hAnsi="Arial"/>
    </w:rPr>
  </w:style>
  <w:style w:type="paragraph" w:customStyle="1" w:styleId="meeting">
    <w:name w:val="meeting"/>
    <w:basedOn w:val="Head"/>
    <w:next w:val="Head"/>
    <w:pPr>
      <w:tabs>
        <w:tab w:val="left" w:pos="7371"/>
      </w:tabs>
      <w:spacing w:after="560"/>
    </w:pPr>
  </w:style>
  <w:style w:type="paragraph" w:customStyle="1" w:styleId="BodyText">
    <w:name w:val="BodyText"/>
    <w:basedOn w:val="Normal"/>
    <w:pPr>
      <w:tabs>
        <w:tab w:val="clear" w:pos="794"/>
        <w:tab w:val="clear" w:pos="1191"/>
        <w:tab w:val="clear" w:pos="1588"/>
        <w:tab w:val="clear" w:pos="1985"/>
      </w:tabs>
      <w:spacing w:before="240"/>
    </w:pPr>
    <w:rPr>
      <w:rFonts w:ascii="Arial" w:hAnsi="Arial"/>
    </w:rPr>
  </w:style>
  <w:style w:type="paragraph" w:customStyle="1" w:styleId="ITUadres">
    <w:name w:val="ITU_adres"/>
    <w:basedOn w:val="Normal"/>
    <w:pPr>
      <w:tabs>
        <w:tab w:val="clear" w:pos="794"/>
        <w:tab w:val="clear" w:pos="1191"/>
        <w:tab w:val="clear" w:pos="1588"/>
        <w:tab w:val="clear" w:pos="1985"/>
        <w:tab w:val="left" w:pos="737"/>
        <w:tab w:val="left" w:pos="1134"/>
      </w:tabs>
      <w:spacing w:before="0"/>
    </w:pPr>
    <w:rPr>
      <w:rFonts w:ascii="Univers" w:hAnsi="Univers"/>
      <w:sz w:val="16"/>
    </w:rPr>
  </w:style>
  <w:style w:type="paragraph" w:customStyle="1" w:styleId="ITUheader">
    <w:name w:val="ITU_header"/>
    <w:basedOn w:val="Normal"/>
    <w:pPr>
      <w:tabs>
        <w:tab w:val="clear" w:pos="794"/>
        <w:tab w:val="clear" w:pos="1191"/>
        <w:tab w:val="clear" w:pos="1588"/>
        <w:tab w:val="clear" w:pos="1985"/>
        <w:tab w:val="left" w:pos="737"/>
        <w:tab w:val="left" w:pos="1134"/>
      </w:tabs>
      <w:spacing w:before="397"/>
    </w:pPr>
    <w:rPr>
      <w:rFonts w:ascii="Univers" w:hAnsi="Univers"/>
      <w:b/>
      <w:sz w:val="28"/>
    </w:rPr>
  </w:style>
  <w:style w:type="paragraph" w:customStyle="1" w:styleId="Body">
    <w:name w:val="Body"/>
    <w:basedOn w:val="Normal"/>
    <w:pPr>
      <w:tabs>
        <w:tab w:val="clear" w:pos="794"/>
        <w:tab w:val="clear" w:pos="1191"/>
        <w:tab w:val="clear" w:pos="1588"/>
        <w:tab w:val="clear" w:pos="1985"/>
        <w:tab w:val="left" w:pos="737"/>
        <w:tab w:val="left" w:pos="1134"/>
      </w:tabs>
      <w:spacing w:before="227"/>
      <w:ind w:right="851"/>
      <w:jc w:val="both"/>
    </w:pPr>
    <w:rPr>
      <w:rFonts w:ascii="CG Times" w:hAnsi="CG Times"/>
      <w:sz w:val="20"/>
    </w:rPr>
  </w:style>
  <w:style w:type="paragraph" w:customStyle="1" w:styleId="ITUsignet">
    <w:name w:val="ITU_signet"/>
    <w:basedOn w:val="Normal"/>
    <w:pPr>
      <w:tabs>
        <w:tab w:val="clear" w:pos="794"/>
        <w:tab w:val="clear" w:pos="1191"/>
        <w:tab w:val="clear" w:pos="1588"/>
        <w:tab w:val="clear" w:pos="1985"/>
        <w:tab w:val="left" w:pos="737"/>
        <w:tab w:val="left" w:pos="1134"/>
      </w:tabs>
      <w:spacing w:before="170"/>
      <w:ind w:left="-1134"/>
    </w:pPr>
    <w:rPr>
      <w:rFonts w:ascii="CG Times" w:hAnsi="CG Times"/>
      <w:b/>
      <w:sz w:val="20"/>
    </w:rPr>
  </w:style>
  <w:style w:type="paragraph" w:customStyle="1" w:styleId="ITUref">
    <w:name w:val="ITU_ref"/>
    <w:basedOn w:val="Normal"/>
    <w:pPr>
      <w:tabs>
        <w:tab w:val="clear" w:pos="794"/>
        <w:tab w:val="clear" w:pos="1191"/>
        <w:tab w:val="clear" w:pos="1588"/>
        <w:tab w:val="clear" w:pos="1985"/>
        <w:tab w:val="left" w:pos="737"/>
        <w:tab w:val="left" w:pos="1134"/>
        <w:tab w:val="left" w:pos="5529"/>
      </w:tabs>
      <w:spacing w:before="0"/>
    </w:pPr>
    <w:rPr>
      <w:rFonts w:ascii="Univers" w:hAnsi="Univers"/>
      <w:sz w:val="18"/>
    </w:rPr>
  </w:style>
  <w:style w:type="paragraph" w:customStyle="1" w:styleId="ITUfillin">
    <w:name w:val="ITU_fillin"/>
    <w:basedOn w:val="ITUref"/>
    <w:rPr>
      <w:rFonts w:ascii="CG Times" w:hAnsi="CG Times"/>
      <w:sz w:val="20"/>
    </w:rPr>
  </w:style>
  <w:style w:type="paragraph" w:customStyle="1" w:styleId="ITUbureau">
    <w:name w:val="ITU_bureau"/>
    <w:basedOn w:val="Normal"/>
    <w:pPr>
      <w:tabs>
        <w:tab w:val="clear" w:pos="794"/>
        <w:tab w:val="clear" w:pos="1191"/>
        <w:tab w:val="clear" w:pos="1588"/>
        <w:tab w:val="clear" w:pos="1985"/>
        <w:tab w:val="left" w:pos="737"/>
        <w:tab w:val="left" w:pos="1134"/>
      </w:tabs>
      <w:spacing w:before="0" w:after="851"/>
    </w:pPr>
    <w:rPr>
      <w:rFonts w:ascii="Univers" w:hAnsi="Univers"/>
      <w:b/>
      <w:sz w:val="20"/>
    </w:rPr>
  </w:style>
  <w:style w:type="paragraph" w:customStyle="1" w:styleId="duties">
    <w:name w:val="duties"/>
    <w:basedOn w:val="Normal"/>
    <w:pPr>
      <w:tabs>
        <w:tab w:val="clear" w:pos="794"/>
        <w:tab w:val="clear" w:pos="1191"/>
        <w:tab w:val="clear" w:pos="1588"/>
        <w:tab w:val="clear" w:pos="1985"/>
        <w:tab w:val="left" w:pos="737"/>
        <w:tab w:val="left" w:pos="1134"/>
      </w:tabs>
      <w:spacing w:before="0" w:line="199" w:lineRule="exact"/>
    </w:pPr>
    <w:rPr>
      <w:rFonts w:ascii="CG Times" w:hAnsi="CG Times"/>
      <w:b/>
      <w:sz w:val="8"/>
    </w:rPr>
  </w:style>
  <w:style w:type="paragraph" w:customStyle="1" w:styleId="ITUintr">
    <w:name w:val="ITU_intr"/>
    <w:basedOn w:val="Normal"/>
    <w:next w:val="Body"/>
    <w:pPr>
      <w:tabs>
        <w:tab w:val="clear" w:pos="794"/>
        <w:tab w:val="clear" w:pos="1191"/>
        <w:tab w:val="clear" w:pos="1588"/>
        <w:tab w:val="clear" w:pos="1985"/>
        <w:tab w:val="left" w:pos="737"/>
        <w:tab w:val="left" w:pos="1134"/>
      </w:tabs>
      <w:spacing w:before="567" w:after="57"/>
    </w:pPr>
    <w:rPr>
      <w:rFonts w:ascii="CG Times" w:hAnsi="CG Times"/>
      <w:sz w:val="20"/>
    </w:rPr>
  </w:style>
  <w:style w:type="paragraph" w:customStyle="1" w:styleId="Tiret">
    <w:name w:val="Tiret"/>
    <w:basedOn w:val="Normal"/>
    <w:pPr>
      <w:tabs>
        <w:tab w:val="clear" w:pos="794"/>
        <w:tab w:val="clear" w:pos="1191"/>
        <w:tab w:val="clear" w:pos="1588"/>
        <w:tab w:val="clear" w:pos="1985"/>
      </w:tabs>
      <w:ind w:left="-680"/>
    </w:pPr>
    <w:rPr>
      <w:rFonts w:ascii="Univers" w:hAnsi="Univers"/>
    </w:rPr>
  </w:style>
  <w:style w:type="paragraph" w:customStyle="1" w:styleId="details">
    <w:name w:val="details"/>
    <w:basedOn w:val="Normal"/>
    <w:next w:val="Tiret"/>
    <w:pPr>
      <w:tabs>
        <w:tab w:val="clear" w:pos="794"/>
        <w:tab w:val="clear" w:pos="1191"/>
        <w:tab w:val="clear" w:pos="1588"/>
        <w:tab w:val="clear" w:pos="1985"/>
        <w:tab w:val="left" w:pos="1361"/>
        <w:tab w:val="left" w:pos="1758"/>
        <w:tab w:val="left" w:pos="2155"/>
        <w:tab w:val="left" w:pos="2552"/>
      </w:tabs>
      <w:spacing w:before="0"/>
    </w:pPr>
    <w:rPr>
      <w:rFonts w:ascii="Univers" w:hAnsi="Univers"/>
    </w:rPr>
  </w:style>
  <w:style w:type="paragraph" w:customStyle="1" w:styleId="LetterStart">
    <w:name w:val="Letter_Start"/>
    <w:basedOn w:val="Normal"/>
    <w:pPr>
      <w:tabs>
        <w:tab w:val="clear" w:pos="794"/>
        <w:tab w:val="clear" w:pos="1191"/>
        <w:tab w:val="clear" w:pos="1588"/>
        <w:tab w:val="clear" w:pos="1985"/>
        <w:tab w:val="left" w:pos="1361"/>
        <w:tab w:val="left" w:pos="1758"/>
        <w:tab w:val="left" w:pos="2155"/>
        <w:tab w:val="left" w:pos="2552"/>
      </w:tabs>
      <w:spacing w:before="284"/>
      <w:ind w:left="567"/>
    </w:pPr>
    <w:rPr>
      <w:rFonts w:ascii="Univers" w:hAnsi="Univers"/>
    </w:rPr>
  </w:style>
  <w:style w:type="paragraph" w:customStyle="1" w:styleId="LetterText">
    <w:name w:val="Letter_Text"/>
    <w:basedOn w:val="LetterStart"/>
    <w:pPr>
      <w:tabs>
        <w:tab w:val="left" w:pos="1418"/>
        <w:tab w:val="left" w:pos="1985"/>
        <w:tab w:val="left" w:pos="2268"/>
      </w:tabs>
      <w:ind w:firstLine="1304"/>
    </w:pPr>
  </w:style>
  <w:style w:type="paragraph" w:customStyle="1" w:styleId="LetterEnd">
    <w:name w:val="Letter_End"/>
    <w:basedOn w:val="LetterText"/>
    <w:pPr>
      <w:tabs>
        <w:tab w:val="clear" w:pos="1418"/>
        <w:tab w:val="clear" w:pos="1985"/>
        <w:tab w:val="clear" w:pos="2268"/>
      </w:tabs>
      <w:ind w:firstLine="851"/>
    </w:pPr>
  </w:style>
  <w:style w:type="paragraph" w:customStyle="1" w:styleId="NormFoot">
    <w:name w:val="Norm_Foot"/>
    <w:basedOn w:val="Normal"/>
    <w:pPr>
      <w:tabs>
        <w:tab w:val="clear" w:pos="794"/>
        <w:tab w:val="clear" w:pos="1191"/>
        <w:tab w:val="clear" w:pos="1588"/>
        <w:tab w:val="clear" w:pos="1985"/>
        <w:tab w:val="left" w:pos="1361"/>
        <w:tab w:val="left" w:pos="1758"/>
        <w:tab w:val="left" w:pos="2155"/>
        <w:tab w:val="left" w:pos="2552"/>
      </w:tabs>
      <w:ind w:left="567"/>
    </w:pPr>
    <w:rPr>
      <w:rFonts w:ascii="Univers" w:hAnsi="Univers"/>
    </w:rPr>
  </w:style>
  <w:style w:type="character" w:styleId="PageNumber">
    <w:name w:val="page number"/>
    <w:basedOn w:val="DefaultParagraphFont"/>
  </w:style>
  <w:style w:type="paragraph" w:customStyle="1" w:styleId="listitem">
    <w:name w:val="listitem"/>
    <w:basedOn w:val="Normal"/>
    <w:pPr>
      <w:keepLines/>
      <w:tabs>
        <w:tab w:val="left" w:pos="1361"/>
        <w:tab w:val="left" w:pos="1758"/>
        <w:tab w:val="left" w:pos="2155"/>
        <w:tab w:val="left" w:pos="2552"/>
      </w:tabs>
      <w:ind w:left="567"/>
    </w:pPr>
    <w:rPr>
      <w:rFonts w:ascii="Univers" w:hAnsi="Univers"/>
    </w:rPr>
  </w:style>
  <w:style w:type="paragraph" w:customStyle="1" w:styleId="headingi">
    <w:name w:val="heading_i"/>
    <w:basedOn w:val="Heading3"/>
    <w:next w:val="Normal"/>
    <w:pPr>
      <w:spacing w:before="160"/>
      <w:ind w:left="0" w:firstLine="0"/>
      <w:outlineLvl w:val="9"/>
    </w:pPr>
    <w:rPr>
      <w:b w:val="0"/>
      <w:i/>
    </w:rPr>
  </w:style>
  <w:style w:type="paragraph" w:customStyle="1" w:styleId="Qlist">
    <w:name w:val="Qlist"/>
    <w:basedOn w:val="Normal"/>
    <w:pPr>
      <w:tabs>
        <w:tab w:val="clear" w:pos="794"/>
        <w:tab w:val="clear" w:pos="1191"/>
        <w:tab w:val="clear" w:pos="1588"/>
        <w:tab w:val="clear" w:pos="1985"/>
        <w:tab w:val="left" w:pos="1843"/>
        <w:tab w:val="left" w:pos="2268"/>
      </w:tabs>
      <w:ind w:left="2268" w:hanging="2268"/>
    </w:pPr>
    <w:rPr>
      <w:b/>
    </w:rPr>
  </w:style>
  <w:style w:type="paragraph" w:customStyle="1" w:styleId="Note">
    <w:name w:val="Note"/>
    <w:basedOn w:val="Normal"/>
    <w:pPr>
      <w:tabs>
        <w:tab w:val="left" w:pos="397"/>
      </w:tabs>
    </w:pPr>
  </w:style>
  <w:style w:type="paragraph" w:customStyle="1" w:styleId="FirstFooter">
    <w:name w:val="FirstFooter"/>
    <w:basedOn w:val="Footer"/>
    <w:pPr>
      <w:tabs>
        <w:tab w:val="clear" w:pos="5954"/>
        <w:tab w:val="clear" w:pos="9639"/>
      </w:tabs>
    </w:pPr>
    <w:rPr>
      <w:caps w:val="0"/>
    </w:rPr>
  </w:style>
  <w:style w:type="paragraph" w:styleId="TOC9">
    <w:name w:val="toc 9"/>
    <w:basedOn w:val="TOC3"/>
    <w:semiHidden/>
  </w:style>
  <w:style w:type="character" w:styleId="Hyperlink">
    <w:name w:val="Hyperlink"/>
    <w:aliases w:val="超级链接,CEO_Hyperlink,超?级链,Style 58,超????,超链接1,하이퍼링크2,하이퍼링크21,超??级链Ú,fL????,fL?级,超??级链,超?级链Ú,’´?级链,’´????,’´??级链Ú,’´??级,超?级链ïÈ,õ±?级链,õ±链ïÈ1,õ±???"/>
    <w:basedOn w:val="DefaultParagraphFont"/>
    <w:uiPriority w:val="99"/>
    <w:qFormat/>
    <w:rsid w:val="00B43F77"/>
    <w:rPr>
      <w:color w:val="0000FF"/>
      <w:u w:val="single"/>
    </w:rPr>
  </w:style>
  <w:style w:type="character" w:styleId="FollowedHyperlink">
    <w:name w:val="FollowedHyperlink"/>
    <w:basedOn w:val="DefaultParagraphFont"/>
    <w:rsid w:val="00B43F77"/>
    <w:rPr>
      <w:color w:val="800080"/>
      <w:u w:val="single"/>
    </w:rPr>
  </w:style>
  <w:style w:type="paragraph" w:customStyle="1" w:styleId="AnnexNotitle">
    <w:name w:val="Annex_No &amp; title"/>
    <w:basedOn w:val="Normal"/>
    <w:next w:val="Normalaftertitle0"/>
    <w:rsid w:val="00C34772"/>
    <w:pPr>
      <w:keepNext/>
      <w:keepLines/>
      <w:spacing w:before="480"/>
      <w:jc w:val="center"/>
    </w:pPr>
    <w:rPr>
      <w:b/>
      <w:sz w:val="28"/>
    </w:rPr>
  </w:style>
  <w:style w:type="character" w:customStyle="1" w:styleId="Appdef">
    <w:name w:val="App_def"/>
    <w:rsid w:val="00C34772"/>
    <w:rPr>
      <w:rFonts w:ascii="Times New Roman" w:hAnsi="Times New Roman"/>
      <w:b/>
    </w:rPr>
  </w:style>
  <w:style w:type="character" w:customStyle="1" w:styleId="Appref">
    <w:name w:val="App_ref"/>
    <w:basedOn w:val="DefaultParagraphFont"/>
    <w:rsid w:val="00C34772"/>
  </w:style>
  <w:style w:type="paragraph" w:customStyle="1" w:styleId="AppendixNotitle">
    <w:name w:val="Appendix_No &amp; title"/>
    <w:basedOn w:val="AnnexNotitle"/>
    <w:next w:val="Normalaftertitle0"/>
    <w:rsid w:val="00C34772"/>
  </w:style>
  <w:style w:type="character" w:customStyle="1" w:styleId="Artdef">
    <w:name w:val="Art_def"/>
    <w:rsid w:val="00C34772"/>
    <w:rPr>
      <w:rFonts w:ascii="Times New Roman" w:hAnsi="Times New Roman"/>
      <w:b/>
    </w:rPr>
  </w:style>
  <w:style w:type="paragraph" w:customStyle="1" w:styleId="Artheading">
    <w:name w:val="Art_heading"/>
    <w:basedOn w:val="Normal"/>
    <w:next w:val="Normalaftertitle0"/>
    <w:rsid w:val="00C34772"/>
    <w:pPr>
      <w:spacing w:before="480"/>
      <w:jc w:val="center"/>
    </w:pPr>
    <w:rPr>
      <w:b/>
      <w:sz w:val="28"/>
    </w:rPr>
  </w:style>
  <w:style w:type="paragraph" w:customStyle="1" w:styleId="ArtNo">
    <w:name w:val="Art_No"/>
    <w:basedOn w:val="Normal"/>
    <w:next w:val="Arttitle"/>
    <w:rsid w:val="00C34772"/>
    <w:pPr>
      <w:keepNext/>
      <w:keepLines/>
      <w:spacing w:before="480"/>
      <w:jc w:val="center"/>
    </w:pPr>
    <w:rPr>
      <w:caps/>
      <w:sz w:val="28"/>
    </w:rPr>
  </w:style>
  <w:style w:type="character" w:customStyle="1" w:styleId="Artref">
    <w:name w:val="Art_ref"/>
    <w:basedOn w:val="DefaultParagraphFont"/>
    <w:rsid w:val="00C34772"/>
  </w:style>
  <w:style w:type="paragraph" w:customStyle="1" w:styleId="Arttitle">
    <w:name w:val="Art_title"/>
    <w:basedOn w:val="Normal"/>
    <w:next w:val="Normalaftertitle0"/>
    <w:rsid w:val="00C34772"/>
    <w:pPr>
      <w:keepNext/>
      <w:keepLines/>
      <w:spacing w:before="240"/>
      <w:jc w:val="center"/>
    </w:pPr>
    <w:rPr>
      <w:b/>
      <w:sz w:val="28"/>
    </w:rPr>
  </w:style>
  <w:style w:type="paragraph" w:customStyle="1" w:styleId="Call0">
    <w:name w:val="Call"/>
    <w:basedOn w:val="Normal"/>
    <w:next w:val="Normal"/>
    <w:rsid w:val="00C34772"/>
    <w:pPr>
      <w:keepNext/>
      <w:keepLines/>
      <w:spacing w:before="160"/>
      <w:ind w:left="794"/>
    </w:pPr>
    <w:rPr>
      <w:i/>
    </w:rPr>
  </w:style>
  <w:style w:type="paragraph" w:customStyle="1" w:styleId="ChapNo">
    <w:name w:val="Chap_No"/>
    <w:basedOn w:val="Normal"/>
    <w:next w:val="Chaptitle"/>
    <w:rsid w:val="00C34772"/>
    <w:pPr>
      <w:keepNext/>
      <w:keepLines/>
      <w:spacing w:before="480"/>
      <w:jc w:val="center"/>
    </w:pPr>
    <w:rPr>
      <w:b/>
      <w:caps/>
      <w:sz w:val="28"/>
    </w:rPr>
  </w:style>
  <w:style w:type="paragraph" w:customStyle="1" w:styleId="Chaptitle">
    <w:name w:val="Chap_title"/>
    <w:basedOn w:val="Normal"/>
    <w:next w:val="Normalaftertitle0"/>
    <w:rsid w:val="00C34772"/>
    <w:pPr>
      <w:keepNext/>
      <w:keepLines/>
      <w:spacing w:before="240"/>
      <w:jc w:val="center"/>
    </w:pPr>
    <w:rPr>
      <w:b/>
      <w:sz w:val="28"/>
    </w:rPr>
  </w:style>
  <w:style w:type="paragraph" w:customStyle="1" w:styleId="Equationlegend0">
    <w:name w:val="Equation_legend"/>
    <w:basedOn w:val="Normal"/>
    <w:rsid w:val="00C34772"/>
    <w:pPr>
      <w:tabs>
        <w:tab w:val="clear" w:pos="794"/>
        <w:tab w:val="clear" w:pos="1191"/>
        <w:tab w:val="clear" w:pos="1588"/>
        <w:tab w:val="right" w:pos="1814"/>
      </w:tabs>
      <w:spacing w:before="80"/>
      <w:ind w:left="1985" w:hanging="1985"/>
    </w:pPr>
  </w:style>
  <w:style w:type="paragraph" w:customStyle="1" w:styleId="Figure0">
    <w:name w:val="Figure"/>
    <w:basedOn w:val="Normal"/>
    <w:next w:val="FigureNotitle"/>
    <w:rsid w:val="00C34772"/>
    <w:pPr>
      <w:keepNext/>
      <w:keepLines/>
      <w:spacing w:before="240" w:after="120"/>
      <w:jc w:val="center"/>
    </w:pPr>
  </w:style>
  <w:style w:type="paragraph" w:customStyle="1" w:styleId="Figurelegend0">
    <w:name w:val="Figure_legend"/>
    <w:basedOn w:val="Normal"/>
    <w:rsid w:val="00C34772"/>
    <w:pPr>
      <w:keepNext/>
      <w:keepLines/>
      <w:tabs>
        <w:tab w:val="clear" w:pos="794"/>
        <w:tab w:val="clear" w:pos="1191"/>
        <w:tab w:val="clear" w:pos="1588"/>
        <w:tab w:val="clear" w:pos="1985"/>
      </w:tabs>
      <w:spacing w:before="20" w:after="20"/>
    </w:pPr>
    <w:rPr>
      <w:sz w:val="18"/>
    </w:rPr>
  </w:style>
  <w:style w:type="paragraph" w:customStyle="1" w:styleId="FigureNotitle">
    <w:name w:val="Figure_No &amp; title"/>
    <w:basedOn w:val="Normal"/>
    <w:next w:val="Normalaftertitle0"/>
    <w:rsid w:val="00C34772"/>
    <w:pPr>
      <w:keepLines/>
      <w:spacing w:before="240" w:after="120"/>
      <w:jc w:val="center"/>
    </w:pPr>
    <w:rPr>
      <w:b/>
    </w:rPr>
  </w:style>
  <w:style w:type="paragraph" w:customStyle="1" w:styleId="Figurewithouttitle">
    <w:name w:val="Figure_without_title"/>
    <w:basedOn w:val="Normal"/>
    <w:next w:val="Normalaftertitle0"/>
    <w:rsid w:val="00C34772"/>
    <w:pPr>
      <w:keepLines/>
      <w:spacing w:before="240" w:after="120"/>
      <w:jc w:val="center"/>
    </w:pPr>
  </w:style>
  <w:style w:type="paragraph" w:customStyle="1" w:styleId="FooterQP">
    <w:name w:val="Footer_QP"/>
    <w:basedOn w:val="Normal"/>
    <w:rsid w:val="00C34772"/>
    <w:pPr>
      <w:tabs>
        <w:tab w:val="clear" w:pos="794"/>
        <w:tab w:val="clear" w:pos="1191"/>
        <w:tab w:val="clear" w:pos="1588"/>
        <w:tab w:val="clear" w:pos="1985"/>
        <w:tab w:val="left" w:pos="907"/>
        <w:tab w:val="right" w:pos="8789"/>
        <w:tab w:val="right" w:pos="9639"/>
      </w:tabs>
      <w:spacing w:before="0"/>
    </w:pPr>
    <w:rPr>
      <w:b/>
    </w:rPr>
  </w:style>
  <w:style w:type="paragraph" w:customStyle="1" w:styleId="Formal">
    <w:name w:val="Formal"/>
    <w:basedOn w:val="ASN1"/>
    <w:rsid w:val="00C34772"/>
    <w:pPr>
      <w:tabs>
        <w:tab w:val="left" w:pos="794"/>
        <w:tab w:val="left" w:pos="1191"/>
        <w:tab w:val="left" w:pos="1588"/>
        <w:tab w:val="left" w:pos="1985"/>
      </w:tabs>
    </w:pPr>
    <w:rPr>
      <w:rFonts w:ascii="Courier New" w:hAnsi="Courier New"/>
      <w:b w:val="0"/>
    </w:rPr>
  </w:style>
  <w:style w:type="paragraph" w:customStyle="1" w:styleId="Headingb0">
    <w:name w:val="Heading_b"/>
    <w:basedOn w:val="Normal"/>
    <w:next w:val="Normal"/>
    <w:rsid w:val="00C34772"/>
    <w:pPr>
      <w:keepNext/>
      <w:spacing w:before="160"/>
    </w:pPr>
    <w:rPr>
      <w:b/>
    </w:rPr>
  </w:style>
  <w:style w:type="paragraph" w:customStyle="1" w:styleId="Headingi0">
    <w:name w:val="Heading_i"/>
    <w:basedOn w:val="Normal"/>
    <w:next w:val="Normal"/>
    <w:rsid w:val="00C34772"/>
    <w:pPr>
      <w:keepNext/>
      <w:spacing w:before="160"/>
    </w:pPr>
    <w:rPr>
      <w:i/>
    </w:rPr>
  </w:style>
  <w:style w:type="paragraph" w:customStyle="1" w:styleId="Normalaftertitle0">
    <w:name w:val="Normal_after_title"/>
    <w:basedOn w:val="Normal"/>
    <w:next w:val="Normal"/>
    <w:rsid w:val="00C34772"/>
    <w:pPr>
      <w:spacing w:before="360"/>
    </w:pPr>
  </w:style>
  <w:style w:type="paragraph" w:customStyle="1" w:styleId="PartNo">
    <w:name w:val="Part_No"/>
    <w:basedOn w:val="Normal"/>
    <w:next w:val="Partref"/>
    <w:rsid w:val="00C34772"/>
    <w:pPr>
      <w:keepNext/>
      <w:keepLines/>
      <w:spacing w:before="480" w:after="80"/>
      <w:jc w:val="center"/>
    </w:pPr>
    <w:rPr>
      <w:caps/>
      <w:sz w:val="28"/>
    </w:rPr>
  </w:style>
  <w:style w:type="paragraph" w:customStyle="1" w:styleId="Partref">
    <w:name w:val="Part_ref"/>
    <w:basedOn w:val="Normal"/>
    <w:next w:val="Parttitle"/>
    <w:rsid w:val="00C34772"/>
    <w:pPr>
      <w:keepNext/>
      <w:keepLines/>
      <w:spacing w:before="280"/>
      <w:jc w:val="center"/>
    </w:pPr>
  </w:style>
  <w:style w:type="paragraph" w:customStyle="1" w:styleId="Parttitle">
    <w:name w:val="Part_title"/>
    <w:basedOn w:val="Normal"/>
    <w:next w:val="Normalaftertitle0"/>
    <w:rsid w:val="00C34772"/>
    <w:pPr>
      <w:keepNext/>
      <w:keepLines/>
      <w:spacing w:before="240" w:after="280"/>
      <w:jc w:val="center"/>
    </w:pPr>
    <w:rPr>
      <w:b/>
      <w:sz w:val="28"/>
    </w:rPr>
  </w:style>
  <w:style w:type="paragraph" w:customStyle="1" w:styleId="Recdate">
    <w:name w:val="Rec_date"/>
    <w:basedOn w:val="Normal"/>
    <w:next w:val="Normalaftertitle0"/>
    <w:rsid w:val="00C34772"/>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0"/>
    <w:rsid w:val="00C34772"/>
  </w:style>
  <w:style w:type="paragraph" w:customStyle="1" w:styleId="RecNo">
    <w:name w:val="Rec_No"/>
    <w:basedOn w:val="Normal"/>
    <w:next w:val="Rectitle0"/>
    <w:rsid w:val="00C34772"/>
    <w:pPr>
      <w:keepNext/>
      <w:keepLines/>
      <w:spacing w:before="0"/>
    </w:pPr>
    <w:rPr>
      <w:b/>
      <w:sz w:val="28"/>
    </w:rPr>
  </w:style>
  <w:style w:type="paragraph" w:customStyle="1" w:styleId="QuestionNo">
    <w:name w:val="Question_No"/>
    <w:basedOn w:val="RecNo"/>
    <w:next w:val="Questiontitle"/>
    <w:rsid w:val="00C34772"/>
  </w:style>
  <w:style w:type="paragraph" w:customStyle="1" w:styleId="RecNoBR">
    <w:name w:val="Rec_No_BR"/>
    <w:basedOn w:val="Normal"/>
    <w:next w:val="Rectitle0"/>
    <w:rsid w:val="00C34772"/>
    <w:pPr>
      <w:keepNext/>
      <w:keepLines/>
      <w:spacing w:before="480"/>
      <w:jc w:val="center"/>
    </w:pPr>
    <w:rPr>
      <w:caps/>
      <w:sz w:val="28"/>
    </w:rPr>
  </w:style>
  <w:style w:type="paragraph" w:customStyle="1" w:styleId="QuestionNoBR">
    <w:name w:val="Question_No_BR"/>
    <w:basedOn w:val="RecNoBR"/>
    <w:next w:val="Questiontitle"/>
    <w:rsid w:val="00C34772"/>
  </w:style>
  <w:style w:type="paragraph" w:customStyle="1" w:styleId="Recref">
    <w:name w:val="Rec_ref"/>
    <w:basedOn w:val="Normal"/>
    <w:next w:val="Recdate"/>
    <w:rsid w:val="00C34772"/>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C34772"/>
  </w:style>
  <w:style w:type="paragraph" w:customStyle="1" w:styleId="Rectitle0">
    <w:name w:val="Rec_title"/>
    <w:basedOn w:val="Normal"/>
    <w:next w:val="Normalaftertitle0"/>
    <w:rsid w:val="00C34772"/>
    <w:pPr>
      <w:keepNext/>
      <w:keepLines/>
      <w:spacing w:before="360"/>
      <w:jc w:val="center"/>
    </w:pPr>
    <w:rPr>
      <w:b/>
      <w:sz w:val="28"/>
    </w:rPr>
  </w:style>
  <w:style w:type="paragraph" w:customStyle="1" w:styleId="Questiontitle">
    <w:name w:val="Question_title"/>
    <w:basedOn w:val="Rectitle0"/>
    <w:next w:val="Questionref"/>
    <w:rsid w:val="00C34772"/>
  </w:style>
  <w:style w:type="character" w:customStyle="1" w:styleId="Recdef">
    <w:name w:val="Rec_def"/>
    <w:rsid w:val="00C34772"/>
    <w:rPr>
      <w:b/>
    </w:rPr>
  </w:style>
  <w:style w:type="paragraph" w:customStyle="1" w:styleId="Reftext0">
    <w:name w:val="Ref_text"/>
    <w:basedOn w:val="Normal"/>
    <w:rsid w:val="00C34772"/>
    <w:pPr>
      <w:ind w:left="794" w:hanging="794"/>
    </w:pPr>
  </w:style>
  <w:style w:type="paragraph" w:customStyle="1" w:styleId="Reftitle0">
    <w:name w:val="Ref_title"/>
    <w:basedOn w:val="Normal"/>
    <w:next w:val="Reftext0"/>
    <w:rsid w:val="00C34772"/>
    <w:pPr>
      <w:spacing w:before="480"/>
      <w:jc w:val="center"/>
    </w:pPr>
    <w:rPr>
      <w:b/>
    </w:rPr>
  </w:style>
  <w:style w:type="paragraph" w:customStyle="1" w:styleId="Repdate">
    <w:name w:val="Rep_date"/>
    <w:basedOn w:val="Recdate"/>
    <w:next w:val="Normalaftertitle0"/>
    <w:rsid w:val="00C34772"/>
  </w:style>
  <w:style w:type="paragraph" w:customStyle="1" w:styleId="RepNo">
    <w:name w:val="Rep_No"/>
    <w:basedOn w:val="RecNo"/>
    <w:next w:val="Reptitle"/>
    <w:rsid w:val="00C34772"/>
  </w:style>
  <w:style w:type="paragraph" w:customStyle="1" w:styleId="RepNoBR">
    <w:name w:val="Rep_No_BR"/>
    <w:basedOn w:val="RecNoBR"/>
    <w:next w:val="Reptitle"/>
    <w:rsid w:val="00C34772"/>
  </w:style>
  <w:style w:type="paragraph" w:customStyle="1" w:styleId="Repref">
    <w:name w:val="Rep_ref"/>
    <w:basedOn w:val="Recref"/>
    <w:next w:val="Repdate"/>
    <w:rsid w:val="00C34772"/>
  </w:style>
  <w:style w:type="paragraph" w:customStyle="1" w:styleId="Reptitle">
    <w:name w:val="Rep_title"/>
    <w:basedOn w:val="Rectitle0"/>
    <w:next w:val="Repref"/>
    <w:rsid w:val="00C34772"/>
  </w:style>
  <w:style w:type="paragraph" w:customStyle="1" w:styleId="Resdate">
    <w:name w:val="Res_date"/>
    <w:basedOn w:val="Recdate"/>
    <w:next w:val="Normalaftertitle0"/>
    <w:rsid w:val="00C34772"/>
  </w:style>
  <w:style w:type="character" w:customStyle="1" w:styleId="Resdef">
    <w:name w:val="Res_def"/>
    <w:rsid w:val="00C34772"/>
    <w:rPr>
      <w:rFonts w:ascii="Times New Roman" w:hAnsi="Times New Roman"/>
      <w:b/>
    </w:rPr>
  </w:style>
  <w:style w:type="paragraph" w:customStyle="1" w:styleId="ResNo">
    <w:name w:val="Res_No"/>
    <w:basedOn w:val="RecNo"/>
    <w:next w:val="Restitle"/>
    <w:rsid w:val="00C34772"/>
  </w:style>
  <w:style w:type="paragraph" w:customStyle="1" w:styleId="ResNoBR">
    <w:name w:val="Res_No_BR"/>
    <w:basedOn w:val="RecNoBR"/>
    <w:next w:val="Restitle"/>
    <w:rsid w:val="00C34772"/>
  </w:style>
  <w:style w:type="paragraph" w:customStyle="1" w:styleId="Resref">
    <w:name w:val="Res_ref"/>
    <w:basedOn w:val="Recref"/>
    <w:next w:val="Resdate"/>
    <w:rsid w:val="00C34772"/>
  </w:style>
  <w:style w:type="paragraph" w:customStyle="1" w:styleId="Restitle">
    <w:name w:val="Res_title"/>
    <w:basedOn w:val="Rectitle0"/>
    <w:next w:val="Resref"/>
    <w:rsid w:val="00C34772"/>
  </w:style>
  <w:style w:type="paragraph" w:customStyle="1" w:styleId="Section1">
    <w:name w:val="Section_1"/>
    <w:basedOn w:val="Normal"/>
    <w:next w:val="Normal"/>
    <w:rsid w:val="00C34772"/>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C34772"/>
    <w:pPr>
      <w:tabs>
        <w:tab w:val="clear" w:pos="794"/>
        <w:tab w:val="clear" w:pos="1191"/>
        <w:tab w:val="clear" w:pos="1588"/>
        <w:tab w:val="clear" w:pos="1985"/>
      </w:tabs>
      <w:spacing w:before="240"/>
      <w:jc w:val="center"/>
    </w:pPr>
    <w:rPr>
      <w:i/>
    </w:rPr>
  </w:style>
  <w:style w:type="paragraph" w:customStyle="1" w:styleId="SectionNo">
    <w:name w:val="Section_No"/>
    <w:basedOn w:val="Normal"/>
    <w:next w:val="Sectiontitle"/>
    <w:rsid w:val="00C34772"/>
    <w:pPr>
      <w:keepNext/>
      <w:keepLines/>
      <w:spacing w:before="480" w:after="80"/>
      <w:jc w:val="center"/>
    </w:pPr>
    <w:rPr>
      <w:caps/>
      <w:sz w:val="28"/>
    </w:rPr>
  </w:style>
  <w:style w:type="paragraph" w:customStyle="1" w:styleId="Sectiontitle">
    <w:name w:val="Section_title"/>
    <w:basedOn w:val="Normal"/>
    <w:next w:val="Normalaftertitle0"/>
    <w:rsid w:val="00C34772"/>
    <w:pPr>
      <w:keepNext/>
      <w:keepLines/>
      <w:spacing w:before="480" w:after="280"/>
      <w:jc w:val="center"/>
    </w:pPr>
    <w:rPr>
      <w:b/>
      <w:sz w:val="28"/>
    </w:rPr>
  </w:style>
  <w:style w:type="paragraph" w:customStyle="1" w:styleId="Source">
    <w:name w:val="Source"/>
    <w:basedOn w:val="Normal"/>
    <w:next w:val="Normalaftertitle0"/>
    <w:rsid w:val="00C34772"/>
    <w:pPr>
      <w:spacing w:before="840" w:after="200"/>
      <w:jc w:val="center"/>
    </w:pPr>
    <w:rPr>
      <w:b/>
      <w:sz w:val="28"/>
    </w:rPr>
  </w:style>
  <w:style w:type="paragraph" w:customStyle="1" w:styleId="SpecialFooter">
    <w:name w:val="Special Footer"/>
    <w:basedOn w:val="Footer"/>
    <w:rsid w:val="00C34772"/>
    <w:pPr>
      <w:tabs>
        <w:tab w:val="left" w:pos="567"/>
        <w:tab w:val="left" w:pos="1134"/>
        <w:tab w:val="left" w:pos="1701"/>
        <w:tab w:val="left" w:pos="2268"/>
        <w:tab w:val="left" w:pos="2835"/>
      </w:tabs>
      <w:jc w:val="both"/>
    </w:pPr>
    <w:rPr>
      <w:caps w:val="0"/>
      <w:sz w:val="16"/>
    </w:rPr>
  </w:style>
  <w:style w:type="character" w:customStyle="1" w:styleId="Tablefreq">
    <w:name w:val="Table_freq"/>
    <w:rsid w:val="00C34772"/>
    <w:rPr>
      <w:b/>
      <w:color w:val="auto"/>
    </w:rPr>
  </w:style>
  <w:style w:type="paragraph" w:customStyle="1" w:styleId="Tablehead0">
    <w:name w:val="Table_head"/>
    <w:basedOn w:val="Normal"/>
    <w:next w:val="Tabletext0"/>
    <w:rsid w:val="00C34772"/>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rPr>
  </w:style>
  <w:style w:type="paragraph" w:customStyle="1" w:styleId="Tablelegend0">
    <w:name w:val="Table_legend"/>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paragraph" w:customStyle="1" w:styleId="TableNotitle">
    <w:name w:val="Table_No &amp; title"/>
    <w:basedOn w:val="Normal"/>
    <w:next w:val="Tablehead0"/>
    <w:rsid w:val="00C34772"/>
    <w:pPr>
      <w:keepNext/>
      <w:keepLines/>
      <w:spacing w:before="360" w:after="120"/>
      <w:jc w:val="center"/>
    </w:pPr>
    <w:rPr>
      <w:b/>
    </w:rPr>
  </w:style>
  <w:style w:type="paragraph" w:customStyle="1" w:styleId="TableNoBR">
    <w:name w:val="Table_No_BR"/>
    <w:basedOn w:val="Normal"/>
    <w:next w:val="TabletitleBR"/>
    <w:rsid w:val="00C34772"/>
    <w:pPr>
      <w:keepNext/>
      <w:spacing w:before="560" w:after="120"/>
      <w:jc w:val="center"/>
    </w:pPr>
    <w:rPr>
      <w:caps/>
    </w:rPr>
  </w:style>
  <w:style w:type="paragraph" w:customStyle="1" w:styleId="Tableref">
    <w:name w:val="Table_ref"/>
    <w:basedOn w:val="Normal"/>
    <w:next w:val="TabletitleBR"/>
    <w:rsid w:val="00C34772"/>
    <w:pPr>
      <w:keepNext/>
      <w:spacing w:before="0" w:after="120"/>
      <w:jc w:val="center"/>
    </w:pPr>
  </w:style>
  <w:style w:type="paragraph" w:customStyle="1" w:styleId="Tabletext0">
    <w:name w:val="Table_text"/>
    <w:basedOn w:val="Normal"/>
    <w:rsid w:val="00C34772"/>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style>
  <w:style w:type="paragraph" w:customStyle="1" w:styleId="TabletitleBR">
    <w:name w:val="Table_title_BR"/>
    <w:basedOn w:val="Normal"/>
    <w:next w:val="Tablehead0"/>
    <w:rsid w:val="00C34772"/>
    <w:pPr>
      <w:keepNext/>
      <w:keepLines/>
      <w:spacing w:before="0" w:after="120"/>
      <w:jc w:val="center"/>
    </w:pPr>
    <w:rPr>
      <w:b/>
    </w:rPr>
  </w:style>
  <w:style w:type="paragraph" w:customStyle="1" w:styleId="Title1">
    <w:name w:val="Title 1"/>
    <w:basedOn w:val="Source"/>
    <w:next w:val="Title2"/>
    <w:rsid w:val="00C34772"/>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C34772"/>
  </w:style>
  <w:style w:type="paragraph" w:customStyle="1" w:styleId="Title3">
    <w:name w:val="Title 3"/>
    <w:basedOn w:val="Title2"/>
    <w:next w:val="Title4"/>
    <w:rsid w:val="00C34772"/>
    <w:rPr>
      <w:caps w:val="0"/>
    </w:rPr>
  </w:style>
  <w:style w:type="paragraph" w:customStyle="1" w:styleId="Title4">
    <w:name w:val="Title 4"/>
    <w:basedOn w:val="Title3"/>
    <w:next w:val="Heading1"/>
    <w:rsid w:val="00C34772"/>
    <w:rPr>
      <w:b/>
    </w:rPr>
  </w:style>
  <w:style w:type="paragraph" w:customStyle="1" w:styleId="FiguretitleBR">
    <w:name w:val="Figure_title_BR"/>
    <w:basedOn w:val="TabletitleBR"/>
    <w:next w:val="Figurewithouttitle"/>
    <w:rsid w:val="00C34772"/>
    <w:pPr>
      <w:keepNext w:val="0"/>
      <w:spacing w:after="480"/>
    </w:pPr>
  </w:style>
  <w:style w:type="paragraph" w:customStyle="1" w:styleId="FigureNoBR">
    <w:name w:val="Figure_No_BR"/>
    <w:basedOn w:val="Normal"/>
    <w:next w:val="FiguretitleBR"/>
    <w:rsid w:val="00C34772"/>
    <w:pPr>
      <w:keepNext/>
      <w:keepLines/>
      <w:spacing w:before="480" w:after="120"/>
      <w:jc w:val="center"/>
    </w:pPr>
    <w:rPr>
      <w:caps/>
    </w:rPr>
  </w:style>
  <w:style w:type="character" w:customStyle="1" w:styleId="FooterChar">
    <w:name w:val="Footer Char"/>
    <w:link w:val="Footer"/>
    <w:rsid w:val="00C34772"/>
    <w:rPr>
      <w:rFonts w:ascii="Times New Roman" w:hAnsi="Times New Roman"/>
      <w:caps/>
      <w:sz w:val="18"/>
      <w:lang w:val="es-ES_tradnl" w:eastAsia="en-US"/>
    </w:rPr>
  </w:style>
  <w:style w:type="character" w:customStyle="1" w:styleId="HeaderChar">
    <w:name w:val="Header Char"/>
    <w:aliases w:val="encabezado Char,Page No Char"/>
    <w:link w:val="Header"/>
    <w:uiPriority w:val="99"/>
    <w:rsid w:val="00C34772"/>
    <w:rPr>
      <w:rFonts w:ascii="Times New Roman" w:hAnsi="Times New Roman"/>
      <w:sz w:val="22"/>
      <w:lang w:val="es-ES_tradnl" w:eastAsia="en-US"/>
    </w:rPr>
  </w:style>
  <w:style w:type="paragraph" w:customStyle="1" w:styleId="itu">
    <w:name w:val="itu"/>
    <w:basedOn w:val="Normal"/>
    <w:rsid w:val="00C34772"/>
    <w:pPr>
      <w:tabs>
        <w:tab w:val="clear" w:pos="794"/>
        <w:tab w:val="clear" w:pos="1191"/>
        <w:tab w:val="clear" w:pos="1588"/>
        <w:tab w:val="clear" w:pos="1985"/>
        <w:tab w:val="left" w:pos="709"/>
        <w:tab w:val="left" w:pos="1134"/>
      </w:tabs>
      <w:overflowPunct/>
      <w:autoSpaceDE/>
      <w:autoSpaceDN/>
      <w:adjustRightInd/>
      <w:spacing w:before="0"/>
      <w:textAlignment w:val="auto"/>
    </w:pPr>
    <w:rPr>
      <w:rFonts w:ascii="Futura Lt BT" w:hAnsi="Futura Lt BT"/>
      <w:sz w:val="18"/>
      <w:lang w:val="en-GB"/>
    </w:rPr>
  </w:style>
  <w:style w:type="paragraph" w:styleId="BodyText2">
    <w:name w:val="Body Text 2"/>
    <w:basedOn w:val="Normal"/>
    <w:link w:val="BodyText2Char"/>
    <w:rsid w:val="00C34772"/>
    <w:pPr>
      <w:overflowPunct/>
      <w:autoSpaceDE/>
      <w:autoSpaceDN/>
      <w:adjustRightInd/>
      <w:spacing w:before="1701"/>
      <w:ind w:right="91"/>
      <w:textAlignment w:val="auto"/>
    </w:pPr>
  </w:style>
  <w:style w:type="character" w:customStyle="1" w:styleId="BodyText2Char">
    <w:name w:val="Body Text 2 Char"/>
    <w:basedOn w:val="DefaultParagraphFont"/>
    <w:link w:val="BodyText2"/>
    <w:rsid w:val="00C34772"/>
    <w:rPr>
      <w:rFonts w:ascii="Times New Roman" w:hAnsi="Times New Roman"/>
      <w:sz w:val="24"/>
      <w:lang w:val="es-ES_tradnl" w:eastAsia="en-US"/>
    </w:rPr>
  </w:style>
  <w:style w:type="paragraph" w:styleId="BalloonText">
    <w:name w:val="Balloon Text"/>
    <w:basedOn w:val="Normal"/>
    <w:link w:val="BalloonTextChar"/>
    <w:rsid w:val="0091255A"/>
    <w:pPr>
      <w:spacing w:before="0"/>
    </w:pPr>
    <w:rPr>
      <w:rFonts w:ascii="Tahoma" w:hAnsi="Tahoma" w:cs="Tahoma"/>
      <w:sz w:val="16"/>
      <w:szCs w:val="16"/>
    </w:rPr>
  </w:style>
  <w:style w:type="character" w:customStyle="1" w:styleId="BalloonTextChar">
    <w:name w:val="Balloon Text Char"/>
    <w:basedOn w:val="DefaultParagraphFont"/>
    <w:link w:val="BalloonText"/>
    <w:rsid w:val="0091255A"/>
    <w:rPr>
      <w:rFonts w:ascii="Tahoma" w:hAnsi="Tahoma" w:cs="Tahoma"/>
      <w:sz w:val="16"/>
      <w:szCs w:val="16"/>
      <w:lang w:val="es-ES_tradnl" w:eastAsia="en-US"/>
    </w:rPr>
  </w:style>
  <w:style w:type="paragraph" w:styleId="ListParagraph">
    <w:name w:val="List Paragraph"/>
    <w:aliases w:val="Resume Title,Ref,Use Case List Paragraph,Bullet List Paragraph,List Paragraph11,List Paragraph111,List Paragraph Option,EG Bullet 1,Bulleted List1,b1,Bullet for no #'s,Body Bullet,Table Number Paragraph,List Paragraph 1,B1,List Paragraph1"/>
    <w:basedOn w:val="Normal"/>
    <w:link w:val="ListParagraphChar"/>
    <w:uiPriority w:val="34"/>
    <w:qFormat/>
    <w:rsid w:val="00F8524F"/>
    <w:pPr>
      <w:ind w:left="720"/>
      <w:contextualSpacing/>
    </w:pPr>
  </w:style>
  <w:style w:type="paragraph" w:customStyle="1" w:styleId="AnnexNo">
    <w:name w:val="Annex_No"/>
    <w:basedOn w:val="Normal"/>
    <w:next w:val="Normal"/>
    <w:rsid w:val="005B4854"/>
    <w:pPr>
      <w:keepNext/>
      <w:keepLines/>
      <w:spacing w:before="480" w:after="80"/>
      <w:jc w:val="center"/>
      <w:textAlignment w:val="auto"/>
    </w:pPr>
    <w:rPr>
      <w:caps/>
      <w:sz w:val="28"/>
      <w:lang w:val="fr-FR"/>
    </w:rPr>
  </w:style>
  <w:style w:type="table" w:styleId="TableGrid">
    <w:name w:val="Table Grid"/>
    <w:basedOn w:val="TableNormal"/>
    <w:rsid w:val="002545AA"/>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asons">
    <w:name w:val="Reasons"/>
    <w:basedOn w:val="Normal"/>
    <w:qFormat/>
    <w:rsid w:val="002545AA"/>
    <w:pPr>
      <w:tabs>
        <w:tab w:val="clear" w:pos="794"/>
        <w:tab w:val="clear" w:pos="1191"/>
        <w:tab w:val="clear" w:pos="1588"/>
        <w:tab w:val="clear" w:pos="1985"/>
      </w:tabs>
      <w:overflowPunct/>
      <w:autoSpaceDE/>
      <w:autoSpaceDN/>
      <w:adjustRightInd/>
      <w:spacing w:before="0"/>
      <w:textAlignment w:val="auto"/>
    </w:pPr>
    <w:rPr>
      <w:rFonts w:ascii="Times New Roman" w:hAnsi="Times New Roman"/>
      <w:lang w:val="en-US"/>
    </w:rPr>
  </w:style>
  <w:style w:type="character" w:styleId="UnresolvedMention">
    <w:name w:val="Unresolved Mention"/>
    <w:basedOn w:val="DefaultParagraphFont"/>
    <w:uiPriority w:val="99"/>
    <w:semiHidden/>
    <w:unhideWhenUsed/>
    <w:rsid w:val="00665A9E"/>
    <w:rPr>
      <w:color w:val="605E5C"/>
      <w:shd w:val="clear" w:color="auto" w:fill="E1DFDD"/>
    </w:rPr>
  </w:style>
  <w:style w:type="character" w:customStyle="1" w:styleId="ListParagraphChar">
    <w:name w:val="List Paragraph Char"/>
    <w:aliases w:val="Resume Title Char,Ref Char,Use Case List Paragraph Char,Bullet List Paragraph Char,List Paragraph11 Char,List Paragraph111 Char,List Paragraph Option Char,EG Bullet 1 Char,Bulleted List1 Char,b1 Char,Bullet for no #'s Char,B1 Char"/>
    <w:basedOn w:val="DefaultParagraphFont"/>
    <w:link w:val="ListParagraph"/>
    <w:uiPriority w:val="34"/>
    <w:qFormat/>
    <w:locked/>
    <w:rsid w:val="001E1E1E"/>
    <w:rPr>
      <w:rFonts w:asciiTheme="minorHAnsi" w:hAnsiTheme="minorHAnsi"/>
      <w:sz w:val="22"/>
      <w:lang w:val="es-ES_trad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476161">
      <w:bodyDiv w:val="1"/>
      <w:marLeft w:val="0"/>
      <w:marRight w:val="0"/>
      <w:marTop w:val="0"/>
      <w:marBottom w:val="0"/>
      <w:divBdr>
        <w:top w:val="none" w:sz="0" w:space="0" w:color="auto"/>
        <w:left w:val="none" w:sz="0" w:space="0" w:color="auto"/>
        <w:bottom w:val="none" w:sz="0" w:space="0" w:color="auto"/>
        <w:right w:val="none" w:sz="0" w:space="0" w:color="auto"/>
      </w:divBdr>
    </w:div>
    <w:div w:id="122159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about/Documents/itu-plan.pdf" TargetMode="External"/><Relationship Id="rId18" Type="http://schemas.openxmlformats.org/officeDocument/2006/relationships/hyperlink" Target="https://www.itu.int/net/ITU-T/ddp/Default.aspx?groupid=T25-SG17" TargetMode="External"/><Relationship Id="rId26" Type="http://schemas.openxmlformats.org/officeDocument/2006/relationships/hyperlink" Target="https://www.itu.int/en/general-secretariat/ICT-Services/Pages/default.aspx" TargetMode="External"/><Relationship Id="rId39" Type="http://schemas.openxmlformats.org/officeDocument/2006/relationships/header" Target="header1.xml"/><Relationship Id="rId21" Type="http://schemas.microsoft.com/office/2007/relationships/hdphoto" Target="media/hdphoto1.wdp"/><Relationship Id="rId34" Type="http://schemas.openxmlformats.org/officeDocument/2006/relationships/hyperlink" Target="https://www.itu.int/md/T25-TSB-CIR-0001"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itu.int/net/ITU-T/ddp/" TargetMode="External"/><Relationship Id="rId20" Type="http://schemas.openxmlformats.org/officeDocument/2006/relationships/image" Target="media/image3.png"/><Relationship Id="rId29" Type="http://schemas.openxmlformats.org/officeDocument/2006/relationships/hyperlink" Target="https://www.itu.int/en/about/Documents/itu-plan.pdf"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en/ITU-T/Workshops-and-Seminars/2026/0330/Pages/default.aspx" TargetMode="External"/><Relationship Id="rId24" Type="http://schemas.openxmlformats.org/officeDocument/2006/relationships/hyperlink" Target="https://www.itu.int/en/ITU-T/studygroups/Pages/templates.aspx" TargetMode="External"/><Relationship Id="rId32" Type="http://schemas.openxmlformats.org/officeDocument/2006/relationships/hyperlink" Target="https://remote.itu.int/" TargetMode="External"/><Relationship Id="rId37" Type="http://schemas.openxmlformats.org/officeDocument/2006/relationships/hyperlink" Target="https://itu.int/en/delegates-corner" TargetMode="External"/><Relationship Id="rId40"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itu.int/en/ITU-T/studygroups/2025-2028/17/Pages/default.aspx" TargetMode="External"/><Relationship Id="rId23" Type="http://schemas.openxmlformats.org/officeDocument/2006/relationships/hyperlink" Target="http://itu.int/net/ITU-T/ddp/" TargetMode="External"/><Relationship Id="rId28" Type="http://schemas.openxmlformats.org/officeDocument/2006/relationships/hyperlink" Target="https://itu.int/go/e-print" TargetMode="External"/><Relationship Id="rId36" Type="http://schemas.openxmlformats.org/officeDocument/2006/relationships/hyperlink" Target="https://www.itu.int/es/delegates-corner" TargetMode="External"/><Relationship Id="rId10" Type="http://schemas.openxmlformats.org/officeDocument/2006/relationships/hyperlink" Target="http://itu.int/go/tsg17" TargetMode="External"/><Relationship Id="rId19" Type="http://schemas.openxmlformats.org/officeDocument/2006/relationships/image" Target="media/image2.png"/><Relationship Id="rId31" Type="http://schemas.openxmlformats.org/officeDocument/2006/relationships/hyperlink" Target="mailto:servicedesk@itu.int" TargetMode="External"/><Relationship Id="rId4" Type="http://schemas.openxmlformats.org/officeDocument/2006/relationships/settings" Target="settings.xml"/><Relationship Id="rId9" Type="http://schemas.openxmlformats.org/officeDocument/2006/relationships/hyperlink" Target="mailto:tsbsg17@itu.int" TargetMode="External"/><Relationship Id="rId14" Type="http://schemas.openxmlformats.org/officeDocument/2006/relationships/hyperlink" Target="https://www.itu.int/today" TargetMode="External"/><Relationship Id="rId22" Type="http://schemas.openxmlformats.org/officeDocument/2006/relationships/image" Target="cid:image001.png@01D2C590.81C3C8E0" TargetMode="External"/><Relationship Id="rId27" Type="http://schemas.openxmlformats.org/officeDocument/2006/relationships/hyperlink" Target="https://www.itu.int/en/about/Documents/itu-plan.pdf" TargetMode="External"/><Relationship Id="rId30" Type="http://schemas.openxmlformats.org/officeDocument/2006/relationships/hyperlink" Target="mailto:servicedesk@itu.int" TargetMode="External"/><Relationship Id="rId35" Type="http://schemas.openxmlformats.org/officeDocument/2006/relationships/hyperlink" Target="mailto:travel@itu.int" TargetMode="Externa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itu.int/md/T25-TSB-CIR-0103/es" TargetMode="External"/><Relationship Id="rId17" Type="http://schemas.openxmlformats.org/officeDocument/2006/relationships/hyperlink" Target="https://www.itu.int/en/ITU-T/studygroups/2025-2028/17/Pages/default.aspx" TargetMode="External"/><Relationship Id="rId25" Type="http://schemas.openxmlformats.org/officeDocument/2006/relationships/hyperlink" Target="http://www.itu.int/TIES/" TargetMode="External"/><Relationship Id="rId33" Type="http://schemas.openxmlformats.org/officeDocument/2006/relationships/hyperlink" Target="https://www.itu.int/md/T25-TSB-CIR-0001/es" TargetMode="External"/><Relationship Id="rId38" Type="http://schemas.openxmlformats.org/officeDocument/2006/relationships/hyperlink" Target="http://www.itu.int/travel/"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58446-A7FA-4DB2-81C2-D7DAF5BBA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6</Pages>
  <Words>2010</Words>
  <Characters>12711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UNIÓN INTERNACIONAL DE TELECOMUNICACIONES</vt:lpstr>
    </vt:vector>
  </TitlesOfParts>
  <Company>ITU</Company>
  <LinksUpToDate>false</LinksUpToDate>
  <CharactersWithSpaces>14692</CharactersWithSpaces>
  <SharedDoc>false</SharedDoc>
  <HLinks>
    <vt:vector size="12" baseType="variant">
      <vt:variant>
        <vt:i4>5832781</vt:i4>
      </vt:variant>
      <vt:variant>
        <vt:i4>3</vt:i4>
      </vt:variant>
      <vt:variant>
        <vt:i4>0</vt:i4>
      </vt:variant>
      <vt:variant>
        <vt:i4>5</vt:i4>
      </vt:variant>
      <vt:variant>
        <vt:lpwstr>http://www.itu.int/ITU-T/ipr/</vt:lpwstr>
      </vt:variant>
      <vt:variant>
        <vt:lpwstr/>
      </vt:variant>
      <vt:variant>
        <vt:i4>3932176</vt:i4>
      </vt:variant>
      <vt:variant>
        <vt:i4>0</vt:i4>
      </vt:variant>
      <vt:variant>
        <vt:i4>0</vt:i4>
      </vt:variant>
      <vt:variant>
        <vt:i4>5</vt:i4>
      </vt:variant>
      <vt:variant>
        <vt:lpwstr>mailto:tsbsg..@itu.int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UNIÓN INTERNACIONAL DE TELECOMUNICACIONES</dc:title>
  <dc:creator>Spanish</dc:creator>
  <cp:lastModifiedBy>Braud, Olivia</cp:lastModifiedBy>
  <cp:revision>6</cp:revision>
  <cp:lastPrinted>2026-01-21T10:35:00Z</cp:lastPrinted>
  <dcterms:created xsi:type="dcterms:W3CDTF">2026-01-06T08:14:00Z</dcterms:created>
  <dcterms:modified xsi:type="dcterms:W3CDTF">2026-01-21T10:36:00Z</dcterms:modified>
</cp:coreProperties>
</file>