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260"/>
        <w:gridCol w:w="6537"/>
        <w:gridCol w:w="1984"/>
      </w:tblGrid>
      <w:tr w:rsidR="00427EA6" w:rsidRPr="007C5F49" w14:paraId="5FCB831A" w14:textId="77777777" w:rsidTr="002C135F">
        <w:trPr>
          <w:cantSplit/>
        </w:trPr>
        <w:tc>
          <w:tcPr>
            <w:tcW w:w="1260" w:type="dxa"/>
            <w:vAlign w:val="center"/>
          </w:tcPr>
          <w:p w14:paraId="7D2F8655" w14:textId="77777777" w:rsidR="00427EA6" w:rsidRPr="007C5F49" w:rsidRDefault="00CD4AE3" w:rsidP="00427EA6">
            <w:pPr>
              <w:tabs>
                <w:tab w:val="right" w:pos="8732"/>
              </w:tabs>
              <w:spacing w:before="0"/>
              <w:rPr>
                <w:b/>
                <w:bCs/>
                <w:iCs/>
                <w:color w:val="FFFFFF"/>
                <w:sz w:val="30"/>
                <w:szCs w:val="30"/>
              </w:rPr>
            </w:pPr>
            <w:r w:rsidRPr="007C5F49">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vAlign w:val="center"/>
          </w:tcPr>
          <w:p w14:paraId="23416829" w14:textId="77777777" w:rsidR="00427EA6" w:rsidRPr="007C5F49" w:rsidRDefault="00427EA6" w:rsidP="00427EA6">
            <w:pPr>
              <w:spacing w:before="0"/>
              <w:rPr>
                <w:rFonts w:cs="Times New Roman Bold"/>
                <w:b/>
                <w:bCs/>
                <w:smallCaps/>
                <w:sz w:val="26"/>
                <w:szCs w:val="26"/>
              </w:rPr>
            </w:pPr>
            <w:r w:rsidRPr="007C5F49">
              <w:rPr>
                <w:rFonts w:cs="Times New Roman Bold"/>
                <w:b/>
                <w:bCs/>
                <w:smallCaps/>
                <w:sz w:val="36"/>
                <w:szCs w:val="36"/>
              </w:rPr>
              <w:t>Unión Internacional de Telecomunicaciones</w:t>
            </w:r>
          </w:p>
          <w:p w14:paraId="1F45BB59" w14:textId="77777777" w:rsidR="00427EA6" w:rsidRPr="007C5F49" w:rsidRDefault="00427EA6" w:rsidP="00427EA6">
            <w:pPr>
              <w:tabs>
                <w:tab w:val="right" w:pos="8732"/>
              </w:tabs>
              <w:spacing w:before="0"/>
              <w:rPr>
                <w:b/>
                <w:bCs/>
                <w:iCs/>
                <w:color w:val="FFFFFF"/>
                <w:sz w:val="30"/>
                <w:szCs w:val="30"/>
              </w:rPr>
            </w:pPr>
            <w:r w:rsidRPr="007C5F49">
              <w:rPr>
                <w:rFonts w:cs="Times New Roman Bold"/>
                <w:b/>
                <w:bCs/>
                <w:iCs/>
                <w:smallCaps/>
                <w:sz w:val="28"/>
                <w:szCs w:val="28"/>
              </w:rPr>
              <w:t>Oficina de Normalización de las Telecomunicaciones</w:t>
            </w:r>
          </w:p>
        </w:tc>
        <w:tc>
          <w:tcPr>
            <w:tcW w:w="1984" w:type="dxa"/>
            <w:vAlign w:val="center"/>
          </w:tcPr>
          <w:p w14:paraId="5130FFA0" w14:textId="77777777" w:rsidR="00427EA6" w:rsidRPr="007C5F49" w:rsidRDefault="00427EA6" w:rsidP="00427EA6">
            <w:pPr>
              <w:spacing w:before="0"/>
              <w:jc w:val="right"/>
              <w:rPr>
                <w:color w:val="FFFFFF"/>
                <w:sz w:val="26"/>
                <w:szCs w:val="26"/>
              </w:rPr>
            </w:pPr>
          </w:p>
        </w:tc>
      </w:tr>
    </w:tbl>
    <w:p w14:paraId="1D715E74" w14:textId="77777777" w:rsidR="002545AA" w:rsidRPr="007C5F49" w:rsidRDefault="002545AA" w:rsidP="002C135F">
      <w:pPr>
        <w:spacing w:before="0"/>
      </w:pPr>
    </w:p>
    <w:tbl>
      <w:tblPr>
        <w:tblW w:w="9639" w:type="dxa"/>
        <w:tblInd w:w="8" w:type="dxa"/>
        <w:tblLayout w:type="fixed"/>
        <w:tblCellMar>
          <w:left w:w="0" w:type="dxa"/>
          <w:right w:w="0" w:type="dxa"/>
        </w:tblCellMar>
        <w:tblLook w:val="0000" w:firstRow="0" w:lastRow="0" w:firstColumn="0" w:lastColumn="0" w:noHBand="0" w:noVBand="0"/>
      </w:tblPr>
      <w:tblGrid>
        <w:gridCol w:w="1252"/>
        <w:gridCol w:w="3625"/>
        <w:gridCol w:w="4762"/>
      </w:tblGrid>
      <w:tr w:rsidR="002545AA" w:rsidRPr="007C5F49" w14:paraId="5BAED284" w14:textId="77777777" w:rsidTr="002C135F">
        <w:trPr>
          <w:cantSplit/>
          <w:trHeight w:val="495"/>
        </w:trPr>
        <w:tc>
          <w:tcPr>
            <w:tcW w:w="1252" w:type="dxa"/>
          </w:tcPr>
          <w:p w14:paraId="21415219" w14:textId="77777777" w:rsidR="002545AA" w:rsidRPr="007C5F49" w:rsidRDefault="002545AA" w:rsidP="002C58A4">
            <w:pPr>
              <w:tabs>
                <w:tab w:val="left" w:pos="4111"/>
              </w:tabs>
              <w:spacing w:before="10"/>
              <w:ind w:left="57"/>
              <w:rPr>
                <w:szCs w:val="24"/>
              </w:rPr>
            </w:pPr>
          </w:p>
        </w:tc>
        <w:tc>
          <w:tcPr>
            <w:tcW w:w="3625" w:type="dxa"/>
          </w:tcPr>
          <w:p w14:paraId="61F74745" w14:textId="77777777" w:rsidR="002545AA" w:rsidRPr="007C5F49" w:rsidRDefault="002545AA" w:rsidP="002C58A4">
            <w:pPr>
              <w:tabs>
                <w:tab w:val="left" w:pos="4111"/>
              </w:tabs>
              <w:spacing w:before="10"/>
              <w:ind w:left="57"/>
              <w:rPr>
                <w:b/>
              </w:rPr>
            </w:pPr>
          </w:p>
        </w:tc>
        <w:tc>
          <w:tcPr>
            <w:tcW w:w="4762" w:type="dxa"/>
          </w:tcPr>
          <w:p w14:paraId="66761920" w14:textId="67A80516" w:rsidR="002545AA" w:rsidRPr="007C5F49" w:rsidRDefault="002545AA" w:rsidP="002C135F">
            <w:pPr>
              <w:pStyle w:val="Tabletext0"/>
              <w:tabs>
                <w:tab w:val="clear" w:pos="1134"/>
                <w:tab w:val="clear" w:pos="2268"/>
                <w:tab w:val="left" w:pos="794"/>
                <w:tab w:val="left" w:pos="1191"/>
                <w:tab w:val="left" w:pos="1588"/>
              </w:tabs>
              <w:spacing w:before="0" w:after="120"/>
              <w:rPr>
                <w:bCs/>
              </w:rPr>
            </w:pPr>
            <w:r w:rsidRPr="007C5F49">
              <w:t xml:space="preserve">Ginebra, </w:t>
            </w:r>
            <w:r w:rsidR="008E3DFD" w:rsidRPr="007C5F49">
              <w:t>17 de junio de 2025</w:t>
            </w:r>
          </w:p>
        </w:tc>
      </w:tr>
      <w:tr w:rsidR="002545AA" w:rsidRPr="007C5F49" w14:paraId="031E6D64" w14:textId="77777777" w:rsidTr="002C135F">
        <w:trPr>
          <w:cantSplit/>
          <w:trHeight w:val="649"/>
        </w:trPr>
        <w:tc>
          <w:tcPr>
            <w:tcW w:w="1252" w:type="dxa"/>
          </w:tcPr>
          <w:p w14:paraId="5CCEEF63" w14:textId="77777777" w:rsidR="002545AA" w:rsidRPr="007C5F49" w:rsidRDefault="002545AA" w:rsidP="002C135F">
            <w:pPr>
              <w:tabs>
                <w:tab w:val="left" w:pos="4111"/>
              </w:tabs>
              <w:spacing w:before="40" w:after="40"/>
              <w:ind w:left="-10"/>
              <w:rPr>
                <w:szCs w:val="24"/>
              </w:rPr>
            </w:pPr>
            <w:r w:rsidRPr="001E0AC9">
              <w:rPr>
                <w:b/>
                <w:bCs/>
                <w:szCs w:val="24"/>
              </w:rPr>
              <w:t>Ref</w:t>
            </w:r>
            <w:r w:rsidRPr="007C5F49">
              <w:rPr>
                <w:szCs w:val="24"/>
              </w:rPr>
              <w:t>.:</w:t>
            </w:r>
          </w:p>
        </w:tc>
        <w:tc>
          <w:tcPr>
            <w:tcW w:w="3625" w:type="dxa"/>
          </w:tcPr>
          <w:p w14:paraId="09C29637" w14:textId="6386149D" w:rsidR="002545AA" w:rsidRPr="007C5F49" w:rsidRDefault="002545AA" w:rsidP="002C58A4">
            <w:pPr>
              <w:tabs>
                <w:tab w:val="left" w:pos="4111"/>
              </w:tabs>
              <w:spacing w:before="40" w:after="40"/>
              <w:ind w:left="57"/>
              <w:rPr>
                <w:b/>
                <w:szCs w:val="24"/>
              </w:rPr>
            </w:pPr>
            <w:r w:rsidRPr="007C5F49">
              <w:rPr>
                <w:b/>
              </w:rPr>
              <w:t xml:space="preserve">Carta Colectiva TSB </w:t>
            </w:r>
            <w:r w:rsidR="008E3DFD" w:rsidRPr="007C5F49">
              <w:rPr>
                <w:b/>
                <w:szCs w:val="24"/>
              </w:rPr>
              <w:t>2</w:t>
            </w:r>
            <w:r w:rsidRPr="007C5F49">
              <w:rPr>
                <w:b/>
                <w:szCs w:val="24"/>
              </w:rPr>
              <w:t>/</w:t>
            </w:r>
            <w:r w:rsidR="008E3DFD" w:rsidRPr="007C5F49">
              <w:rPr>
                <w:b/>
                <w:szCs w:val="24"/>
              </w:rPr>
              <w:t>17</w:t>
            </w:r>
          </w:p>
          <w:p w14:paraId="09096904" w14:textId="2EE7C0AE" w:rsidR="002545AA" w:rsidRPr="007C5F49" w:rsidRDefault="008E3DFD" w:rsidP="002C58A4">
            <w:pPr>
              <w:tabs>
                <w:tab w:val="left" w:pos="4111"/>
              </w:tabs>
              <w:spacing w:before="0" w:after="40"/>
              <w:ind w:left="57"/>
              <w:rPr>
                <w:u w:val="single"/>
              </w:rPr>
            </w:pPr>
            <w:bookmarkStart w:id="0" w:name="lt_pId018"/>
            <w:r w:rsidRPr="007C5F49">
              <w:t>SG</w:t>
            </w:r>
            <w:r w:rsidR="002545AA" w:rsidRPr="007C5F49">
              <w:t> </w:t>
            </w:r>
            <w:r w:rsidRPr="007C5F49">
              <w:t>17</w:t>
            </w:r>
            <w:r w:rsidR="002545AA" w:rsidRPr="007C5F49">
              <w:t>/XY</w:t>
            </w:r>
            <w:bookmarkEnd w:id="0"/>
          </w:p>
        </w:tc>
        <w:tc>
          <w:tcPr>
            <w:tcW w:w="4762" w:type="dxa"/>
            <w:vMerge w:val="restart"/>
          </w:tcPr>
          <w:p w14:paraId="490E784C" w14:textId="77777777" w:rsidR="002545AA" w:rsidRPr="007C5F49" w:rsidRDefault="002545AA" w:rsidP="002C58A4">
            <w:pPr>
              <w:tabs>
                <w:tab w:val="left" w:pos="4111"/>
              </w:tabs>
              <w:spacing w:before="40" w:after="40"/>
              <w:ind w:left="57"/>
              <w:rPr>
                <w:bCs/>
              </w:rPr>
            </w:pPr>
            <w:r w:rsidRPr="007C5F49">
              <w:rPr>
                <w:bCs/>
              </w:rPr>
              <w:t>A:</w:t>
            </w:r>
          </w:p>
          <w:p w14:paraId="1CE3AC11" w14:textId="0664695A"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t>Las Administraciones de los Estados Miembros de la Unión;</w:t>
            </w:r>
          </w:p>
          <w:p w14:paraId="654CC7B7" w14:textId="4988C8F2"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t xml:space="preserve">El Estado de Palestina </w:t>
            </w:r>
            <w:r w:rsidRPr="007C5F49">
              <w:rPr>
                <w:rFonts w:cstheme="minorHAnsi"/>
                <w:szCs w:val="22"/>
              </w:rPr>
              <w:br/>
              <w:t>(Res. 99 (Rev. Dubái, 2018));</w:t>
            </w:r>
          </w:p>
          <w:p w14:paraId="4D969285" w14:textId="1F33984A"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t>Los Miembros de Sector del UIT-T;</w:t>
            </w:r>
          </w:p>
          <w:p w14:paraId="247FC665" w14:textId="1744E819" w:rsidR="008E3DFD" w:rsidRPr="007C5F49" w:rsidRDefault="008E3DFD" w:rsidP="008E3DFD">
            <w:pPr>
              <w:pStyle w:val="Tabletext0"/>
              <w:tabs>
                <w:tab w:val="clear" w:pos="284"/>
                <w:tab w:val="left" w:pos="354"/>
              </w:tabs>
              <w:ind w:left="340" w:hanging="283"/>
              <w:rPr>
                <w:rFonts w:cstheme="minorHAnsi"/>
                <w:szCs w:val="22"/>
              </w:rPr>
            </w:pPr>
            <w:r w:rsidRPr="007C5F49">
              <w:t>–</w:t>
            </w:r>
            <w:r w:rsidRPr="007C5F49">
              <w:rPr>
                <w:rFonts w:cstheme="minorHAnsi"/>
                <w:szCs w:val="22"/>
              </w:rPr>
              <w:tab/>
              <w:t>Los Asociados de la Comisión de Estudio 17 del UIT-T;</w:t>
            </w:r>
          </w:p>
          <w:p w14:paraId="4D1D965E" w14:textId="17CD1BD1" w:rsidR="002545AA" w:rsidRPr="007C5F49" w:rsidRDefault="008E3DFD" w:rsidP="008E3DFD">
            <w:pPr>
              <w:pStyle w:val="Tabletext0"/>
              <w:tabs>
                <w:tab w:val="clear" w:pos="284"/>
                <w:tab w:val="left" w:pos="354"/>
              </w:tabs>
              <w:ind w:left="340" w:hanging="283"/>
              <w:rPr>
                <w:bCs/>
              </w:rPr>
            </w:pPr>
            <w:r w:rsidRPr="007C5F49">
              <w:t>–</w:t>
            </w:r>
            <w:r w:rsidRPr="007C5F49">
              <w:rPr>
                <w:rFonts w:cstheme="minorHAnsi"/>
                <w:szCs w:val="22"/>
              </w:rPr>
              <w:tab/>
              <w:t>Las Instituciones Académicas de la UIT</w:t>
            </w:r>
          </w:p>
        </w:tc>
      </w:tr>
      <w:tr w:rsidR="002545AA" w:rsidRPr="007C5F49" w14:paraId="2EF8A298" w14:textId="77777777" w:rsidTr="002C135F">
        <w:trPr>
          <w:cantSplit/>
          <w:trHeight w:val="390"/>
        </w:trPr>
        <w:tc>
          <w:tcPr>
            <w:tcW w:w="1252" w:type="dxa"/>
          </w:tcPr>
          <w:p w14:paraId="4157559E" w14:textId="77777777" w:rsidR="002545AA" w:rsidRPr="007C5F49" w:rsidRDefault="002545AA" w:rsidP="002C135F">
            <w:pPr>
              <w:tabs>
                <w:tab w:val="left" w:pos="4111"/>
              </w:tabs>
              <w:spacing w:before="40" w:after="40"/>
              <w:ind w:left="-10"/>
              <w:rPr>
                <w:szCs w:val="24"/>
              </w:rPr>
            </w:pPr>
            <w:r w:rsidRPr="007C5F49">
              <w:rPr>
                <w:szCs w:val="24"/>
              </w:rPr>
              <w:t>Tel.:</w:t>
            </w:r>
          </w:p>
        </w:tc>
        <w:tc>
          <w:tcPr>
            <w:tcW w:w="3625" w:type="dxa"/>
          </w:tcPr>
          <w:p w14:paraId="4E7C6265" w14:textId="3C1C8A89" w:rsidR="002545AA" w:rsidRPr="007C5F49" w:rsidRDefault="002545AA" w:rsidP="002C58A4">
            <w:pPr>
              <w:tabs>
                <w:tab w:val="left" w:pos="4111"/>
              </w:tabs>
              <w:spacing w:before="40" w:after="40"/>
              <w:ind w:left="57"/>
            </w:pPr>
            <w:r w:rsidRPr="007C5F49">
              <w:t>+</w:t>
            </w:r>
            <w:r w:rsidR="008E3DFD" w:rsidRPr="007C5F49">
              <w:t>41 22 730 6206</w:t>
            </w:r>
          </w:p>
        </w:tc>
        <w:tc>
          <w:tcPr>
            <w:tcW w:w="4762" w:type="dxa"/>
            <w:vMerge/>
          </w:tcPr>
          <w:p w14:paraId="14D79EED" w14:textId="77777777" w:rsidR="002545AA" w:rsidRPr="007C5F49" w:rsidRDefault="002545AA" w:rsidP="002C58A4">
            <w:pPr>
              <w:tabs>
                <w:tab w:val="left" w:pos="4111"/>
              </w:tabs>
              <w:spacing w:beforeLines="40" w:before="96" w:after="40"/>
              <w:ind w:left="57"/>
              <w:rPr>
                <w:bCs/>
              </w:rPr>
            </w:pPr>
          </w:p>
        </w:tc>
      </w:tr>
      <w:tr w:rsidR="002545AA" w:rsidRPr="007C5F49" w14:paraId="00AB7670" w14:textId="77777777" w:rsidTr="002C135F">
        <w:trPr>
          <w:cantSplit/>
          <w:trHeight w:val="431"/>
        </w:trPr>
        <w:tc>
          <w:tcPr>
            <w:tcW w:w="1252" w:type="dxa"/>
          </w:tcPr>
          <w:p w14:paraId="1382796A" w14:textId="77777777" w:rsidR="002545AA" w:rsidRPr="007C5F49" w:rsidRDefault="002545AA" w:rsidP="002C135F">
            <w:pPr>
              <w:tabs>
                <w:tab w:val="left" w:pos="4111"/>
              </w:tabs>
              <w:spacing w:before="40" w:after="40"/>
              <w:ind w:left="-10"/>
              <w:rPr>
                <w:szCs w:val="24"/>
              </w:rPr>
            </w:pPr>
            <w:r w:rsidRPr="007C5F49">
              <w:rPr>
                <w:szCs w:val="24"/>
              </w:rPr>
              <w:t>Fax:</w:t>
            </w:r>
          </w:p>
        </w:tc>
        <w:tc>
          <w:tcPr>
            <w:tcW w:w="3625" w:type="dxa"/>
          </w:tcPr>
          <w:p w14:paraId="0F7882F8" w14:textId="77777777" w:rsidR="002545AA" w:rsidRPr="007C5F49" w:rsidRDefault="002545AA" w:rsidP="002C58A4">
            <w:pPr>
              <w:tabs>
                <w:tab w:val="left" w:pos="4111"/>
              </w:tabs>
              <w:spacing w:before="40" w:after="40"/>
              <w:ind w:left="57"/>
            </w:pPr>
            <w:r w:rsidRPr="007C5F49">
              <w:t>+41 22 730 5853</w:t>
            </w:r>
          </w:p>
        </w:tc>
        <w:tc>
          <w:tcPr>
            <w:tcW w:w="4762" w:type="dxa"/>
            <w:vMerge/>
          </w:tcPr>
          <w:p w14:paraId="1D45250F" w14:textId="77777777" w:rsidR="002545AA" w:rsidRPr="007C5F49" w:rsidRDefault="002545AA" w:rsidP="002C58A4">
            <w:pPr>
              <w:tabs>
                <w:tab w:val="left" w:pos="4111"/>
              </w:tabs>
              <w:spacing w:beforeLines="40" w:before="96" w:after="40"/>
              <w:ind w:left="57"/>
              <w:rPr>
                <w:bCs/>
              </w:rPr>
            </w:pPr>
          </w:p>
        </w:tc>
      </w:tr>
      <w:tr w:rsidR="002545AA" w:rsidRPr="007C5F49" w14:paraId="347CD68B" w14:textId="77777777" w:rsidTr="002C135F">
        <w:trPr>
          <w:cantSplit/>
        </w:trPr>
        <w:tc>
          <w:tcPr>
            <w:tcW w:w="1252" w:type="dxa"/>
          </w:tcPr>
          <w:p w14:paraId="4CEB4CD3" w14:textId="77777777" w:rsidR="002545AA" w:rsidRPr="007C5F49" w:rsidRDefault="002545AA" w:rsidP="002C135F">
            <w:pPr>
              <w:tabs>
                <w:tab w:val="left" w:pos="4111"/>
              </w:tabs>
              <w:spacing w:before="40" w:after="40"/>
              <w:ind w:left="-10"/>
              <w:rPr>
                <w:szCs w:val="24"/>
              </w:rPr>
            </w:pPr>
            <w:r w:rsidRPr="007C5F49">
              <w:rPr>
                <w:szCs w:val="24"/>
              </w:rPr>
              <w:t>Correo-e:</w:t>
            </w:r>
          </w:p>
        </w:tc>
        <w:tc>
          <w:tcPr>
            <w:tcW w:w="3625" w:type="dxa"/>
          </w:tcPr>
          <w:p w14:paraId="79EF25F3" w14:textId="112127B4" w:rsidR="002545AA" w:rsidRPr="007C5F49" w:rsidRDefault="008E3DFD" w:rsidP="002C58A4">
            <w:pPr>
              <w:tabs>
                <w:tab w:val="left" w:pos="4111"/>
              </w:tabs>
              <w:spacing w:before="40" w:after="40"/>
              <w:ind w:left="57"/>
            </w:pPr>
            <w:hyperlink r:id="rId9" w:history="1">
              <w:r w:rsidRPr="007C5F49">
                <w:rPr>
                  <w:rStyle w:val="Hyperlink"/>
                  <w:szCs w:val="24"/>
                </w:rPr>
                <w:t>tsbsg17@itu.int</w:t>
              </w:r>
            </w:hyperlink>
          </w:p>
        </w:tc>
        <w:tc>
          <w:tcPr>
            <w:tcW w:w="4762" w:type="dxa"/>
            <w:vMerge/>
          </w:tcPr>
          <w:p w14:paraId="668FC4C6" w14:textId="77777777" w:rsidR="002545AA" w:rsidRPr="007C5F49" w:rsidRDefault="002545AA" w:rsidP="002C58A4">
            <w:pPr>
              <w:tabs>
                <w:tab w:val="left" w:pos="4111"/>
              </w:tabs>
              <w:spacing w:beforeLines="40" w:before="96" w:after="40"/>
              <w:ind w:left="57"/>
            </w:pPr>
          </w:p>
        </w:tc>
      </w:tr>
      <w:tr w:rsidR="002545AA" w:rsidRPr="007C5F49" w14:paraId="2D49493A" w14:textId="77777777" w:rsidTr="002C135F">
        <w:trPr>
          <w:cantSplit/>
        </w:trPr>
        <w:tc>
          <w:tcPr>
            <w:tcW w:w="1252" w:type="dxa"/>
          </w:tcPr>
          <w:p w14:paraId="343F5A94" w14:textId="77777777" w:rsidR="002545AA" w:rsidRPr="007C5F49" w:rsidRDefault="002545AA" w:rsidP="002C135F">
            <w:pPr>
              <w:tabs>
                <w:tab w:val="left" w:pos="4111"/>
              </w:tabs>
              <w:spacing w:before="40" w:after="40"/>
              <w:ind w:left="-10"/>
              <w:rPr>
                <w:szCs w:val="24"/>
              </w:rPr>
            </w:pPr>
            <w:r w:rsidRPr="007C5F49">
              <w:rPr>
                <w:szCs w:val="24"/>
              </w:rPr>
              <w:t>Web:</w:t>
            </w:r>
          </w:p>
        </w:tc>
        <w:tc>
          <w:tcPr>
            <w:tcW w:w="3625" w:type="dxa"/>
          </w:tcPr>
          <w:p w14:paraId="7D82AF90" w14:textId="06A56D93" w:rsidR="002545AA" w:rsidRPr="007C5F49" w:rsidRDefault="008E3DFD" w:rsidP="002C58A4">
            <w:pPr>
              <w:tabs>
                <w:tab w:val="left" w:pos="4111"/>
              </w:tabs>
              <w:spacing w:before="40" w:after="40"/>
              <w:ind w:left="57"/>
            </w:pPr>
            <w:hyperlink r:id="rId10" w:history="1">
              <w:r w:rsidRPr="007C5F49">
                <w:rPr>
                  <w:rStyle w:val="Hyperlink"/>
                </w:rPr>
                <w:t>https://itu.int/go/tsg17</w:t>
              </w:r>
            </w:hyperlink>
          </w:p>
        </w:tc>
        <w:tc>
          <w:tcPr>
            <w:tcW w:w="4762" w:type="dxa"/>
            <w:vMerge/>
          </w:tcPr>
          <w:p w14:paraId="19961250" w14:textId="77777777" w:rsidR="002545AA" w:rsidRPr="007C5F49" w:rsidRDefault="002545AA" w:rsidP="002C58A4">
            <w:pPr>
              <w:tabs>
                <w:tab w:val="left" w:pos="4111"/>
              </w:tabs>
              <w:spacing w:beforeLines="40" w:before="96" w:after="40"/>
              <w:ind w:left="57"/>
            </w:pPr>
          </w:p>
        </w:tc>
      </w:tr>
      <w:tr w:rsidR="002545AA" w:rsidRPr="007C5F49" w14:paraId="2C82981D" w14:textId="77777777" w:rsidTr="002C135F">
        <w:trPr>
          <w:cantSplit/>
          <w:trHeight w:val="477"/>
        </w:trPr>
        <w:tc>
          <w:tcPr>
            <w:tcW w:w="1252" w:type="dxa"/>
          </w:tcPr>
          <w:p w14:paraId="6F8AF874" w14:textId="77777777" w:rsidR="002545AA" w:rsidRPr="007C5F49" w:rsidRDefault="002545AA" w:rsidP="002C135F">
            <w:pPr>
              <w:tabs>
                <w:tab w:val="left" w:pos="4111"/>
              </w:tabs>
              <w:spacing w:before="40" w:after="40"/>
              <w:ind w:left="-10"/>
              <w:rPr>
                <w:szCs w:val="24"/>
              </w:rPr>
            </w:pPr>
            <w:r w:rsidRPr="001E0AC9">
              <w:rPr>
                <w:b/>
                <w:bCs/>
                <w:szCs w:val="24"/>
              </w:rPr>
              <w:t>Asunto</w:t>
            </w:r>
            <w:r w:rsidRPr="007C5F49">
              <w:rPr>
                <w:szCs w:val="24"/>
              </w:rPr>
              <w:t>:</w:t>
            </w:r>
          </w:p>
        </w:tc>
        <w:tc>
          <w:tcPr>
            <w:tcW w:w="8387" w:type="dxa"/>
            <w:gridSpan w:val="2"/>
          </w:tcPr>
          <w:p w14:paraId="416A77CC" w14:textId="0280767C" w:rsidR="002545AA" w:rsidRPr="007C5F49" w:rsidRDefault="008E3DFD" w:rsidP="002C135F">
            <w:pPr>
              <w:tabs>
                <w:tab w:val="left" w:pos="4111"/>
              </w:tabs>
              <w:spacing w:before="40" w:after="40"/>
              <w:ind w:left="-10"/>
              <w:rPr>
                <w:b/>
                <w:bCs/>
              </w:rPr>
            </w:pPr>
            <w:r w:rsidRPr="007C5F49">
              <w:rPr>
                <w:b/>
                <w:bCs/>
                <w:szCs w:val="24"/>
              </w:rPr>
              <w:t>Reunión del GT4/17; virtual, 4-5 de septiembre de 2025</w:t>
            </w:r>
          </w:p>
        </w:tc>
      </w:tr>
    </w:tbl>
    <w:p w14:paraId="7876832D" w14:textId="5E71403E" w:rsidR="00546E00" w:rsidRPr="007C5F49" w:rsidRDefault="00546E00" w:rsidP="001E0AC9">
      <w:pPr>
        <w:pStyle w:val="Normalaftertitle"/>
        <w:spacing w:before="0"/>
      </w:pPr>
      <w:bookmarkStart w:id="1" w:name="ditulogo"/>
      <w:bookmarkEnd w:id="1"/>
      <w:r w:rsidRPr="007C5F49">
        <w:t>Muy Señora mía/Muy Señor mío</w:t>
      </w:r>
      <w:r w:rsidR="001E0AC9">
        <w:t>,</w:t>
      </w:r>
    </w:p>
    <w:p w14:paraId="12A6E0EE" w14:textId="22141BAD" w:rsidR="00546E00" w:rsidRPr="007C5F49" w:rsidRDefault="00546E00" w:rsidP="00546E00">
      <w:pPr>
        <w:rPr>
          <w:rFonts w:cstheme="minorHAnsi"/>
        </w:rPr>
      </w:pPr>
      <w:r w:rsidRPr="007C5F49">
        <w:rPr>
          <w:rFonts w:cstheme="minorHAnsi"/>
        </w:rPr>
        <w:t>Me complace invitarle a la próxima reunión del Grupo de Trabajo 4/17 (</w:t>
      </w:r>
      <w:r w:rsidRPr="007C5F49">
        <w:rPr>
          <w:rFonts w:cstheme="minorHAnsi"/>
          <w:i/>
          <w:iCs/>
        </w:rPr>
        <w:t>Seguridad de la IA, servicios y aplicaciones de computación en la nube</w:t>
      </w:r>
      <w:r w:rsidRPr="007C5F49">
        <w:rPr>
          <w:rFonts w:cstheme="minorHAnsi"/>
        </w:rPr>
        <w:t>), que se celebrará en formato virtual los días 4 y 5 de septiembre de 2025 de las 13.00 a las 17.00 horas, hora de Ginebra.</w:t>
      </w:r>
    </w:p>
    <w:p w14:paraId="270FC4E8" w14:textId="5CEFFDC3" w:rsidR="00546E00" w:rsidRPr="007C5F49" w:rsidRDefault="00546E00" w:rsidP="00546E00">
      <w:pPr>
        <w:rPr>
          <w:rFonts w:cstheme="minorHAnsi"/>
        </w:rPr>
      </w:pPr>
      <w:r w:rsidRPr="007C5F49">
        <w:rPr>
          <w:rFonts w:cstheme="minorHAnsi"/>
        </w:rPr>
        <w:t>El Grupo de Trabajo 4/17 está compuesto por la Cuestión 7/17 (Servicios de aplicación seguros), la Cuestión</w:t>
      </w:r>
      <w:r w:rsidR="008F4D9A" w:rsidRPr="007C5F49">
        <w:rPr>
          <w:rFonts w:cstheme="minorHAnsi"/>
        </w:rPr>
        <w:t> </w:t>
      </w:r>
      <w:r w:rsidRPr="007C5F49">
        <w:rPr>
          <w:rFonts w:cstheme="minorHAnsi"/>
        </w:rPr>
        <w:t xml:space="preserve">8/17 (Seguridad de la infraestructura de la computación en la nube y los macrodatos) y la Cuestión 14/17 (Seguridad en la tecnología de libro mayor distribuido). </w:t>
      </w:r>
    </w:p>
    <w:p w14:paraId="2301C5D6" w14:textId="10B9DD01" w:rsidR="00546E00" w:rsidRPr="007C5F49" w:rsidRDefault="00546E00" w:rsidP="00546E00">
      <w:pPr>
        <w:rPr>
          <w:rFonts w:cstheme="minorHAnsi"/>
        </w:rPr>
      </w:pPr>
      <w:r w:rsidRPr="007C5F49">
        <w:rPr>
          <w:rFonts w:cstheme="minorHAnsi"/>
        </w:rPr>
        <w:t xml:space="preserve">La reunión del Grupo de Trabajo comenzará a las 13.00 horas, hora de Ginebra, a través de la </w:t>
      </w:r>
      <w:hyperlink r:id="rId11" w:history="1">
        <w:r w:rsidRPr="007C5F49">
          <w:rPr>
            <w:rStyle w:val="Hyperlink"/>
            <w:rFonts w:cstheme="minorHAnsi"/>
          </w:rPr>
          <w:t>herramienta de participación a distancia MyM</w:t>
        </w:r>
        <w:r w:rsidRPr="007C5F49">
          <w:rPr>
            <w:rStyle w:val="Hyperlink"/>
            <w:rFonts w:cstheme="minorHAnsi"/>
          </w:rPr>
          <w:t>e</w:t>
        </w:r>
        <w:r w:rsidRPr="007C5F49">
          <w:rPr>
            <w:rStyle w:val="Hyperlink"/>
            <w:rFonts w:cstheme="minorHAnsi"/>
          </w:rPr>
          <w:t>etings</w:t>
        </w:r>
      </w:hyperlink>
      <w:r w:rsidRPr="007C5F49">
        <w:rPr>
          <w:rFonts w:cstheme="minorHAnsi"/>
        </w:rPr>
        <w:t xml:space="preserve">. Puede encontrar la documentación, los detalles relativos a la participación a distancia y otra información conexa en la página principal de la </w:t>
      </w:r>
      <w:hyperlink r:id="rId12" w:anchor="/es" w:history="1">
        <w:r w:rsidRPr="007C5F49">
          <w:rPr>
            <w:rStyle w:val="Hyperlink"/>
            <w:rFonts w:cstheme="minorHAnsi"/>
          </w:rPr>
          <w:t>Comisió</w:t>
        </w:r>
        <w:r w:rsidRPr="007C5F49">
          <w:rPr>
            <w:rStyle w:val="Hyperlink"/>
            <w:rFonts w:cstheme="minorHAnsi"/>
          </w:rPr>
          <w:t>n</w:t>
        </w:r>
        <w:r w:rsidRPr="007C5F49">
          <w:rPr>
            <w:rStyle w:val="Hyperlink"/>
            <w:rFonts w:cstheme="minorHAnsi"/>
          </w:rPr>
          <w:t xml:space="preserve"> de Estudio</w:t>
        </w:r>
      </w:hyperlink>
      <w:r w:rsidRPr="007C5F49">
        <w:rPr>
          <w:rFonts w:cstheme="minorHAnsi"/>
        </w:rPr>
        <w:t>.</w:t>
      </w:r>
    </w:p>
    <w:p w14:paraId="160F5625" w14:textId="77777777" w:rsidR="00546E00" w:rsidRPr="007C5F49" w:rsidRDefault="00546E00" w:rsidP="00546E00">
      <w:pPr>
        <w:rPr>
          <w:rFonts w:cstheme="minorHAnsi"/>
          <w:szCs w:val="22"/>
        </w:rPr>
      </w:pPr>
      <w:r w:rsidRPr="007C5F49">
        <w:t>No se concederán becas para esta reunión. La reunión se celebrará únicamente en inglés y no se ofrecerá servicio de interpretación.</w:t>
      </w:r>
    </w:p>
    <w:p w14:paraId="65689425" w14:textId="77777777" w:rsidR="00546E00" w:rsidRPr="007C5F49" w:rsidRDefault="00546E00" w:rsidP="00546E00">
      <w:pPr>
        <w:rPr>
          <w:rFonts w:cstheme="minorHAnsi"/>
        </w:rPr>
      </w:pPr>
      <w:r w:rsidRPr="007C5F49">
        <w:rPr>
          <w:rFonts w:cstheme="minorHAnsi"/>
        </w:rPr>
        <w:t>Esta reunión virtual del GT4/17 tiene por objetivo considerar el eventual inicio del proceso de aprobación de los siguientes proyectos de Recomendación UIT-T y considerar el acuerdo del Suplemento, según proceda:</w:t>
      </w:r>
    </w:p>
    <w:p w14:paraId="78082CF3" w14:textId="7924C4A6" w:rsidR="00546E00" w:rsidRPr="007C5F49" w:rsidRDefault="008F4D9A" w:rsidP="00546E00">
      <w:pPr>
        <w:pStyle w:val="enumlev1"/>
      </w:pPr>
      <w:r w:rsidRPr="007C5F49">
        <w:t>•</w:t>
      </w:r>
      <w:r w:rsidR="00546E00" w:rsidRPr="007C5F49">
        <w:tab/>
        <w:t>Determinación (TAP)</w:t>
      </w:r>
    </w:p>
    <w:p w14:paraId="6CB15A7D" w14:textId="3A0490CD" w:rsidR="00546E00" w:rsidRPr="007C5F49" w:rsidRDefault="00546E00" w:rsidP="00546E00">
      <w:pPr>
        <w:pStyle w:val="enumlev2"/>
      </w:pPr>
      <w:r w:rsidRPr="007C5F49">
        <w:t>–</w:t>
      </w:r>
      <w:r w:rsidRPr="007C5F49">
        <w:tab/>
      </w:r>
      <w:proofErr w:type="gramStart"/>
      <w:r w:rsidRPr="007C5F49">
        <w:t>X.soar</w:t>
      </w:r>
      <w:proofErr w:type="gramEnd"/>
      <w:r w:rsidRPr="007C5F49">
        <w:t xml:space="preserve">-cc, </w:t>
      </w:r>
      <w:r w:rsidR="00E54ABE" w:rsidRPr="007C5F49">
        <w:t>"</w:t>
      </w:r>
      <w:r w:rsidRPr="007C5F49">
        <w:t>Marco de orquestación, automatización y respuesta de seguridad para la computación en la nube</w:t>
      </w:r>
      <w:r w:rsidR="00E54ABE" w:rsidRPr="007C5F49">
        <w:t>"</w:t>
      </w:r>
      <w:r w:rsidRPr="007C5F49">
        <w:t>, C8/17</w:t>
      </w:r>
    </w:p>
    <w:p w14:paraId="6AE9631F" w14:textId="6A9A3C34" w:rsidR="00546E00" w:rsidRPr="007C5F49" w:rsidRDefault="00546E00" w:rsidP="00546E00">
      <w:pPr>
        <w:pStyle w:val="enumlev2"/>
        <w:rPr>
          <w:rFonts w:cstheme="minorHAnsi"/>
        </w:rPr>
      </w:pPr>
      <w:r w:rsidRPr="007C5F49">
        <w:rPr>
          <w:rFonts w:cstheme="minorHAnsi"/>
        </w:rPr>
        <w:t>–</w:t>
      </w:r>
      <w:r w:rsidRPr="007C5F49">
        <w:rPr>
          <w:rFonts w:cstheme="minorHAnsi"/>
        </w:rPr>
        <w:tab/>
        <w:t xml:space="preserve">X.asm-cc, </w:t>
      </w:r>
      <w:r w:rsidR="00E54ABE" w:rsidRPr="007C5F49">
        <w:t>"</w:t>
      </w:r>
      <w:r w:rsidRPr="007C5F49">
        <w:rPr>
          <w:rFonts w:cstheme="minorHAnsi"/>
        </w:rPr>
        <w:t>Requisitos de gestión de la superficie de ataque para la computación en la nube</w:t>
      </w:r>
      <w:r w:rsidR="00E54ABE" w:rsidRPr="007C5F49">
        <w:t>"</w:t>
      </w:r>
      <w:r w:rsidRPr="007C5F49">
        <w:rPr>
          <w:rFonts w:cstheme="minorHAnsi"/>
        </w:rPr>
        <w:t>, C8/17</w:t>
      </w:r>
    </w:p>
    <w:p w14:paraId="168C83E4" w14:textId="6AC6E05D" w:rsidR="00546E00" w:rsidRPr="007C5F49" w:rsidRDefault="00546E00" w:rsidP="00546E00">
      <w:pPr>
        <w:pStyle w:val="enumlev2"/>
        <w:rPr>
          <w:rFonts w:cstheme="minorHAnsi"/>
        </w:rPr>
      </w:pPr>
      <w:r w:rsidRPr="007C5F49">
        <w:rPr>
          <w:rFonts w:cstheme="minorHAnsi"/>
        </w:rPr>
        <w:t>–</w:t>
      </w:r>
      <w:r w:rsidRPr="007C5F49">
        <w:rPr>
          <w:rFonts w:cstheme="minorHAnsi"/>
        </w:rPr>
        <w:tab/>
        <w:t>(</w:t>
      </w:r>
      <w:r w:rsidR="00E54ABE" w:rsidRPr="007C5F49">
        <w:rPr>
          <w:rFonts w:cstheme="minorHAnsi"/>
        </w:rPr>
        <w:t>R</w:t>
      </w:r>
      <w:r w:rsidRPr="007C5F49">
        <w:rPr>
          <w:rFonts w:cstheme="minorHAnsi"/>
        </w:rPr>
        <w:t xml:space="preserve">edeterminación de la Recomendación UIT-T X.1631| ISO/IEC 27017 </w:t>
      </w:r>
      <w:r w:rsidR="00E54ABE" w:rsidRPr="007C5F49">
        <w:t>"</w:t>
      </w:r>
      <w:r w:rsidRPr="007C5F49">
        <w:rPr>
          <w:rFonts w:cstheme="minorHAnsi"/>
        </w:rPr>
        <w:t>Seguridad de la información, ciberseguridad y protección de la privacidad – Controles de seguridad de la información basados en la norma ISO/CEI 27002 para servicios en la nube</w:t>
      </w:r>
      <w:r w:rsidR="00E54ABE" w:rsidRPr="007C5F49">
        <w:t>"</w:t>
      </w:r>
      <w:r w:rsidRPr="007C5F49">
        <w:rPr>
          <w:rFonts w:cstheme="minorHAnsi"/>
        </w:rPr>
        <w:t xml:space="preserve"> revisada, de ser necesario), C8/17</w:t>
      </w:r>
    </w:p>
    <w:p w14:paraId="27AC7D66" w14:textId="1BECE982" w:rsidR="00546E00" w:rsidRPr="007C5F49" w:rsidRDefault="00546E00" w:rsidP="00546E00">
      <w:pPr>
        <w:pStyle w:val="enumlev2"/>
        <w:rPr>
          <w:rFonts w:cstheme="minorHAnsi"/>
        </w:rPr>
      </w:pPr>
      <w:r w:rsidRPr="007C5F49">
        <w:rPr>
          <w:rFonts w:cstheme="minorHAnsi"/>
        </w:rPr>
        <w:t>–</w:t>
      </w:r>
      <w:r w:rsidRPr="007C5F49">
        <w:rPr>
          <w:rFonts w:cstheme="minorHAnsi"/>
        </w:rPr>
        <w:tab/>
        <w:t xml:space="preserve">X.sr-dpts, </w:t>
      </w:r>
      <w:r w:rsidR="00E54ABE" w:rsidRPr="007C5F49">
        <w:t>"</w:t>
      </w:r>
      <w:r w:rsidRPr="007C5F49">
        <w:rPr>
          <w:rFonts w:cstheme="minorHAnsi"/>
        </w:rPr>
        <w:t>Requisitos de seguridad para datos de tecnología de libro mayor distribuido (DLT) en sistemas de intercambio de potencia distribuidos basados en la DLT con permisos</w:t>
      </w:r>
      <w:r w:rsidR="00E54ABE" w:rsidRPr="007C5F49">
        <w:t>"</w:t>
      </w:r>
      <w:r w:rsidRPr="007C5F49">
        <w:rPr>
          <w:rFonts w:cstheme="minorHAnsi"/>
        </w:rPr>
        <w:t>, C14/17</w:t>
      </w:r>
    </w:p>
    <w:p w14:paraId="1F53750B" w14:textId="55EA6336" w:rsidR="00546E00" w:rsidRPr="007C5F49" w:rsidRDefault="00546E00" w:rsidP="00546E00">
      <w:pPr>
        <w:pStyle w:val="enumlev2"/>
        <w:rPr>
          <w:rFonts w:cstheme="minorHAnsi"/>
        </w:rPr>
      </w:pPr>
      <w:r w:rsidRPr="007C5F49">
        <w:rPr>
          <w:rFonts w:cstheme="minorHAnsi"/>
        </w:rPr>
        <w:t>–</w:t>
      </w:r>
      <w:r w:rsidRPr="007C5F49">
        <w:rPr>
          <w:rFonts w:cstheme="minorHAnsi"/>
        </w:rPr>
        <w:tab/>
        <w:t xml:space="preserve">X.sg-dcs, </w:t>
      </w:r>
      <w:r w:rsidR="00E54ABE" w:rsidRPr="007C5F49">
        <w:t>"</w:t>
      </w:r>
      <w:r w:rsidRPr="007C5F49">
        <w:rPr>
          <w:rFonts w:cstheme="minorHAnsi"/>
        </w:rPr>
        <w:t>Directrices de seguridad para servicios de recopilación digitales por</w:t>
      </w:r>
      <w:r w:rsidRPr="007C5F49">
        <w:t xml:space="preserve"> tecnología de libro mayor distribuido</w:t>
      </w:r>
      <w:r w:rsidR="00E54ABE" w:rsidRPr="007C5F49">
        <w:t>"</w:t>
      </w:r>
      <w:r w:rsidRPr="007C5F49">
        <w:rPr>
          <w:rFonts w:cstheme="minorHAnsi"/>
        </w:rPr>
        <w:t>, C14/17</w:t>
      </w:r>
    </w:p>
    <w:p w14:paraId="5FBDE94E" w14:textId="37AFCB1C" w:rsidR="00546E00" w:rsidRPr="007C5F49" w:rsidRDefault="008F4D9A" w:rsidP="00546E00">
      <w:pPr>
        <w:pStyle w:val="enumlev1"/>
      </w:pPr>
      <w:r w:rsidRPr="007C5F49">
        <w:t>•</w:t>
      </w:r>
      <w:r w:rsidR="00546E00" w:rsidRPr="007C5F49">
        <w:tab/>
        <w:t>Consentimiento (AAP)</w:t>
      </w:r>
    </w:p>
    <w:p w14:paraId="13AC4C06" w14:textId="04413DBE" w:rsidR="00546E00" w:rsidRPr="007C5F49" w:rsidRDefault="00546E00" w:rsidP="00546E00">
      <w:pPr>
        <w:pStyle w:val="enumlev2"/>
      </w:pPr>
      <w:r w:rsidRPr="007C5F49">
        <w:t>–</w:t>
      </w:r>
      <w:r w:rsidRPr="007C5F49">
        <w:tab/>
      </w:r>
      <w:proofErr w:type="gramStart"/>
      <w:r w:rsidRPr="007C5F49">
        <w:t>X.mbaas</w:t>
      </w:r>
      <w:proofErr w:type="gramEnd"/>
      <w:r w:rsidRPr="007C5F49">
        <w:t xml:space="preserve">-cs-sec, </w:t>
      </w:r>
      <w:r w:rsidR="00E54ABE" w:rsidRPr="007C5F49">
        <w:t>"</w:t>
      </w:r>
      <w:r w:rsidRPr="007C5F49">
        <w:t>Requisitos de seguridad y marco del servicio de colaboración para múltiples cadenas de bloque como plataformas de servicio</w:t>
      </w:r>
      <w:r w:rsidR="00E54ABE" w:rsidRPr="007C5F49">
        <w:t>"</w:t>
      </w:r>
      <w:r w:rsidRPr="007C5F49">
        <w:t>, C8/17</w:t>
      </w:r>
    </w:p>
    <w:p w14:paraId="53ED513A" w14:textId="3D0E552B" w:rsidR="00546E00" w:rsidRPr="007C5F49" w:rsidRDefault="00546E00" w:rsidP="00546E00">
      <w:pPr>
        <w:pStyle w:val="enumlev2"/>
      </w:pPr>
      <w:r w:rsidRPr="007C5F49">
        <w:lastRenderedPageBreak/>
        <w:t>–</w:t>
      </w:r>
      <w:r w:rsidRPr="007C5F49">
        <w:tab/>
        <w:t xml:space="preserve">X.DLT-dgi, </w:t>
      </w:r>
      <w:r w:rsidR="00E54ABE" w:rsidRPr="007C5F49">
        <w:t>"</w:t>
      </w:r>
      <w:r w:rsidRPr="007C5F49">
        <w:t>Requisitos de seguridad de la pasarela de tecnología de libro mayor distribuido para la interoperabilidad</w:t>
      </w:r>
      <w:r w:rsidR="00E54ABE" w:rsidRPr="007C5F49">
        <w:t>"</w:t>
      </w:r>
      <w:r w:rsidRPr="007C5F49">
        <w:t>, C14/17</w:t>
      </w:r>
    </w:p>
    <w:p w14:paraId="5252101C" w14:textId="49683036" w:rsidR="00546E00" w:rsidRPr="007C5F49" w:rsidRDefault="00546E00" w:rsidP="00546E00">
      <w:pPr>
        <w:pStyle w:val="enumlev2"/>
      </w:pPr>
      <w:r w:rsidRPr="007C5F49">
        <w:t>–</w:t>
      </w:r>
      <w:r w:rsidRPr="007C5F49">
        <w:tab/>
        <w:t xml:space="preserve">X.dlt-share, </w:t>
      </w:r>
      <w:r w:rsidR="00E54ABE" w:rsidRPr="007C5F49">
        <w:t>"</w:t>
      </w:r>
      <w:r w:rsidRPr="007C5F49">
        <w:t xml:space="preserve">Requisitos de seguridad para </w:t>
      </w:r>
      <w:r w:rsidRPr="005961BF">
        <w:rPr>
          <w:i/>
          <w:iCs/>
        </w:rPr>
        <w:t>software</w:t>
      </w:r>
      <w:r w:rsidRPr="007C5F49">
        <w:t xml:space="preserve"> de aplicación de datos basado en la tecnología de libro mayor distribuido para la realización de estadísticas</w:t>
      </w:r>
      <w:r w:rsidR="00E54ABE" w:rsidRPr="007C5F49">
        <w:t>"</w:t>
      </w:r>
      <w:r w:rsidRPr="007C5F49">
        <w:t>, C14/17</w:t>
      </w:r>
    </w:p>
    <w:p w14:paraId="3140ED8C" w14:textId="5F75E893" w:rsidR="00546E00" w:rsidRPr="007C5F49" w:rsidRDefault="00546E00" w:rsidP="00546E00">
      <w:pPr>
        <w:pStyle w:val="enumlev2"/>
      </w:pPr>
      <w:r w:rsidRPr="007C5F49">
        <w:t>–</w:t>
      </w:r>
      <w:r w:rsidRPr="007C5F49">
        <w:tab/>
        <w:t xml:space="preserve">X.1400Rev </w:t>
      </w:r>
      <w:r w:rsidR="00E54ABE" w:rsidRPr="007C5F49">
        <w:t>"</w:t>
      </w:r>
      <w:r w:rsidRPr="007C5F49">
        <w:t>Términos y definiciones sobre la tecnología de libro mayor distribuido</w:t>
      </w:r>
      <w:r w:rsidR="00E54ABE" w:rsidRPr="007C5F49">
        <w:t>"</w:t>
      </w:r>
      <w:r w:rsidRPr="007C5F49">
        <w:t>, C14/17</w:t>
      </w:r>
    </w:p>
    <w:p w14:paraId="22E5D280" w14:textId="474A4EEC" w:rsidR="00546E00" w:rsidRPr="007C5F49" w:rsidRDefault="008F4D9A" w:rsidP="00546E00">
      <w:pPr>
        <w:pStyle w:val="enumlev1"/>
      </w:pPr>
      <w:r w:rsidRPr="007C5F49">
        <w:t>•</w:t>
      </w:r>
      <w:r w:rsidR="00546E00" w:rsidRPr="007C5F49">
        <w:tab/>
        <w:t>Acuerdo:</w:t>
      </w:r>
    </w:p>
    <w:p w14:paraId="65C94CA4" w14:textId="5097827D" w:rsidR="00546E00" w:rsidRPr="007C5F49" w:rsidRDefault="00546E00" w:rsidP="00546E00">
      <w:pPr>
        <w:pStyle w:val="enumlev2"/>
      </w:pPr>
      <w:r w:rsidRPr="007C5F49">
        <w:t>–</w:t>
      </w:r>
      <w:r w:rsidRPr="007C5F49">
        <w:tab/>
        <w:t xml:space="preserve">TR.AISec, </w:t>
      </w:r>
      <w:r w:rsidR="00E54ABE" w:rsidRPr="007C5F49">
        <w:t>"</w:t>
      </w:r>
      <w:r w:rsidRPr="007C5F49">
        <w:t xml:space="preserve">Informe Técnico: </w:t>
      </w:r>
      <w:r w:rsidRPr="00E95B36">
        <w:rPr>
          <w:i/>
          <w:iCs/>
        </w:rPr>
        <w:t>Artificial intelligence security standardization strategies</w:t>
      </w:r>
      <w:r w:rsidR="00E54ABE" w:rsidRPr="007C5F49">
        <w:t>"</w:t>
      </w:r>
      <w:r w:rsidRPr="007C5F49">
        <w:t>, C7/17</w:t>
      </w:r>
    </w:p>
    <w:p w14:paraId="768E2F1A" w14:textId="353C3FE8" w:rsidR="00546E00" w:rsidRPr="007C5F49" w:rsidRDefault="00546E00" w:rsidP="00546E00">
      <w:pPr>
        <w:pStyle w:val="enumlev2"/>
      </w:pPr>
      <w:r w:rsidRPr="007C5F49">
        <w:t>–</w:t>
      </w:r>
      <w:r w:rsidRPr="007C5F49">
        <w:tab/>
        <w:t xml:space="preserve">TR.saAIoT, </w:t>
      </w:r>
      <w:r w:rsidR="00E54ABE" w:rsidRPr="007C5F49">
        <w:t>"</w:t>
      </w:r>
      <w:r w:rsidRPr="007C5F49">
        <w:t xml:space="preserve">Informe Técnico: </w:t>
      </w:r>
      <w:r w:rsidRPr="00E95B36">
        <w:rPr>
          <w:i/>
          <w:iCs/>
        </w:rPr>
        <w:t>Security Threat Analysis for Artificial Intelligence of Things on Devices</w:t>
      </w:r>
      <w:r w:rsidR="00E54ABE" w:rsidRPr="007C5F49">
        <w:t>"</w:t>
      </w:r>
      <w:r w:rsidRPr="007C5F49">
        <w:t>, C7/17</w:t>
      </w:r>
    </w:p>
    <w:p w14:paraId="47B1FE7E" w14:textId="636C6625" w:rsidR="00546E00" w:rsidRPr="007C5F49" w:rsidRDefault="00546E00" w:rsidP="00546E00">
      <w:pPr>
        <w:pStyle w:val="enumlev2"/>
      </w:pPr>
      <w:r w:rsidRPr="007C5F49">
        <w:t>–</w:t>
      </w:r>
      <w:r w:rsidRPr="007C5F49">
        <w:tab/>
        <w:t xml:space="preserve">TR.dpama, </w:t>
      </w:r>
      <w:r w:rsidR="00E54ABE" w:rsidRPr="007C5F49">
        <w:t>"</w:t>
      </w:r>
      <w:r w:rsidRPr="00E95B36">
        <w:rPr>
          <w:i/>
          <w:iCs/>
        </w:rPr>
        <w:t>Informe Técnico: Landscape analysis for data protection of avatars in metaverse applications</w:t>
      </w:r>
      <w:r w:rsidR="00E54ABE" w:rsidRPr="007C5F49">
        <w:t>"</w:t>
      </w:r>
      <w:r w:rsidRPr="007C5F49">
        <w:t>, C7/17</w:t>
      </w:r>
    </w:p>
    <w:p w14:paraId="127CFFF8" w14:textId="77777777" w:rsidR="00546E00" w:rsidRPr="007C5F49" w:rsidRDefault="00546E00" w:rsidP="00546E00">
      <w:pPr>
        <w:rPr>
          <w:rFonts w:cstheme="minorHAnsi"/>
        </w:rPr>
      </w:pPr>
      <w:r w:rsidRPr="007C5F49">
        <w:rPr>
          <w:rFonts w:cstheme="minorHAnsi"/>
        </w:rPr>
        <w:t>El orden del día de la reunión del GT4/17 también prevé el examen de nuevos temas de trabajo, declaraciones de coordinación salientes y actividades futuras.</w:t>
      </w:r>
    </w:p>
    <w:p w14:paraId="6074788D" w14:textId="3C09D491" w:rsidR="00546E00" w:rsidRPr="007C5F49" w:rsidRDefault="00546E00" w:rsidP="00546E00">
      <w:r w:rsidRPr="007C5F49">
        <w:t>La reunión del GT4/17 estará precedida por las reuniones de los Grupos de Relator sobre las C7/17, C8/17 y</w:t>
      </w:r>
      <w:r w:rsidR="00E54ABE" w:rsidRPr="007C5F49">
        <w:t> </w:t>
      </w:r>
      <w:r w:rsidRPr="007C5F49">
        <w:t xml:space="preserve">C14/17 de julio de 2025 (puede encontrar más información sobre las RGR en </w:t>
      </w:r>
      <w:hyperlink r:id="rId13" w:history="1">
        <w:r w:rsidRPr="007C5F49">
          <w:rPr>
            <w:rStyle w:val="Hyperlink"/>
          </w:rPr>
          <w:t>https://w</w:t>
        </w:r>
        <w:r w:rsidRPr="007C5F49">
          <w:rPr>
            <w:rStyle w:val="Hyperlink"/>
          </w:rPr>
          <w:t>w</w:t>
        </w:r>
        <w:r w:rsidRPr="007C5F49">
          <w:rPr>
            <w:rStyle w:val="Hyperlink"/>
          </w:rPr>
          <w:t>w.itu.int/net/ITU-T/lists/rgm.aspx?Group=17</w:t>
        </w:r>
      </w:hyperlink>
      <w:r w:rsidRPr="007C5F49">
        <w:t xml:space="preserve">). Se anima a los Miembros del UIT-T a presentar contribuciones pertinentes a esas RGR a fin de preparar de la mejor manera esta reunión del GT4/17. </w:t>
      </w:r>
    </w:p>
    <w:p w14:paraId="6F41A08C" w14:textId="35F172AC" w:rsidR="00546E00" w:rsidRPr="007C5F49" w:rsidRDefault="00546E00" w:rsidP="00546E00">
      <w:pPr>
        <w:rPr>
          <w:rFonts w:cstheme="minorHAnsi"/>
          <w:szCs w:val="22"/>
        </w:rPr>
      </w:pPr>
      <w:r w:rsidRPr="007C5F49">
        <w:t xml:space="preserve">La preinscripción es obligatoria y ha de hacerse en línea a través de la </w:t>
      </w:r>
      <w:hyperlink r:id="rId14" w:history="1">
        <w:r w:rsidRPr="007C5F49">
          <w:rPr>
            <w:rStyle w:val="Hyperlink"/>
          </w:rPr>
          <w:t>página princi</w:t>
        </w:r>
        <w:r w:rsidRPr="007C5F49">
          <w:rPr>
            <w:rStyle w:val="Hyperlink"/>
          </w:rPr>
          <w:t>p</w:t>
        </w:r>
        <w:r w:rsidRPr="007C5F49">
          <w:rPr>
            <w:rStyle w:val="Hyperlink"/>
          </w:rPr>
          <w:t>al de la Comisión de</w:t>
        </w:r>
        <w:r w:rsidR="00E54ABE" w:rsidRPr="007C5F49">
          <w:rPr>
            <w:rStyle w:val="Hyperlink"/>
          </w:rPr>
          <w:t> </w:t>
        </w:r>
        <w:r w:rsidRPr="007C5F49">
          <w:rPr>
            <w:rStyle w:val="Hyperlink"/>
          </w:rPr>
          <w:t>Estudio</w:t>
        </w:r>
      </w:hyperlink>
      <w:r w:rsidRPr="007C5F49">
        <w:t xml:space="preserve"> </w:t>
      </w:r>
      <w:r w:rsidRPr="007C5F49">
        <w:rPr>
          <w:b/>
          <w:bCs/>
        </w:rPr>
        <w:t>a más tardar un mes antes de la reunión</w:t>
      </w:r>
      <w:r w:rsidRPr="007C5F49">
        <w:t>. Sólo podrán participar aquellos cuya inscripción haya sido aprobada por el coordinador correspondiente.</w:t>
      </w:r>
    </w:p>
    <w:p w14:paraId="43B90735" w14:textId="77777777" w:rsidR="00546E00" w:rsidRPr="007C5F49" w:rsidRDefault="00546E00" w:rsidP="00546E00">
      <w:pPr>
        <w:rPr>
          <w:rFonts w:cstheme="minorHAnsi"/>
          <w:szCs w:val="22"/>
        </w:rPr>
      </w:pPr>
      <w:r w:rsidRPr="007C5F49">
        <w:rPr>
          <w:rFonts w:cstheme="minorHAnsi"/>
        </w:rPr>
        <w:t xml:space="preserve">El </w:t>
      </w:r>
      <w:r w:rsidRPr="007C5F49">
        <w:rPr>
          <w:rFonts w:cstheme="minorHAnsi"/>
          <w:b/>
          <w:bCs/>
        </w:rPr>
        <w:t xml:space="preserve">Anexo A </w:t>
      </w:r>
      <w:r w:rsidRPr="007C5F49">
        <w:rPr>
          <w:rFonts w:cstheme="minorHAnsi"/>
        </w:rPr>
        <w:t xml:space="preserve">contiene información práctica sobre la reunión. En el </w:t>
      </w:r>
      <w:r w:rsidRPr="007C5F49">
        <w:rPr>
          <w:rFonts w:cstheme="minorHAnsi"/>
          <w:b/>
          <w:bCs/>
        </w:rPr>
        <w:t xml:space="preserve">Anexo B </w:t>
      </w:r>
      <w:r w:rsidRPr="007C5F49">
        <w:rPr>
          <w:rFonts w:cstheme="minorHAnsi"/>
        </w:rPr>
        <w:t>figura un proyecto de orden del día, preparado por la Presidenta del GT4/17, Sra.</w:t>
      </w:r>
      <w:r w:rsidRPr="007C5F49">
        <w:rPr>
          <w:rFonts w:cstheme="minorHAnsi"/>
          <w:szCs w:val="22"/>
        </w:rPr>
        <w:t xml:space="preserve"> Zhiyuan Hu.</w:t>
      </w:r>
    </w:p>
    <w:p w14:paraId="31FD387F" w14:textId="641AAAAC" w:rsidR="002545AA" w:rsidRPr="007C5F49" w:rsidRDefault="002545AA" w:rsidP="002545AA">
      <w:pPr>
        <w:keepNext/>
        <w:keepLines/>
        <w:spacing w:after="120"/>
        <w:rPr>
          <w:b/>
          <w:bCs/>
        </w:rPr>
      </w:pPr>
      <w:r w:rsidRPr="007C5F49">
        <w:rPr>
          <w:b/>
          <w:bCs/>
        </w:rPr>
        <w:t>PLAZOS CLAVE</w:t>
      </w:r>
      <w:r w:rsidR="00546E00" w:rsidRPr="007C5F49">
        <w:rPr>
          <w:b/>
          <w:bCs/>
        </w:rPr>
        <w:t>:</w:t>
      </w:r>
    </w:p>
    <w:tbl>
      <w:tblPr>
        <w:tblStyle w:val="TableGrid"/>
        <w:tblW w:w="9634" w:type="dxa"/>
        <w:tblLook w:val="04A0" w:firstRow="1" w:lastRow="0" w:firstColumn="1" w:lastColumn="0" w:noHBand="0" w:noVBand="1"/>
      </w:tblPr>
      <w:tblGrid>
        <w:gridCol w:w="2418"/>
        <w:gridCol w:w="7216"/>
      </w:tblGrid>
      <w:tr w:rsidR="002545AA" w:rsidRPr="007C5F49" w14:paraId="48B40F47" w14:textId="77777777" w:rsidTr="002C58A4">
        <w:tc>
          <w:tcPr>
            <w:tcW w:w="2418" w:type="dxa"/>
          </w:tcPr>
          <w:p w14:paraId="5A6D2764" w14:textId="7DC0F3E7" w:rsidR="002545AA" w:rsidRPr="007C5F49" w:rsidRDefault="00546E00" w:rsidP="00BC1FB8">
            <w:pPr>
              <w:spacing w:before="40" w:after="40"/>
              <w:rPr>
                <w:b/>
                <w:bCs/>
              </w:rPr>
            </w:pPr>
            <w:r w:rsidRPr="007C5F49">
              <w:rPr>
                <w:rFonts w:cstheme="minorHAnsi"/>
                <w:szCs w:val="22"/>
                <w:lang w:eastAsia="zh-CN"/>
              </w:rPr>
              <w:t>4</w:t>
            </w:r>
            <w:r w:rsidRPr="007C5F49">
              <w:rPr>
                <w:rFonts w:cstheme="minorHAnsi"/>
                <w:szCs w:val="22"/>
              </w:rPr>
              <w:t xml:space="preserve"> de agosto de 2025</w:t>
            </w:r>
          </w:p>
        </w:tc>
        <w:tc>
          <w:tcPr>
            <w:tcW w:w="7216" w:type="dxa"/>
          </w:tcPr>
          <w:p w14:paraId="288D1D91" w14:textId="65CED229" w:rsidR="002545AA" w:rsidRPr="007C5F49" w:rsidRDefault="002545AA" w:rsidP="002C58A4">
            <w:pPr>
              <w:pStyle w:val="enumlev1"/>
              <w:tabs>
                <w:tab w:val="clear" w:pos="794"/>
                <w:tab w:val="left" w:pos="318"/>
              </w:tabs>
              <w:spacing w:before="40" w:after="40"/>
              <w:ind w:left="318" w:hanging="318"/>
              <w:rPr>
                <w:b/>
                <w:bCs/>
              </w:rPr>
            </w:pPr>
            <w:r w:rsidRPr="007C5F49">
              <w:t>–</w:t>
            </w:r>
            <w:r w:rsidRPr="007C5F49">
              <w:tab/>
            </w:r>
            <w:r w:rsidR="00546E00" w:rsidRPr="007C5F49">
              <w:rPr>
                <w:rFonts w:cstheme="minorHAnsi"/>
                <w:szCs w:val="22"/>
              </w:rPr>
              <w:t xml:space="preserve">Preinscripción (en línea a través del formulario de inscripción en línea de la </w:t>
            </w:r>
            <w:hyperlink r:id="rId15" w:anchor="/es" w:history="1">
              <w:r w:rsidR="00546E00" w:rsidRPr="007C5F49">
                <w:rPr>
                  <w:rStyle w:val="Hyperlink"/>
                  <w:rFonts w:cstheme="minorHAnsi"/>
                  <w:szCs w:val="22"/>
                </w:rPr>
                <w:t>página principal de la Co</w:t>
              </w:r>
              <w:r w:rsidR="00546E00" w:rsidRPr="007C5F49">
                <w:rPr>
                  <w:rStyle w:val="Hyperlink"/>
                  <w:rFonts w:cstheme="minorHAnsi"/>
                  <w:szCs w:val="22"/>
                </w:rPr>
                <w:t>m</w:t>
              </w:r>
              <w:r w:rsidR="00546E00" w:rsidRPr="007C5F49">
                <w:rPr>
                  <w:rStyle w:val="Hyperlink"/>
                  <w:rFonts w:cstheme="minorHAnsi"/>
                  <w:szCs w:val="22"/>
                </w:rPr>
                <w:t>isión de Estudio</w:t>
              </w:r>
            </w:hyperlink>
            <w:r w:rsidR="00546E00" w:rsidRPr="007C5F49">
              <w:rPr>
                <w:rFonts w:cstheme="minorHAnsi"/>
                <w:szCs w:val="22"/>
              </w:rPr>
              <w:t>)</w:t>
            </w:r>
          </w:p>
        </w:tc>
      </w:tr>
      <w:tr w:rsidR="002545AA" w:rsidRPr="007C5F49" w14:paraId="5A60AB5A" w14:textId="77777777" w:rsidTr="002C58A4">
        <w:tc>
          <w:tcPr>
            <w:tcW w:w="2418" w:type="dxa"/>
          </w:tcPr>
          <w:p w14:paraId="3EBAFB33" w14:textId="06BA8F0A" w:rsidR="002545AA" w:rsidRPr="007C5F49" w:rsidRDefault="00546E00" w:rsidP="00BC1FB8">
            <w:pPr>
              <w:spacing w:before="40" w:after="40"/>
            </w:pPr>
            <w:r w:rsidRPr="007C5F49">
              <w:rPr>
                <w:rFonts w:cstheme="minorHAnsi"/>
                <w:szCs w:val="22"/>
                <w:lang w:eastAsia="zh-CN"/>
              </w:rPr>
              <w:t>22 de agosto de</w:t>
            </w:r>
            <w:r w:rsidRPr="007C5F49">
              <w:rPr>
                <w:rFonts w:cstheme="minorHAnsi"/>
                <w:szCs w:val="22"/>
              </w:rPr>
              <w:t xml:space="preserve"> 2025</w:t>
            </w:r>
          </w:p>
        </w:tc>
        <w:tc>
          <w:tcPr>
            <w:tcW w:w="7216" w:type="dxa"/>
          </w:tcPr>
          <w:p w14:paraId="09E968A8" w14:textId="0E266D20" w:rsidR="002545AA" w:rsidRPr="007C5F49" w:rsidRDefault="002545AA" w:rsidP="00546E00">
            <w:pPr>
              <w:pStyle w:val="enumlev1"/>
              <w:tabs>
                <w:tab w:val="clear" w:pos="794"/>
                <w:tab w:val="left" w:pos="318"/>
              </w:tabs>
              <w:spacing w:before="40" w:after="40"/>
              <w:ind w:left="318" w:hanging="318"/>
            </w:pPr>
            <w:r w:rsidRPr="007C5F49">
              <w:t>–</w:t>
            </w:r>
            <w:r w:rsidRPr="007C5F49">
              <w:tab/>
            </w:r>
            <w:hyperlink r:id="rId16" w:history="1">
              <w:r w:rsidR="00546E00" w:rsidRPr="007C5F49">
                <w:rPr>
                  <w:szCs w:val="22"/>
                </w:rPr>
                <w:t xml:space="preserve">Presentación de las contribuciones de los </w:t>
              </w:r>
              <w:r w:rsidR="00546E00" w:rsidRPr="007C5F49">
                <w:rPr>
                  <w:rFonts w:cstheme="minorHAnsi"/>
                  <w:szCs w:val="22"/>
                </w:rPr>
                <w:t>Miem</w:t>
              </w:r>
              <w:r w:rsidR="00546E00" w:rsidRPr="007C5F49">
                <w:rPr>
                  <w:szCs w:val="22"/>
                </w:rPr>
                <w:t xml:space="preserve">bros del UIT-T (mediante la </w:t>
              </w:r>
              <w:r w:rsidR="00546E00" w:rsidRPr="007C5F49">
                <w:rPr>
                  <w:rStyle w:val="Hyperlink"/>
                  <w:rFonts w:cstheme="minorHAnsi"/>
                </w:rPr>
                <w:t>Publicación Directa de Documentos)</w:t>
              </w:r>
            </w:hyperlink>
          </w:p>
        </w:tc>
      </w:tr>
    </w:tbl>
    <w:p w14:paraId="774CE699" w14:textId="7C49C51F" w:rsidR="002545AA" w:rsidRPr="007C5F49" w:rsidRDefault="00546E00" w:rsidP="00F30AE3">
      <w:pPr>
        <w:spacing w:after="120"/>
      </w:pPr>
      <w:r w:rsidRPr="007C5F49">
        <w:rPr>
          <w:rFonts w:cstheme="minorHAnsi"/>
          <w:szCs w:val="22"/>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45AA" w:rsidRPr="007C5F49" w14:paraId="25D07492" w14:textId="77777777" w:rsidTr="002C135F">
        <w:tc>
          <w:tcPr>
            <w:tcW w:w="4814" w:type="dxa"/>
            <w:tcBorders>
              <w:right w:val="single" w:sz="4" w:space="0" w:color="auto"/>
            </w:tcBorders>
          </w:tcPr>
          <w:p w14:paraId="5C377AE2" w14:textId="4BB83228" w:rsidR="002545AA" w:rsidRPr="007C5F49" w:rsidRDefault="0068092C" w:rsidP="001E0AC9">
            <w:pPr>
              <w:spacing w:after="360"/>
              <w:ind w:left="-110"/>
              <w:rPr>
                <w:bCs/>
              </w:rPr>
            </w:pPr>
            <w:r>
              <w:rPr>
                <w:bCs/>
                <w:noProof/>
              </w:rPr>
              <w:drawing>
                <wp:anchor distT="0" distB="0" distL="114300" distR="114300" simplePos="0" relativeHeight="251658240" behindDoc="1" locked="0" layoutInCell="1" allowOverlap="1" wp14:anchorId="7468FF4C" wp14:editId="2284BA3B">
                  <wp:simplePos x="0" y="0"/>
                  <wp:positionH relativeFrom="column">
                    <wp:posOffset>-71120</wp:posOffset>
                  </wp:positionH>
                  <wp:positionV relativeFrom="paragraph">
                    <wp:posOffset>300990</wp:posOffset>
                  </wp:positionV>
                  <wp:extent cx="825542" cy="330217"/>
                  <wp:effectExtent l="0" t="0" r="0" b="0"/>
                  <wp:wrapNone/>
                  <wp:docPr id="5786816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8169" name="Picture 1"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2545AA" w:rsidRPr="007C5F49">
              <w:rPr>
                <w:bCs/>
              </w:rPr>
              <w:t>Atentamente,</w:t>
            </w:r>
          </w:p>
          <w:p w14:paraId="57722151" w14:textId="66A9F555" w:rsidR="002545AA" w:rsidRPr="007C5F49" w:rsidRDefault="00A9210B" w:rsidP="001E0AC9">
            <w:pPr>
              <w:spacing w:before="720"/>
              <w:ind w:left="-110" w:right="86"/>
            </w:pPr>
            <w:r w:rsidRPr="007C5F49">
              <w:rPr>
                <w:rFonts w:cstheme="minorHAnsi"/>
                <w:szCs w:val="22"/>
              </w:rPr>
              <w:t>Seizo Onoe</w:t>
            </w:r>
            <w:r w:rsidR="002545AA" w:rsidRPr="007C5F49">
              <w:br/>
            </w:r>
            <w:proofErr w:type="gramStart"/>
            <w:r w:rsidR="002545AA" w:rsidRPr="007C5F49">
              <w:t>Director</w:t>
            </w:r>
            <w:proofErr w:type="gramEnd"/>
            <w:r w:rsidR="002545AA" w:rsidRPr="007C5F49">
              <w:t xml:space="preserve"> de la Oficina de Normalización</w:t>
            </w:r>
            <w:r w:rsidR="002545AA" w:rsidRPr="007C5F49">
              <w:br/>
              <w:t>de las Telecomunicaciones</w:t>
            </w:r>
          </w:p>
        </w:tc>
        <w:tc>
          <w:tcPr>
            <w:tcW w:w="4815" w:type="dxa"/>
            <w:tcBorders>
              <w:top w:val="single" w:sz="4" w:space="0" w:color="auto"/>
              <w:left w:val="single" w:sz="4" w:space="0" w:color="auto"/>
              <w:bottom w:val="single" w:sz="4" w:space="0" w:color="auto"/>
              <w:right w:val="single" w:sz="4" w:space="0" w:color="auto"/>
            </w:tcBorders>
          </w:tcPr>
          <w:p w14:paraId="237FCDB5" w14:textId="77777777" w:rsidR="00F30AE3" w:rsidRPr="007C5F49" w:rsidRDefault="00546E00" w:rsidP="00F30AE3">
            <w:pPr>
              <w:pStyle w:val="Figure0"/>
              <w:spacing w:before="360" w:after="240"/>
              <w:rPr>
                <w:bCs/>
              </w:rPr>
            </w:pPr>
            <w:r w:rsidRPr="007C5F49">
              <w:rPr>
                <w:noProof/>
              </w:rPr>
              <w:drawing>
                <wp:inline distT="0" distB="0" distL="0" distR="0" wp14:anchorId="3F1A5993" wp14:editId="57728F2D">
                  <wp:extent cx="984408" cy="889033"/>
                  <wp:effectExtent l="0" t="0" r="635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4408" cy="889033"/>
                          </a:xfrm>
                          <a:prstGeom prst="rect">
                            <a:avLst/>
                          </a:prstGeom>
                          <a:noFill/>
                          <a:ln>
                            <a:noFill/>
                          </a:ln>
                        </pic:spPr>
                      </pic:pic>
                    </a:graphicData>
                  </a:graphic>
                </wp:inline>
              </w:drawing>
            </w:r>
          </w:p>
          <w:p w14:paraId="355555FC" w14:textId="6D52FB4E" w:rsidR="002545AA" w:rsidRPr="007C5F49" w:rsidRDefault="002545AA" w:rsidP="00F30AE3">
            <w:pPr>
              <w:pStyle w:val="Figure0"/>
              <w:spacing w:before="120" w:after="240"/>
              <w:rPr>
                <w:bCs/>
              </w:rPr>
            </w:pPr>
            <w:r w:rsidRPr="007C5F49">
              <w:rPr>
                <w:bCs/>
              </w:rPr>
              <w:t>Última información sobre la reunión</w:t>
            </w:r>
          </w:p>
        </w:tc>
      </w:tr>
    </w:tbl>
    <w:p w14:paraId="4914DE94" w14:textId="748CEC1F" w:rsidR="002545AA" w:rsidRPr="007C5F49" w:rsidRDefault="00F30AE3" w:rsidP="002545AA">
      <w:pPr>
        <w:rPr>
          <w:bCs/>
        </w:rPr>
      </w:pPr>
      <w:r w:rsidRPr="007C5F49">
        <w:rPr>
          <w:b/>
        </w:rPr>
        <w:t>Anexos</w:t>
      </w:r>
      <w:r w:rsidRPr="007C5F49">
        <w:rPr>
          <w:bCs/>
        </w:rPr>
        <w:t>: 2</w:t>
      </w:r>
    </w:p>
    <w:p w14:paraId="40ABAFED" w14:textId="77777777" w:rsidR="002545AA" w:rsidRPr="007C5F49" w:rsidRDefault="002545AA" w:rsidP="002545AA">
      <w:pPr>
        <w:ind w:right="91"/>
        <w:rPr>
          <w:bCs/>
        </w:rPr>
      </w:pPr>
      <w:r w:rsidRPr="007C5F49">
        <w:rPr>
          <w:bCs/>
        </w:rPr>
        <w:br w:type="page"/>
      </w:r>
    </w:p>
    <w:p w14:paraId="158900F9" w14:textId="08DD79A9" w:rsidR="002545AA" w:rsidRPr="007C5F49" w:rsidRDefault="00BC1FB8" w:rsidP="00F30AE3">
      <w:pPr>
        <w:pStyle w:val="AnnexNotitle"/>
      </w:pPr>
      <w:r w:rsidRPr="007C5F49">
        <w:lastRenderedPageBreak/>
        <w:t xml:space="preserve">Anexo </w:t>
      </w:r>
      <w:r w:rsidR="002545AA" w:rsidRPr="007C5F49">
        <w:rPr>
          <w:caps/>
        </w:rPr>
        <w:t>A</w:t>
      </w:r>
      <w:r w:rsidR="00E25441" w:rsidRPr="007C5F49">
        <w:rPr>
          <w:caps/>
        </w:rPr>
        <w:br/>
      </w:r>
      <w:r w:rsidR="00F30AE3" w:rsidRPr="007C5F49">
        <w:t>Información práctica sobre la reunión</w:t>
      </w:r>
    </w:p>
    <w:p w14:paraId="4160442A" w14:textId="093150B2" w:rsidR="00F30AE3" w:rsidRPr="007C5F49" w:rsidRDefault="00F30AE3" w:rsidP="00E54ABE">
      <w:pPr>
        <w:pStyle w:val="Headingb0"/>
        <w:jc w:val="center"/>
        <w:rPr>
          <w:bCs/>
        </w:rPr>
      </w:pPr>
      <w:r w:rsidRPr="007C5F49">
        <w:t>M</w:t>
      </w:r>
      <w:r w:rsidR="007C5F49" w:rsidRPr="007C5F49">
        <w:t>É</w:t>
      </w:r>
      <w:r w:rsidRPr="007C5F49">
        <w:t>TODOS</w:t>
      </w:r>
      <w:r w:rsidRPr="007C5F49">
        <w:rPr>
          <w:bCs/>
        </w:rPr>
        <w:t xml:space="preserve"> DE TRABAJO E INSTALACIONES</w:t>
      </w:r>
    </w:p>
    <w:p w14:paraId="2479F5CE" w14:textId="2223C0C6" w:rsidR="00F30AE3" w:rsidRPr="00F30AE3" w:rsidRDefault="00F30AE3" w:rsidP="00F30AE3">
      <w:r w:rsidRPr="00F30AE3">
        <w:rPr>
          <w:b/>
          <w:bCs/>
        </w:rPr>
        <w:t>PRESENTACIÓN Y ACCESO A LOS DOCUMENTOS</w:t>
      </w:r>
      <w:r w:rsidRPr="00F30AE3">
        <w:t xml:space="preserve">: En la reunión no se utilizará documentación impresa. Las contribuciones de los Miembros deben presentarse utilizando la </w:t>
      </w:r>
      <w:hyperlink r:id="rId20" w:history="1">
        <w:r w:rsidRPr="00F30AE3">
          <w:rPr>
            <w:rStyle w:val="Hyperlink"/>
          </w:rPr>
          <w:t>Publicación Directa de Documentos</w:t>
        </w:r>
      </w:hyperlink>
      <w:r w:rsidRPr="00F30AE3">
        <w:t xml:space="preserve">; los proyectos de DT deben enviarse por correo electrónico a la secretaría de la Comisión de Estudio utilizando la </w:t>
      </w:r>
      <w:hyperlink r:id="rId21" w:history="1">
        <w:r w:rsidRPr="00F30AE3">
          <w:rPr>
            <w:rStyle w:val="Hyperlink"/>
          </w:rPr>
          <w:t>plantilla adecuada</w:t>
        </w:r>
      </w:hyperlink>
      <w:r w:rsidRPr="00F30AE3">
        <w:t>. El acceso a los documentos de la reunión se facilita a partir de la página web de la</w:t>
      </w:r>
      <w:r w:rsidR="00E54ABE" w:rsidRPr="007C5F49">
        <w:t> </w:t>
      </w:r>
      <w:r w:rsidRPr="00F30AE3">
        <w:t xml:space="preserve">Comisión de Estudio y está restringido a los Miembros del UIT-T titulares de una </w:t>
      </w:r>
      <w:hyperlink r:id="rId22" w:history="1">
        <w:r w:rsidRPr="00F30AE3">
          <w:rPr>
            <w:rStyle w:val="Hyperlink"/>
          </w:rPr>
          <w:t>cuenta de usuario de la</w:t>
        </w:r>
        <w:r w:rsidR="00E54ABE" w:rsidRPr="007C5F49">
          <w:rPr>
            <w:rStyle w:val="Hyperlink"/>
          </w:rPr>
          <w:t> </w:t>
        </w:r>
        <w:r w:rsidRPr="00F30AE3">
          <w:rPr>
            <w:rStyle w:val="Hyperlink"/>
          </w:rPr>
          <w:t>UIT</w:t>
        </w:r>
      </w:hyperlink>
      <w:r w:rsidRPr="00F30AE3">
        <w:t xml:space="preserve"> con acceso TIES.</w:t>
      </w:r>
    </w:p>
    <w:p w14:paraId="75D7AEA8" w14:textId="77777777" w:rsidR="00F30AE3" w:rsidRPr="00F30AE3" w:rsidRDefault="00F30AE3" w:rsidP="00F30AE3">
      <w:pPr>
        <w:rPr>
          <w:b/>
          <w:bCs/>
        </w:rPr>
      </w:pPr>
      <w:r w:rsidRPr="00F30AE3">
        <w:rPr>
          <w:b/>
          <w:bCs/>
        </w:rPr>
        <w:t>IDIOMA DE TRABAJO</w:t>
      </w:r>
      <w:r w:rsidRPr="00F30AE3">
        <w:t>: La reunión se celebrará únicamente en inglés, sin interpretación.</w:t>
      </w:r>
    </w:p>
    <w:p w14:paraId="6E546687" w14:textId="77777777" w:rsidR="00F30AE3" w:rsidRPr="00F30AE3" w:rsidRDefault="00F30AE3" w:rsidP="00F30AE3">
      <w:bookmarkStart w:id="2" w:name="_Hlk184045647"/>
      <w:r w:rsidRPr="00F30AE3">
        <w:rPr>
          <w:b/>
          <w:bCs/>
        </w:rPr>
        <w:t>PARTICIPACIÓN A DISTANCIA</w:t>
      </w:r>
      <w:r w:rsidRPr="00F30AE3">
        <w:t xml:space="preserve">: Siempre que sea posible, se ofrecerá la posibilidad de participar a distancia. </w:t>
      </w:r>
      <w:bookmarkEnd w:id="2"/>
      <w:r w:rsidRPr="00F30AE3">
        <w:t>En las sesiones plenarias de apertura y clausura de la Comisión de Estudio se facilitarán servicios de participación interactiva a distancia. Se recuerda a los delegados que, conforme a las disposiciones en vigor, solo los presentes en la sala de reunión podrán participar en los procesos de toma de decisiones.</w:t>
      </w:r>
    </w:p>
    <w:p w14:paraId="36EE40DB" w14:textId="77777777" w:rsidR="00F30AE3" w:rsidRPr="00F30AE3" w:rsidRDefault="00F30AE3" w:rsidP="00F30AE3">
      <w:r w:rsidRPr="00F30AE3">
        <w:t>En las demás sesiones se facilitarán servicios de participación interactiva a distancia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6D3AD61E" w14:textId="77777777" w:rsidR="00F30AE3" w:rsidRPr="007C5F49" w:rsidRDefault="00F30AE3" w:rsidP="00E54ABE">
      <w:pPr>
        <w:pStyle w:val="Headingb0"/>
        <w:jc w:val="center"/>
      </w:pPr>
      <w:r w:rsidRPr="007C5F49">
        <w:t>PREINSCRIPCIÓN, NUEVOS DELEGADOS, BECAS Y APOYO PARA LA OBTENCIÓN DEL VISADO</w:t>
      </w:r>
    </w:p>
    <w:p w14:paraId="05351E76" w14:textId="402A46A6" w:rsidR="00F30AE3" w:rsidRPr="00F30AE3" w:rsidRDefault="00F30AE3" w:rsidP="00F30AE3">
      <w:r w:rsidRPr="00F30AE3">
        <w:rPr>
          <w:b/>
          <w:bCs/>
        </w:rPr>
        <w:t>PREINSCRIPCIÓN</w:t>
      </w:r>
      <w:r w:rsidRPr="00F30AE3">
        <w:t>: La preinscripción es obligatoria y ha de hacerse en línea a través de la página web de la</w:t>
      </w:r>
      <w:r w:rsidR="00E54ABE" w:rsidRPr="007C5F49">
        <w:t> </w:t>
      </w:r>
      <w:r w:rsidRPr="00F30AE3">
        <w:t xml:space="preserve">Comisión de Estudio </w:t>
      </w:r>
      <w:r w:rsidRPr="00F30AE3">
        <w:rPr>
          <w:b/>
          <w:bCs/>
        </w:rPr>
        <w:t>a más tardar un mes antes de la reunión</w:t>
      </w:r>
      <w:r w:rsidRPr="00F30AE3">
        <w:t>. Según lo indicado en la</w:t>
      </w:r>
      <w:hyperlink r:id="rId23" w:history="1">
        <w:r w:rsidRPr="00F30AE3">
          <w:rPr>
            <w:rStyle w:val="Hyperlink"/>
          </w:rPr>
          <w:t xml:space="preserve"> Circular TSB 68</w:t>
        </w:r>
      </w:hyperlink>
      <w:r w:rsidRPr="00F30AE3">
        <w:t>, el sistema de inscripción requiere la aprobación del Coordinador para las solicitudes de inscripción; en la</w:t>
      </w:r>
      <w:r w:rsidR="00E54ABE" w:rsidRPr="007C5F49">
        <w:t> </w:t>
      </w:r>
      <w:hyperlink r:id="rId24" w:history="1">
        <w:r w:rsidRPr="00F30AE3">
          <w:rPr>
            <w:rStyle w:val="Hyperlink"/>
          </w:rPr>
          <w:t>Circular TSB 118</w:t>
        </w:r>
      </w:hyperlink>
      <w:r w:rsidRPr="00F30AE3">
        <w:t xml:space="preserve"> se detalla cómo figurar la aprobación automática de esas solicitudes. Algunas opciones del formulario de inscripción se aplican únicamente a los Estados Miembros, entre ellas las funciones, las solicitudes de interpretación y las solicitudes de becas. Se alienta a los Miembros a incluir mujeres en sus delegaciones siempre que sea posible.</w:t>
      </w:r>
    </w:p>
    <w:p w14:paraId="61DE3529" w14:textId="63083442" w:rsidR="00F30AE3" w:rsidRPr="00F30AE3" w:rsidRDefault="00F30AE3" w:rsidP="00F30AE3">
      <w:pPr>
        <w:rPr>
          <w:b/>
          <w:bCs/>
        </w:rPr>
      </w:pPr>
      <w:r w:rsidRPr="00F30AE3">
        <w:t xml:space="preserve">La inscripción es obligatoria y se efectúa en línea a través de la </w:t>
      </w:r>
      <w:hyperlink r:id="rId25" w:anchor="/es" w:history="1">
        <w:r w:rsidRPr="00F30AE3">
          <w:rPr>
            <w:rStyle w:val="Hyperlink"/>
          </w:rPr>
          <w:t>página principal de la Comisión de Estudio</w:t>
        </w:r>
      </w:hyperlink>
      <w:r w:rsidRPr="00F30AE3">
        <w:t xml:space="preserve">. Los delegados que no se hayan inscrito no podrán acceder a la </w:t>
      </w:r>
      <w:hyperlink r:id="rId26" w:history="1">
        <w:r w:rsidRPr="00F30AE3">
          <w:rPr>
            <w:rStyle w:val="Hyperlink"/>
          </w:rPr>
          <w:t>herramienta de participación a distancia MyMeetings</w:t>
        </w:r>
      </w:hyperlink>
      <w:r w:rsidRPr="00F30AE3">
        <w:t>.</w:t>
      </w:r>
    </w:p>
    <w:p w14:paraId="24AA4AC0" w14:textId="77777777" w:rsidR="00F30AE3" w:rsidRPr="00F30AE3" w:rsidRDefault="00F30AE3" w:rsidP="00F30AE3">
      <w:r w:rsidRPr="00F30AE3">
        <w:rPr>
          <w:b/>
          <w:bCs/>
        </w:rPr>
        <w:t>NUEVOS DELEGADOS, BECAS Y APOYO PARA LA OBTENCIÓN DE VISADOS</w:t>
      </w:r>
      <w:r w:rsidRPr="00F30AE3">
        <w:t>: Dado que las reuniones virtuales no implican desplazamientos, no se concederán becas ni apoyo para la obtención de visados. Las sesiones de orientación para nuevos delegados se facilitarán si así lo considera conveniente el Presidente de la Comisión de Estudio.</w:t>
      </w:r>
    </w:p>
    <w:p w14:paraId="34026DF5" w14:textId="77777777" w:rsidR="00F30AE3" w:rsidRPr="00F30AE3" w:rsidRDefault="00F30AE3" w:rsidP="00F30AE3">
      <w:pPr>
        <w:rPr>
          <w:b/>
          <w:bCs/>
        </w:rPr>
      </w:pPr>
      <w:r w:rsidRPr="00F30AE3">
        <w:rPr>
          <w:b/>
          <w:bCs/>
        </w:rPr>
        <w:br w:type="page"/>
      </w:r>
    </w:p>
    <w:p w14:paraId="364FE00A" w14:textId="77777777" w:rsidR="00F30AE3" w:rsidRPr="007C5F49" w:rsidRDefault="00F30AE3" w:rsidP="00F30AE3">
      <w:pPr>
        <w:pStyle w:val="Annextitle0"/>
        <w:rPr>
          <w:szCs w:val="28"/>
          <w:lang w:val="es-ES_tradnl"/>
        </w:rPr>
      </w:pPr>
      <w:r w:rsidRPr="007C5F49">
        <w:rPr>
          <w:szCs w:val="28"/>
          <w:lang w:val="es-ES_tradnl"/>
        </w:rPr>
        <w:lastRenderedPageBreak/>
        <w:t>ANEXO B</w:t>
      </w:r>
      <w:r w:rsidRPr="007C5F49">
        <w:rPr>
          <w:szCs w:val="28"/>
          <w:lang w:val="es-ES_tradnl"/>
        </w:rPr>
        <w:br/>
        <w:t xml:space="preserve">Orden del día de la reunión del GT4/17 </w:t>
      </w:r>
      <w:r w:rsidRPr="007C5F49">
        <w:rPr>
          <w:szCs w:val="28"/>
          <w:lang w:val="es-ES_tradnl"/>
        </w:rPr>
        <w:br/>
        <w:t xml:space="preserve">Virtual, </w:t>
      </w:r>
      <w:r w:rsidRPr="007C5F49">
        <w:rPr>
          <w:bCs/>
          <w:szCs w:val="28"/>
          <w:lang w:val="es-ES_tradnl"/>
        </w:rPr>
        <w:t>13.00 a 17.00 horas, hora de Ginebra, 4-5 de septiembre de 2025</w:t>
      </w:r>
    </w:p>
    <w:p w14:paraId="3152AA7D" w14:textId="44E9F0E2" w:rsidR="00F30AE3" w:rsidRPr="007C5F49" w:rsidRDefault="00F30AE3" w:rsidP="00F30AE3">
      <w:pPr>
        <w:pStyle w:val="enumlev1"/>
      </w:pPr>
      <w:r w:rsidRPr="007C5F49">
        <w:t>1)</w:t>
      </w:r>
      <w:r w:rsidRPr="007C5F49">
        <w:tab/>
        <w:t>Apertura de la reunión</w:t>
      </w:r>
    </w:p>
    <w:p w14:paraId="4B63427E" w14:textId="4392481E" w:rsidR="00F30AE3" w:rsidRPr="007C5F49" w:rsidRDefault="00F30AE3" w:rsidP="00F30AE3">
      <w:pPr>
        <w:pStyle w:val="enumlev1"/>
      </w:pPr>
      <w:r w:rsidRPr="007C5F49">
        <w:t>2)</w:t>
      </w:r>
      <w:r w:rsidRPr="007C5F49">
        <w:tab/>
        <w:t>Adopción del orden del día</w:t>
      </w:r>
    </w:p>
    <w:p w14:paraId="39FAC7BF" w14:textId="4E93BACD" w:rsidR="00F30AE3" w:rsidRPr="007C5F49" w:rsidRDefault="00F30AE3" w:rsidP="00F30AE3">
      <w:pPr>
        <w:pStyle w:val="enumlev1"/>
      </w:pPr>
      <w:r w:rsidRPr="007C5F49">
        <w:t>3)</w:t>
      </w:r>
      <w:r w:rsidRPr="007C5F49">
        <w:tab/>
        <w:t>Derechos de propiedad intelectual</w:t>
      </w:r>
    </w:p>
    <w:p w14:paraId="64CDBA69" w14:textId="797D8784" w:rsidR="00F30AE3" w:rsidRPr="007C5F49" w:rsidRDefault="00F30AE3" w:rsidP="00F30AE3">
      <w:pPr>
        <w:pStyle w:val="enumlev1"/>
      </w:pPr>
      <w:r w:rsidRPr="007C5F49">
        <w:t>4)</w:t>
      </w:r>
      <w:r w:rsidRPr="007C5F49">
        <w:tab/>
        <w:t xml:space="preserve">Examen de los resultados de las reuniones de las C8/17, C14/17 y C7/17 </w:t>
      </w:r>
    </w:p>
    <w:p w14:paraId="437527AF" w14:textId="1CAED9AA" w:rsidR="00F30AE3" w:rsidRPr="007C5F49" w:rsidRDefault="00F30AE3" w:rsidP="00F30AE3">
      <w:pPr>
        <w:pStyle w:val="enumlev1"/>
      </w:pPr>
      <w:r w:rsidRPr="007C5F49">
        <w:t>5)</w:t>
      </w:r>
      <w:r w:rsidRPr="007C5F49">
        <w:tab/>
        <w:t xml:space="preserve">Determinación de los proyectos de nueva Recomendación UIT-T: </w:t>
      </w:r>
    </w:p>
    <w:p w14:paraId="008040BD" w14:textId="2E735229" w:rsidR="00F30AE3" w:rsidRPr="007C5F49" w:rsidRDefault="008F4D9A" w:rsidP="008F4D9A">
      <w:pPr>
        <w:pStyle w:val="enumlev2"/>
      </w:pPr>
      <w:r w:rsidRPr="007C5F49">
        <w:t>5.1</w:t>
      </w:r>
      <w:r w:rsidR="00F30AE3" w:rsidRPr="007C5F49">
        <w:t>)</w:t>
      </w:r>
      <w:r w:rsidR="00F30AE3" w:rsidRPr="007C5F49">
        <w:tab/>
      </w:r>
      <w:proofErr w:type="gramStart"/>
      <w:r w:rsidR="00F30AE3" w:rsidRPr="007C5F49">
        <w:t>X.soar</w:t>
      </w:r>
      <w:proofErr w:type="gramEnd"/>
      <w:r w:rsidR="00F30AE3" w:rsidRPr="007C5F49">
        <w:t xml:space="preserve">-cc </w:t>
      </w:r>
    </w:p>
    <w:p w14:paraId="5340562B" w14:textId="488438C0" w:rsidR="00F30AE3" w:rsidRPr="007C5F49" w:rsidRDefault="008F4D9A" w:rsidP="008F4D9A">
      <w:pPr>
        <w:pStyle w:val="enumlev2"/>
      </w:pPr>
      <w:r w:rsidRPr="007C5F49">
        <w:t>5.</w:t>
      </w:r>
      <w:r w:rsidR="00F30AE3" w:rsidRPr="007C5F49">
        <w:t>2)</w:t>
      </w:r>
      <w:r w:rsidR="00F30AE3" w:rsidRPr="007C5F49">
        <w:tab/>
        <w:t xml:space="preserve">X.asm-cc </w:t>
      </w:r>
    </w:p>
    <w:p w14:paraId="6636A2B6" w14:textId="03086B90" w:rsidR="00F30AE3" w:rsidRPr="007C5F49" w:rsidRDefault="008F4D9A" w:rsidP="008F4D9A">
      <w:pPr>
        <w:pStyle w:val="enumlev2"/>
      </w:pPr>
      <w:r w:rsidRPr="007C5F49">
        <w:t>5.3</w:t>
      </w:r>
      <w:r w:rsidR="00F30AE3" w:rsidRPr="007C5F49">
        <w:t>)</w:t>
      </w:r>
      <w:r w:rsidR="00F30AE3" w:rsidRPr="007C5F49">
        <w:tab/>
        <w:t xml:space="preserve">X.sr-dpts </w:t>
      </w:r>
    </w:p>
    <w:p w14:paraId="590D056B" w14:textId="51B9F278" w:rsidR="00F30AE3" w:rsidRPr="007C5F49" w:rsidRDefault="008F4D9A" w:rsidP="008F4D9A">
      <w:pPr>
        <w:pStyle w:val="enumlev2"/>
      </w:pPr>
      <w:r w:rsidRPr="007C5F49">
        <w:t>5.4</w:t>
      </w:r>
      <w:r w:rsidR="00F30AE3" w:rsidRPr="007C5F49">
        <w:t>)</w:t>
      </w:r>
      <w:r w:rsidR="00F30AE3" w:rsidRPr="007C5F49">
        <w:tab/>
        <w:t xml:space="preserve">X.sg-dcs </w:t>
      </w:r>
    </w:p>
    <w:p w14:paraId="6395C9E3" w14:textId="61A0EB87" w:rsidR="00F30AE3" w:rsidRPr="007C5F49" w:rsidRDefault="008F4D9A" w:rsidP="008F4D9A">
      <w:pPr>
        <w:pStyle w:val="enumlev2"/>
      </w:pPr>
      <w:r w:rsidRPr="007C5F49">
        <w:t>5.5)</w:t>
      </w:r>
      <w:r w:rsidRPr="007C5F49">
        <w:tab/>
      </w:r>
      <w:r w:rsidR="00F30AE3" w:rsidRPr="007C5F49">
        <w:t>(</w:t>
      </w:r>
      <w:r w:rsidR="00E54ABE" w:rsidRPr="007C5F49">
        <w:t>R</w:t>
      </w:r>
      <w:r w:rsidR="00F30AE3" w:rsidRPr="007C5F49">
        <w:t xml:space="preserve">edeterminación de UIT-T X.1631| ISO/IEC 27017, de ser necesario) </w:t>
      </w:r>
    </w:p>
    <w:p w14:paraId="046EF883" w14:textId="1AA20CFC" w:rsidR="00F30AE3" w:rsidRPr="007C5F49" w:rsidRDefault="008F4D9A" w:rsidP="00F30AE3">
      <w:pPr>
        <w:pStyle w:val="enumlev1"/>
      </w:pPr>
      <w:r w:rsidRPr="007C5F49">
        <w:t>6</w:t>
      </w:r>
      <w:r w:rsidR="00F30AE3" w:rsidRPr="007C5F49">
        <w:t>)</w:t>
      </w:r>
      <w:r w:rsidR="00F30AE3" w:rsidRPr="007C5F49">
        <w:tab/>
        <w:t xml:space="preserve">Consentimiento de los proyectos de Recomendaciones UIT-T nuevas/revisadas </w:t>
      </w:r>
    </w:p>
    <w:p w14:paraId="30407469" w14:textId="336BB3F5" w:rsidR="00F30AE3" w:rsidRPr="007C5F49" w:rsidRDefault="008F4D9A" w:rsidP="008F4D9A">
      <w:pPr>
        <w:pStyle w:val="enumlev2"/>
      </w:pPr>
      <w:r w:rsidRPr="007C5F49">
        <w:t>6.1</w:t>
      </w:r>
      <w:r w:rsidR="00F30AE3" w:rsidRPr="007C5F49">
        <w:t>)</w:t>
      </w:r>
      <w:r w:rsidR="00F30AE3" w:rsidRPr="007C5F49">
        <w:tab/>
      </w:r>
      <w:proofErr w:type="gramStart"/>
      <w:r w:rsidR="00F30AE3" w:rsidRPr="007C5F49">
        <w:t>X.mbaas</w:t>
      </w:r>
      <w:proofErr w:type="gramEnd"/>
      <w:r w:rsidR="00F30AE3" w:rsidRPr="007C5F49">
        <w:t>-cs-sec</w:t>
      </w:r>
    </w:p>
    <w:p w14:paraId="33BEAA2D" w14:textId="456500BD" w:rsidR="00F30AE3" w:rsidRPr="007C5F49" w:rsidRDefault="008F4D9A" w:rsidP="008F4D9A">
      <w:pPr>
        <w:pStyle w:val="enumlev2"/>
      </w:pPr>
      <w:r w:rsidRPr="007C5F49">
        <w:t>6.</w:t>
      </w:r>
      <w:r w:rsidR="00F30AE3" w:rsidRPr="007C5F49">
        <w:t>2)</w:t>
      </w:r>
      <w:r w:rsidR="00F30AE3" w:rsidRPr="007C5F49">
        <w:tab/>
        <w:t>X.DLT-dgi</w:t>
      </w:r>
    </w:p>
    <w:p w14:paraId="34934582" w14:textId="06AC829A" w:rsidR="00F30AE3" w:rsidRPr="007C5F49" w:rsidRDefault="008F4D9A" w:rsidP="008F4D9A">
      <w:pPr>
        <w:pStyle w:val="enumlev2"/>
      </w:pPr>
      <w:r w:rsidRPr="007C5F49">
        <w:t>6.3</w:t>
      </w:r>
      <w:r w:rsidR="00F30AE3" w:rsidRPr="007C5F49">
        <w:t>)</w:t>
      </w:r>
      <w:r w:rsidR="00F30AE3" w:rsidRPr="007C5F49">
        <w:tab/>
        <w:t>X.dlt-share</w:t>
      </w:r>
    </w:p>
    <w:p w14:paraId="10DE58CE" w14:textId="0C4D55C1" w:rsidR="00F30AE3" w:rsidRPr="007C5F49" w:rsidRDefault="008F4D9A" w:rsidP="008F4D9A">
      <w:pPr>
        <w:pStyle w:val="enumlev2"/>
      </w:pPr>
      <w:r w:rsidRPr="007C5F49">
        <w:t>6.4</w:t>
      </w:r>
      <w:r w:rsidR="00F30AE3" w:rsidRPr="007C5F49">
        <w:t>)</w:t>
      </w:r>
      <w:r w:rsidR="00F30AE3" w:rsidRPr="007C5F49">
        <w:tab/>
        <w:t xml:space="preserve">X.1400Rev </w:t>
      </w:r>
    </w:p>
    <w:p w14:paraId="6ADAB6F5" w14:textId="13B0E962" w:rsidR="00F30AE3" w:rsidRPr="007C5F49" w:rsidRDefault="008F4D9A" w:rsidP="00F30AE3">
      <w:pPr>
        <w:pStyle w:val="enumlev1"/>
      </w:pPr>
      <w:r w:rsidRPr="007C5F49">
        <w:t>7</w:t>
      </w:r>
      <w:r w:rsidR="00F30AE3" w:rsidRPr="007C5F49">
        <w:t>)</w:t>
      </w:r>
      <w:r w:rsidR="00F30AE3" w:rsidRPr="007C5F49">
        <w:tab/>
        <w:t>Acuerdo de Informes Técnicos del UIT-T:</w:t>
      </w:r>
    </w:p>
    <w:p w14:paraId="02CD0694" w14:textId="044A0812" w:rsidR="00F30AE3" w:rsidRPr="007C5F49" w:rsidRDefault="008F4D9A" w:rsidP="008F4D9A">
      <w:pPr>
        <w:pStyle w:val="enumlev2"/>
      </w:pPr>
      <w:r w:rsidRPr="007C5F49">
        <w:t>7.</w:t>
      </w:r>
      <w:proofErr w:type="gramStart"/>
      <w:r w:rsidRPr="007C5F49">
        <w:t>1</w:t>
      </w:r>
      <w:r w:rsidR="00F30AE3" w:rsidRPr="007C5F49">
        <w:t>)</w:t>
      </w:r>
      <w:r w:rsidR="00F30AE3" w:rsidRPr="007C5F49">
        <w:tab/>
        <w:t>TR.AISec</w:t>
      </w:r>
      <w:proofErr w:type="gramEnd"/>
      <w:r w:rsidR="00F30AE3" w:rsidRPr="007C5F49">
        <w:t xml:space="preserve"> </w:t>
      </w:r>
    </w:p>
    <w:p w14:paraId="0E820E0C" w14:textId="3436DF21" w:rsidR="00F30AE3" w:rsidRPr="007C5F49" w:rsidRDefault="008F4D9A" w:rsidP="008F4D9A">
      <w:pPr>
        <w:pStyle w:val="enumlev2"/>
      </w:pPr>
      <w:r w:rsidRPr="007C5F49">
        <w:t>7.</w:t>
      </w:r>
      <w:proofErr w:type="gramStart"/>
      <w:r w:rsidR="00F30AE3" w:rsidRPr="007C5F49">
        <w:t>2)</w:t>
      </w:r>
      <w:r w:rsidR="00F30AE3" w:rsidRPr="007C5F49">
        <w:tab/>
        <w:t>TR.saAIoT</w:t>
      </w:r>
      <w:proofErr w:type="gramEnd"/>
      <w:r w:rsidR="00F30AE3" w:rsidRPr="007C5F49">
        <w:t xml:space="preserve"> </w:t>
      </w:r>
    </w:p>
    <w:p w14:paraId="2E619145" w14:textId="314E7C7D" w:rsidR="00F30AE3" w:rsidRPr="007C5F49" w:rsidRDefault="008F4D9A" w:rsidP="008F4D9A">
      <w:pPr>
        <w:pStyle w:val="enumlev2"/>
      </w:pPr>
      <w:r w:rsidRPr="007C5F49">
        <w:t>7.</w:t>
      </w:r>
      <w:proofErr w:type="gramStart"/>
      <w:r w:rsidRPr="007C5F49">
        <w:t>3</w:t>
      </w:r>
      <w:r w:rsidR="00F30AE3" w:rsidRPr="007C5F49">
        <w:t>)</w:t>
      </w:r>
      <w:r w:rsidR="00F30AE3" w:rsidRPr="007C5F49">
        <w:tab/>
        <w:t>TR.dpama</w:t>
      </w:r>
      <w:proofErr w:type="gramEnd"/>
    </w:p>
    <w:p w14:paraId="700EC34E" w14:textId="607C47B8" w:rsidR="00F30AE3" w:rsidRPr="007C5F49" w:rsidRDefault="008F4D9A" w:rsidP="00F30AE3">
      <w:pPr>
        <w:pStyle w:val="enumlev1"/>
      </w:pPr>
      <w:r w:rsidRPr="007C5F49">
        <w:t>8</w:t>
      </w:r>
      <w:r w:rsidR="00F30AE3" w:rsidRPr="007C5F49">
        <w:t>)</w:t>
      </w:r>
      <w:r w:rsidR="00F30AE3" w:rsidRPr="007C5F49">
        <w:tab/>
        <w:t>Consideración de propuestas de nuevos temas de trabajo</w:t>
      </w:r>
    </w:p>
    <w:p w14:paraId="01676CDE" w14:textId="74B1BCAC" w:rsidR="00F30AE3" w:rsidRPr="007C5F49" w:rsidRDefault="008F4D9A" w:rsidP="00F30AE3">
      <w:pPr>
        <w:pStyle w:val="enumlev1"/>
      </w:pPr>
      <w:r w:rsidRPr="007C5F49">
        <w:t>9</w:t>
      </w:r>
      <w:r w:rsidR="00F30AE3" w:rsidRPr="007C5F49">
        <w:t>)</w:t>
      </w:r>
      <w:r w:rsidR="00F30AE3" w:rsidRPr="007C5F49">
        <w:tab/>
        <w:t>Aprobación de declaraciones de coordinación salientes</w:t>
      </w:r>
    </w:p>
    <w:p w14:paraId="77C838EB" w14:textId="29224EBF" w:rsidR="00F30AE3" w:rsidRPr="007C5F49" w:rsidRDefault="008F4D9A" w:rsidP="00F30AE3">
      <w:pPr>
        <w:pStyle w:val="enumlev1"/>
      </w:pPr>
      <w:r w:rsidRPr="007C5F49">
        <w:t>10</w:t>
      </w:r>
      <w:r w:rsidR="00F30AE3" w:rsidRPr="007C5F49">
        <w:t>)</w:t>
      </w:r>
      <w:r w:rsidR="00F30AE3" w:rsidRPr="007C5F49">
        <w:tab/>
        <w:t xml:space="preserve">Acuerdo sobre las futuras reuniones y actividades del GT4/17 </w:t>
      </w:r>
    </w:p>
    <w:p w14:paraId="573C7905" w14:textId="5E849370" w:rsidR="00F30AE3" w:rsidRPr="007C5F49" w:rsidRDefault="008F4D9A" w:rsidP="00F30AE3">
      <w:pPr>
        <w:pStyle w:val="enumlev1"/>
      </w:pPr>
      <w:r w:rsidRPr="007C5F49">
        <w:t>11</w:t>
      </w:r>
      <w:r w:rsidR="00F30AE3" w:rsidRPr="007C5F49">
        <w:t>)</w:t>
      </w:r>
      <w:r w:rsidR="00F30AE3" w:rsidRPr="007C5F49">
        <w:tab/>
        <w:t>Otros asuntos</w:t>
      </w:r>
    </w:p>
    <w:p w14:paraId="45FB9E8A" w14:textId="1F192182" w:rsidR="00F30AE3" w:rsidRPr="007C5F49" w:rsidRDefault="008F4D9A" w:rsidP="00F30AE3">
      <w:pPr>
        <w:pStyle w:val="enumlev1"/>
      </w:pPr>
      <w:r w:rsidRPr="007C5F49">
        <w:t>1</w:t>
      </w:r>
      <w:r w:rsidR="00F30AE3" w:rsidRPr="007C5F49">
        <w:t>2)</w:t>
      </w:r>
      <w:r w:rsidR="00F30AE3" w:rsidRPr="007C5F49">
        <w:tab/>
        <w:t>Agradecimientos y clausura de la reunión</w:t>
      </w:r>
    </w:p>
    <w:p w14:paraId="0A51479B" w14:textId="1512A60A" w:rsidR="00F30AE3" w:rsidRPr="007C5F49" w:rsidRDefault="00F30AE3" w:rsidP="008F4D9A">
      <w:pPr>
        <w:pStyle w:val="Note"/>
        <w:rPr>
          <w:rFonts w:cstheme="minorHAnsi"/>
          <w:sz w:val="24"/>
          <w:szCs w:val="24"/>
        </w:rPr>
      </w:pPr>
      <w:r w:rsidRPr="007C5F49">
        <w:rPr>
          <w:rFonts w:cstheme="minorHAnsi"/>
          <w:szCs w:val="22"/>
        </w:rPr>
        <w:t xml:space="preserve">NOTA ‒ Toda actualización de este orden del día se publicará en el Documento </w:t>
      </w:r>
      <w:hyperlink r:id="rId27" w:history="1">
        <w:r w:rsidRPr="007C5F49">
          <w:rPr>
            <w:rStyle w:val="Hyperlink"/>
            <w:rFonts w:cstheme="minorHAnsi"/>
            <w:szCs w:val="22"/>
          </w:rPr>
          <w:t>SG17-TD98/4</w:t>
        </w:r>
      </w:hyperlink>
      <w:r w:rsidRPr="007C5F49">
        <w:rPr>
          <w:rFonts w:cstheme="minorHAnsi"/>
          <w:szCs w:val="22"/>
        </w:rPr>
        <w:t>.</w:t>
      </w:r>
    </w:p>
    <w:p w14:paraId="7CE38AD3" w14:textId="77777777" w:rsidR="002545AA" w:rsidRPr="007C5F49" w:rsidRDefault="002545AA" w:rsidP="002545AA">
      <w:pPr>
        <w:jc w:val="center"/>
      </w:pPr>
      <w:r w:rsidRPr="007C5F49">
        <w:t>______________</w:t>
      </w:r>
    </w:p>
    <w:p w14:paraId="4051B564" w14:textId="77777777" w:rsidR="00C34772" w:rsidRPr="007C5F49" w:rsidRDefault="00C34772" w:rsidP="002545AA">
      <w:pPr>
        <w:tabs>
          <w:tab w:val="clear" w:pos="794"/>
          <w:tab w:val="clear" w:pos="1191"/>
          <w:tab w:val="clear" w:pos="1588"/>
          <w:tab w:val="clear" w:pos="1985"/>
          <w:tab w:val="left" w:pos="4962"/>
        </w:tabs>
        <w:rPr>
          <w:sz w:val="4"/>
          <w:szCs w:val="4"/>
        </w:rPr>
      </w:pPr>
    </w:p>
    <w:sectPr w:rsidR="00C34772" w:rsidRPr="007C5F49" w:rsidSect="002545AA">
      <w:headerReference w:type="even" r:id="rId28"/>
      <w:headerReference w:type="default" r:id="rId29"/>
      <w:footerReference w:type="even" r:id="rId30"/>
      <w:footerReference w:type="default" r:id="rId31"/>
      <w:footerReference w:type="first" r:id="rId3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29FE" w14:textId="77777777" w:rsidR="00BE373C" w:rsidRDefault="00BE373C">
      <w:r>
        <w:separator/>
      </w:r>
    </w:p>
  </w:endnote>
  <w:endnote w:type="continuationSeparator" w:id="0">
    <w:p w14:paraId="29677407" w14:textId="77777777" w:rsidR="00BE373C" w:rsidRDefault="00BE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D652" w14:textId="155A566F" w:rsidR="00141CB4" w:rsidRPr="006B5061" w:rsidRDefault="00141CB4" w:rsidP="006B5061">
    <w:pPr>
      <w:pStyle w:val="Footer"/>
      <w:tabs>
        <w:tab w:val="center" w:pos="5387"/>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A6C5" w14:textId="3E37C4CF" w:rsidR="00141CB4" w:rsidRPr="006B5061" w:rsidRDefault="00141CB4" w:rsidP="006B5061">
    <w:pPr>
      <w:pStyle w:val="Footer"/>
      <w:tabs>
        <w:tab w:val="center" w:pos="5387"/>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5CF4" w14:textId="77777777" w:rsidR="00BE373C" w:rsidRDefault="00BE373C">
      <w:r>
        <w:t>____________________</w:t>
      </w:r>
    </w:p>
  </w:footnote>
  <w:footnote w:type="continuationSeparator" w:id="0">
    <w:p w14:paraId="602DCD8F" w14:textId="77777777" w:rsidR="00BE373C" w:rsidRDefault="00BE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22281329" w14:textId="32A7E53A"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F4D9A">
          <w:rPr>
            <w:bCs/>
            <w:sz w:val="18"/>
            <w:szCs w:val="18"/>
          </w:rPr>
          <w:t>2</w:t>
        </w:r>
        <w:r w:rsidRPr="001A50AB">
          <w:rPr>
            <w:bCs/>
            <w:sz w:val="18"/>
            <w:szCs w:val="18"/>
          </w:rPr>
          <w:t>/</w:t>
        </w:r>
        <w:r w:rsidR="008F4D9A">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6D40A4D0"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7C5F49">
          <w:rPr>
            <w:bCs/>
            <w:sz w:val="18"/>
            <w:szCs w:val="18"/>
          </w:rPr>
          <w:t>2</w:t>
        </w:r>
        <w:r w:rsidRPr="001A50AB">
          <w:rPr>
            <w:bCs/>
            <w:sz w:val="18"/>
            <w:szCs w:val="18"/>
          </w:rPr>
          <w:t>/</w:t>
        </w:r>
        <w:r w:rsidR="007C5F49">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2F139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44111890">
    <w:abstractNumId w:val="0"/>
  </w:num>
  <w:num w:numId="2" w16cid:durableId="2019042747">
    <w:abstractNumId w:val="7"/>
  </w:num>
  <w:num w:numId="3" w16cid:durableId="719399487">
    <w:abstractNumId w:val="6"/>
  </w:num>
  <w:num w:numId="4" w16cid:durableId="104009228">
    <w:abstractNumId w:val="3"/>
  </w:num>
  <w:num w:numId="5" w16cid:durableId="734862130">
    <w:abstractNumId w:val="4"/>
  </w:num>
  <w:num w:numId="6" w16cid:durableId="1144541770">
    <w:abstractNumId w:val="5"/>
  </w:num>
  <w:num w:numId="7" w16cid:durableId="438335943">
    <w:abstractNumId w:val="2"/>
  </w:num>
  <w:num w:numId="8" w16cid:durableId="3685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72B5"/>
    <w:rsid w:val="001671BC"/>
    <w:rsid w:val="001A2905"/>
    <w:rsid w:val="001A54CC"/>
    <w:rsid w:val="001C2FAD"/>
    <w:rsid w:val="001D1BA9"/>
    <w:rsid w:val="001E0AC9"/>
    <w:rsid w:val="001F0D48"/>
    <w:rsid w:val="002021BB"/>
    <w:rsid w:val="00212668"/>
    <w:rsid w:val="00221C83"/>
    <w:rsid w:val="002545AA"/>
    <w:rsid w:val="00257FB4"/>
    <w:rsid w:val="00271D3E"/>
    <w:rsid w:val="0027571F"/>
    <w:rsid w:val="002C135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02C25"/>
    <w:rsid w:val="00421116"/>
    <w:rsid w:val="00427EA6"/>
    <w:rsid w:val="00434968"/>
    <w:rsid w:val="00450C73"/>
    <w:rsid w:val="004C1AD1"/>
    <w:rsid w:val="004C4144"/>
    <w:rsid w:val="004E26E4"/>
    <w:rsid w:val="004F0A81"/>
    <w:rsid w:val="004F5584"/>
    <w:rsid w:val="00505119"/>
    <w:rsid w:val="005267F7"/>
    <w:rsid w:val="00535F99"/>
    <w:rsid w:val="00545669"/>
    <w:rsid w:val="00546E00"/>
    <w:rsid w:val="00555E45"/>
    <w:rsid w:val="00560EDA"/>
    <w:rsid w:val="00567B54"/>
    <w:rsid w:val="0057186B"/>
    <w:rsid w:val="005827E3"/>
    <w:rsid w:val="00586B1D"/>
    <w:rsid w:val="005961BF"/>
    <w:rsid w:val="005B4854"/>
    <w:rsid w:val="005B6711"/>
    <w:rsid w:val="005E67CA"/>
    <w:rsid w:val="00607393"/>
    <w:rsid w:val="0062060E"/>
    <w:rsid w:val="00622CE3"/>
    <w:rsid w:val="00635FA2"/>
    <w:rsid w:val="0064235A"/>
    <w:rsid w:val="00647213"/>
    <w:rsid w:val="00653A0E"/>
    <w:rsid w:val="00653B29"/>
    <w:rsid w:val="0067009C"/>
    <w:rsid w:val="006760CF"/>
    <w:rsid w:val="0068092C"/>
    <w:rsid w:val="006969B4"/>
    <w:rsid w:val="006A0C05"/>
    <w:rsid w:val="006A335A"/>
    <w:rsid w:val="006B5061"/>
    <w:rsid w:val="006E24F0"/>
    <w:rsid w:val="006E47D6"/>
    <w:rsid w:val="006F6581"/>
    <w:rsid w:val="007128A1"/>
    <w:rsid w:val="00715D93"/>
    <w:rsid w:val="00720BA2"/>
    <w:rsid w:val="00781E2A"/>
    <w:rsid w:val="007A6373"/>
    <w:rsid w:val="007B34FB"/>
    <w:rsid w:val="007C5F49"/>
    <w:rsid w:val="008134A7"/>
    <w:rsid w:val="00823E22"/>
    <w:rsid w:val="008258C2"/>
    <w:rsid w:val="00833CCA"/>
    <w:rsid w:val="00846D89"/>
    <w:rsid w:val="008505BD"/>
    <w:rsid w:val="00850C78"/>
    <w:rsid w:val="00855B98"/>
    <w:rsid w:val="008C17AD"/>
    <w:rsid w:val="008D02CD"/>
    <w:rsid w:val="008E3DFD"/>
    <w:rsid w:val="008F29BD"/>
    <w:rsid w:val="008F4D9A"/>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9210B"/>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BE373C"/>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E245E"/>
    <w:rsid w:val="00D027A3"/>
    <w:rsid w:val="00D119EC"/>
    <w:rsid w:val="00DA16FC"/>
    <w:rsid w:val="00DA7E46"/>
    <w:rsid w:val="00DD77C9"/>
    <w:rsid w:val="00DD7900"/>
    <w:rsid w:val="00DF4D66"/>
    <w:rsid w:val="00DF5926"/>
    <w:rsid w:val="00DF61F3"/>
    <w:rsid w:val="00E25441"/>
    <w:rsid w:val="00E5040E"/>
    <w:rsid w:val="00E54ABE"/>
    <w:rsid w:val="00E764E2"/>
    <w:rsid w:val="00E81A56"/>
    <w:rsid w:val="00E839B0"/>
    <w:rsid w:val="00E85734"/>
    <w:rsid w:val="00E904F6"/>
    <w:rsid w:val="00E92C09"/>
    <w:rsid w:val="00E95B36"/>
    <w:rsid w:val="00EA3374"/>
    <w:rsid w:val="00EB4E19"/>
    <w:rsid w:val="00EF4FA4"/>
    <w:rsid w:val="00F30AE3"/>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8E3DFD"/>
    <w:rPr>
      <w:color w:val="605E5C"/>
      <w:shd w:val="clear" w:color="auto" w:fill="E1DFDD"/>
    </w:rPr>
  </w:style>
  <w:style w:type="paragraph" w:customStyle="1" w:styleId="Annextitle0">
    <w:name w:val="Annex_title"/>
    <w:basedOn w:val="Normal"/>
    <w:next w:val="Normal"/>
    <w:rsid w:val="00F30AE3"/>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lists/rgm.aspx?Group=17" TargetMode="External"/><Relationship Id="rId18" Type="http://schemas.openxmlformats.org/officeDocument/2006/relationships/image" Target="media/image3.png"/><Relationship Id="rId26" Type="http://schemas.openxmlformats.org/officeDocument/2006/relationships/hyperlink" Target="https://remote.itu.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studygroups/2025-2028/17/Pages/default.aspx" TargetMode="External"/><Relationship Id="rId17" Type="http://schemas.openxmlformats.org/officeDocument/2006/relationships/image" Target="media/image2.png"/><Relationship Id="rId25" Type="http://schemas.openxmlformats.org/officeDocument/2006/relationships/hyperlink" Target="https://www.itu.int/en/ITU-T/studygroups/2025-2028/17/Pages/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net/ITU-T/ddp/Default.aspx?groupid=T25-SG17" TargetMode="External"/><Relationship Id="rId20" Type="http://schemas.openxmlformats.org/officeDocument/2006/relationships/hyperlink" Target="https://itu.int/net/ITU-T/dd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118/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ITU-T/studygroups/2025-2028/17/Pages/default.aspx" TargetMode="External"/><Relationship Id="rId23" Type="http://schemas.openxmlformats.org/officeDocument/2006/relationships/hyperlink" Target="https://www.itu.int/md/T17-TSB-CIR-0068/es" TargetMode="External"/><Relationship Id="rId28" Type="http://schemas.openxmlformats.org/officeDocument/2006/relationships/header" Target="header1.xml"/><Relationship Id="rId10" Type="http://schemas.openxmlformats.org/officeDocument/2006/relationships/hyperlink" Target="https://itu.int/go/tsg17" TargetMode="External"/><Relationship Id="rId19" Type="http://schemas.openxmlformats.org/officeDocument/2006/relationships/image" Target="cid:image001.png@01D2C590.81C3C8E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studygroups/2025-2028/17/Pages/default.aspx" TargetMode="External"/><Relationship Id="rId22" Type="http://schemas.openxmlformats.org/officeDocument/2006/relationships/hyperlink" Target="https://www.itu.int/TIES/" TargetMode="External"/><Relationship Id="rId27" Type="http://schemas.openxmlformats.org/officeDocument/2006/relationships/hyperlink" Target="https://www.itu.int/md/T25-SG17-250904-TD-WP4-0098/es" TargetMode="External"/><Relationship Id="rId30" Type="http://schemas.openxmlformats.org/officeDocument/2006/relationships/footer" Target="footer1.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81</TotalTime>
  <Pages>4</Pages>
  <Words>1422</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10325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9</cp:revision>
  <cp:lastPrinted>2025-07-15T13:38:00Z</cp:lastPrinted>
  <dcterms:created xsi:type="dcterms:W3CDTF">2025-06-18T15:41:00Z</dcterms:created>
  <dcterms:modified xsi:type="dcterms:W3CDTF">2025-07-15T13:39:00Z</dcterms:modified>
</cp:coreProperties>
</file>