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4DD2302" w14:textId="77777777" w:rsidTr="00D517B2">
        <w:trPr>
          <w:cantSplit/>
          <w:trHeight w:val="1134"/>
        </w:trPr>
        <w:tc>
          <w:tcPr>
            <w:tcW w:w="798" w:type="pct"/>
          </w:tcPr>
          <w:p w14:paraId="434F9A92" w14:textId="77777777" w:rsidR="00D517B2" w:rsidRPr="00D517B2" w:rsidRDefault="00D517B2" w:rsidP="00D517B2">
            <w:pPr>
              <w:spacing w:before="0" w:line="240" w:lineRule="auto"/>
              <w:rPr>
                <w:b/>
                <w:bCs/>
                <w:rtl/>
                <w:lang w:bidi="ar-EG"/>
              </w:rPr>
            </w:pPr>
            <w:r w:rsidRPr="00D517B2">
              <w:rPr>
                <w:noProof/>
              </w:rPr>
              <w:drawing>
                <wp:inline distT="0" distB="0" distL="0" distR="0" wp14:anchorId="6CB77C50" wp14:editId="5628ED6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FE9B784"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432330C"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8835027" w14:textId="77777777" w:rsidTr="00D517B2">
        <w:trPr>
          <w:cantSplit/>
          <w:trHeight w:val="340"/>
          <w:jc w:val="center"/>
        </w:trPr>
        <w:tc>
          <w:tcPr>
            <w:tcW w:w="796" w:type="pct"/>
          </w:tcPr>
          <w:p w14:paraId="2294E0CA" w14:textId="77777777" w:rsidR="00D517B2" w:rsidRPr="00D517B2" w:rsidRDefault="00D517B2" w:rsidP="00D517B2">
            <w:pPr>
              <w:spacing w:before="80" w:after="60" w:line="300" w:lineRule="exact"/>
              <w:jc w:val="left"/>
              <w:rPr>
                <w:position w:val="2"/>
              </w:rPr>
            </w:pPr>
          </w:p>
        </w:tc>
        <w:tc>
          <w:tcPr>
            <w:tcW w:w="1998" w:type="pct"/>
          </w:tcPr>
          <w:p w14:paraId="44806FC9" w14:textId="77777777" w:rsidR="00D517B2" w:rsidRPr="00D517B2" w:rsidRDefault="00D517B2" w:rsidP="00D517B2">
            <w:pPr>
              <w:spacing w:before="80" w:after="60" w:line="300" w:lineRule="exact"/>
              <w:jc w:val="left"/>
              <w:rPr>
                <w:position w:val="2"/>
              </w:rPr>
            </w:pPr>
          </w:p>
        </w:tc>
        <w:tc>
          <w:tcPr>
            <w:tcW w:w="2206" w:type="pct"/>
          </w:tcPr>
          <w:p w14:paraId="0E4D5A06" w14:textId="77777777" w:rsidR="00D517B2" w:rsidRPr="00FB1F89" w:rsidRDefault="00D517B2" w:rsidP="00D517B2">
            <w:pPr>
              <w:spacing w:before="80" w:after="60" w:line="300" w:lineRule="exact"/>
              <w:jc w:val="left"/>
              <w:rPr>
                <w:position w:val="2"/>
                <w:rtl/>
                <w:lang w:bidi="ar-EG"/>
              </w:rPr>
            </w:pPr>
          </w:p>
        </w:tc>
      </w:tr>
      <w:tr w:rsidR="00D517B2" w:rsidRPr="00D517B2" w14:paraId="3DAB04DD" w14:textId="77777777" w:rsidTr="00D517B2">
        <w:trPr>
          <w:cantSplit/>
          <w:trHeight w:val="148"/>
          <w:jc w:val="center"/>
        </w:trPr>
        <w:tc>
          <w:tcPr>
            <w:tcW w:w="796" w:type="pct"/>
          </w:tcPr>
          <w:p w14:paraId="70A6B5F1" w14:textId="77777777" w:rsidR="00D517B2" w:rsidRPr="00D517B2" w:rsidRDefault="00D517B2" w:rsidP="00D517B2">
            <w:pPr>
              <w:spacing w:before="80" w:after="60" w:line="300" w:lineRule="exact"/>
              <w:jc w:val="left"/>
              <w:rPr>
                <w:position w:val="2"/>
              </w:rPr>
            </w:pPr>
          </w:p>
        </w:tc>
        <w:tc>
          <w:tcPr>
            <w:tcW w:w="1998" w:type="pct"/>
          </w:tcPr>
          <w:p w14:paraId="469ECD38" w14:textId="77777777" w:rsidR="00D517B2" w:rsidRPr="00C77464" w:rsidRDefault="00D517B2" w:rsidP="00D517B2">
            <w:pPr>
              <w:spacing w:before="80" w:after="60" w:line="300" w:lineRule="exact"/>
              <w:jc w:val="left"/>
              <w:rPr>
                <w:position w:val="2"/>
              </w:rPr>
            </w:pPr>
          </w:p>
        </w:tc>
        <w:tc>
          <w:tcPr>
            <w:tcW w:w="2206" w:type="pct"/>
          </w:tcPr>
          <w:p w14:paraId="5533C21F" w14:textId="65B70D55" w:rsidR="00D517B2" w:rsidRPr="00C77464" w:rsidRDefault="00FB1F89" w:rsidP="00D517B2">
            <w:pPr>
              <w:spacing w:before="80" w:after="60" w:line="300" w:lineRule="exact"/>
              <w:jc w:val="left"/>
              <w:rPr>
                <w:position w:val="2"/>
                <w:rtl/>
                <w:lang w:bidi="ar-EG"/>
              </w:rPr>
            </w:pPr>
            <w:r w:rsidRPr="00C77464">
              <w:rPr>
                <w:rFonts w:hint="cs"/>
                <w:position w:val="2"/>
                <w:rtl/>
              </w:rPr>
              <w:t xml:space="preserve">جنيف، </w:t>
            </w:r>
            <w:r w:rsidR="00853A1E" w:rsidRPr="00C77464">
              <w:rPr>
                <w:position w:val="2"/>
              </w:rPr>
              <w:t>17</w:t>
            </w:r>
            <w:r w:rsidRPr="00C77464">
              <w:rPr>
                <w:rFonts w:hint="cs"/>
                <w:position w:val="2"/>
                <w:rtl/>
                <w:lang w:bidi="ar-EG"/>
              </w:rPr>
              <w:t xml:space="preserve"> </w:t>
            </w:r>
            <w:r w:rsidR="00853A1E" w:rsidRPr="00C77464">
              <w:rPr>
                <w:rFonts w:hint="cs"/>
                <w:position w:val="2"/>
                <w:rtl/>
                <w:lang w:bidi="ar-EG"/>
              </w:rPr>
              <w:t>جنيف</w:t>
            </w:r>
            <w:r w:rsidRPr="00C77464">
              <w:rPr>
                <w:rFonts w:hint="cs"/>
                <w:position w:val="2"/>
                <w:rtl/>
                <w:lang w:bidi="ar-EG"/>
              </w:rPr>
              <w:t xml:space="preserve"> </w:t>
            </w:r>
            <w:r w:rsidR="00332851" w:rsidRPr="00C77464">
              <w:rPr>
                <w:position w:val="2"/>
              </w:rPr>
              <w:t>2025</w:t>
            </w:r>
          </w:p>
        </w:tc>
      </w:tr>
      <w:tr w:rsidR="00D517B2" w:rsidRPr="00D517B2" w14:paraId="30632368" w14:textId="77777777" w:rsidTr="00D517B2">
        <w:trPr>
          <w:cantSplit/>
          <w:trHeight w:val="340"/>
          <w:jc w:val="center"/>
        </w:trPr>
        <w:tc>
          <w:tcPr>
            <w:tcW w:w="796" w:type="pct"/>
          </w:tcPr>
          <w:p w14:paraId="64E677D0" w14:textId="77777777" w:rsidR="00D517B2" w:rsidRPr="00842463" w:rsidRDefault="00D517B2" w:rsidP="00D517B2">
            <w:pPr>
              <w:spacing w:before="80" w:after="60" w:line="300" w:lineRule="exact"/>
              <w:jc w:val="left"/>
              <w:rPr>
                <w:position w:val="2"/>
              </w:rPr>
            </w:pPr>
            <w:r w:rsidRPr="008368F0">
              <w:rPr>
                <w:rFonts w:hint="cs"/>
                <w:b/>
                <w:bCs/>
                <w:position w:val="2"/>
                <w:rtl/>
              </w:rPr>
              <w:t>المرجع</w:t>
            </w:r>
            <w:r w:rsidRPr="00842463">
              <w:rPr>
                <w:rFonts w:hint="cs"/>
                <w:position w:val="2"/>
                <w:rtl/>
              </w:rPr>
              <w:t>:</w:t>
            </w:r>
          </w:p>
        </w:tc>
        <w:tc>
          <w:tcPr>
            <w:tcW w:w="1998" w:type="pct"/>
          </w:tcPr>
          <w:p w14:paraId="2A72A283" w14:textId="77777777" w:rsidR="00D517B2" w:rsidRDefault="00D517B2" w:rsidP="00D517B2">
            <w:pPr>
              <w:spacing w:before="80" w:after="60" w:line="300" w:lineRule="exact"/>
              <w:jc w:val="left"/>
              <w:rPr>
                <w:b/>
                <w:position w:val="2"/>
                <w:rtl/>
              </w:rPr>
            </w:pPr>
            <w:r w:rsidRPr="00D517B2">
              <w:rPr>
                <w:b/>
                <w:position w:val="2"/>
              </w:rPr>
              <w:t>TSB Collective </w:t>
            </w:r>
            <w:r w:rsidRPr="00332851">
              <w:rPr>
                <w:b/>
                <w:position w:val="2"/>
              </w:rPr>
              <w:t xml:space="preserve">letter </w:t>
            </w:r>
            <w:r w:rsidR="00853A1E">
              <w:rPr>
                <w:b/>
                <w:position w:val="2"/>
              </w:rPr>
              <w:t>2/17</w:t>
            </w:r>
          </w:p>
          <w:p w14:paraId="788F451E" w14:textId="31F0332F" w:rsidR="00853A1E" w:rsidRPr="00853A1E" w:rsidRDefault="00853A1E" w:rsidP="00853A1E">
            <w:pPr>
              <w:spacing w:before="80" w:after="60" w:line="300" w:lineRule="exact"/>
              <w:jc w:val="left"/>
              <w:rPr>
                <w:bCs/>
                <w:position w:val="2"/>
                <w:rtl/>
                <w:lang w:bidi="ar-EG"/>
              </w:rPr>
            </w:pPr>
            <w:r w:rsidRPr="00853A1E">
              <w:rPr>
                <w:bCs/>
                <w:position w:val="2"/>
                <w:lang w:val="fr-CH" w:bidi="ar-EG"/>
              </w:rPr>
              <w:t>SG17/XY</w:t>
            </w:r>
          </w:p>
        </w:tc>
        <w:tc>
          <w:tcPr>
            <w:tcW w:w="2206" w:type="pct"/>
            <w:vMerge w:val="restart"/>
          </w:tcPr>
          <w:p w14:paraId="2B5B98F2"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740737EE" w14:textId="77777777" w:rsid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45E3A75D" w14:textId="59B2E97C" w:rsidR="00853A1E" w:rsidRPr="00D517B2" w:rsidRDefault="00853A1E" w:rsidP="00853A1E">
            <w:pPr>
              <w:tabs>
                <w:tab w:val="clear" w:pos="794"/>
                <w:tab w:val="left" w:pos="284"/>
              </w:tabs>
              <w:spacing w:before="80" w:after="60" w:line="300" w:lineRule="exact"/>
              <w:ind w:left="284" w:hanging="284"/>
              <w:jc w:val="left"/>
              <w:rPr>
                <w:position w:val="2"/>
              </w:rPr>
            </w:pPr>
            <w:r>
              <w:rPr>
                <w:rFonts w:hint="cs"/>
                <w:position w:val="2"/>
                <w:rtl/>
              </w:rPr>
              <w:t>-</w:t>
            </w:r>
            <w:r>
              <w:rPr>
                <w:position w:val="2"/>
                <w:rtl/>
              </w:rPr>
              <w:tab/>
            </w:r>
            <w:r w:rsidRPr="00853A1E">
              <w:rPr>
                <w:position w:val="2"/>
                <w:rtl/>
              </w:rPr>
              <w:t>دولة فلسطين القرار 99 (المراجَع في دبي، 2018)</w:t>
            </w:r>
            <w:r w:rsidRPr="00D517B2">
              <w:rPr>
                <w:rFonts w:hint="cs"/>
                <w:position w:val="2"/>
                <w:rtl/>
              </w:rPr>
              <w:t>؛</w:t>
            </w:r>
          </w:p>
          <w:p w14:paraId="53F99242"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286CBDED" w14:textId="0CF5607A"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853A1E">
              <w:rPr>
                <w:position w:val="2"/>
              </w:rPr>
              <w:t>17</w:t>
            </w:r>
            <w:r w:rsidRPr="00D517B2">
              <w:rPr>
                <w:rFonts w:hint="cs"/>
                <w:position w:val="2"/>
                <w:rtl/>
              </w:rPr>
              <w:t>؛</w:t>
            </w:r>
          </w:p>
          <w:p w14:paraId="6EBEFFAB"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13472E" w:rsidRPr="00D517B2" w14:paraId="68FA978B" w14:textId="77777777" w:rsidTr="00D517B2">
        <w:trPr>
          <w:cantSplit/>
          <w:trHeight w:val="340"/>
          <w:jc w:val="center"/>
        </w:trPr>
        <w:tc>
          <w:tcPr>
            <w:tcW w:w="796" w:type="pct"/>
          </w:tcPr>
          <w:p w14:paraId="66520FFD" w14:textId="57ED564E" w:rsidR="0013472E" w:rsidRPr="00842463" w:rsidRDefault="0013472E" w:rsidP="0013472E">
            <w:pPr>
              <w:spacing w:before="80" w:after="60" w:line="300" w:lineRule="exact"/>
              <w:jc w:val="left"/>
              <w:rPr>
                <w:position w:val="2"/>
                <w:rtl/>
                <w:lang w:bidi="ar-EG"/>
              </w:rPr>
            </w:pPr>
            <w:r w:rsidRPr="00C77464">
              <w:rPr>
                <w:rFonts w:hint="cs"/>
                <w:position w:val="2"/>
                <w:rtl/>
                <w:lang w:bidi="ar-EG"/>
              </w:rPr>
              <w:t>ال</w:t>
            </w:r>
            <w:r w:rsidRPr="00C77464">
              <w:rPr>
                <w:rFonts w:hint="cs"/>
                <w:position w:val="2"/>
                <w:rtl/>
                <w:lang w:bidi="ar-SY"/>
              </w:rPr>
              <w:t>هاتف</w:t>
            </w:r>
            <w:r w:rsidRPr="00C77464">
              <w:rPr>
                <w:rFonts w:hint="cs"/>
                <w:position w:val="2"/>
                <w:rtl/>
              </w:rPr>
              <w:t>:</w:t>
            </w:r>
          </w:p>
        </w:tc>
        <w:tc>
          <w:tcPr>
            <w:tcW w:w="1998" w:type="pct"/>
          </w:tcPr>
          <w:p w14:paraId="753C5A7D" w14:textId="4714C0D5" w:rsidR="0013472E" w:rsidRPr="00D517B2" w:rsidRDefault="0013472E" w:rsidP="0013472E">
            <w:pPr>
              <w:spacing w:before="80" w:after="60" w:line="300" w:lineRule="exact"/>
              <w:jc w:val="left"/>
              <w:rPr>
                <w:position w:val="2"/>
              </w:rPr>
            </w:pPr>
            <w:r w:rsidRPr="00C77464">
              <w:rPr>
                <w:position w:val="2"/>
              </w:rPr>
              <w:t>+41 22 730 </w:t>
            </w:r>
            <w:r w:rsidRPr="00C77464">
              <w:rPr>
                <w:position w:val="2"/>
                <w:lang w:val="en-GB"/>
              </w:rPr>
              <w:t>6206</w:t>
            </w:r>
          </w:p>
        </w:tc>
        <w:tc>
          <w:tcPr>
            <w:tcW w:w="2206" w:type="pct"/>
            <w:vMerge/>
          </w:tcPr>
          <w:p w14:paraId="276857BC" w14:textId="77777777" w:rsidR="0013472E" w:rsidRPr="00D517B2" w:rsidRDefault="0013472E" w:rsidP="0013472E">
            <w:pPr>
              <w:spacing w:before="80" w:after="60" w:line="300" w:lineRule="exact"/>
              <w:jc w:val="left"/>
              <w:rPr>
                <w:position w:val="2"/>
                <w:rtl/>
              </w:rPr>
            </w:pPr>
          </w:p>
        </w:tc>
      </w:tr>
      <w:tr w:rsidR="0013472E" w:rsidRPr="00D517B2" w14:paraId="593E21E9" w14:textId="77777777" w:rsidTr="00D517B2">
        <w:trPr>
          <w:cantSplit/>
          <w:trHeight w:val="340"/>
          <w:jc w:val="center"/>
        </w:trPr>
        <w:tc>
          <w:tcPr>
            <w:tcW w:w="796" w:type="pct"/>
          </w:tcPr>
          <w:p w14:paraId="70949DF0" w14:textId="023684B3" w:rsidR="0013472E" w:rsidRPr="0013472E" w:rsidRDefault="0013472E" w:rsidP="0013472E">
            <w:pPr>
              <w:spacing w:before="80" w:after="60" w:line="300" w:lineRule="exact"/>
              <w:jc w:val="left"/>
              <w:rPr>
                <w:position w:val="2"/>
              </w:rPr>
            </w:pPr>
            <w:r w:rsidRPr="00842463">
              <w:rPr>
                <w:rFonts w:hint="cs"/>
                <w:position w:val="2"/>
                <w:rtl/>
              </w:rPr>
              <w:t>الفاكس:</w:t>
            </w:r>
          </w:p>
        </w:tc>
        <w:tc>
          <w:tcPr>
            <w:tcW w:w="1998" w:type="pct"/>
          </w:tcPr>
          <w:p w14:paraId="107BF65A" w14:textId="008D67ED" w:rsidR="0013472E" w:rsidRPr="00C77464" w:rsidRDefault="0013472E" w:rsidP="0013472E">
            <w:pPr>
              <w:spacing w:before="80" w:after="60" w:line="300" w:lineRule="exact"/>
              <w:jc w:val="left"/>
              <w:rPr>
                <w:b/>
                <w:position w:val="2"/>
              </w:rPr>
            </w:pPr>
            <w:r w:rsidRPr="00D517B2">
              <w:rPr>
                <w:position w:val="2"/>
              </w:rPr>
              <w:t>+41 22 730 5853</w:t>
            </w:r>
          </w:p>
        </w:tc>
        <w:tc>
          <w:tcPr>
            <w:tcW w:w="2206" w:type="pct"/>
            <w:vMerge/>
          </w:tcPr>
          <w:p w14:paraId="7EA69F67" w14:textId="77777777" w:rsidR="0013472E" w:rsidRPr="00D517B2" w:rsidRDefault="0013472E" w:rsidP="0013472E">
            <w:pPr>
              <w:spacing w:before="80" w:after="60" w:line="300" w:lineRule="exact"/>
              <w:jc w:val="left"/>
              <w:rPr>
                <w:position w:val="2"/>
                <w:rtl/>
              </w:rPr>
            </w:pPr>
          </w:p>
        </w:tc>
      </w:tr>
      <w:tr w:rsidR="0013472E" w:rsidRPr="00D517B2" w14:paraId="47BE0038" w14:textId="77777777" w:rsidTr="00D517B2">
        <w:trPr>
          <w:cantSplit/>
          <w:trHeight w:val="340"/>
          <w:jc w:val="center"/>
        </w:trPr>
        <w:tc>
          <w:tcPr>
            <w:tcW w:w="796" w:type="pct"/>
          </w:tcPr>
          <w:p w14:paraId="3FA7CC46" w14:textId="4BD8989C" w:rsidR="0013472E" w:rsidRPr="00842463" w:rsidRDefault="0013472E" w:rsidP="0013472E">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23547119" w14:textId="4F637B45" w:rsidR="0013472E" w:rsidRPr="00D517B2" w:rsidRDefault="0013472E" w:rsidP="0013472E">
            <w:pPr>
              <w:spacing w:before="80" w:after="60" w:line="300" w:lineRule="exact"/>
              <w:jc w:val="left"/>
              <w:rPr>
                <w:position w:val="2"/>
              </w:rPr>
            </w:pPr>
            <w:hyperlink r:id="rId9" w:history="1">
              <w:r>
                <w:rPr>
                  <w:rStyle w:val="Hyperlink"/>
                  <w:rFonts w:cstheme="minorHAnsi"/>
                </w:rPr>
                <w:t>tsbsg17@itu.int</w:t>
              </w:r>
            </w:hyperlink>
          </w:p>
        </w:tc>
        <w:tc>
          <w:tcPr>
            <w:tcW w:w="2206" w:type="pct"/>
            <w:vMerge/>
          </w:tcPr>
          <w:p w14:paraId="7983937C" w14:textId="77777777" w:rsidR="0013472E" w:rsidRPr="00D517B2" w:rsidRDefault="0013472E" w:rsidP="0013472E">
            <w:pPr>
              <w:spacing w:before="80" w:after="60" w:line="300" w:lineRule="exact"/>
              <w:jc w:val="left"/>
              <w:rPr>
                <w:position w:val="2"/>
                <w:rtl/>
              </w:rPr>
            </w:pPr>
          </w:p>
        </w:tc>
      </w:tr>
      <w:tr w:rsidR="0013472E" w:rsidRPr="00D517B2" w14:paraId="2A399582" w14:textId="77777777" w:rsidTr="00D517B2">
        <w:trPr>
          <w:cantSplit/>
          <w:jc w:val="center"/>
        </w:trPr>
        <w:tc>
          <w:tcPr>
            <w:tcW w:w="796" w:type="pct"/>
          </w:tcPr>
          <w:p w14:paraId="5F1B4E11" w14:textId="367CF4A9" w:rsidR="0013472E" w:rsidRPr="00842463" w:rsidRDefault="0013472E" w:rsidP="0013472E">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358EC754" w14:textId="72C2D521" w:rsidR="0013472E" w:rsidRPr="000E498D" w:rsidRDefault="0013472E" w:rsidP="0013472E">
            <w:pPr>
              <w:rPr>
                <w:position w:val="2"/>
              </w:rPr>
            </w:pPr>
            <w:hyperlink r:id="rId10" w:anchor="/ar" w:history="1">
              <w:r w:rsidRPr="00CB0429">
                <w:rPr>
                  <w:rStyle w:val="Hyperlink"/>
                  <w:rFonts w:cstheme="minorHAnsi"/>
                </w:rPr>
                <w:t>https://itu.int/go/tsg17</w:t>
              </w:r>
            </w:hyperlink>
          </w:p>
        </w:tc>
        <w:tc>
          <w:tcPr>
            <w:tcW w:w="2206" w:type="pct"/>
            <w:vMerge/>
          </w:tcPr>
          <w:p w14:paraId="4181C399" w14:textId="77777777" w:rsidR="0013472E" w:rsidRPr="00D517B2" w:rsidRDefault="0013472E" w:rsidP="0013472E">
            <w:pPr>
              <w:spacing w:before="80" w:after="60" w:line="300" w:lineRule="exact"/>
              <w:jc w:val="left"/>
              <w:rPr>
                <w:position w:val="2"/>
                <w:rtl/>
              </w:rPr>
            </w:pPr>
          </w:p>
        </w:tc>
      </w:tr>
      <w:tr w:rsidR="0013472E" w:rsidRPr="00D517B2" w14:paraId="7F1C3A37" w14:textId="77777777" w:rsidTr="00D517B2">
        <w:trPr>
          <w:cantSplit/>
          <w:jc w:val="center"/>
        </w:trPr>
        <w:tc>
          <w:tcPr>
            <w:tcW w:w="796" w:type="pct"/>
          </w:tcPr>
          <w:p w14:paraId="1376A8E8" w14:textId="77777777" w:rsidR="0013472E" w:rsidRPr="00B54F20" w:rsidRDefault="0013472E" w:rsidP="0013472E">
            <w:pPr>
              <w:spacing w:before="80" w:after="60" w:line="300" w:lineRule="exact"/>
              <w:jc w:val="left"/>
              <w:rPr>
                <w:b/>
                <w:bCs/>
                <w:position w:val="2"/>
                <w:rtl/>
                <w:lang w:bidi="ar-EG"/>
              </w:rPr>
            </w:pPr>
          </w:p>
        </w:tc>
        <w:tc>
          <w:tcPr>
            <w:tcW w:w="1998" w:type="pct"/>
          </w:tcPr>
          <w:p w14:paraId="4A3A8ED1" w14:textId="77777777" w:rsidR="0013472E" w:rsidRPr="00D517B2" w:rsidRDefault="0013472E" w:rsidP="0013472E">
            <w:pPr>
              <w:spacing w:before="80" w:after="60" w:line="300" w:lineRule="exact"/>
              <w:jc w:val="left"/>
              <w:rPr>
                <w:position w:val="2"/>
              </w:rPr>
            </w:pPr>
          </w:p>
        </w:tc>
        <w:tc>
          <w:tcPr>
            <w:tcW w:w="2206" w:type="pct"/>
          </w:tcPr>
          <w:p w14:paraId="4385CD27" w14:textId="77777777" w:rsidR="0013472E" w:rsidRPr="00D517B2" w:rsidRDefault="0013472E" w:rsidP="0013472E">
            <w:pPr>
              <w:spacing w:before="80" w:after="60" w:line="300" w:lineRule="exact"/>
              <w:jc w:val="left"/>
              <w:rPr>
                <w:position w:val="2"/>
                <w:rtl/>
              </w:rPr>
            </w:pPr>
          </w:p>
        </w:tc>
      </w:tr>
      <w:tr w:rsidR="0013472E" w:rsidRPr="00D517B2" w14:paraId="7B801BBE" w14:textId="77777777" w:rsidTr="00D517B2">
        <w:trPr>
          <w:cantSplit/>
          <w:jc w:val="center"/>
        </w:trPr>
        <w:tc>
          <w:tcPr>
            <w:tcW w:w="796" w:type="pct"/>
          </w:tcPr>
          <w:p w14:paraId="78F24324" w14:textId="77777777" w:rsidR="0013472E" w:rsidRPr="00B54F20" w:rsidRDefault="0013472E" w:rsidP="0013472E">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0106C354" w14:textId="4F4C8795" w:rsidR="0013472E" w:rsidRPr="00D517B2" w:rsidRDefault="0013472E" w:rsidP="0013472E">
            <w:pPr>
              <w:spacing w:before="80" w:after="60" w:line="300" w:lineRule="exact"/>
              <w:jc w:val="left"/>
              <w:rPr>
                <w:position w:val="2"/>
              </w:rPr>
            </w:pPr>
            <w:r w:rsidRPr="00D517B2">
              <w:rPr>
                <w:rFonts w:hint="cs"/>
                <w:b/>
                <w:bCs/>
                <w:position w:val="2"/>
                <w:rtl/>
              </w:rPr>
              <w:t xml:space="preserve">اجتماع </w:t>
            </w:r>
            <w:r>
              <w:rPr>
                <w:rFonts w:hint="cs"/>
                <w:b/>
                <w:bCs/>
                <w:position w:val="2"/>
                <w:rtl/>
              </w:rPr>
              <w:t>فرقة العمل</w:t>
            </w:r>
            <w:r w:rsidRPr="00D517B2">
              <w:rPr>
                <w:rFonts w:hint="cs"/>
                <w:b/>
                <w:bCs/>
                <w:position w:val="2"/>
                <w:rtl/>
              </w:rPr>
              <w:t xml:space="preserve"> </w:t>
            </w:r>
            <w:r>
              <w:rPr>
                <w:b/>
                <w:bCs/>
                <w:position w:val="2"/>
              </w:rPr>
              <w:t>4/17</w:t>
            </w:r>
            <w:r w:rsidRPr="00D517B2">
              <w:rPr>
                <w:rFonts w:hint="cs"/>
                <w:b/>
                <w:bCs/>
                <w:position w:val="2"/>
                <w:rtl/>
              </w:rPr>
              <w:t>؛</w:t>
            </w:r>
            <w:r>
              <w:rPr>
                <w:rFonts w:hint="cs"/>
                <w:b/>
                <w:bCs/>
                <w:position w:val="2"/>
                <w:rtl/>
              </w:rPr>
              <w:t xml:space="preserve"> اجتماع افتراضي</w:t>
            </w:r>
            <w:r w:rsidRPr="00D517B2">
              <w:rPr>
                <w:rFonts w:hint="cs"/>
                <w:b/>
                <w:bCs/>
                <w:position w:val="2"/>
                <w:rtl/>
              </w:rPr>
              <w:t xml:space="preserve">، </w:t>
            </w:r>
            <w:r>
              <w:rPr>
                <w:b/>
                <w:bCs/>
                <w:position w:val="2"/>
              </w:rPr>
              <w:t>5-4</w:t>
            </w:r>
            <w:r>
              <w:rPr>
                <w:rFonts w:hint="cs"/>
                <w:b/>
                <w:bCs/>
                <w:position w:val="2"/>
                <w:rtl/>
              </w:rPr>
              <w:t xml:space="preserve"> سبتمبر </w:t>
            </w:r>
            <w:r>
              <w:rPr>
                <w:b/>
                <w:bCs/>
                <w:position w:val="2"/>
              </w:rPr>
              <w:t>2025</w:t>
            </w:r>
          </w:p>
        </w:tc>
      </w:tr>
    </w:tbl>
    <w:p w14:paraId="7CB54AFF" w14:textId="77777777" w:rsidR="00D517B2" w:rsidRPr="00D517B2" w:rsidRDefault="00D517B2" w:rsidP="00FF096D">
      <w:pPr>
        <w:spacing w:before="600"/>
        <w:rPr>
          <w:rtl/>
          <w:lang w:bidi="ar-SY"/>
        </w:rPr>
      </w:pPr>
      <w:r w:rsidRPr="00D517B2">
        <w:rPr>
          <w:rFonts w:hint="cs"/>
          <w:rtl/>
          <w:lang w:bidi="ar-SY"/>
        </w:rPr>
        <w:t>حضرات السادة والسيدات،</w:t>
      </w:r>
    </w:p>
    <w:p w14:paraId="520B117F" w14:textId="77777777" w:rsidR="00D517B2" w:rsidRPr="00D517B2" w:rsidRDefault="00D517B2" w:rsidP="00D517B2">
      <w:pPr>
        <w:rPr>
          <w:rtl/>
          <w:lang w:bidi="ar-EG"/>
        </w:rPr>
      </w:pPr>
      <w:r w:rsidRPr="00D517B2">
        <w:rPr>
          <w:rFonts w:hint="cs"/>
          <w:rtl/>
        </w:rPr>
        <w:t>تحية طيبة وبعد،</w:t>
      </w:r>
    </w:p>
    <w:p w14:paraId="377168E1" w14:textId="36BD20F4" w:rsidR="00853A1E" w:rsidRPr="00853A1E" w:rsidRDefault="00853A1E" w:rsidP="00853A1E">
      <w:pPr>
        <w:rPr>
          <w:lang w:val="ar-SA" w:bidi="ar-SY"/>
        </w:rPr>
      </w:pPr>
      <w:r w:rsidRPr="00853A1E">
        <w:rPr>
          <w:rtl/>
        </w:rPr>
        <w:t>يسعدني أن أدعوكم إلى حضور الاجتماع المقبل لفرقة العمل 17/4 (</w:t>
      </w:r>
      <w:r w:rsidR="0013472E">
        <w:rPr>
          <w:rFonts w:hint="cs"/>
          <w:rtl/>
        </w:rPr>
        <w:t> </w:t>
      </w:r>
      <w:r w:rsidRPr="00853A1E">
        <w:rPr>
          <w:i/>
          <w:iCs/>
          <w:rtl/>
        </w:rPr>
        <w:t>أمن الذكاء الاصطناعي وخدمات الحوسبة السحابية وتطبيقاتها</w:t>
      </w:r>
      <w:r w:rsidRPr="00853A1E">
        <w:rPr>
          <w:rtl/>
        </w:rPr>
        <w:t>)، الذي سيعقد افتراضياً يومي 4 و5 سبتمبر 2025 من الساعة 13:00 إلى الساعة 17:00 بتوقيت جنيف.</w:t>
      </w:r>
    </w:p>
    <w:p w14:paraId="14D1595B" w14:textId="134D756F" w:rsidR="00853A1E" w:rsidRPr="00853A1E" w:rsidRDefault="00853A1E" w:rsidP="0013472E">
      <w:pPr>
        <w:rPr>
          <w:lang w:val="ar-SA" w:bidi="ar-SY"/>
        </w:rPr>
      </w:pPr>
      <w:r w:rsidRPr="00853A1E">
        <w:rPr>
          <w:rtl/>
        </w:rPr>
        <w:t>تتألف فرقة العمل 17/4 من المسألة 17/7 (خدمات التطبيقات المأمونة) والمسألة 17/8 (</w:t>
      </w:r>
      <w:r w:rsidR="0013472E" w:rsidRPr="0013472E">
        <w:rPr>
          <w:rFonts w:hint="cs"/>
          <w:rtl/>
        </w:rPr>
        <w:t>أمن البنية التحتية للحوسبة السحابية والبيانات الضخمة</w:t>
      </w:r>
      <w:r w:rsidRPr="00853A1E">
        <w:rPr>
          <w:rtl/>
        </w:rPr>
        <w:t>) والمسألة 17/14 (</w:t>
      </w:r>
      <w:r w:rsidR="0013472E" w:rsidRPr="0013472E">
        <w:rPr>
          <w:rFonts w:hint="cs"/>
          <w:rtl/>
        </w:rPr>
        <w:t xml:space="preserve">أمن تكنولوجيا سجل الحسابات الموزَّع </w:t>
      </w:r>
      <w:r w:rsidR="0013472E" w:rsidRPr="0013472E">
        <w:rPr>
          <w:rtl/>
        </w:rPr>
        <w:t>(</w:t>
      </w:r>
      <w:r w:rsidR="0013472E" w:rsidRPr="0013472E">
        <w:t>DLT</w:t>
      </w:r>
      <w:r w:rsidR="0013472E" w:rsidRPr="0013472E">
        <w:rPr>
          <w:rtl/>
        </w:rPr>
        <w:t>)</w:t>
      </w:r>
      <w:r w:rsidRPr="00853A1E">
        <w:rPr>
          <w:rtl/>
        </w:rPr>
        <w:t>).</w:t>
      </w:r>
    </w:p>
    <w:p w14:paraId="3E5DC04A" w14:textId="346F0E94" w:rsidR="00853A1E" w:rsidRPr="00853A1E" w:rsidRDefault="00853A1E" w:rsidP="00853A1E">
      <w:pPr>
        <w:rPr>
          <w:lang w:val="ar-SA" w:bidi="ar-SY"/>
        </w:rPr>
      </w:pPr>
      <w:r w:rsidRPr="00853A1E">
        <w:rPr>
          <w:rtl/>
        </w:rPr>
        <w:t xml:space="preserve">وسيُفتتح الاجتماع في الساعة 12:00 بتوقيت جنيف، باستعمال </w:t>
      </w:r>
      <w:r>
        <w:fldChar w:fldCharType="begin"/>
      </w:r>
      <w:r>
        <w:instrText>HYPERLINK "https://www.itu.int/myworkspace/" \l "/E-meetings?date=2025-06-20"</w:instrText>
      </w:r>
      <w:r>
        <w:fldChar w:fldCharType="separate"/>
      </w:r>
      <w:r w:rsidRPr="0013472E">
        <w:rPr>
          <w:rStyle w:val="Hyperlink"/>
          <w:rtl/>
        </w:rPr>
        <w:t xml:space="preserve">أداة </w:t>
      </w:r>
      <w:proofErr w:type="spellStart"/>
      <w:r w:rsidRPr="0013472E">
        <w:rPr>
          <w:rStyle w:val="Hyperlink"/>
          <w:lang w:bidi="ar-SY"/>
        </w:rPr>
        <w:t>MyMeetings</w:t>
      </w:r>
      <w:proofErr w:type="spellEnd"/>
      <w:r w:rsidRPr="0013472E">
        <w:rPr>
          <w:rStyle w:val="Hyperlink"/>
          <w:rtl/>
        </w:rPr>
        <w:t xml:space="preserve"> للمشاركة عن بُعد</w:t>
      </w:r>
      <w:r>
        <w:fldChar w:fldCharType="end"/>
      </w:r>
      <w:r w:rsidRPr="00853A1E">
        <w:rPr>
          <w:rtl/>
        </w:rPr>
        <w:t xml:space="preserve">. ويمكن الاطلاع على الوثائق وتفاصيل المشاركة عن بُعد والمعلومات الأخرى ذات الصلة في الصفحة </w:t>
      </w:r>
      <w:r w:rsidRPr="0013472E">
        <w:rPr>
          <w:rtl/>
        </w:rPr>
        <w:t xml:space="preserve">الرئيسية </w:t>
      </w:r>
      <w:hyperlink r:id="rId11" w:anchor="/ar" w:history="1">
        <w:r w:rsidRPr="0013472E">
          <w:rPr>
            <w:rStyle w:val="Hyperlink"/>
            <w:rtl/>
          </w:rPr>
          <w:t>للجنة الدراسات</w:t>
        </w:r>
      </w:hyperlink>
      <w:r w:rsidRPr="00853A1E">
        <w:rPr>
          <w:rtl/>
        </w:rPr>
        <w:t>.</w:t>
      </w:r>
    </w:p>
    <w:p w14:paraId="2DA6B49F" w14:textId="77777777" w:rsidR="00853A1E" w:rsidRPr="00853A1E" w:rsidRDefault="00853A1E" w:rsidP="00853A1E">
      <w:pPr>
        <w:rPr>
          <w:lang w:val="ar-SA" w:bidi="ar-SY"/>
        </w:rPr>
      </w:pPr>
      <w:r w:rsidRPr="00853A1E">
        <w:rPr>
          <w:rtl/>
        </w:rPr>
        <w:t>ولن تقدَّم أي منح لحضور هذا الاجتماع. وسيجري الاجتماع بأكمله باللغة الإنكليزية ولن تتوفر فيه الترجمة الشفوية.</w:t>
      </w:r>
    </w:p>
    <w:p w14:paraId="6F6BF427" w14:textId="77777777" w:rsidR="00853A1E" w:rsidRPr="00853A1E" w:rsidRDefault="00853A1E" w:rsidP="00853A1E">
      <w:pPr>
        <w:rPr>
          <w:lang w:val="ar-SA" w:bidi="ar-SY"/>
        </w:rPr>
      </w:pPr>
      <w:r w:rsidRPr="00853A1E">
        <w:rPr>
          <w:rtl/>
        </w:rPr>
        <w:t>تتمثل أهداف هذا الاجتماع الافتراضي لفرقة العمل 17/4 في النظر في بدء عملية الموافقة على مشاريع توصيات قطاع تقييس الاتصالات التالية والنظر في إضافة للاتفاق عليها، حسب الاقتضاء:</w:t>
      </w:r>
    </w:p>
    <w:p w14:paraId="1B826572" w14:textId="28F1C643" w:rsidR="00853A1E" w:rsidRPr="00853A1E" w:rsidRDefault="00853A1E" w:rsidP="00110DBD">
      <w:pPr>
        <w:pStyle w:val="enumlev1"/>
        <w:rPr>
          <w:lang w:val="ar-SA"/>
        </w:rPr>
      </w:pPr>
      <w:r w:rsidRPr="00853A1E">
        <w:t>–</w:t>
      </w:r>
      <w:r w:rsidRPr="00853A1E">
        <w:rPr>
          <w:rtl/>
        </w:rPr>
        <w:tab/>
        <w:t xml:space="preserve">تحديد </w:t>
      </w:r>
      <w:r w:rsidR="00762B26">
        <w:rPr>
          <w:rFonts w:hint="cs"/>
          <w:rtl/>
        </w:rPr>
        <w:t xml:space="preserve">(عملية الموافقة التقليدية) </w:t>
      </w:r>
      <w:r w:rsidRPr="00853A1E">
        <w:rPr>
          <w:rtl/>
        </w:rPr>
        <w:t>(</w:t>
      </w:r>
      <w:r w:rsidRPr="00853A1E">
        <w:t>TAP</w:t>
      </w:r>
      <w:r w:rsidRPr="00853A1E">
        <w:rPr>
          <w:rtl/>
        </w:rPr>
        <w:t>)</w:t>
      </w:r>
      <w:r w:rsidR="00762B26">
        <w:rPr>
          <w:rFonts w:hint="cs"/>
          <w:rtl/>
        </w:rPr>
        <w:t>)</w:t>
      </w:r>
    </w:p>
    <w:p w14:paraId="747A81D4" w14:textId="77777777" w:rsidR="00853A1E" w:rsidRPr="00853A1E" w:rsidRDefault="00853A1E" w:rsidP="0013472E">
      <w:pPr>
        <w:pStyle w:val="enumlev2"/>
        <w:rPr>
          <w:lang w:val="ar-SA" w:bidi="ar-SY"/>
        </w:rPr>
      </w:pPr>
      <w:r w:rsidRPr="00853A1E">
        <w:rPr>
          <w:lang w:bidi="ar-SY"/>
        </w:rPr>
        <w:t>–</w:t>
      </w:r>
      <w:r w:rsidRPr="00853A1E">
        <w:rPr>
          <w:rtl/>
        </w:rPr>
        <w:tab/>
      </w:r>
      <w:proofErr w:type="gramStart"/>
      <w:r w:rsidRPr="00853A1E">
        <w:rPr>
          <w:rtl/>
        </w:rPr>
        <w:t>X.soar</w:t>
      </w:r>
      <w:proofErr w:type="gramEnd"/>
      <w:r w:rsidRPr="00853A1E">
        <w:rPr>
          <w:rtl/>
        </w:rPr>
        <w:t>-cc، "إطار تنسيق الأمن والأتمتة والاستجابة للحوسبة السحابية"، المسألة 17/8</w:t>
      </w:r>
    </w:p>
    <w:p w14:paraId="1AD3A3CB" w14:textId="77777777" w:rsidR="00853A1E" w:rsidRPr="00853A1E" w:rsidRDefault="00853A1E" w:rsidP="0013472E">
      <w:pPr>
        <w:pStyle w:val="enumlev2"/>
        <w:rPr>
          <w:lang w:val="ar-SA" w:bidi="ar-SY"/>
        </w:rPr>
      </w:pPr>
      <w:r w:rsidRPr="00853A1E">
        <w:rPr>
          <w:lang w:bidi="ar-SY"/>
        </w:rPr>
        <w:t>–</w:t>
      </w:r>
      <w:r w:rsidRPr="00853A1E">
        <w:rPr>
          <w:rtl/>
        </w:rPr>
        <w:tab/>
        <w:t>X.asm-cc، "متطلبات إدارة سطح الهجوم من أجل الحوسبة السحابية"، المسألة 17/8</w:t>
      </w:r>
    </w:p>
    <w:p w14:paraId="443F6D4D" w14:textId="77777777" w:rsidR="00853A1E" w:rsidRPr="00853A1E" w:rsidRDefault="00853A1E" w:rsidP="0013472E">
      <w:pPr>
        <w:pStyle w:val="enumlev2"/>
        <w:rPr>
          <w:lang w:val="ar-SA" w:bidi="ar-SY"/>
        </w:rPr>
      </w:pPr>
      <w:r w:rsidRPr="00853A1E">
        <w:rPr>
          <w:lang w:bidi="ar-SY"/>
        </w:rPr>
        <w:t>–</w:t>
      </w:r>
      <w:r w:rsidRPr="00853A1E">
        <w:rPr>
          <w:rtl/>
        </w:rPr>
        <w:tab/>
        <w:t xml:space="preserve">(إعادة تحديد التوصية X.1631 المنقحة | المعيار ISO/IEC 27017 "أمن المعلومات والأمن السيبراني وحماية الخصوصية - ضوابط أمن المعلومات استناداً إلى المعيار </w:t>
      </w:r>
      <w:r w:rsidRPr="00853A1E">
        <w:rPr>
          <w:lang w:bidi="ar-SY"/>
        </w:rPr>
        <w:t>ISO/IEC 27002</w:t>
      </w:r>
      <w:r w:rsidRPr="00853A1E">
        <w:rPr>
          <w:rtl/>
        </w:rPr>
        <w:t xml:space="preserve"> للخدمات السحابية" إذا لزم </w:t>
      </w:r>
      <w:proofErr w:type="gramStart"/>
      <w:r w:rsidRPr="00853A1E">
        <w:rPr>
          <w:rtl/>
        </w:rPr>
        <w:t>الأمر)،</w:t>
      </w:r>
      <w:proofErr w:type="gramEnd"/>
      <w:r w:rsidRPr="00853A1E">
        <w:rPr>
          <w:rtl/>
        </w:rPr>
        <w:t xml:space="preserve"> المسألة 17/8</w:t>
      </w:r>
    </w:p>
    <w:p w14:paraId="5050F28C" w14:textId="77777777" w:rsidR="00853A1E" w:rsidRPr="00853A1E" w:rsidRDefault="00853A1E" w:rsidP="0013472E">
      <w:pPr>
        <w:pStyle w:val="enumlev2"/>
        <w:rPr>
          <w:lang w:val="ar-SA" w:bidi="ar-SY"/>
        </w:rPr>
      </w:pPr>
      <w:r w:rsidRPr="00853A1E">
        <w:rPr>
          <w:lang w:bidi="ar-SY"/>
        </w:rPr>
        <w:t>–</w:t>
      </w:r>
      <w:r w:rsidRPr="00853A1E">
        <w:rPr>
          <w:rtl/>
        </w:rPr>
        <w:tab/>
        <w:t>X.sr-dpts، "المتطلبات الأمنية لبيانات تكنولوجيا السجلات الموزعة على أنظمة تداول الطاقة الموزعة المعتمدة على تكنولوجيا السجلات الموزعة"، المسألة 17/14</w:t>
      </w:r>
    </w:p>
    <w:p w14:paraId="4C75BAF4" w14:textId="77777777" w:rsidR="00853A1E" w:rsidRPr="00853A1E" w:rsidRDefault="00853A1E" w:rsidP="0013472E">
      <w:pPr>
        <w:pStyle w:val="enumlev2"/>
        <w:rPr>
          <w:lang w:val="ar-SA" w:bidi="ar-SY"/>
        </w:rPr>
      </w:pPr>
      <w:r w:rsidRPr="00853A1E">
        <w:rPr>
          <w:lang w:bidi="ar-SY"/>
        </w:rPr>
        <w:t>–</w:t>
      </w:r>
      <w:r w:rsidRPr="00853A1E">
        <w:rPr>
          <w:rtl/>
        </w:rPr>
        <w:tab/>
        <w:t>X.sg-dcs، "المبادئ التوجيهية الأمنية لخدمات التجميع الرقمي القائمة على تكنولوجيا السجلات الموزعة"، المسألة 17/14</w:t>
      </w:r>
    </w:p>
    <w:p w14:paraId="5B91F12A" w14:textId="0786E4A6" w:rsidR="00853A1E" w:rsidRPr="00853A1E" w:rsidRDefault="00853A1E" w:rsidP="00762B26">
      <w:pPr>
        <w:pStyle w:val="enumlev1"/>
        <w:keepNext/>
        <w:rPr>
          <w:rtl/>
          <w:lang w:val="ar-SA" w:bidi="ar-EG"/>
        </w:rPr>
      </w:pPr>
      <w:r w:rsidRPr="00853A1E">
        <w:lastRenderedPageBreak/>
        <w:t>–</w:t>
      </w:r>
      <w:r w:rsidRPr="00853A1E">
        <w:rPr>
          <w:rtl/>
        </w:rPr>
        <w:tab/>
        <w:t xml:space="preserve">الموافقة </w:t>
      </w:r>
      <w:r w:rsidR="00762B26">
        <w:rPr>
          <w:rFonts w:hint="cs"/>
          <w:rtl/>
        </w:rPr>
        <w:t xml:space="preserve">(عملية الموافقة البديلة </w:t>
      </w:r>
      <w:r w:rsidRPr="00853A1E">
        <w:rPr>
          <w:rtl/>
        </w:rPr>
        <w:t>(</w:t>
      </w:r>
      <w:r w:rsidRPr="00853A1E">
        <w:t>AAP</w:t>
      </w:r>
      <w:r w:rsidRPr="00853A1E">
        <w:rPr>
          <w:rtl/>
        </w:rPr>
        <w:t>)</w:t>
      </w:r>
      <w:r w:rsidR="00762B26">
        <w:rPr>
          <w:rFonts w:hint="cs"/>
          <w:rtl/>
        </w:rPr>
        <w:t>)</w:t>
      </w:r>
    </w:p>
    <w:p w14:paraId="08DDBFE3" w14:textId="77777777" w:rsidR="00853A1E" w:rsidRPr="00853A1E" w:rsidRDefault="00853A1E" w:rsidP="00762B26">
      <w:pPr>
        <w:pStyle w:val="enumlev2"/>
        <w:rPr>
          <w:lang w:val="ar-SA" w:bidi="ar-SY"/>
        </w:rPr>
      </w:pPr>
      <w:r w:rsidRPr="00853A1E">
        <w:rPr>
          <w:lang w:bidi="ar-SY"/>
        </w:rPr>
        <w:t>–</w:t>
      </w:r>
      <w:r w:rsidRPr="00853A1E">
        <w:rPr>
          <w:rtl/>
        </w:rPr>
        <w:tab/>
      </w:r>
      <w:proofErr w:type="gramStart"/>
      <w:r w:rsidRPr="00853A1E">
        <w:rPr>
          <w:rtl/>
        </w:rPr>
        <w:t>X.mbaas</w:t>
      </w:r>
      <w:proofErr w:type="gramEnd"/>
      <w:r w:rsidRPr="00853A1E">
        <w:rPr>
          <w:rtl/>
        </w:rPr>
        <w:t>-cs-sec، "المتطلبات الأمنية وإطار خدمة التعاون لمنصات متعددة لسلسلة الكتل كخدمة"، المسألة 17/8</w:t>
      </w:r>
    </w:p>
    <w:p w14:paraId="3E1722F5" w14:textId="77777777" w:rsidR="00853A1E" w:rsidRPr="00853A1E" w:rsidRDefault="00853A1E" w:rsidP="00762B26">
      <w:pPr>
        <w:pStyle w:val="enumlev2"/>
        <w:rPr>
          <w:lang w:val="ar-SA" w:bidi="ar-SY"/>
        </w:rPr>
      </w:pPr>
      <w:r w:rsidRPr="00853A1E">
        <w:rPr>
          <w:lang w:bidi="ar-SY"/>
        </w:rPr>
        <w:t>–</w:t>
      </w:r>
      <w:r w:rsidRPr="00853A1E">
        <w:rPr>
          <w:rtl/>
        </w:rPr>
        <w:tab/>
        <w:t>X.DLT-dgi، "المتطلبات الأمنية لبوابة تكنولوجيا السجلات الموزعة من أجل قابلية التشغيل البيني"، المسألة 17/14</w:t>
      </w:r>
    </w:p>
    <w:p w14:paraId="18A4F363" w14:textId="77777777" w:rsidR="00853A1E" w:rsidRPr="00853A1E" w:rsidRDefault="00853A1E" w:rsidP="00762B26">
      <w:pPr>
        <w:pStyle w:val="enumlev2"/>
        <w:rPr>
          <w:lang w:val="ar-SA" w:bidi="ar-SY"/>
        </w:rPr>
      </w:pPr>
      <w:r w:rsidRPr="00853A1E">
        <w:rPr>
          <w:lang w:bidi="ar-SY"/>
        </w:rPr>
        <w:t>–</w:t>
      </w:r>
      <w:r w:rsidRPr="00853A1E">
        <w:rPr>
          <w:rtl/>
        </w:rPr>
        <w:tab/>
        <w:t>X.dlt-share، "المتطلبات الأمنية لبرمجيات تطبيقات البيانات القائمة على تكنولوجيا السجلات الموزعة لتحقيق الإحصاءات"، المسألة 17/14</w:t>
      </w:r>
    </w:p>
    <w:p w14:paraId="0B19E367" w14:textId="77777777" w:rsidR="00853A1E" w:rsidRPr="00853A1E" w:rsidRDefault="00853A1E" w:rsidP="00762B26">
      <w:pPr>
        <w:pStyle w:val="enumlev2"/>
        <w:rPr>
          <w:lang w:val="ar-SA" w:bidi="ar-SY"/>
        </w:rPr>
      </w:pPr>
      <w:r w:rsidRPr="00853A1E">
        <w:rPr>
          <w:lang w:bidi="ar-SY"/>
        </w:rPr>
        <w:t>–</w:t>
      </w:r>
      <w:r w:rsidRPr="00853A1E">
        <w:rPr>
          <w:rtl/>
        </w:rPr>
        <w:tab/>
        <w:t>X.1400Rev، "المصطلحات والتعاريف لتكنولوجيا سجل الحسابات الموزَّع"، المسألة 17/14</w:t>
      </w:r>
    </w:p>
    <w:p w14:paraId="7B359000" w14:textId="77777777" w:rsidR="00853A1E" w:rsidRPr="00853A1E" w:rsidRDefault="00853A1E" w:rsidP="00110DBD">
      <w:pPr>
        <w:pStyle w:val="enumlev1"/>
        <w:rPr>
          <w:lang w:val="ar-SA"/>
        </w:rPr>
      </w:pPr>
      <w:r w:rsidRPr="00853A1E">
        <w:t>–</w:t>
      </w:r>
      <w:r w:rsidRPr="00853A1E">
        <w:rPr>
          <w:rtl/>
        </w:rPr>
        <w:tab/>
        <w:t>الاتفاق:</w:t>
      </w:r>
    </w:p>
    <w:p w14:paraId="50E248EF" w14:textId="77777777" w:rsidR="00853A1E" w:rsidRPr="00853A1E" w:rsidRDefault="00853A1E" w:rsidP="00762B26">
      <w:pPr>
        <w:pStyle w:val="enumlev2"/>
        <w:rPr>
          <w:lang w:val="ar-SA" w:bidi="ar-SY"/>
        </w:rPr>
      </w:pPr>
      <w:r w:rsidRPr="00853A1E">
        <w:rPr>
          <w:lang w:bidi="ar-SY"/>
        </w:rPr>
        <w:t>–</w:t>
      </w:r>
      <w:r w:rsidRPr="00853A1E">
        <w:rPr>
          <w:rtl/>
        </w:rPr>
        <w:tab/>
        <w:t>TR.AISec، "تقرير تقني: استراتيجيات تقييس أمن الذكاء الاصطناعي"، المسألة 17/7</w:t>
      </w:r>
    </w:p>
    <w:p w14:paraId="1414D943" w14:textId="676E6B27" w:rsidR="00853A1E" w:rsidRPr="00853A1E" w:rsidRDefault="00853A1E" w:rsidP="00762B26">
      <w:pPr>
        <w:pStyle w:val="enumlev2"/>
        <w:rPr>
          <w:lang w:val="ar-SA" w:bidi="ar-SY"/>
        </w:rPr>
      </w:pPr>
      <w:r w:rsidRPr="00853A1E">
        <w:rPr>
          <w:lang w:bidi="ar-SY"/>
        </w:rPr>
        <w:t>–</w:t>
      </w:r>
      <w:r w:rsidRPr="00853A1E">
        <w:rPr>
          <w:rtl/>
        </w:rPr>
        <w:tab/>
        <w:t>TR.saAIoT، "تقرير تقني: تحليل التهديدات الأمنية للذكاء الاصطناعي للأشياء على الأجهزة"، المسألة</w:t>
      </w:r>
      <w:r w:rsidR="00110DBD">
        <w:rPr>
          <w:rFonts w:hint="cs"/>
          <w:rtl/>
        </w:rPr>
        <w:t> </w:t>
      </w:r>
      <w:r w:rsidRPr="00853A1E">
        <w:rPr>
          <w:rtl/>
        </w:rPr>
        <w:t>17/7</w:t>
      </w:r>
    </w:p>
    <w:p w14:paraId="7EDF8A0C" w14:textId="1977E833" w:rsidR="00853A1E" w:rsidRPr="00853A1E" w:rsidRDefault="00853A1E" w:rsidP="00762B26">
      <w:pPr>
        <w:pStyle w:val="enumlev2"/>
        <w:rPr>
          <w:lang w:val="ar-SA" w:bidi="ar-SY"/>
        </w:rPr>
      </w:pPr>
      <w:r w:rsidRPr="00853A1E">
        <w:rPr>
          <w:lang w:bidi="ar-SY"/>
        </w:rPr>
        <w:t>–</w:t>
      </w:r>
      <w:r w:rsidRPr="00853A1E">
        <w:rPr>
          <w:rtl/>
        </w:rPr>
        <w:tab/>
        <w:t>TR.dpama، "تقرير تقني عن تحليل المناظر الطبيعية لحماية بيانات الصور الرمزية في تطبيقات الميتافيرس"، المسألة 17/7</w:t>
      </w:r>
    </w:p>
    <w:p w14:paraId="60BFDCBA" w14:textId="04B0D6DE" w:rsidR="00853A1E" w:rsidRPr="00853A1E" w:rsidRDefault="00853A1E" w:rsidP="00853A1E">
      <w:pPr>
        <w:rPr>
          <w:lang w:val="ar-SA" w:bidi="ar-SY"/>
        </w:rPr>
      </w:pPr>
      <w:r w:rsidRPr="00853A1E">
        <w:rPr>
          <w:rtl/>
        </w:rPr>
        <w:t>ويشمل جدول أعمال فرقة العمل 17/4</w:t>
      </w:r>
      <w:r w:rsidR="009B475E">
        <w:rPr>
          <w:rFonts w:hint="cs"/>
          <w:rtl/>
        </w:rPr>
        <w:t xml:space="preserve"> </w:t>
      </w:r>
      <w:r w:rsidRPr="00853A1E">
        <w:rPr>
          <w:rtl/>
        </w:rPr>
        <w:t>أيضاً النظر في بنود العمل الجديدة وبيانات الاتصال الصادرة والخطط المستقبلية.</w:t>
      </w:r>
    </w:p>
    <w:p w14:paraId="3B83BAD7" w14:textId="35A6ED12" w:rsidR="00853A1E" w:rsidRPr="00853A1E" w:rsidRDefault="00853A1E" w:rsidP="00853A1E">
      <w:pPr>
        <w:rPr>
          <w:lang w:val="ar-SA" w:bidi="ar-SY"/>
        </w:rPr>
      </w:pPr>
      <w:r w:rsidRPr="00853A1E">
        <w:rPr>
          <w:rtl/>
        </w:rPr>
        <w:t>ويسبق اجتماع فرقة العمل 17/4 اجتماعات أفرقة المقر</w:t>
      </w:r>
      <w:r w:rsidR="009B475E">
        <w:rPr>
          <w:rFonts w:hint="cs"/>
          <w:rtl/>
        </w:rPr>
        <w:t>ِّ</w:t>
      </w:r>
      <w:r w:rsidRPr="00853A1E">
        <w:rPr>
          <w:rtl/>
        </w:rPr>
        <w:t>رين المعنية بالمسائل 17/7 و17/8 و17/14 في يوليو 2025 (للاطلاع على تفاصيل هذه الاجتماعات الإقليمية، انظر</w:t>
      </w:r>
      <w:r w:rsidRPr="00853A1E">
        <w:rPr>
          <w:lang w:bidi="ar-SY"/>
        </w:rPr>
        <w:t>:</w:t>
      </w:r>
      <w:r w:rsidRPr="00853A1E">
        <w:rPr>
          <w:rtl/>
        </w:rPr>
        <w:t xml:space="preserve"> </w:t>
      </w:r>
      <w:hyperlink r:id="rId12" w:history="1">
        <w:r w:rsidR="00110DBD" w:rsidRPr="009422AA">
          <w:rPr>
            <w:rStyle w:val="Hyperlink"/>
          </w:rPr>
          <w:t>https://www.itu.int/net/ITU-T/lists/rgm.aspx?Group=17</w:t>
        </w:r>
      </w:hyperlink>
      <w:r w:rsidRPr="00853A1E">
        <w:rPr>
          <w:rtl/>
        </w:rPr>
        <w:t>). ويشجع أعضاء قطاع تقييس الاتصالات على تقديم المدخلات ذات الصلة إلى هذه الاجتماعات لمناقشتها من أجل التحضير بشكل أفضل لاجتماع فرقة العمل 17/4 هذا.</w:t>
      </w:r>
    </w:p>
    <w:p w14:paraId="47A399D4" w14:textId="44DD9A3B" w:rsidR="00853A1E" w:rsidRPr="00853A1E" w:rsidRDefault="00853A1E" w:rsidP="00853A1E">
      <w:pPr>
        <w:rPr>
          <w:lang w:val="ar-SA" w:bidi="ar-SY"/>
        </w:rPr>
      </w:pPr>
      <w:r w:rsidRPr="00853A1E">
        <w:rPr>
          <w:rtl/>
        </w:rPr>
        <w:t xml:space="preserve">والتسجيل المسبق إلزامي ويجب أن يجري عبر الإنترنت من خلال </w:t>
      </w:r>
      <w:hyperlink r:id="rId13" w:anchor="/ar" w:history="1">
        <w:r w:rsidRPr="00853A1E">
          <w:rPr>
            <w:rStyle w:val="Hyperlink"/>
            <w:rtl/>
          </w:rPr>
          <w:t>الصفحة الرئيسية للجنة الدراسات</w:t>
        </w:r>
      </w:hyperlink>
      <w:r w:rsidRPr="00853A1E">
        <w:rPr>
          <w:rtl/>
        </w:rPr>
        <w:t xml:space="preserve"> </w:t>
      </w:r>
      <w:r w:rsidRPr="00853A1E">
        <w:rPr>
          <w:b/>
          <w:bCs/>
          <w:rtl/>
        </w:rPr>
        <w:t>قبل بداية الاجتماع بشهر واحد على الأقل</w:t>
      </w:r>
      <w:r w:rsidRPr="00853A1E">
        <w:rPr>
          <w:rtl/>
        </w:rPr>
        <w:t>. ولن تكون المشاركة ممكنة إلا بموافقة جهة الاتصال المعنية على التسجيل.</w:t>
      </w:r>
    </w:p>
    <w:p w14:paraId="6A513E0B" w14:textId="3110B577" w:rsidR="00853A1E" w:rsidRPr="00853A1E" w:rsidRDefault="00853A1E" w:rsidP="00853A1E">
      <w:pPr>
        <w:rPr>
          <w:lang w:val="ar-SA" w:bidi="ar-SY"/>
        </w:rPr>
      </w:pPr>
      <w:r w:rsidRPr="00853A1E">
        <w:rPr>
          <w:rtl/>
        </w:rPr>
        <w:t xml:space="preserve">وترد معلومات عملية عن الاجتماعات في </w:t>
      </w:r>
      <w:r w:rsidRPr="00853A1E">
        <w:rPr>
          <w:b/>
          <w:bCs/>
          <w:rtl/>
        </w:rPr>
        <w:t>الملحق A</w:t>
      </w:r>
      <w:r w:rsidRPr="00853A1E">
        <w:rPr>
          <w:rtl/>
        </w:rPr>
        <w:t xml:space="preserve">. ويرد في </w:t>
      </w:r>
      <w:r w:rsidRPr="00853A1E">
        <w:rPr>
          <w:b/>
          <w:bCs/>
          <w:rtl/>
        </w:rPr>
        <w:t xml:space="preserve">الملحق </w:t>
      </w:r>
      <w:r w:rsidRPr="00853A1E">
        <w:rPr>
          <w:b/>
          <w:bCs/>
          <w:lang w:bidi="ar-SY"/>
        </w:rPr>
        <w:t>B</w:t>
      </w:r>
      <w:r w:rsidRPr="00853A1E">
        <w:rPr>
          <w:rtl/>
        </w:rPr>
        <w:t xml:space="preserve"> مشروع جدول أعمال الاجتماعات الذي أُعد بالاتفاق مع السيدة </w:t>
      </w:r>
      <w:r w:rsidR="009B475E" w:rsidRPr="009B475E">
        <w:rPr>
          <w:rtl/>
        </w:rPr>
        <w:t xml:space="preserve">زييوان </w:t>
      </w:r>
      <w:r w:rsidRPr="009B475E">
        <w:rPr>
          <w:rtl/>
        </w:rPr>
        <w:t>هو</w:t>
      </w:r>
      <w:r w:rsidRPr="00853A1E">
        <w:rPr>
          <w:rtl/>
        </w:rPr>
        <w:t>، رئيسة فرقة العمل 17/4.</w:t>
      </w:r>
    </w:p>
    <w:p w14:paraId="49C618A4" w14:textId="77777777" w:rsidR="00853A1E" w:rsidRPr="00853A1E" w:rsidRDefault="00853A1E" w:rsidP="00110DBD">
      <w:pPr>
        <w:pStyle w:val="Headingb"/>
        <w:rPr>
          <w:lang w:val="ar-SA" w:bidi="ar-SY"/>
        </w:rPr>
      </w:pPr>
      <w:r w:rsidRPr="00853A1E">
        <w:rPr>
          <w:rtl/>
        </w:rPr>
        <w:t>أهم المواعيد النهائية:</w:t>
      </w:r>
    </w:p>
    <w:tbl>
      <w:tblPr>
        <w:bidiVisual/>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853A1E" w:rsidRPr="00853A1E" w14:paraId="0ECF2BAD" w14:textId="77777777" w:rsidTr="009B475E">
        <w:trPr>
          <w:jc w:val="center"/>
        </w:trPr>
        <w:tc>
          <w:tcPr>
            <w:tcW w:w="1980" w:type="dxa"/>
            <w:shd w:val="clear" w:color="auto" w:fill="auto"/>
          </w:tcPr>
          <w:p w14:paraId="4FAC33F4" w14:textId="77777777" w:rsidR="00853A1E" w:rsidRPr="00853A1E" w:rsidRDefault="00853A1E" w:rsidP="00853A1E">
            <w:pPr>
              <w:rPr>
                <w:lang w:val="ar-SA" w:bidi="ar-SY"/>
              </w:rPr>
            </w:pPr>
            <w:bookmarkStart w:id="0" w:name="_Hlk184045628"/>
            <w:r w:rsidRPr="00853A1E">
              <w:rPr>
                <w:rtl/>
              </w:rPr>
              <w:t>4 أغسطس 2025</w:t>
            </w:r>
          </w:p>
        </w:tc>
        <w:tc>
          <w:tcPr>
            <w:tcW w:w="7654" w:type="dxa"/>
            <w:shd w:val="clear" w:color="auto" w:fill="auto"/>
          </w:tcPr>
          <w:p w14:paraId="1C51F275" w14:textId="755AA019" w:rsidR="00853A1E" w:rsidRPr="00853A1E" w:rsidRDefault="00110DBD" w:rsidP="00110DBD">
            <w:pPr>
              <w:tabs>
                <w:tab w:val="clear" w:pos="794"/>
                <w:tab w:val="left" w:pos="317"/>
              </w:tabs>
              <w:rPr>
                <w:spacing w:val="-6"/>
                <w:lang w:val="ar-SA" w:bidi="ar-SY"/>
              </w:rPr>
            </w:pPr>
            <w:r w:rsidRPr="00110DBD">
              <w:rPr>
                <w:spacing w:val="-6"/>
              </w:rPr>
              <w:t>-</w:t>
            </w:r>
            <w:r w:rsidRPr="00110DBD">
              <w:rPr>
                <w:spacing w:val="-6"/>
              </w:rPr>
              <w:tab/>
            </w:r>
            <w:r w:rsidR="00853A1E" w:rsidRPr="00853A1E">
              <w:rPr>
                <w:spacing w:val="-6"/>
                <w:rtl/>
              </w:rPr>
              <w:t xml:space="preserve">التسجيل المسبق (من خلال استمارة التسجيل عبر الإنترنت في </w:t>
            </w:r>
            <w:hyperlink r:id="rId14" w:anchor="/ar" w:history="1">
              <w:r w:rsidR="00853A1E" w:rsidRPr="00853A1E">
                <w:rPr>
                  <w:rStyle w:val="Hyperlink"/>
                  <w:spacing w:val="-6"/>
                  <w:rtl/>
                </w:rPr>
                <w:t>الصفحة الرئيسية للجنة الدراسات</w:t>
              </w:r>
            </w:hyperlink>
            <w:r w:rsidR="00853A1E" w:rsidRPr="00853A1E">
              <w:rPr>
                <w:spacing w:val="-6"/>
                <w:rtl/>
              </w:rPr>
              <w:t>)</w:t>
            </w:r>
          </w:p>
        </w:tc>
      </w:tr>
      <w:tr w:rsidR="00853A1E" w:rsidRPr="00853A1E" w14:paraId="026DE0EB" w14:textId="77777777" w:rsidTr="009B475E">
        <w:trPr>
          <w:jc w:val="center"/>
        </w:trPr>
        <w:tc>
          <w:tcPr>
            <w:tcW w:w="1980" w:type="dxa"/>
            <w:shd w:val="clear" w:color="auto" w:fill="auto"/>
          </w:tcPr>
          <w:p w14:paraId="3CCB5607" w14:textId="77777777" w:rsidR="00853A1E" w:rsidRPr="00853A1E" w:rsidRDefault="00853A1E" w:rsidP="00853A1E">
            <w:pPr>
              <w:rPr>
                <w:lang w:val="ar-SA" w:bidi="ar-SY"/>
              </w:rPr>
            </w:pPr>
            <w:r w:rsidRPr="00853A1E">
              <w:rPr>
                <w:rtl/>
              </w:rPr>
              <w:t>22 أغسطس 2025</w:t>
            </w:r>
          </w:p>
        </w:tc>
        <w:tc>
          <w:tcPr>
            <w:tcW w:w="7654" w:type="dxa"/>
            <w:shd w:val="clear" w:color="auto" w:fill="auto"/>
          </w:tcPr>
          <w:p w14:paraId="5FB01DA3" w14:textId="76FECBE4" w:rsidR="00853A1E" w:rsidRPr="00853A1E" w:rsidRDefault="00110DBD" w:rsidP="00110DBD">
            <w:pPr>
              <w:tabs>
                <w:tab w:val="clear" w:pos="794"/>
                <w:tab w:val="left" w:pos="317"/>
              </w:tabs>
              <w:rPr>
                <w:lang w:val="ar-SA" w:bidi="ar-SY"/>
              </w:rPr>
            </w:pPr>
            <w:r w:rsidRPr="009B475E">
              <w:t>-</w:t>
            </w:r>
            <w:r w:rsidRPr="009B475E">
              <w:tab/>
            </w:r>
            <w:hyperlink r:id="rId15" w:history="1">
              <w:r w:rsidR="00853A1E" w:rsidRPr="00853A1E">
                <w:rPr>
                  <w:rStyle w:val="Hyperlink"/>
                  <w:rtl/>
                </w:rPr>
                <w:t>تقديم مساهمات أعضاء قطاع تقييس الاتصالات (من خلال نظام النشر المباشر للوثائق)</w:t>
              </w:r>
            </w:hyperlink>
            <w:r w:rsidR="00853A1E" w:rsidRPr="00853A1E">
              <w:rPr>
                <w:rtl/>
              </w:rPr>
              <w:t xml:space="preserve"> </w:t>
            </w:r>
          </w:p>
        </w:tc>
      </w:tr>
    </w:tbl>
    <w:bookmarkEnd w:id="0"/>
    <w:p w14:paraId="3A7BF558" w14:textId="77777777" w:rsidR="00D517B2" w:rsidRPr="00D517B2" w:rsidRDefault="00D517B2" w:rsidP="00D517B2">
      <w:pPr>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0C64FFC6" w14:textId="77777777" w:rsidTr="00DD1EBB">
        <w:trPr>
          <w:trHeight w:val="2516"/>
        </w:trPr>
        <w:tc>
          <w:tcPr>
            <w:tcW w:w="3014" w:type="pct"/>
          </w:tcPr>
          <w:p w14:paraId="407FF275" w14:textId="3FBA9C00" w:rsidR="00D517B2" w:rsidRPr="00D517B2" w:rsidRDefault="0061536B" w:rsidP="00DD1EBB">
            <w:pPr>
              <w:spacing w:before="240"/>
              <w:ind w:left="-57"/>
              <w:jc w:val="left"/>
              <w:rPr>
                <w:rtl/>
                <w:lang w:bidi="ar-EG"/>
              </w:rPr>
            </w:pPr>
            <w:r>
              <w:rPr>
                <w:rFonts w:hint="cs"/>
                <w:noProof/>
                <w:rtl/>
                <w:lang w:val="ar-EG" w:bidi="ar-EG"/>
              </w:rPr>
              <w:drawing>
                <wp:anchor distT="0" distB="0" distL="114300" distR="114300" simplePos="0" relativeHeight="251660288" behindDoc="1" locked="0" layoutInCell="1" allowOverlap="1" wp14:anchorId="564211C3" wp14:editId="4266CB55">
                  <wp:simplePos x="0" y="0"/>
                  <wp:positionH relativeFrom="column">
                    <wp:posOffset>2780665</wp:posOffset>
                  </wp:positionH>
                  <wp:positionV relativeFrom="paragraph">
                    <wp:posOffset>415925</wp:posOffset>
                  </wp:positionV>
                  <wp:extent cx="768389" cy="368319"/>
                  <wp:effectExtent l="0" t="0" r="0" b="0"/>
                  <wp:wrapNone/>
                  <wp:docPr id="688359505"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59505" name="Picture 1" descr="A black and white text&#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D517B2" w:rsidRPr="00D517B2">
              <w:rPr>
                <w:rFonts w:hint="cs"/>
                <w:rtl/>
                <w:lang w:bidi="ar-EG"/>
              </w:rPr>
              <w:t>وتفضلوا بقبول فائق التقدير والاحترام.</w:t>
            </w:r>
          </w:p>
          <w:p w14:paraId="1E646DF0" w14:textId="799762EA" w:rsidR="00D517B2" w:rsidRPr="00D517B2" w:rsidRDefault="00EE13B6" w:rsidP="008368F0">
            <w:pPr>
              <w:spacing w:before="720"/>
              <w:ind w:left="-58"/>
              <w:jc w:val="left"/>
              <w:rPr>
                <w:rtl/>
              </w:rPr>
            </w:pPr>
            <w:r w:rsidRPr="00EE13B6">
              <w:rPr>
                <w:rtl/>
              </w:rPr>
              <w:t>سيزو أونوي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0DDA57BF"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B27F78E" wp14:editId="70067BBF">
                      <wp:simplePos x="0" y="0"/>
                      <wp:positionH relativeFrom="column">
                        <wp:posOffset>428625</wp:posOffset>
                      </wp:positionH>
                      <wp:positionV relativeFrom="paragraph">
                        <wp:posOffset>147955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B0FD5" w14:textId="34D4477A" w:rsidR="00D517B2" w:rsidRDefault="00C77464" w:rsidP="009B475E">
                                    <w:pPr>
                                      <w:spacing w:before="240" w:after="480" w:line="240" w:lineRule="auto"/>
                                      <w:ind w:left="170"/>
                                      <w:jc w:val="center"/>
                                      <w:rPr>
                                        <w:rtl/>
                                        <w:lang w:bidi="ar-EG"/>
                                      </w:rPr>
                                    </w:pPr>
                                    <w:r w:rsidRPr="00A038E2">
                                      <w:rPr>
                                        <w:noProof/>
                                      </w:rPr>
                                      <w:drawing>
                                        <wp:inline distT="0" distB="0" distL="0" distR="0" wp14:anchorId="4EC6F1E1" wp14:editId="7066F9FE">
                                          <wp:extent cx="865502" cy="888890"/>
                                          <wp:effectExtent l="0" t="0" r="0" b="6985"/>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r="12065"/>
                                                  <a:stretch/>
                                                </pic:blipFill>
                                                <pic:spPr bwMode="auto">
                                                  <a:xfrm>
                                                    <a:off x="0" y="0"/>
                                                    <a:ext cx="894111" cy="918272"/>
                                                  </a:xfrm>
                                                  <a:prstGeom prst="rect">
                                                    <a:avLst/>
                                                  </a:prstGeom>
                                                  <a:noFill/>
                                                  <a:ln>
                                                    <a:noFill/>
                                                  </a:ln>
                                                  <a:extLst>
                                                    <a:ext uri="{53640926-AAD7-44D8-BBD7-CCE9431645EC}">
                                                      <a14:shadowObscured xmlns:a14="http://schemas.microsoft.com/office/drawing/2010/main"/>
                                                    </a:ext>
                                                  </a:extLst>
                                                </pic:spPr>
                                              </pic:pic>
                                            </a:graphicData>
                                          </a:graphic>
                                        </wp:inline>
                                      </w:drawing>
                                    </w:r>
                                  </w:p>
                                  <w:p w14:paraId="328B63C1" w14:textId="1BC94CF4" w:rsidR="00D517B2" w:rsidRPr="00D517B2" w:rsidRDefault="009B475E" w:rsidP="009B475E">
                                    <w:pPr>
                                      <w:spacing w:before="240"/>
                                      <w:jc w:val="center"/>
                                      <w:rPr>
                                        <w:sz w:val="20"/>
                                        <w:szCs w:val="20"/>
                                      </w:rPr>
                                    </w:pPr>
                                    <w:r>
                                      <w:rPr>
                                        <w:rFonts w:hint="cs"/>
                                        <w:sz w:val="20"/>
                                        <w:szCs w:val="20"/>
                                        <w:rtl/>
                                        <w:lang w:bidi="ar-EG"/>
                                      </w:rPr>
                                      <w:t>أ</w:t>
                                    </w:r>
                                    <w:r w:rsidR="00D517B2" w:rsidRPr="00D517B2">
                                      <w:rPr>
                                        <w:rFonts w:hint="cs"/>
                                        <w:sz w:val="20"/>
                                        <w:szCs w:val="20"/>
                                        <w:rtl/>
                                        <w:lang w:bidi="ar-EG"/>
                                      </w:rPr>
                                      <w:t>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324926" y="11079"/>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B5B52" w14:textId="72D2496E"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C77464">
                                      <w:rPr>
                                        <w:sz w:val="20"/>
                                        <w:szCs w:val="20"/>
                                      </w:rPr>
                                      <w:t>17</w:t>
                                    </w:r>
                                    <w:r w:rsidRPr="00D517B2">
                                      <w:rPr>
                                        <w:sz w:val="20"/>
                                        <w:szCs w:val="20"/>
                                        <w:rtl/>
                                      </w:rPr>
                                      <w:br/>
                                    </w:r>
                                    <w:r w:rsidR="009B475E">
                                      <w:rPr>
                                        <w:rFonts w:hint="cs"/>
                                        <w:sz w:val="20"/>
                                        <w:szCs w:val="20"/>
                                        <w:rtl/>
                                      </w:rPr>
                                      <w:t>ب</w:t>
                                    </w:r>
                                    <w:r w:rsidRPr="00D517B2">
                                      <w:rPr>
                                        <w:rFonts w:hint="cs"/>
                                        <w:sz w:val="20"/>
                                        <w:szCs w:val="20"/>
                                        <w:rtl/>
                                      </w:rPr>
                                      <w:t>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B27F78E" id="Group 9" o:spid="_x0000_s1026" style="position:absolute;left:0;text-align:left;margin-left:33.75pt;margin-top:11.6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9AB0FD5" w14:textId="34D4477A" w:rsidR="00D517B2" w:rsidRDefault="00C77464" w:rsidP="009B475E">
                              <w:pPr>
                                <w:spacing w:before="240" w:after="480" w:line="240" w:lineRule="auto"/>
                                <w:ind w:left="170"/>
                                <w:jc w:val="center"/>
                                <w:rPr>
                                  <w:rtl/>
                                  <w:lang w:bidi="ar-EG"/>
                                </w:rPr>
                              </w:pPr>
                              <w:r w:rsidRPr="00A038E2">
                                <w:rPr>
                                  <w:noProof/>
                                </w:rPr>
                                <w:drawing>
                                  <wp:inline distT="0" distB="0" distL="0" distR="0" wp14:anchorId="4EC6F1E1" wp14:editId="7066F9FE">
                                    <wp:extent cx="865502" cy="888890"/>
                                    <wp:effectExtent l="0" t="0" r="0" b="6985"/>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r="12065"/>
                                            <a:stretch/>
                                          </pic:blipFill>
                                          <pic:spPr bwMode="auto">
                                            <a:xfrm>
                                              <a:off x="0" y="0"/>
                                              <a:ext cx="894111" cy="918272"/>
                                            </a:xfrm>
                                            <a:prstGeom prst="rect">
                                              <a:avLst/>
                                            </a:prstGeom>
                                            <a:noFill/>
                                            <a:ln>
                                              <a:noFill/>
                                            </a:ln>
                                            <a:extLst>
                                              <a:ext uri="{53640926-AAD7-44D8-BBD7-CCE9431645EC}">
                                                <a14:shadowObscured xmlns:a14="http://schemas.microsoft.com/office/drawing/2010/main"/>
                                              </a:ext>
                                            </a:extLst>
                                          </pic:spPr>
                                        </pic:pic>
                                      </a:graphicData>
                                    </a:graphic>
                                  </wp:inline>
                                </w:drawing>
                              </w:r>
                            </w:p>
                            <w:p w14:paraId="328B63C1" w14:textId="1BC94CF4" w:rsidR="00D517B2" w:rsidRPr="00D517B2" w:rsidRDefault="009B475E" w:rsidP="009B475E">
                              <w:pPr>
                                <w:spacing w:before="240"/>
                                <w:jc w:val="center"/>
                                <w:rPr>
                                  <w:sz w:val="20"/>
                                  <w:szCs w:val="20"/>
                                </w:rPr>
                              </w:pPr>
                              <w:r>
                                <w:rPr>
                                  <w:rFonts w:hint="cs"/>
                                  <w:sz w:val="20"/>
                                  <w:szCs w:val="20"/>
                                  <w:rtl/>
                                  <w:lang w:bidi="ar-EG"/>
                                </w:rPr>
                                <w:t>أ</w:t>
                              </w:r>
                              <w:r w:rsidR="00D517B2" w:rsidRPr="00D517B2">
                                <w:rPr>
                                  <w:rFonts w:hint="cs"/>
                                  <w:sz w:val="20"/>
                                  <w:szCs w:val="20"/>
                                  <w:rtl/>
                                  <w:lang w:bidi="ar-EG"/>
                                </w:rPr>
                                <w:t>حدث المعلومات عن الاجتماع</w:t>
                              </w:r>
                            </w:p>
                          </w:txbxContent>
                        </v:textbox>
                      </v:shape>
                      <v:shape id="Text Box 8" o:spid="_x0000_s1028" type="#_x0000_t202" style="position:absolute;left:13249;top:110;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1D3B5B52" w14:textId="72D2496E"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C77464">
                                <w:rPr>
                                  <w:sz w:val="20"/>
                                  <w:szCs w:val="20"/>
                                </w:rPr>
                                <w:t>17</w:t>
                              </w:r>
                              <w:r w:rsidRPr="00D517B2">
                                <w:rPr>
                                  <w:sz w:val="20"/>
                                  <w:szCs w:val="20"/>
                                  <w:rtl/>
                                </w:rPr>
                                <w:br/>
                              </w:r>
                              <w:r w:rsidR="009B475E">
                                <w:rPr>
                                  <w:rFonts w:hint="cs"/>
                                  <w:sz w:val="20"/>
                                  <w:szCs w:val="20"/>
                                  <w:rtl/>
                                </w:rPr>
                                <w:t>ب</w:t>
                              </w:r>
                              <w:r w:rsidRPr="00D517B2">
                                <w:rPr>
                                  <w:rFonts w:hint="cs"/>
                                  <w:sz w:val="20"/>
                                  <w:szCs w:val="20"/>
                                  <w:rtl/>
                                </w:rPr>
                                <w:t>قطاع تقييس الاتصالات</w:t>
                              </w:r>
                            </w:p>
                          </w:txbxContent>
                        </v:textbox>
                      </v:shape>
                      <w10:wrap type="through"/>
                    </v:group>
                  </w:pict>
                </mc:Fallback>
              </mc:AlternateContent>
            </w:r>
          </w:p>
        </w:tc>
      </w:tr>
    </w:tbl>
    <w:p w14:paraId="19B50A0D" w14:textId="255BDE07" w:rsidR="00596808" w:rsidRDefault="00C77464" w:rsidP="009B475E">
      <w:pPr>
        <w:spacing w:before="360"/>
        <w:rPr>
          <w:rtl/>
          <w:lang w:bidi="ar-EG"/>
        </w:rPr>
      </w:pPr>
      <w:r w:rsidRPr="00C77464">
        <w:rPr>
          <w:rFonts w:hint="cs"/>
          <w:b/>
          <w:bCs/>
          <w:rtl/>
        </w:rPr>
        <w:t>الملحقات</w:t>
      </w:r>
      <w:r>
        <w:rPr>
          <w:rFonts w:hint="cs"/>
          <w:rtl/>
        </w:rPr>
        <w:t>: 2</w:t>
      </w:r>
      <w:r w:rsidR="00596808">
        <w:rPr>
          <w:rtl/>
          <w:lang w:bidi="ar-EG"/>
        </w:rPr>
        <w:br w:type="page"/>
      </w:r>
    </w:p>
    <w:p w14:paraId="264B4E44" w14:textId="0336667E" w:rsidR="00853A1E" w:rsidRPr="003D69B8" w:rsidRDefault="00853A1E" w:rsidP="009B475E">
      <w:pPr>
        <w:pStyle w:val="Annextitle"/>
        <w:rPr>
          <w:szCs w:val="20"/>
          <w:lang w:val="ar-SA" w:eastAsia="zh-TW" w:bidi="en-GB"/>
        </w:rPr>
      </w:pPr>
      <w:r>
        <w:rPr>
          <w:rtl/>
        </w:rPr>
        <w:lastRenderedPageBreak/>
        <w:t xml:space="preserve">الملحـق </w:t>
      </w:r>
      <w:r w:rsidRPr="009B475E">
        <w:t>A</w:t>
      </w:r>
      <w:r w:rsidR="00C77464">
        <w:rPr>
          <w:rFonts w:cs="Times New Roman"/>
          <w:sz w:val="20"/>
          <w:szCs w:val="20"/>
          <w:rtl/>
        </w:rPr>
        <w:br/>
      </w:r>
      <w:r>
        <w:rPr>
          <w:rtl/>
        </w:rPr>
        <w:t>معلومات عملية عن الاجتماعات</w:t>
      </w:r>
    </w:p>
    <w:p w14:paraId="32064798" w14:textId="77777777" w:rsidR="00853A1E" w:rsidRPr="003D69B8" w:rsidRDefault="00853A1E" w:rsidP="00853A1E">
      <w:pPr>
        <w:tabs>
          <w:tab w:val="left" w:pos="1418"/>
          <w:tab w:val="left" w:pos="1702"/>
          <w:tab w:val="left" w:pos="2160"/>
        </w:tabs>
        <w:spacing w:before="80"/>
        <w:ind w:right="91"/>
        <w:jc w:val="center"/>
        <w:textDirection w:val="tbRlV"/>
        <w:rPr>
          <w:b/>
          <w:bCs/>
          <w:szCs w:val="20"/>
          <w:lang w:val="ar-SA" w:eastAsia="zh-TW" w:bidi="en-GB"/>
        </w:rPr>
      </w:pPr>
      <w:r>
        <w:rPr>
          <w:b/>
          <w:bCs/>
          <w:rtl/>
        </w:rPr>
        <w:t>أساليب العمل والمرافق المتاحة</w:t>
      </w:r>
    </w:p>
    <w:p w14:paraId="35F5513C" w14:textId="48016EF4" w:rsidR="00853A1E" w:rsidRDefault="00853A1E" w:rsidP="00853A1E">
      <w:pPr>
        <w:textDirection w:val="tbRlV"/>
        <w:rPr>
          <w:rFonts w:eastAsia="SimSun"/>
          <w:szCs w:val="20"/>
          <w:lang w:val="ar-SA" w:eastAsia="zh-TW" w:bidi="en-GB"/>
        </w:rPr>
      </w:pPr>
      <w:r w:rsidRPr="00C77464">
        <w:rPr>
          <w:b/>
          <w:bCs/>
          <w:rtl/>
        </w:rPr>
        <w:t>تقديم الوثائق والنفاذ إليها</w:t>
      </w:r>
      <w:r>
        <w:rPr>
          <w:rtl/>
        </w:rPr>
        <w:t xml:space="preserve">: سيجري الاجتماع بدون استخدام الورق. وينبغي تقديم مساهمات الأعضاء باستخدام نظام </w:t>
      </w:r>
      <w:hyperlink r:id="rId19" w:history="1">
        <w:r w:rsidRPr="00C77464">
          <w:rPr>
            <w:rStyle w:val="Hyperlink"/>
            <w:rtl/>
          </w:rPr>
          <w:t>النشر المباشر</w:t>
        </w:r>
      </w:hyperlink>
      <w:r>
        <w:rPr>
          <w:rtl/>
        </w:rPr>
        <w:t xml:space="preserve"> للوثائق؛ وينبغي تقديم مشاريع الوثائق المؤقتة بالبريد الإلكتروني إلى أمانة لجنة الدراسات باستخدام </w:t>
      </w:r>
      <w:hyperlink r:id="rId20" w:history="1">
        <w:r w:rsidRPr="00C77464">
          <w:rPr>
            <w:rStyle w:val="Hyperlink"/>
            <w:rtl/>
          </w:rPr>
          <w:t>النموذج المناسب</w:t>
        </w:r>
      </w:hyperlink>
      <w:r>
        <w:rPr>
          <w:rtl/>
        </w:rPr>
        <w:t xml:space="preserve">. ويتاح النفاذ إلى وثائق الاجتماع من الصفحة الرئيسية للجنة الدراسات ويقتصر على أعضاء قطاع تقييس الاتصالات الذين لديهم </w:t>
      </w:r>
      <w:hyperlink r:id="rId21" w:anchor="/ar" w:history="1">
        <w:r w:rsidRPr="00C77464">
          <w:rPr>
            <w:rStyle w:val="Hyperlink"/>
            <w:rtl/>
          </w:rPr>
          <w:t>حساب مستعمل لدى الاتحاد</w:t>
        </w:r>
      </w:hyperlink>
      <w:r>
        <w:rPr>
          <w:rtl/>
        </w:rPr>
        <w:t xml:space="preserve"> مع إمكانية النفاذ إلى خدمة تبادل معلومات الاتصالات </w:t>
      </w:r>
      <w:r w:rsidR="00C77464">
        <w:t>(</w:t>
      </w:r>
      <w:r>
        <w:rPr>
          <w:rFonts w:cs="Times New Roman"/>
          <w:sz w:val="20"/>
          <w:szCs w:val="20"/>
        </w:rPr>
        <w:t>TIES</w:t>
      </w:r>
      <w:r w:rsidR="00C77464">
        <w:rPr>
          <w:rFonts w:cs="Times New Roman"/>
          <w:sz w:val="20"/>
          <w:szCs w:val="20"/>
        </w:rPr>
        <w:t>)</w:t>
      </w:r>
      <w:r>
        <w:rPr>
          <w:rtl/>
        </w:rPr>
        <w:t>.</w:t>
      </w:r>
    </w:p>
    <w:p w14:paraId="1F3A3B6C" w14:textId="77777777" w:rsidR="00853A1E" w:rsidRPr="003D69B8" w:rsidRDefault="00853A1E" w:rsidP="00853A1E">
      <w:pPr>
        <w:textDirection w:val="tbRlV"/>
        <w:rPr>
          <w:rFonts w:eastAsia="SimSun"/>
          <w:b/>
          <w:bCs/>
          <w:szCs w:val="20"/>
          <w:lang w:val="ar-SA" w:eastAsia="zh-TW" w:bidi="en-GB"/>
        </w:rPr>
      </w:pPr>
      <w:r>
        <w:rPr>
          <w:bCs/>
          <w:rtl/>
        </w:rPr>
        <w:t xml:space="preserve">لغة العمل: </w:t>
      </w:r>
      <w:r w:rsidRPr="00C77464">
        <w:rPr>
          <w:b/>
          <w:rtl/>
        </w:rPr>
        <w:t>سيجري هذا الاجتماع باللغة الإنكليزية حصراً ولن تتاح فيه الترجمة الشفوية.</w:t>
      </w:r>
    </w:p>
    <w:p w14:paraId="180662CC" w14:textId="7A0A54A3" w:rsidR="00853A1E" w:rsidRDefault="00853A1E" w:rsidP="00853A1E">
      <w:pPr>
        <w:textDirection w:val="tbRlV"/>
        <w:rPr>
          <w:rFonts w:cstheme="minorHAnsi"/>
          <w:szCs w:val="20"/>
          <w:lang w:val="ar-SA" w:eastAsia="zh-TW" w:bidi="en-GB"/>
        </w:rPr>
      </w:pPr>
      <w:bookmarkStart w:id="1" w:name="_Hlk184045647"/>
      <w:r w:rsidRPr="00C77464">
        <w:rPr>
          <w:b/>
          <w:bCs/>
          <w:rtl/>
        </w:rPr>
        <w:t>المشاركة عن بُعد</w:t>
      </w:r>
      <w:r>
        <w:rPr>
          <w:rtl/>
        </w:rPr>
        <w:t>: تتاح المشاركة عن بُعد على أساس بذل أفضل الجهود. وستتاح المشاركة التفاعلية عن بُعد في الجلستين العامتين الافتتاحية والختامية. ووفقاً للأحكام السارية حاليا</w:t>
      </w:r>
      <w:r w:rsidR="00C77464">
        <w:rPr>
          <w:rFonts w:hint="cs"/>
          <w:rtl/>
        </w:rPr>
        <w:t>ً</w:t>
      </w:r>
      <w:r>
        <w:rPr>
          <w:rtl/>
        </w:rPr>
        <w:t>، سيتخذ القرارات المندوبون الحاضرون شخصياً في قاعة الاجتماع.</w:t>
      </w:r>
      <w:bookmarkEnd w:id="1"/>
    </w:p>
    <w:p w14:paraId="4808E74D" w14:textId="77777777" w:rsidR="00853A1E" w:rsidRPr="003D69B8" w:rsidRDefault="00853A1E" w:rsidP="00853A1E">
      <w:pPr>
        <w:textDirection w:val="tbRlV"/>
        <w:rPr>
          <w:szCs w:val="20"/>
          <w:lang w:val="ar-SA" w:eastAsia="zh-TW" w:bidi="en-GB"/>
        </w:rPr>
      </w:pPr>
      <w:r>
        <w:rPr>
          <w:rtl/>
        </w:rPr>
        <w:t>وستُتاح المشاركة التفاعلية عن بُعد في جميع الجلسات الأخرى. ومن أجل النفاذ إلى الجلسات عن بُعد، يجب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 بسبب عدم سماعهم، حسبما يراه الرئيس. وإذا اعتُبرت جودة صوت المشارك عن بُعد غير كافية، يجوز للرئيس إيقاف المشارك عن بُعد ويمكن أن يمتنع عن إعطائه الكلمة حتى يتبين أن المشكلة قد حُلت. ويُحبَّذ استعمال أداة الدردشة في الاجتماع لتيسير كفاءة إدارة الوقت خلال الجلسات، حسبما يراه الرئيس.</w:t>
      </w:r>
    </w:p>
    <w:p w14:paraId="189E61D9" w14:textId="4F494BEC" w:rsidR="00853A1E" w:rsidRPr="003D69B8" w:rsidRDefault="00853A1E" w:rsidP="009B475E">
      <w:pPr>
        <w:tabs>
          <w:tab w:val="clear" w:pos="794"/>
        </w:tabs>
        <w:spacing w:before="360"/>
        <w:ind w:right="91"/>
        <w:jc w:val="center"/>
        <w:textDirection w:val="tbRlV"/>
        <w:rPr>
          <w:b/>
          <w:bCs/>
          <w:szCs w:val="20"/>
          <w:lang w:val="ar-SA" w:eastAsia="zh-TW" w:bidi="en-GB"/>
        </w:rPr>
      </w:pPr>
      <w:r>
        <w:rPr>
          <w:b/>
          <w:bCs/>
          <w:rtl/>
        </w:rPr>
        <w:t xml:space="preserve">التسجيل المسبق والمندوبون الجدد </w:t>
      </w:r>
      <w:r w:rsidR="009009B2">
        <w:rPr>
          <w:rFonts w:hint="cs"/>
          <w:b/>
          <w:bCs/>
          <w:rtl/>
        </w:rPr>
        <w:t>والمنح</w:t>
      </w:r>
      <w:r>
        <w:rPr>
          <w:b/>
          <w:bCs/>
          <w:rtl/>
        </w:rPr>
        <w:t xml:space="preserve"> ودعم الحصول على التأشيرة</w:t>
      </w:r>
    </w:p>
    <w:p w14:paraId="0F1C7264" w14:textId="7D76CF2E" w:rsidR="00853A1E" w:rsidRDefault="00C77464" w:rsidP="00853A1E">
      <w:pPr>
        <w:textDirection w:val="tbRlV"/>
        <w:rPr>
          <w:szCs w:val="20"/>
          <w:lang w:val="ar-SA" w:eastAsia="zh-TW" w:bidi="en-GB"/>
        </w:rPr>
      </w:pPr>
      <w:r w:rsidRPr="00C77464">
        <w:rPr>
          <w:b/>
          <w:bCs/>
          <w:rtl/>
        </w:rPr>
        <w:t>التسجيل المسبق</w:t>
      </w:r>
      <w:r>
        <w:rPr>
          <w:rFonts w:hint="cs"/>
          <w:b/>
          <w:bCs/>
          <w:rtl/>
        </w:rPr>
        <w:t xml:space="preserve">: </w:t>
      </w:r>
      <w:r w:rsidR="00853A1E" w:rsidRPr="00C77464">
        <w:rPr>
          <w:rtl/>
        </w:rPr>
        <w:t xml:space="preserve">التسجيل المسبق </w:t>
      </w:r>
      <w:r w:rsidR="00853A1E">
        <w:rPr>
          <w:rtl/>
        </w:rPr>
        <w:t xml:space="preserve">إلزامي ويجب أن يجري عبر الإنترنت من خلال الصفحة الرئيسية للجنة الدراسات </w:t>
      </w:r>
      <w:r w:rsidR="00853A1E" w:rsidRPr="00C77464">
        <w:rPr>
          <w:b/>
          <w:bCs/>
          <w:rtl/>
        </w:rPr>
        <w:t>قبل بداية الاجتماع بشهر واحد على الأقل</w:t>
      </w:r>
      <w:r w:rsidR="00853A1E">
        <w:rPr>
          <w:rtl/>
        </w:rPr>
        <w:t xml:space="preserve">. وكما هو مبين في </w:t>
      </w:r>
      <w:hyperlink r:id="rId22" w:history="1">
        <w:r w:rsidR="00853A1E" w:rsidRPr="009B475E">
          <w:rPr>
            <w:rStyle w:val="Hyperlink"/>
            <w:rtl/>
          </w:rPr>
          <w:t xml:space="preserve">الرسالة المعمّمة </w:t>
        </w:r>
        <w:r w:rsidRPr="009B475E">
          <w:rPr>
            <w:rStyle w:val="Hyperlink"/>
            <w:rFonts w:hint="cs"/>
            <w:rtl/>
          </w:rPr>
          <w:t>68</w:t>
        </w:r>
        <w:r w:rsidR="00853A1E" w:rsidRPr="009B475E">
          <w:rPr>
            <w:rStyle w:val="Hyperlink"/>
            <w:rtl/>
          </w:rPr>
          <w:t xml:space="preserve"> الصادرة عن مكتب تقييس الاتصالات</w:t>
        </w:r>
      </w:hyperlink>
      <w:r w:rsidR="00853A1E">
        <w:rPr>
          <w:rtl/>
        </w:rPr>
        <w:t xml:space="preserve">، يتطلب نظام التسجيل الخاص بقطاع تقييس الاتصالات موافقة مسؤول الاتصال على طلبات التسجيل؛ وتوضح </w:t>
      </w:r>
      <w:hyperlink r:id="rId23" w:history="1">
        <w:r w:rsidR="00853A1E" w:rsidRPr="009B475E">
          <w:rPr>
            <w:rStyle w:val="Hyperlink"/>
            <w:rtl/>
          </w:rPr>
          <w:t>الرسالة المعممة 118 الصادرة عن مكتب تقييس الاتصالات</w:t>
        </w:r>
      </w:hyperlink>
      <w:r w:rsidR="00853A1E">
        <w:rPr>
          <w:rtl/>
        </w:rPr>
        <w:t xml:space="preserve"> كيفية إعداد الموافقة التلقائية على هذه الطلبات. وتنطبق بعض الخيارات المتاحة في</w:t>
      </w:r>
      <w:r>
        <w:rPr>
          <w:rFonts w:hint="cs"/>
          <w:rtl/>
        </w:rPr>
        <w:t> </w:t>
      </w:r>
      <w:r w:rsidR="00853A1E">
        <w:rPr>
          <w:rtl/>
        </w:rPr>
        <w:t>استمارة التسجيل على الدول الأعضاء حصراً، بما في ذلك الوظيفة وطلبات الترجمة الشفوية وطلبات الحصول على المِنح. ويُدعى الأعضاء إلى إشراك النساء في وفودهم كلما أمكن.</w:t>
      </w:r>
    </w:p>
    <w:p w14:paraId="515D0E6A" w14:textId="6DDE17B2" w:rsidR="00853A1E" w:rsidRPr="00C77464" w:rsidRDefault="00853A1E" w:rsidP="00853A1E">
      <w:pPr>
        <w:textDirection w:val="tbRlV"/>
        <w:rPr>
          <w:b/>
          <w:szCs w:val="20"/>
          <w:lang w:val="ar-SA" w:eastAsia="zh-TW" w:bidi="en-GB"/>
        </w:rPr>
      </w:pPr>
      <w:r w:rsidRPr="00C77464">
        <w:rPr>
          <w:b/>
          <w:rtl/>
        </w:rPr>
        <w:t xml:space="preserve">التسجيل المسبق (من خلال استمارة التسجيل عبر الإنترنت في </w:t>
      </w:r>
      <w:r>
        <w:fldChar w:fldCharType="begin"/>
      </w:r>
      <w:r>
        <w:instrText>HYPERLINK "https://www.itu.int/en/ITU-T/studygroups/2025-2028/17/Pages/default.aspx" \l "/ar"</w:instrText>
      </w:r>
      <w:r>
        <w:fldChar w:fldCharType="separate"/>
      </w:r>
      <w:r w:rsidRPr="00C77464">
        <w:rPr>
          <w:rStyle w:val="Hyperlink"/>
          <w:b/>
          <w:rtl/>
        </w:rPr>
        <w:t>الصفحة الرئيسية للجنة الدراسات</w:t>
      </w:r>
      <w:r>
        <w:fldChar w:fldCharType="end"/>
      </w:r>
      <w:r w:rsidRPr="00C77464">
        <w:rPr>
          <w:b/>
          <w:rtl/>
        </w:rPr>
        <w:t xml:space="preserve">) وبدون التسجيل، لن يتمكن المندوبون من النفاذ إلى </w:t>
      </w:r>
      <w:r>
        <w:fldChar w:fldCharType="begin"/>
      </w:r>
      <w:r>
        <w:instrText>HYPERLINK "https://www.itu.int/myworkspace/" \l "/E-meetings?date=2025-06-20"</w:instrText>
      </w:r>
      <w:r>
        <w:fldChar w:fldCharType="separate"/>
      </w:r>
      <w:r w:rsidRPr="00E63E80">
        <w:rPr>
          <w:rStyle w:val="Hyperlink"/>
          <w:b/>
          <w:rtl/>
        </w:rPr>
        <w:t xml:space="preserve">أداة المشاركة عن بُعد </w:t>
      </w:r>
      <w:proofErr w:type="spellStart"/>
      <w:r w:rsidRPr="009B475E">
        <w:rPr>
          <w:rStyle w:val="Hyperlink"/>
          <w:rFonts w:cs="Times New Roman"/>
          <w:bCs/>
          <w:sz w:val="20"/>
          <w:szCs w:val="20"/>
        </w:rPr>
        <w:t>MyMeetings</w:t>
      </w:r>
      <w:proofErr w:type="spellEnd"/>
      <w:r>
        <w:fldChar w:fldCharType="end"/>
      </w:r>
      <w:r w:rsidRPr="00C77464">
        <w:rPr>
          <w:b/>
          <w:rtl/>
        </w:rPr>
        <w:t>.</w:t>
      </w:r>
    </w:p>
    <w:p w14:paraId="79FED929" w14:textId="3F91A05C" w:rsidR="00853A1E" w:rsidRPr="00D20CB1" w:rsidRDefault="00853A1E" w:rsidP="00853A1E">
      <w:pPr>
        <w:textDirection w:val="tbRlV"/>
        <w:rPr>
          <w:szCs w:val="20"/>
          <w:lang w:val="ar-SA" w:eastAsia="zh-TW" w:bidi="en-GB"/>
        </w:rPr>
      </w:pPr>
      <w:r w:rsidRPr="00E63E80">
        <w:rPr>
          <w:b/>
          <w:bCs/>
          <w:rtl/>
        </w:rPr>
        <w:t>المندوبون الجدد والمِنح ورسالة دعم الحصول على التأشيرة</w:t>
      </w:r>
      <w:r>
        <w:rPr>
          <w:rtl/>
        </w:rPr>
        <w:t>: بالنظر إلى أن الاجتماعات الافتراضية لا تقتضي السفر، فلن تقدَّم أي مِنح ولا ينطبق دعم الحصول على التأشيرة. وستتوفر دورات توجيهية للمندوبين الجدد إن رأى رئيس لجنة الدراسات ذلك</w:t>
      </w:r>
      <w:r w:rsidR="00E63E80">
        <w:rPr>
          <w:rFonts w:hint="cs"/>
          <w:rtl/>
        </w:rPr>
        <w:t> </w:t>
      </w:r>
      <w:r>
        <w:rPr>
          <w:rtl/>
        </w:rPr>
        <w:t>مناسباً.</w:t>
      </w:r>
    </w:p>
    <w:p w14:paraId="40DE063C" w14:textId="77777777" w:rsidR="00853A1E" w:rsidRPr="00D20CB1" w:rsidRDefault="00853A1E" w:rsidP="00853A1E">
      <w:pPr>
        <w:rPr>
          <w:b/>
          <w:bCs/>
        </w:rPr>
      </w:pPr>
      <w:r w:rsidRPr="00D20CB1">
        <w:rPr>
          <w:b/>
          <w:bCs/>
        </w:rPr>
        <w:br w:type="page"/>
      </w:r>
    </w:p>
    <w:p w14:paraId="20A20DE1" w14:textId="5D5B3A19" w:rsidR="00853A1E" w:rsidRPr="00E63E80" w:rsidRDefault="00853A1E" w:rsidP="00E63E80">
      <w:pPr>
        <w:pStyle w:val="Appendixtitle"/>
      </w:pPr>
      <w:r w:rsidRPr="00E63E80">
        <w:rPr>
          <w:rtl/>
        </w:rPr>
        <w:lastRenderedPageBreak/>
        <w:t>الملحق</w:t>
      </w:r>
      <w:r w:rsidR="00E63E80" w:rsidRPr="00E63E80">
        <w:rPr>
          <w:rFonts w:hint="cs"/>
          <w:rtl/>
        </w:rPr>
        <w:t xml:space="preserve"> </w:t>
      </w:r>
      <w:r w:rsidR="00E63E80" w:rsidRPr="00E63E80">
        <w:t>B</w:t>
      </w:r>
      <w:r w:rsidR="00E63E80" w:rsidRPr="00E63E80">
        <w:rPr>
          <w:rtl/>
        </w:rPr>
        <w:br/>
      </w:r>
      <w:r w:rsidRPr="00E63E80">
        <w:rPr>
          <w:rtl/>
        </w:rPr>
        <w:t xml:space="preserve">جدول أعمال اجتماع فرقة العمل </w:t>
      </w:r>
      <w:r w:rsidR="009009B2">
        <w:t>4/17</w:t>
      </w:r>
      <w:r w:rsidR="009009B2">
        <w:br/>
      </w:r>
      <w:r w:rsidRPr="00E63E80">
        <w:rPr>
          <w:rtl/>
        </w:rPr>
        <w:t xml:space="preserve">اجتماع افتراضي، من الساعة 13:00 إلى الساعة 17:00 بتوقيت جنيف، </w:t>
      </w:r>
      <w:r w:rsidR="009009B2">
        <w:rPr>
          <w:rtl/>
        </w:rPr>
        <w:br/>
      </w:r>
      <w:r w:rsidRPr="00E63E80">
        <w:rPr>
          <w:rtl/>
        </w:rPr>
        <w:t>يومي 4-5 سبتمبر 2025</w:t>
      </w:r>
    </w:p>
    <w:p w14:paraId="03FB41AA" w14:textId="704FF085" w:rsidR="00853A1E" w:rsidRPr="00C33E66" w:rsidRDefault="00E63E80" w:rsidP="00CB0429">
      <w:pPr>
        <w:pStyle w:val="enumlev1"/>
        <w:rPr>
          <w:rFonts w:cstheme="minorHAnsi"/>
          <w:sz w:val="24"/>
          <w:szCs w:val="20"/>
          <w:lang w:val="ar-SA" w:eastAsia="zh-TW" w:bidi="en-GB"/>
        </w:rPr>
      </w:pPr>
      <w:r>
        <w:t>1</w:t>
      </w:r>
      <w:r>
        <w:tab/>
      </w:r>
      <w:r w:rsidR="00853A1E">
        <w:rPr>
          <w:rtl/>
        </w:rPr>
        <w:t>افتتاح الاجتماع</w:t>
      </w:r>
    </w:p>
    <w:p w14:paraId="5912D0D3" w14:textId="1AA6D9ED" w:rsidR="00853A1E" w:rsidRPr="00C33E66" w:rsidRDefault="00E63E80" w:rsidP="00CB0429">
      <w:pPr>
        <w:pStyle w:val="enumlev1"/>
        <w:rPr>
          <w:rFonts w:cstheme="minorHAnsi"/>
          <w:sz w:val="24"/>
          <w:szCs w:val="20"/>
          <w:lang w:val="ar-SA" w:eastAsia="zh-TW" w:bidi="en-GB"/>
        </w:rPr>
      </w:pPr>
      <w:r>
        <w:t>2</w:t>
      </w:r>
      <w:r>
        <w:tab/>
      </w:r>
      <w:r w:rsidR="00853A1E">
        <w:rPr>
          <w:rtl/>
        </w:rPr>
        <w:t>اعتماد جدول الأعمال</w:t>
      </w:r>
    </w:p>
    <w:p w14:paraId="41E22617" w14:textId="2A8CA0F5" w:rsidR="00853A1E" w:rsidRPr="00C33E66" w:rsidRDefault="00E63E80" w:rsidP="00CB0429">
      <w:pPr>
        <w:pStyle w:val="enumlev1"/>
        <w:rPr>
          <w:rFonts w:cstheme="minorHAnsi"/>
          <w:sz w:val="24"/>
          <w:szCs w:val="20"/>
          <w:lang w:val="ar-SA" w:eastAsia="zh-TW" w:bidi="en-GB"/>
        </w:rPr>
      </w:pPr>
      <w:r>
        <w:t>3</w:t>
      </w:r>
      <w:r>
        <w:tab/>
      </w:r>
      <w:r w:rsidR="00853A1E">
        <w:rPr>
          <w:rtl/>
        </w:rPr>
        <w:t>حقوق الملكية الفكرية</w:t>
      </w:r>
    </w:p>
    <w:p w14:paraId="1BDC085D" w14:textId="483B486E" w:rsidR="00853A1E" w:rsidRPr="00C33E66" w:rsidRDefault="00E63E80" w:rsidP="00CB0429">
      <w:pPr>
        <w:pStyle w:val="enumlev1"/>
        <w:rPr>
          <w:rFonts w:cstheme="minorHAnsi"/>
          <w:sz w:val="24"/>
          <w:szCs w:val="20"/>
          <w:lang w:val="ar-SA" w:eastAsia="zh-TW" w:bidi="en-GB"/>
        </w:rPr>
      </w:pPr>
      <w:r>
        <w:t>4</w:t>
      </w:r>
      <w:r>
        <w:tab/>
      </w:r>
      <w:r w:rsidR="00853A1E" w:rsidRPr="00E63E80">
        <w:rPr>
          <w:rtl/>
        </w:rPr>
        <w:t>استعراض نتائج الاجتماعات المرحلية للمسائل 17/8 و17/14 و17/7</w:t>
      </w:r>
    </w:p>
    <w:p w14:paraId="6339A09D" w14:textId="0030C9A7" w:rsidR="00853A1E" w:rsidRDefault="00E63E80" w:rsidP="00CB0429">
      <w:pPr>
        <w:pStyle w:val="enumlev1"/>
        <w:rPr>
          <w:rFonts w:cstheme="minorHAnsi"/>
          <w:sz w:val="24"/>
          <w:szCs w:val="20"/>
          <w:lang w:val="ar-SA" w:eastAsia="zh-TW" w:bidi="en-GB"/>
        </w:rPr>
      </w:pPr>
      <w:r>
        <w:t>5</w:t>
      </w:r>
      <w:r>
        <w:tab/>
      </w:r>
      <w:r w:rsidR="00853A1E">
        <w:rPr>
          <w:rtl/>
        </w:rPr>
        <w:t>تحديد مشاريع التوصيات الجديدة لقطاع تقييس الاتصالات</w:t>
      </w:r>
      <w:r>
        <w:t>:</w:t>
      </w:r>
    </w:p>
    <w:p w14:paraId="34D39628" w14:textId="0C8D7364" w:rsidR="00853A1E" w:rsidRPr="00E63E80" w:rsidRDefault="00E63E80" w:rsidP="00E63E80">
      <w:pPr>
        <w:pStyle w:val="enumlev2"/>
      </w:pPr>
      <w:r w:rsidRPr="00E63E80">
        <w:t>1.5</w:t>
      </w:r>
      <w:r w:rsidRPr="00E63E80">
        <w:tab/>
      </w:r>
      <w:r w:rsidR="00853A1E" w:rsidRPr="00E63E80">
        <w:rPr>
          <w:rtl/>
        </w:rPr>
        <w:t>X.soar-cc</w:t>
      </w:r>
    </w:p>
    <w:p w14:paraId="34343E52" w14:textId="6A2389D8" w:rsidR="00853A1E" w:rsidRPr="00E63E80" w:rsidRDefault="00E63E80" w:rsidP="00E63E80">
      <w:pPr>
        <w:pStyle w:val="enumlev2"/>
      </w:pPr>
      <w:r w:rsidRPr="00E63E80">
        <w:t>2.5</w:t>
      </w:r>
      <w:r w:rsidRPr="00E63E80">
        <w:tab/>
      </w:r>
      <w:r w:rsidR="00853A1E" w:rsidRPr="00E63E80">
        <w:rPr>
          <w:rtl/>
        </w:rPr>
        <w:t>X.asm-cc</w:t>
      </w:r>
    </w:p>
    <w:p w14:paraId="534795B2" w14:textId="51A5FC69" w:rsidR="00853A1E" w:rsidRPr="00E63E80" w:rsidRDefault="00E63E80" w:rsidP="00E63E80">
      <w:pPr>
        <w:pStyle w:val="enumlev2"/>
      </w:pPr>
      <w:r w:rsidRPr="00E63E80">
        <w:t>3.5</w:t>
      </w:r>
      <w:r w:rsidRPr="00E63E80">
        <w:tab/>
      </w:r>
      <w:r w:rsidR="00853A1E" w:rsidRPr="00E63E80">
        <w:rPr>
          <w:rtl/>
        </w:rPr>
        <w:t>X.sr-dpts</w:t>
      </w:r>
    </w:p>
    <w:p w14:paraId="7C46B98F" w14:textId="6E111AA0" w:rsidR="00853A1E" w:rsidRPr="00E63E80" w:rsidRDefault="00E63E80" w:rsidP="00E63E80">
      <w:pPr>
        <w:pStyle w:val="enumlev2"/>
      </w:pPr>
      <w:r w:rsidRPr="00E63E80">
        <w:t>4.5</w:t>
      </w:r>
      <w:r w:rsidRPr="00E63E80">
        <w:tab/>
      </w:r>
      <w:r w:rsidR="00853A1E" w:rsidRPr="00E63E80">
        <w:rPr>
          <w:rtl/>
        </w:rPr>
        <w:t>X.sg-dcs</w:t>
      </w:r>
    </w:p>
    <w:p w14:paraId="4049925E" w14:textId="74BF9221" w:rsidR="00853A1E" w:rsidRPr="00E63E80" w:rsidRDefault="00E63E80" w:rsidP="00E63E80">
      <w:pPr>
        <w:pStyle w:val="enumlev2"/>
      </w:pPr>
      <w:r w:rsidRPr="00E63E80">
        <w:t>5.5</w:t>
      </w:r>
      <w:r w:rsidRPr="00E63E80">
        <w:tab/>
      </w:r>
      <w:r w:rsidR="00853A1E" w:rsidRPr="00E63E80">
        <w:rPr>
          <w:rtl/>
        </w:rPr>
        <w:t>(إعادة التحديد X.1631</w:t>
      </w:r>
      <w:r w:rsidR="009009B2">
        <w:rPr>
          <w:rFonts w:hint="cs"/>
          <w:rtl/>
        </w:rPr>
        <w:t xml:space="preserve"> </w:t>
      </w:r>
      <w:r w:rsidR="009009B2">
        <w:rPr>
          <w:rFonts w:hint="cs"/>
          <w:rtl/>
          <w:lang w:bidi="ar-EG"/>
        </w:rPr>
        <w:t xml:space="preserve">| المعيار </w:t>
      </w:r>
      <w:r w:rsidR="00853A1E" w:rsidRPr="00E63E80">
        <w:rPr>
          <w:rtl/>
        </w:rPr>
        <w:t>ISO/IEC 27017 إذا لزم الأمر)</w:t>
      </w:r>
    </w:p>
    <w:p w14:paraId="6180FDE2" w14:textId="2228D095" w:rsidR="00853A1E" w:rsidRDefault="00E63E80" w:rsidP="00CB0429">
      <w:pPr>
        <w:pStyle w:val="enumlev1"/>
        <w:rPr>
          <w:rFonts w:cstheme="minorHAnsi"/>
          <w:sz w:val="24"/>
          <w:szCs w:val="20"/>
          <w:lang w:val="ar-SA" w:eastAsia="zh-TW" w:bidi="en-GB"/>
        </w:rPr>
      </w:pPr>
      <w:r>
        <w:t>6</w:t>
      </w:r>
      <w:r>
        <w:tab/>
      </w:r>
      <w:r w:rsidR="00853A1E">
        <w:rPr>
          <w:rtl/>
        </w:rPr>
        <w:t>الموافقة على مشاريع توصيات قطاع تقييس الاتصالات الجديدة/المراجعة</w:t>
      </w:r>
      <w:r w:rsidR="009009B2">
        <w:rPr>
          <w:rFonts w:hint="cs"/>
          <w:rtl/>
        </w:rPr>
        <w:t>:</w:t>
      </w:r>
    </w:p>
    <w:p w14:paraId="2C98A9DC" w14:textId="744626A8" w:rsidR="00853A1E" w:rsidRPr="00E63E80" w:rsidRDefault="00E63E80" w:rsidP="00E63E80">
      <w:pPr>
        <w:pStyle w:val="enumlev2"/>
      </w:pPr>
      <w:r>
        <w:t>1.6</w:t>
      </w:r>
      <w:r>
        <w:tab/>
      </w:r>
      <w:r w:rsidR="00853A1E" w:rsidRPr="00E63E80">
        <w:rPr>
          <w:rtl/>
        </w:rPr>
        <w:t>X.mbaas-cs-sec</w:t>
      </w:r>
    </w:p>
    <w:p w14:paraId="77B91FD4" w14:textId="55027816" w:rsidR="00853A1E" w:rsidRPr="00E63E80" w:rsidRDefault="00E63E80" w:rsidP="00E63E80">
      <w:pPr>
        <w:pStyle w:val="enumlev2"/>
      </w:pPr>
      <w:r>
        <w:t>2.6</w:t>
      </w:r>
      <w:r>
        <w:tab/>
      </w:r>
      <w:r w:rsidR="00853A1E" w:rsidRPr="00E63E80">
        <w:rPr>
          <w:rtl/>
        </w:rPr>
        <w:t>X.DLT-dgi</w:t>
      </w:r>
    </w:p>
    <w:p w14:paraId="14071017" w14:textId="0041CEA8" w:rsidR="00853A1E" w:rsidRPr="00E63E80" w:rsidRDefault="00E63E80" w:rsidP="00E63E80">
      <w:pPr>
        <w:pStyle w:val="enumlev2"/>
      </w:pPr>
      <w:r>
        <w:t>3.6</w:t>
      </w:r>
      <w:r>
        <w:tab/>
      </w:r>
      <w:r w:rsidR="00853A1E" w:rsidRPr="00E63E80">
        <w:rPr>
          <w:rtl/>
        </w:rPr>
        <w:t>X.dlt-share</w:t>
      </w:r>
    </w:p>
    <w:p w14:paraId="6E00F06F" w14:textId="51CCFED3" w:rsidR="00853A1E" w:rsidRPr="00E63E80" w:rsidRDefault="00E63E80" w:rsidP="00E63E80">
      <w:pPr>
        <w:pStyle w:val="enumlev2"/>
      </w:pPr>
      <w:r>
        <w:t>4.6</w:t>
      </w:r>
      <w:r>
        <w:tab/>
      </w:r>
      <w:r w:rsidR="00853A1E" w:rsidRPr="00E63E80">
        <w:rPr>
          <w:rtl/>
        </w:rPr>
        <w:t>X.1400Rev</w:t>
      </w:r>
    </w:p>
    <w:p w14:paraId="3514C75D" w14:textId="7455FF1C" w:rsidR="00853A1E" w:rsidRDefault="00E63E80" w:rsidP="00CB0429">
      <w:pPr>
        <w:pStyle w:val="enumlev1"/>
        <w:rPr>
          <w:rFonts w:cstheme="minorHAnsi"/>
          <w:sz w:val="24"/>
          <w:szCs w:val="20"/>
          <w:lang w:val="ar-SA" w:eastAsia="zh-TW" w:bidi="en-GB"/>
        </w:rPr>
      </w:pPr>
      <w:r>
        <w:t>7</w:t>
      </w:r>
      <w:r>
        <w:tab/>
      </w:r>
      <w:r w:rsidR="00853A1E">
        <w:rPr>
          <w:rtl/>
        </w:rPr>
        <w:t>الاتفاق على التقارير التقنية لقطاع تقييس الاتصالات</w:t>
      </w:r>
      <w:r w:rsidR="009009B2">
        <w:rPr>
          <w:rFonts w:hint="cs"/>
          <w:rtl/>
        </w:rPr>
        <w:t>:</w:t>
      </w:r>
    </w:p>
    <w:p w14:paraId="79310A22" w14:textId="711E53C1" w:rsidR="00853A1E" w:rsidRPr="00E63E80" w:rsidRDefault="00E63E80" w:rsidP="00E63E80">
      <w:pPr>
        <w:pStyle w:val="enumlev2"/>
      </w:pPr>
      <w:r>
        <w:t>1.7</w:t>
      </w:r>
      <w:r>
        <w:tab/>
      </w:r>
      <w:r w:rsidR="00853A1E" w:rsidRPr="00E63E80">
        <w:rPr>
          <w:rtl/>
        </w:rPr>
        <w:t>TR.AISec</w:t>
      </w:r>
    </w:p>
    <w:p w14:paraId="695EA1E6" w14:textId="67B7008C" w:rsidR="00853A1E" w:rsidRPr="00E63E80" w:rsidRDefault="00E63E80" w:rsidP="00E63E80">
      <w:pPr>
        <w:pStyle w:val="enumlev2"/>
      </w:pPr>
      <w:r>
        <w:t>2.7</w:t>
      </w:r>
      <w:r>
        <w:tab/>
      </w:r>
      <w:r w:rsidR="00853A1E" w:rsidRPr="00E63E80">
        <w:rPr>
          <w:rtl/>
        </w:rPr>
        <w:t>TR.saAIoT</w:t>
      </w:r>
    </w:p>
    <w:p w14:paraId="6E75F5F4" w14:textId="1DA6D63C" w:rsidR="00853A1E" w:rsidRPr="00E63E80" w:rsidRDefault="00E63E80" w:rsidP="00E63E80">
      <w:pPr>
        <w:pStyle w:val="enumlev2"/>
      </w:pPr>
      <w:r>
        <w:t>3.7</w:t>
      </w:r>
      <w:r>
        <w:tab/>
      </w:r>
      <w:r w:rsidR="00853A1E" w:rsidRPr="00E63E80">
        <w:rPr>
          <w:rtl/>
        </w:rPr>
        <w:t>TR.dpama</w:t>
      </w:r>
    </w:p>
    <w:p w14:paraId="3E698614" w14:textId="46D223AD" w:rsidR="00853A1E" w:rsidRPr="00ED619D" w:rsidRDefault="00E63E80" w:rsidP="00CB0429">
      <w:pPr>
        <w:pStyle w:val="enumlev1"/>
        <w:rPr>
          <w:rFonts w:cstheme="minorHAnsi"/>
          <w:sz w:val="24"/>
          <w:szCs w:val="20"/>
          <w:lang w:val="ar-SA" w:eastAsia="zh-TW" w:bidi="en-GB"/>
        </w:rPr>
      </w:pPr>
      <w:r>
        <w:t>8</w:t>
      </w:r>
      <w:r>
        <w:tab/>
      </w:r>
      <w:r w:rsidR="00853A1E">
        <w:rPr>
          <w:rtl/>
        </w:rPr>
        <w:t>النظر في مقترحات بنود العمل الجديدة</w:t>
      </w:r>
    </w:p>
    <w:p w14:paraId="71499198" w14:textId="437F6A3D" w:rsidR="00853A1E" w:rsidRPr="005F66E9" w:rsidRDefault="00CB0429" w:rsidP="00CB0429">
      <w:pPr>
        <w:pStyle w:val="enumlev1"/>
        <w:rPr>
          <w:rFonts w:cstheme="minorHAnsi"/>
          <w:sz w:val="24"/>
          <w:szCs w:val="20"/>
          <w:lang w:val="ar-SA" w:eastAsia="zh-TW" w:bidi="en-GB"/>
        </w:rPr>
      </w:pPr>
      <w:r>
        <w:t>9</w:t>
      </w:r>
      <w:r>
        <w:tab/>
      </w:r>
      <w:r w:rsidR="00853A1E">
        <w:rPr>
          <w:rtl/>
        </w:rPr>
        <w:t>الموافقة على بيانات الاتصال الصادرة</w:t>
      </w:r>
    </w:p>
    <w:p w14:paraId="2E635660" w14:textId="12D69DE7" w:rsidR="00853A1E" w:rsidRPr="00C33E66" w:rsidRDefault="00CB0429" w:rsidP="00CB0429">
      <w:pPr>
        <w:pStyle w:val="enumlev1"/>
        <w:rPr>
          <w:rFonts w:cstheme="minorHAnsi"/>
          <w:sz w:val="24"/>
          <w:szCs w:val="20"/>
          <w:lang w:val="ar-SA" w:eastAsia="zh-TW" w:bidi="en-GB"/>
        </w:rPr>
      </w:pPr>
      <w:r>
        <w:t>10</w:t>
      </w:r>
      <w:r>
        <w:tab/>
      </w:r>
      <w:r w:rsidR="00853A1E" w:rsidRPr="00CB0429">
        <w:rPr>
          <w:rtl/>
        </w:rPr>
        <w:t>الاتفاق على الاجتماعات والأنشطة المقبلة لفرقة العمل 17/4</w:t>
      </w:r>
    </w:p>
    <w:p w14:paraId="33F578EB" w14:textId="5BF0D4A0" w:rsidR="00853A1E" w:rsidRPr="00C33E66" w:rsidRDefault="00CB0429" w:rsidP="00CB0429">
      <w:pPr>
        <w:pStyle w:val="enumlev1"/>
        <w:rPr>
          <w:rFonts w:cstheme="minorHAnsi"/>
          <w:sz w:val="24"/>
          <w:szCs w:val="20"/>
          <w:lang w:val="ar-SA" w:eastAsia="zh-TW" w:bidi="en-GB"/>
        </w:rPr>
      </w:pPr>
      <w:r>
        <w:t>11</w:t>
      </w:r>
      <w:r>
        <w:tab/>
      </w:r>
      <w:r w:rsidR="00853A1E">
        <w:rPr>
          <w:rtl/>
        </w:rPr>
        <w:t>ما يستجد من أعمال</w:t>
      </w:r>
    </w:p>
    <w:p w14:paraId="6B2C9341" w14:textId="193AA184" w:rsidR="00853A1E" w:rsidRPr="00C33E66" w:rsidRDefault="00CB0429" w:rsidP="00CB0429">
      <w:pPr>
        <w:pStyle w:val="enumlev1"/>
        <w:rPr>
          <w:rFonts w:cstheme="minorHAnsi"/>
          <w:sz w:val="24"/>
          <w:szCs w:val="20"/>
          <w:lang w:val="ar-SA" w:eastAsia="zh-TW" w:bidi="en-GB"/>
        </w:rPr>
      </w:pPr>
      <w:r>
        <w:t>12</w:t>
      </w:r>
      <w:r>
        <w:tab/>
      </w:r>
      <w:r w:rsidR="00853A1E">
        <w:rPr>
          <w:rtl/>
        </w:rPr>
        <w:t>بيانات شكر وتقدير واختتام الاجتماع</w:t>
      </w:r>
    </w:p>
    <w:p w14:paraId="0B851463" w14:textId="4E745C1E" w:rsidR="00853A1E" w:rsidRPr="00625324" w:rsidRDefault="00853A1E" w:rsidP="00853A1E">
      <w:pPr>
        <w:tabs>
          <w:tab w:val="clear" w:pos="794"/>
        </w:tabs>
        <w:contextualSpacing/>
        <w:textDirection w:val="tbRlV"/>
        <w:rPr>
          <w:rFonts w:cstheme="minorHAnsi"/>
          <w:sz w:val="24"/>
          <w:szCs w:val="20"/>
          <w:lang w:val="ar-SA" w:eastAsia="zh-TW" w:bidi="en-GB"/>
        </w:rPr>
      </w:pPr>
      <w:r w:rsidRPr="00CB0429">
        <w:rPr>
          <w:b/>
          <w:bCs/>
          <w:rtl/>
        </w:rPr>
        <w:t>ملاحظة</w:t>
      </w:r>
      <w:r>
        <w:rPr>
          <w:rtl/>
        </w:rPr>
        <w:t xml:space="preserve"> - </w:t>
      </w:r>
      <w:r w:rsidRPr="00CB0429">
        <w:rPr>
          <w:rtl/>
        </w:rPr>
        <w:t>يمكن الاطلاع على التحديثات على جدول الأعمال هذا SG17-</w:t>
      </w:r>
      <w:hyperlink r:id="rId24" w:history="1">
        <w:r w:rsidRPr="00CB0429">
          <w:rPr>
            <w:rStyle w:val="Hyperlink"/>
            <w:rtl/>
          </w:rPr>
          <w:t>TD98/4</w:t>
        </w:r>
      </w:hyperlink>
      <w:r w:rsidR="009009B2" w:rsidRPr="009009B2">
        <w:rPr>
          <w:rFonts w:hint="cs"/>
          <w:rtl/>
        </w:rPr>
        <w:t>.</w:t>
      </w:r>
    </w:p>
    <w:p w14:paraId="6B606960" w14:textId="77777777" w:rsidR="00596808" w:rsidRPr="00D517B2" w:rsidRDefault="00A40EBB" w:rsidP="00A40EB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D5523" w14:textId="77777777" w:rsidR="00853A1E" w:rsidRDefault="00853A1E" w:rsidP="006C3242">
      <w:pPr>
        <w:spacing w:before="0" w:line="240" w:lineRule="auto"/>
      </w:pPr>
      <w:r>
        <w:separator/>
      </w:r>
    </w:p>
  </w:endnote>
  <w:endnote w:type="continuationSeparator" w:id="0">
    <w:p w14:paraId="45727033" w14:textId="77777777" w:rsidR="00853A1E" w:rsidRDefault="00853A1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59DF"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855E5" w14:textId="77777777" w:rsidR="00853A1E" w:rsidRDefault="00853A1E" w:rsidP="006C3242">
      <w:pPr>
        <w:spacing w:before="0" w:line="240" w:lineRule="auto"/>
      </w:pPr>
      <w:r>
        <w:separator/>
      </w:r>
    </w:p>
  </w:footnote>
  <w:footnote w:type="continuationSeparator" w:id="0">
    <w:p w14:paraId="6287D9BD" w14:textId="77777777" w:rsidR="00853A1E" w:rsidRDefault="00853A1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5856" w14:textId="1A0F7D26" w:rsidR="00447F32" w:rsidRPr="00FA26A3" w:rsidRDefault="00596808" w:rsidP="00C77464">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C77464" w:rsidRPr="00C77464">
      <w:rPr>
        <w:sz w:val="20"/>
        <w:szCs w:val="20"/>
        <w:lang w:val="en-GB"/>
      </w:rPr>
      <w:t>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2862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C4A8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90A6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4EFD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4897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6AD3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2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8A0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AAE9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22AD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F139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36854404">
    <w:abstractNumId w:val="1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13" w16cid:durableId="511798090">
    <w:abstractNumId w:val="8"/>
  </w:num>
  <w:num w:numId="14" w16cid:durableId="1288120093">
    <w:abstractNumId w:val="3"/>
  </w:num>
  <w:num w:numId="15" w16cid:durableId="1128813656">
    <w:abstractNumId w:val="2"/>
  </w:num>
  <w:num w:numId="16" w16cid:durableId="1786777549">
    <w:abstractNumId w:val="1"/>
  </w:num>
  <w:num w:numId="17" w16cid:durableId="1885167878">
    <w:abstractNumId w:val="0"/>
  </w:num>
  <w:num w:numId="18" w16cid:durableId="1036468081">
    <w:abstractNumId w:val="8"/>
  </w:num>
  <w:num w:numId="19" w16cid:durableId="2031639652">
    <w:abstractNumId w:val="3"/>
  </w:num>
  <w:num w:numId="20" w16cid:durableId="54934341">
    <w:abstractNumId w:val="2"/>
  </w:num>
  <w:num w:numId="21" w16cid:durableId="2050492503">
    <w:abstractNumId w:val="1"/>
  </w:num>
  <w:num w:numId="22" w16cid:durableId="1091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1E"/>
    <w:rsid w:val="0006468A"/>
    <w:rsid w:val="00090574"/>
    <w:rsid w:val="000C1C0E"/>
    <w:rsid w:val="000C548A"/>
    <w:rsid w:val="000E498D"/>
    <w:rsid w:val="00110DBD"/>
    <w:rsid w:val="0013472E"/>
    <w:rsid w:val="001C0169"/>
    <w:rsid w:val="001D1D50"/>
    <w:rsid w:val="001D297D"/>
    <w:rsid w:val="001D6745"/>
    <w:rsid w:val="001E446E"/>
    <w:rsid w:val="002154EE"/>
    <w:rsid w:val="002276D2"/>
    <w:rsid w:val="0023283D"/>
    <w:rsid w:val="00243ECE"/>
    <w:rsid w:val="0025732E"/>
    <w:rsid w:val="0026373E"/>
    <w:rsid w:val="00271C43"/>
    <w:rsid w:val="00290728"/>
    <w:rsid w:val="002978F4"/>
    <w:rsid w:val="002B028D"/>
    <w:rsid w:val="002E196B"/>
    <w:rsid w:val="002E6541"/>
    <w:rsid w:val="00332851"/>
    <w:rsid w:val="00334924"/>
    <w:rsid w:val="003409BC"/>
    <w:rsid w:val="0034417B"/>
    <w:rsid w:val="00357185"/>
    <w:rsid w:val="00383829"/>
    <w:rsid w:val="003A3046"/>
    <w:rsid w:val="003F4B29"/>
    <w:rsid w:val="00400EC6"/>
    <w:rsid w:val="0042686F"/>
    <w:rsid w:val="004317D8"/>
    <w:rsid w:val="00434183"/>
    <w:rsid w:val="00443869"/>
    <w:rsid w:val="00447F32"/>
    <w:rsid w:val="004551B1"/>
    <w:rsid w:val="004E11DC"/>
    <w:rsid w:val="00525DDD"/>
    <w:rsid w:val="005409AC"/>
    <w:rsid w:val="0055516A"/>
    <w:rsid w:val="0058491B"/>
    <w:rsid w:val="00592EA5"/>
    <w:rsid w:val="00595B52"/>
    <w:rsid w:val="00596808"/>
    <w:rsid w:val="005A3170"/>
    <w:rsid w:val="005F6083"/>
    <w:rsid w:val="0061536B"/>
    <w:rsid w:val="00677396"/>
    <w:rsid w:val="0069200F"/>
    <w:rsid w:val="006A65CB"/>
    <w:rsid w:val="006C1530"/>
    <w:rsid w:val="006C3242"/>
    <w:rsid w:val="006C7CC0"/>
    <w:rsid w:val="006F63F7"/>
    <w:rsid w:val="007025C7"/>
    <w:rsid w:val="00706D7A"/>
    <w:rsid w:val="00722F0D"/>
    <w:rsid w:val="0074420E"/>
    <w:rsid w:val="00762B26"/>
    <w:rsid w:val="00783E26"/>
    <w:rsid w:val="007C3BC7"/>
    <w:rsid w:val="007C3BCD"/>
    <w:rsid w:val="007D4ACF"/>
    <w:rsid w:val="007F0787"/>
    <w:rsid w:val="00800C31"/>
    <w:rsid w:val="00810B7B"/>
    <w:rsid w:val="0082358A"/>
    <w:rsid w:val="008235CD"/>
    <w:rsid w:val="008247DE"/>
    <w:rsid w:val="008368F0"/>
    <w:rsid w:val="00840B10"/>
    <w:rsid w:val="00842463"/>
    <w:rsid w:val="008513CB"/>
    <w:rsid w:val="00853A1E"/>
    <w:rsid w:val="0086658F"/>
    <w:rsid w:val="00891094"/>
    <w:rsid w:val="008A7F84"/>
    <w:rsid w:val="009009B2"/>
    <w:rsid w:val="0091702E"/>
    <w:rsid w:val="00923B0C"/>
    <w:rsid w:val="0094021C"/>
    <w:rsid w:val="00952F86"/>
    <w:rsid w:val="00982B28"/>
    <w:rsid w:val="009B475E"/>
    <w:rsid w:val="009D313F"/>
    <w:rsid w:val="00A30B59"/>
    <w:rsid w:val="00A40EBB"/>
    <w:rsid w:val="00A47A5A"/>
    <w:rsid w:val="00A6683B"/>
    <w:rsid w:val="00A97F94"/>
    <w:rsid w:val="00AA7EA2"/>
    <w:rsid w:val="00AF6B5C"/>
    <w:rsid w:val="00B03099"/>
    <w:rsid w:val="00B05BC8"/>
    <w:rsid w:val="00B43DF1"/>
    <w:rsid w:val="00B54F20"/>
    <w:rsid w:val="00B64B47"/>
    <w:rsid w:val="00C002DE"/>
    <w:rsid w:val="00C077F9"/>
    <w:rsid w:val="00C53BF8"/>
    <w:rsid w:val="00C66157"/>
    <w:rsid w:val="00C674FE"/>
    <w:rsid w:val="00C67501"/>
    <w:rsid w:val="00C75633"/>
    <w:rsid w:val="00C77464"/>
    <w:rsid w:val="00CB0429"/>
    <w:rsid w:val="00CE2EE1"/>
    <w:rsid w:val="00CE3349"/>
    <w:rsid w:val="00CE36E5"/>
    <w:rsid w:val="00CF27F5"/>
    <w:rsid w:val="00CF3FFD"/>
    <w:rsid w:val="00D10CCF"/>
    <w:rsid w:val="00D22846"/>
    <w:rsid w:val="00D517B2"/>
    <w:rsid w:val="00D73CEC"/>
    <w:rsid w:val="00D77D0F"/>
    <w:rsid w:val="00DA1CF0"/>
    <w:rsid w:val="00DC1E02"/>
    <w:rsid w:val="00DC24B4"/>
    <w:rsid w:val="00DC5FB0"/>
    <w:rsid w:val="00DD1EBB"/>
    <w:rsid w:val="00DF16DC"/>
    <w:rsid w:val="00E45211"/>
    <w:rsid w:val="00E473C5"/>
    <w:rsid w:val="00E63E80"/>
    <w:rsid w:val="00E92863"/>
    <w:rsid w:val="00EB796D"/>
    <w:rsid w:val="00EE13B6"/>
    <w:rsid w:val="00F058DC"/>
    <w:rsid w:val="00F24FC4"/>
    <w:rsid w:val="00F2676C"/>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1F74"/>
  <w15:chartTrackingRefBased/>
  <w15:docId w15:val="{A8F049E1-34F3-48C8-ACAE-DC8DF41A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8F"/>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762B26"/>
    <w:pPr>
      <w:spacing w:before="80" w:after="80"/>
      <w:ind w:left="794" w:hanging="794"/>
      <w:outlineLvl w:val="0"/>
    </w:pPr>
    <w:rPr>
      <w:lang w:bidi="ar-SY"/>
    </w:rPr>
  </w:style>
  <w:style w:type="paragraph" w:customStyle="1" w:styleId="enumlev2">
    <w:name w:val="enumlev 2"/>
    <w:basedOn w:val="Normal"/>
    <w:next w:val="enumlev1"/>
    <w:qFormat/>
    <w:rsid w:val="00762B26"/>
    <w:pPr>
      <w:spacing w:before="80" w:after="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title0">
    <w:name w:val="Annex_title"/>
    <w:basedOn w:val="Normal"/>
    <w:next w:val="Normal"/>
    <w:rsid w:val="00853A1E"/>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CG Times" w:cs="Simplified Arabic" w:hint="cs"/>
      <w:b/>
      <w:sz w:val="28"/>
      <w:szCs w:val="30"/>
    </w:rPr>
  </w:style>
  <w:style w:type="character" w:styleId="FollowedHyperlink">
    <w:name w:val="FollowedHyperlink"/>
    <w:basedOn w:val="DefaultParagraphFont"/>
    <w:uiPriority w:val="99"/>
    <w:semiHidden/>
    <w:unhideWhenUsed/>
    <w:rsid w:val="00110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25-2028/17/Pages/default.aspx" TargetMode="External"/><Relationship Id="rId18" Type="http://schemas.openxmlformats.org/officeDocument/2006/relationships/image" Target="cid:image001.png@01D2C590.81C3C8E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hub/membership/user-account-ties/" TargetMode="External"/><Relationship Id="rId7" Type="http://schemas.openxmlformats.org/officeDocument/2006/relationships/endnotes" Target="endnotes.xml"/><Relationship Id="rId12" Type="http://schemas.openxmlformats.org/officeDocument/2006/relationships/hyperlink" Target="https://www.itu.int/net/ITU-T/lists/rgm.aspx?Group=17"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ITU-T/studygroups/Pages/templat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5-2028/17/Pages/default.aspx" TargetMode="External"/><Relationship Id="rId24" Type="http://schemas.openxmlformats.org/officeDocument/2006/relationships/hyperlink" Target="https://www.itu.int/md/T25-SG17-250904-TD-WP4-0098/en" TargetMode="External"/><Relationship Id="rId5" Type="http://schemas.openxmlformats.org/officeDocument/2006/relationships/webSettings" Target="webSettings.xml"/><Relationship Id="rId15" Type="http://schemas.openxmlformats.org/officeDocument/2006/relationships/hyperlink" Target="https://www.itu.int/net/ITU-T/ddp/Default.aspx?groupid=T25-SG17" TargetMode="External"/><Relationship Id="rId23" Type="http://schemas.openxmlformats.org/officeDocument/2006/relationships/hyperlink" Target="https://www.itu.int/md/T17-TSB-CIR-0118" TargetMode="External"/><Relationship Id="rId28" Type="http://schemas.openxmlformats.org/officeDocument/2006/relationships/theme" Target="theme/theme1.xml"/><Relationship Id="rId10" Type="http://schemas.openxmlformats.org/officeDocument/2006/relationships/hyperlink" Target="https://www.itu.int/en/ITU-T/studygroups/2025-2028/17/Pages/default.aspx" TargetMode="External"/><Relationship Id="rId19" Type="http://schemas.openxmlformats.org/officeDocument/2006/relationships/hyperlink" Target="https://www.itu.int/net/ITU-T/ddp/"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s://www.itu.int/en/ITU-T/studygroups/2025-2028/17/Pages/default.aspx" TargetMode="External"/><Relationship Id="rId22" Type="http://schemas.openxmlformats.org/officeDocument/2006/relationships/hyperlink" Target="https://www.itu.int/md/T17-TSB-CIR-006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27</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Braud, Olivia</cp:lastModifiedBy>
  <cp:revision>5</cp:revision>
  <cp:lastPrinted>2025-07-15T13:35:00Z</cp:lastPrinted>
  <dcterms:created xsi:type="dcterms:W3CDTF">2025-06-20T14:15:00Z</dcterms:created>
  <dcterms:modified xsi:type="dcterms:W3CDTF">2025-07-15T13:35:00Z</dcterms:modified>
</cp:coreProperties>
</file>