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F12084">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F12084">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F12084">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F12084">
            <w:pPr>
              <w:spacing w:before="0"/>
              <w:jc w:val="right"/>
              <w:rPr>
                <w:color w:val="FFFFFF"/>
                <w:sz w:val="26"/>
                <w:szCs w:val="26"/>
              </w:rPr>
            </w:pPr>
          </w:p>
        </w:tc>
      </w:tr>
    </w:tbl>
    <w:p w14:paraId="1D715E74" w14:textId="77777777" w:rsidR="002545AA" w:rsidRPr="00E35001" w:rsidRDefault="002545AA" w:rsidP="00F12084">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E35001" w14:paraId="5BAED284" w14:textId="77777777" w:rsidTr="002C58A4">
        <w:trPr>
          <w:cantSplit/>
          <w:trHeight w:val="649"/>
        </w:trPr>
        <w:tc>
          <w:tcPr>
            <w:tcW w:w="1084" w:type="dxa"/>
            <w:gridSpan w:val="2"/>
          </w:tcPr>
          <w:p w14:paraId="21415219" w14:textId="77777777" w:rsidR="002545AA" w:rsidRPr="00E35001" w:rsidRDefault="002545AA" w:rsidP="00F12084">
            <w:pPr>
              <w:tabs>
                <w:tab w:val="left" w:pos="4111"/>
              </w:tabs>
              <w:spacing w:before="10"/>
              <w:rPr>
                <w:szCs w:val="24"/>
              </w:rPr>
            </w:pPr>
          </w:p>
        </w:tc>
        <w:tc>
          <w:tcPr>
            <w:tcW w:w="3793" w:type="dxa"/>
          </w:tcPr>
          <w:p w14:paraId="61F74745" w14:textId="77777777" w:rsidR="002545AA" w:rsidRPr="00E35001" w:rsidRDefault="002545AA" w:rsidP="00F12084">
            <w:pPr>
              <w:tabs>
                <w:tab w:val="left" w:pos="4111"/>
              </w:tabs>
              <w:spacing w:before="10"/>
              <w:rPr>
                <w:b/>
              </w:rPr>
            </w:pPr>
          </w:p>
        </w:tc>
        <w:tc>
          <w:tcPr>
            <w:tcW w:w="4762" w:type="dxa"/>
          </w:tcPr>
          <w:p w14:paraId="66761920" w14:textId="18E0C4FC" w:rsidR="002545AA" w:rsidRPr="00E35001" w:rsidRDefault="002545AA" w:rsidP="00F12084">
            <w:pPr>
              <w:pStyle w:val="Tabletext0"/>
              <w:tabs>
                <w:tab w:val="clear" w:pos="1134"/>
                <w:tab w:val="clear" w:pos="2268"/>
                <w:tab w:val="left" w:pos="794"/>
                <w:tab w:val="left" w:pos="1191"/>
                <w:tab w:val="left" w:pos="1588"/>
              </w:tabs>
              <w:spacing w:before="0" w:after="120"/>
              <w:rPr>
                <w:bCs/>
              </w:rPr>
            </w:pPr>
            <w:r w:rsidRPr="009B61DC">
              <w:rPr>
                <w:lang w:val="en-GB"/>
              </w:rPr>
              <w:t>Ginebra</w:t>
            </w:r>
            <w:r w:rsidRPr="00E35001">
              <w:t xml:space="preserve">, </w:t>
            </w:r>
            <w:r w:rsidR="0070721C">
              <w:t>1 de diciembre de 2025</w:t>
            </w:r>
          </w:p>
        </w:tc>
      </w:tr>
      <w:tr w:rsidR="002545AA" w:rsidRPr="00E35001" w14:paraId="031E6D64" w14:textId="77777777" w:rsidTr="002C58A4">
        <w:trPr>
          <w:cantSplit/>
          <w:trHeight w:val="649"/>
        </w:trPr>
        <w:tc>
          <w:tcPr>
            <w:tcW w:w="1084" w:type="dxa"/>
            <w:gridSpan w:val="2"/>
          </w:tcPr>
          <w:p w14:paraId="5CCEEF63" w14:textId="77777777" w:rsidR="002545AA" w:rsidRPr="0070721C" w:rsidRDefault="002545AA" w:rsidP="00F12084">
            <w:pPr>
              <w:tabs>
                <w:tab w:val="left" w:pos="4111"/>
              </w:tabs>
              <w:spacing w:before="40" w:after="40"/>
              <w:rPr>
                <w:b/>
                <w:bCs/>
                <w:szCs w:val="24"/>
              </w:rPr>
            </w:pPr>
            <w:r w:rsidRPr="0070721C">
              <w:rPr>
                <w:b/>
                <w:bCs/>
                <w:szCs w:val="24"/>
              </w:rPr>
              <w:t>Ref.:</w:t>
            </w:r>
          </w:p>
        </w:tc>
        <w:tc>
          <w:tcPr>
            <w:tcW w:w="3793" w:type="dxa"/>
          </w:tcPr>
          <w:p w14:paraId="09C29637" w14:textId="547F4541" w:rsidR="002545AA" w:rsidRPr="00E35001" w:rsidRDefault="002545AA" w:rsidP="00F12084">
            <w:pPr>
              <w:tabs>
                <w:tab w:val="left" w:pos="4111"/>
              </w:tabs>
              <w:spacing w:before="40" w:after="40"/>
              <w:rPr>
                <w:b/>
                <w:szCs w:val="24"/>
              </w:rPr>
            </w:pPr>
            <w:r w:rsidRPr="00E35001">
              <w:rPr>
                <w:b/>
              </w:rPr>
              <w:t xml:space="preserve">Carta Colectiva </w:t>
            </w:r>
            <w:r w:rsidR="0070721C">
              <w:rPr>
                <w:b/>
              </w:rPr>
              <w:t>4/13</w:t>
            </w:r>
          </w:p>
          <w:p w14:paraId="09096904" w14:textId="03198F3D" w:rsidR="002545AA" w:rsidRPr="00E35001" w:rsidRDefault="0070721C" w:rsidP="00F12084">
            <w:pPr>
              <w:tabs>
                <w:tab w:val="left" w:pos="4111"/>
              </w:tabs>
              <w:spacing w:before="0" w:after="40"/>
              <w:rPr>
                <w:u w:val="single"/>
              </w:rPr>
            </w:pPr>
            <w:bookmarkStart w:id="0" w:name="lt_pId018"/>
            <w:r>
              <w:t>SG13</w:t>
            </w:r>
            <w:r w:rsidR="002545AA" w:rsidRPr="00E35001">
              <w:t>/</w:t>
            </w:r>
            <w:bookmarkEnd w:id="0"/>
            <w:r>
              <w:t>TK</w:t>
            </w:r>
          </w:p>
        </w:tc>
        <w:tc>
          <w:tcPr>
            <w:tcW w:w="4762" w:type="dxa"/>
            <w:vMerge w:val="restart"/>
          </w:tcPr>
          <w:p w14:paraId="490E784C" w14:textId="77777777" w:rsidR="002545AA" w:rsidRPr="00E35001" w:rsidRDefault="002545AA" w:rsidP="00F12084">
            <w:pPr>
              <w:tabs>
                <w:tab w:val="left" w:pos="4111"/>
              </w:tabs>
              <w:spacing w:before="40" w:after="40"/>
              <w:rPr>
                <w:bCs/>
              </w:rPr>
            </w:pPr>
            <w:r w:rsidRPr="00E35001">
              <w:rPr>
                <w:bCs/>
              </w:rPr>
              <w:t>A:</w:t>
            </w:r>
          </w:p>
          <w:p w14:paraId="334AC516" w14:textId="778EB0A8" w:rsidR="0075691C" w:rsidRPr="00F03AAA" w:rsidRDefault="0070721C" w:rsidP="00F12084">
            <w:pPr>
              <w:tabs>
                <w:tab w:val="clear" w:pos="794"/>
                <w:tab w:val="left" w:pos="390"/>
              </w:tabs>
              <w:spacing w:before="40" w:after="40"/>
              <w:ind w:hanging="390"/>
              <w:rPr>
                <w:lang w:val="es-ES"/>
              </w:rPr>
            </w:pPr>
            <w:r w:rsidRPr="00F03AAA">
              <w:rPr>
                <w:lang w:val="es-ES"/>
              </w:rPr>
              <w:t>–</w:t>
            </w:r>
            <w:r w:rsidR="0075691C" w:rsidRPr="00F03AAA">
              <w:rPr>
                <w:lang w:val="es-ES"/>
              </w:rPr>
              <w:tab/>
              <w:t>las Administraciones de los Estados Miembros de la Unión;</w:t>
            </w:r>
          </w:p>
          <w:p w14:paraId="5677BEB3" w14:textId="77777777" w:rsidR="0075691C" w:rsidRPr="00F03AAA" w:rsidRDefault="0075691C" w:rsidP="00F12084">
            <w:pPr>
              <w:tabs>
                <w:tab w:val="clear" w:pos="794"/>
                <w:tab w:val="left" w:pos="390"/>
              </w:tabs>
              <w:spacing w:before="40" w:after="40"/>
              <w:ind w:hanging="390"/>
              <w:rPr>
                <w:lang w:val="es-ES"/>
              </w:rPr>
            </w:pPr>
            <w:r w:rsidRPr="00F03AAA">
              <w:rPr>
                <w:lang w:val="es-ES"/>
              </w:rPr>
              <w:t>–</w:t>
            </w:r>
            <w:r w:rsidRPr="00F03AAA">
              <w:rPr>
                <w:lang w:val="es-ES"/>
              </w:rPr>
              <w:tab/>
              <w:t>el Estado de Palestina (Res. 99 (Rev. Dubái, 2018));</w:t>
            </w:r>
          </w:p>
          <w:p w14:paraId="4ADBAD79" w14:textId="77777777" w:rsidR="0075691C" w:rsidRPr="00F03AAA" w:rsidRDefault="0075691C" w:rsidP="00F12084">
            <w:pPr>
              <w:tabs>
                <w:tab w:val="clear" w:pos="794"/>
                <w:tab w:val="left" w:pos="390"/>
              </w:tabs>
              <w:spacing w:before="40" w:after="40"/>
              <w:rPr>
                <w:lang w:val="es-ES"/>
              </w:rPr>
            </w:pPr>
            <w:r w:rsidRPr="00F03AAA">
              <w:rPr>
                <w:lang w:val="es-ES"/>
              </w:rPr>
              <w:t>–</w:t>
            </w:r>
            <w:r w:rsidRPr="00F03AAA">
              <w:rPr>
                <w:lang w:val="es-ES"/>
              </w:rPr>
              <w:tab/>
              <w:t>los Miembros de Sector del UIT</w:t>
            </w:r>
            <w:r w:rsidRPr="00F03AAA">
              <w:rPr>
                <w:lang w:val="es-ES"/>
              </w:rPr>
              <w:noBreakHyphen/>
              <w:t>T;</w:t>
            </w:r>
          </w:p>
          <w:p w14:paraId="689AC9A1" w14:textId="77777777" w:rsidR="0075691C" w:rsidRPr="00F03AAA" w:rsidRDefault="0075691C" w:rsidP="00F12084">
            <w:pPr>
              <w:tabs>
                <w:tab w:val="clear" w:pos="794"/>
                <w:tab w:val="left" w:pos="390"/>
              </w:tabs>
              <w:spacing w:before="40" w:after="40"/>
              <w:ind w:hanging="390"/>
              <w:rPr>
                <w:lang w:val="es-ES"/>
              </w:rPr>
            </w:pPr>
            <w:r w:rsidRPr="00F03AAA">
              <w:rPr>
                <w:lang w:val="es-ES"/>
              </w:rPr>
              <w:t>–</w:t>
            </w:r>
            <w:r w:rsidRPr="00F03AAA">
              <w:rPr>
                <w:lang w:val="es-ES"/>
              </w:rPr>
              <w:tab/>
              <w:t>los Asociados que participan en los trabajos de la Comisión de Estudio 13 del UIT</w:t>
            </w:r>
            <w:r w:rsidRPr="00F03AAA">
              <w:rPr>
                <w:lang w:val="es-ES"/>
              </w:rPr>
              <w:noBreakHyphen/>
              <w:t>T;</w:t>
            </w:r>
          </w:p>
          <w:p w14:paraId="4D1D965E" w14:textId="15361B0E" w:rsidR="002545AA" w:rsidRPr="00E35001" w:rsidRDefault="0075691C" w:rsidP="00F12084">
            <w:pPr>
              <w:tabs>
                <w:tab w:val="clear" w:pos="794"/>
                <w:tab w:val="left" w:pos="390"/>
              </w:tabs>
              <w:spacing w:before="40" w:after="40"/>
              <w:ind w:hanging="390"/>
              <w:rPr>
                <w:bCs/>
              </w:rPr>
            </w:pPr>
            <w:r w:rsidRPr="00F03AAA">
              <w:rPr>
                <w:lang w:val="es-ES"/>
              </w:rPr>
              <w:t>–</w:t>
            </w:r>
            <w:r w:rsidRPr="00F03AAA">
              <w:rPr>
                <w:lang w:val="es-ES"/>
              </w:rPr>
              <w:tab/>
              <w:t>las Instituciones Académicas de la UIT</w:t>
            </w:r>
          </w:p>
        </w:tc>
      </w:tr>
      <w:tr w:rsidR="002545AA" w:rsidRPr="00E35001" w14:paraId="2EF8A298" w14:textId="77777777" w:rsidTr="002C58A4">
        <w:trPr>
          <w:cantSplit/>
          <w:trHeight w:val="390"/>
        </w:trPr>
        <w:tc>
          <w:tcPr>
            <w:tcW w:w="1084" w:type="dxa"/>
            <w:gridSpan w:val="2"/>
          </w:tcPr>
          <w:p w14:paraId="4157559E" w14:textId="77777777" w:rsidR="002545AA" w:rsidRPr="00E35001" w:rsidRDefault="002545AA" w:rsidP="00F12084">
            <w:pPr>
              <w:tabs>
                <w:tab w:val="left" w:pos="4111"/>
              </w:tabs>
              <w:spacing w:before="40" w:after="40"/>
              <w:rPr>
                <w:szCs w:val="24"/>
              </w:rPr>
            </w:pPr>
            <w:r w:rsidRPr="00E35001">
              <w:rPr>
                <w:szCs w:val="24"/>
              </w:rPr>
              <w:t>Tel.:</w:t>
            </w:r>
          </w:p>
        </w:tc>
        <w:tc>
          <w:tcPr>
            <w:tcW w:w="3793" w:type="dxa"/>
          </w:tcPr>
          <w:p w14:paraId="4E7C6265" w14:textId="3F7899B7" w:rsidR="002545AA" w:rsidRPr="00E35001" w:rsidRDefault="002545AA" w:rsidP="00F12084">
            <w:pPr>
              <w:tabs>
                <w:tab w:val="left" w:pos="4111"/>
              </w:tabs>
              <w:spacing w:before="40" w:after="40"/>
            </w:pPr>
            <w:r w:rsidRPr="00E35001">
              <w:t xml:space="preserve">+41 22 730 </w:t>
            </w:r>
            <w:r w:rsidR="0070721C">
              <w:t>5126</w:t>
            </w:r>
          </w:p>
        </w:tc>
        <w:tc>
          <w:tcPr>
            <w:tcW w:w="4762" w:type="dxa"/>
            <w:vMerge/>
          </w:tcPr>
          <w:p w14:paraId="14D79EED" w14:textId="77777777" w:rsidR="002545AA" w:rsidRPr="00E35001" w:rsidRDefault="002545AA" w:rsidP="00F12084">
            <w:pPr>
              <w:tabs>
                <w:tab w:val="left" w:pos="4111"/>
              </w:tabs>
              <w:spacing w:beforeLines="40" w:before="96" w:after="40"/>
              <w:rPr>
                <w:bCs/>
              </w:rPr>
            </w:pPr>
          </w:p>
        </w:tc>
      </w:tr>
      <w:tr w:rsidR="002545AA" w:rsidRPr="00E35001" w14:paraId="00AB7670" w14:textId="77777777" w:rsidTr="002C58A4">
        <w:trPr>
          <w:cantSplit/>
          <w:trHeight w:val="431"/>
        </w:trPr>
        <w:tc>
          <w:tcPr>
            <w:tcW w:w="1084" w:type="dxa"/>
            <w:gridSpan w:val="2"/>
          </w:tcPr>
          <w:p w14:paraId="1382796A" w14:textId="77777777" w:rsidR="002545AA" w:rsidRPr="00E35001" w:rsidRDefault="002545AA" w:rsidP="00F12084">
            <w:pPr>
              <w:tabs>
                <w:tab w:val="left" w:pos="4111"/>
              </w:tabs>
              <w:spacing w:before="40" w:after="40"/>
              <w:rPr>
                <w:szCs w:val="24"/>
              </w:rPr>
            </w:pPr>
            <w:r w:rsidRPr="00E35001">
              <w:rPr>
                <w:szCs w:val="24"/>
              </w:rPr>
              <w:t>Fax:</w:t>
            </w:r>
          </w:p>
        </w:tc>
        <w:tc>
          <w:tcPr>
            <w:tcW w:w="3793" w:type="dxa"/>
          </w:tcPr>
          <w:p w14:paraId="0F7882F8" w14:textId="77777777" w:rsidR="002545AA" w:rsidRPr="00E35001" w:rsidRDefault="002545AA" w:rsidP="00F12084">
            <w:pPr>
              <w:tabs>
                <w:tab w:val="left" w:pos="4111"/>
              </w:tabs>
              <w:spacing w:before="40" w:after="40"/>
            </w:pPr>
            <w:r w:rsidRPr="00E35001">
              <w:t>+41 22 730 5853</w:t>
            </w:r>
          </w:p>
        </w:tc>
        <w:tc>
          <w:tcPr>
            <w:tcW w:w="4762" w:type="dxa"/>
            <w:vMerge/>
          </w:tcPr>
          <w:p w14:paraId="1D45250F" w14:textId="77777777" w:rsidR="002545AA" w:rsidRPr="00E35001" w:rsidRDefault="002545AA" w:rsidP="00F12084">
            <w:pPr>
              <w:tabs>
                <w:tab w:val="left" w:pos="4111"/>
              </w:tabs>
              <w:spacing w:beforeLines="40" w:before="96" w:after="40"/>
              <w:rPr>
                <w:bCs/>
              </w:rPr>
            </w:pPr>
          </w:p>
        </w:tc>
      </w:tr>
      <w:tr w:rsidR="002545AA" w:rsidRPr="00E35001" w14:paraId="347CD68B" w14:textId="77777777" w:rsidTr="002C58A4">
        <w:trPr>
          <w:cantSplit/>
        </w:trPr>
        <w:tc>
          <w:tcPr>
            <w:tcW w:w="1084" w:type="dxa"/>
            <w:gridSpan w:val="2"/>
          </w:tcPr>
          <w:p w14:paraId="4CEB4CD3" w14:textId="77777777" w:rsidR="002545AA" w:rsidRPr="00E35001" w:rsidRDefault="002545AA" w:rsidP="00F12084">
            <w:pPr>
              <w:tabs>
                <w:tab w:val="left" w:pos="4111"/>
              </w:tabs>
              <w:spacing w:before="40" w:after="40"/>
              <w:rPr>
                <w:szCs w:val="24"/>
              </w:rPr>
            </w:pPr>
            <w:r w:rsidRPr="00E35001">
              <w:rPr>
                <w:szCs w:val="24"/>
              </w:rPr>
              <w:t>Correo-e:</w:t>
            </w:r>
          </w:p>
        </w:tc>
        <w:tc>
          <w:tcPr>
            <w:tcW w:w="3793" w:type="dxa"/>
          </w:tcPr>
          <w:p w14:paraId="79EF25F3" w14:textId="71409C54" w:rsidR="002545AA" w:rsidRPr="00E35001" w:rsidRDefault="0070721C" w:rsidP="00F12084">
            <w:pPr>
              <w:tabs>
                <w:tab w:val="left" w:pos="4111"/>
              </w:tabs>
              <w:spacing w:before="40" w:after="40"/>
            </w:pPr>
            <w:hyperlink r:id="rId9" w:history="1">
              <w:r w:rsidRPr="003F4653">
                <w:rPr>
                  <w:rStyle w:val="Hyperlink"/>
                  <w:szCs w:val="24"/>
                </w:rPr>
                <w:t>tsbsg13@itu.int</w:t>
              </w:r>
            </w:hyperlink>
          </w:p>
        </w:tc>
        <w:tc>
          <w:tcPr>
            <w:tcW w:w="4762" w:type="dxa"/>
            <w:vMerge/>
          </w:tcPr>
          <w:p w14:paraId="668FC4C6" w14:textId="77777777" w:rsidR="002545AA" w:rsidRPr="00E35001" w:rsidRDefault="002545AA" w:rsidP="00F12084">
            <w:pPr>
              <w:tabs>
                <w:tab w:val="left" w:pos="4111"/>
              </w:tabs>
              <w:spacing w:beforeLines="40" w:before="96" w:after="40"/>
            </w:pPr>
          </w:p>
        </w:tc>
      </w:tr>
      <w:tr w:rsidR="002545AA" w:rsidRPr="00E35001" w14:paraId="2D49493A" w14:textId="77777777" w:rsidTr="00F12084">
        <w:trPr>
          <w:cantSplit/>
          <w:trHeight w:val="747"/>
        </w:trPr>
        <w:tc>
          <w:tcPr>
            <w:tcW w:w="1084" w:type="dxa"/>
            <w:gridSpan w:val="2"/>
          </w:tcPr>
          <w:p w14:paraId="343F5A94" w14:textId="77777777" w:rsidR="002545AA" w:rsidRPr="00E35001" w:rsidRDefault="002545AA" w:rsidP="00F12084">
            <w:pPr>
              <w:tabs>
                <w:tab w:val="left" w:pos="4111"/>
              </w:tabs>
              <w:spacing w:before="40" w:after="40"/>
              <w:rPr>
                <w:szCs w:val="24"/>
              </w:rPr>
            </w:pPr>
            <w:r w:rsidRPr="00E35001">
              <w:rPr>
                <w:szCs w:val="24"/>
              </w:rPr>
              <w:t>Web:</w:t>
            </w:r>
          </w:p>
        </w:tc>
        <w:tc>
          <w:tcPr>
            <w:tcW w:w="3793" w:type="dxa"/>
          </w:tcPr>
          <w:p w14:paraId="7D82AF90" w14:textId="77777777" w:rsidR="002545AA" w:rsidRPr="00E35001" w:rsidRDefault="002545AA" w:rsidP="00F12084">
            <w:pPr>
              <w:tabs>
                <w:tab w:val="left" w:pos="4111"/>
              </w:tabs>
              <w:spacing w:before="40" w:after="40"/>
            </w:pPr>
          </w:p>
        </w:tc>
        <w:tc>
          <w:tcPr>
            <w:tcW w:w="4762" w:type="dxa"/>
            <w:vMerge/>
          </w:tcPr>
          <w:p w14:paraId="19961250" w14:textId="77777777" w:rsidR="002545AA" w:rsidRPr="00E35001" w:rsidRDefault="002545AA" w:rsidP="00F12084">
            <w:pPr>
              <w:tabs>
                <w:tab w:val="left" w:pos="4111"/>
              </w:tabs>
              <w:spacing w:beforeLines="40" w:before="96" w:after="40"/>
            </w:pPr>
          </w:p>
        </w:tc>
      </w:tr>
      <w:tr w:rsidR="0070721C" w:rsidRPr="00E35001" w14:paraId="2C82981D" w14:textId="77777777" w:rsidTr="002C58A4">
        <w:trPr>
          <w:cantSplit/>
          <w:trHeight w:val="680"/>
        </w:trPr>
        <w:tc>
          <w:tcPr>
            <w:tcW w:w="1070" w:type="dxa"/>
          </w:tcPr>
          <w:p w14:paraId="6F8AF874" w14:textId="77777777" w:rsidR="0070721C" w:rsidRPr="0070721C" w:rsidRDefault="0070721C" w:rsidP="00F12084">
            <w:pPr>
              <w:tabs>
                <w:tab w:val="left" w:pos="4111"/>
              </w:tabs>
              <w:spacing w:before="40" w:after="40"/>
              <w:rPr>
                <w:b/>
                <w:bCs/>
                <w:szCs w:val="24"/>
              </w:rPr>
            </w:pPr>
            <w:r w:rsidRPr="0070721C">
              <w:rPr>
                <w:b/>
                <w:bCs/>
                <w:szCs w:val="24"/>
              </w:rPr>
              <w:t>Asunto:</w:t>
            </w:r>
          </w:p>
        </w:tc>
        <w:tc>
          <w:tcPr>
            <w:tcW w:w="8569" w:type="dxa"/>
            <w:gridSpan w:val="3"/>
          </w:tcPr>
          <w:p w14:paraId="416A77CC" w14:textId="1956EBDC" w:rsidR="0070721C" w:rsidRPr="00E35001" w:rsidRDefault="0070721C" w:rsidP="00F12084">
            <w:pPr>
              <w:tabs>
                <w:tab w:val="left" w:pos="4111"/>
              </w:tabs>
              <w:spacing w:before="40" w:after="40"/>
              <w:rPr>
                <w:b/>
                <w:bCs/>
              </w:rPr>
            </w:pPr>
            <w:bookmarkStart w:id="1" w:name="_Hlk215471702"/>
            <w:r w:rsidRPr="00F03AAA">
              <w:rPr>
                <w:rFonts w:cstheme="minorHAnsi"/>
                <w:b/>
                <w:bCs/>
                <w:szCs w:val="22"/>
                <w:lang w:val="es-ES"/>
              </w:rPr>
              <w:t>Reuniones de los Grupos de Trabajo 1, 2, 3</w:t>
            </w:r>
            <w:r w:rsidR="001A1E72">
              <w:rPr>
                <w:rFonts w:cstheme="minorHAnsi"/>
                <w:b/>
                <w:bCs/>
                <w:szCs w:val="22"/>
                <w:lang w:val="es-ES"/>
              </w:rPr>
              <w:t xml:space="preserve"> </w:t>
            </w:r>
            <w:r w:rsidRPr="00F03AAA">
              <w:rPr>
                <w:rFonts w:cstheme="minorHAnsi"/>
                <w:b/>
                <w:bCs/>
                <w:szCs w:val="22"/>
                <w:lang w:val="es-ES"/>
              </w:rPr>
              <w:t>y 4/13; Ginebra, 27 de febrero de 2026</w:t>
            </w:r>
            <w:bookmarkEnd w:id="1"/>
          </w:p>
        </w:tc>
      </w:tr>
    </w:tbl>
    <w:p w14:paraId="2912638F" w14:textId="7CA7A87F" w:rsidR="002545AA" w:rsidRDefault="002545AA" w:rsidP="00F12084">
      <w:pPr>
        <w:spacing w:before="0" w:after="120"/>
        <w:rPr>
          <w:sz w:val="24"/>
        </w:rPr>
      </w:pPr>
      <w:bookmarkStart w:id="2" w:name="ditulogo"/>
      <w:bookmarkEnd w:id="2"/>
      <w:r w:rsidRPr="00CB2DD7">
        <w:rPr>
          <w:lang w:val="es-ES"/>
        </w:rPr>
        <w:t>Muy Señora mía/Muy Señor mío</w:t>
      </w:r>
      <w:r w:rsidR="00F12084">
        <w:rPr>
          <w:lang w:val="es-ES"/>
        </w:rPr>
        <w:t>,</w:t>
      </w:r>
    </w:p>
    <w:p w14:paraId="02244F68" w14:textId="374AF5D9" w:rsidR="00CB2DD7" w:rsidRPr="00F03AAA" w:rsidRDefault="00CB2DD7" w:rsidP="00CB2DD7">
      <w:pPr>
        <w:rPr>
          <w:rFonts w:cstheme="minorHAnsi"/>
          <w:lang w:val="es-ES"/>
        </w:rPr>
      </w:pPr>
      <w:r w:rsidRPr="00F03AAA">
        <w:rPr>
          <w:lang w:val="es-ES"/>
        </w:rPr>
        <w:t>Con mi acuerdo a la solicitud del Sr. Kazunori Tanikawa, Presidente de la Comisión de Estudio 13, y según lo refrendado en la reunión de la Comisión de Estudio 13 (Tashkent, 28 de octubre – 6 de noviembre de 2025), me complace invitarle a asistir a las próximas reuniones del GT 1/13 (</w:t>
      </w:r>
      <w:r w:rsidRPr="00F03AAA">
        <w:rPr>
          <w:i/>
          <w:iCs/>
          <w:lang w:val="es-ES"/>
        </w:rPr>
        <w:t>Sistemas IMT</w:t>
      </w:r>
      <w:r w:rsidRPr="00F03AAA">
        <w:rPr>
          <w:lang w:val="es-ES"/>
        </w:rPr>
        <w:t>), GT 2/13 (</w:t>
      </w:r>
      <w:r w:rsidRPr="00F03AAA">
        <w:rPr>
          <w:i/>
          <w:iCs/>
          <w:lang w:val="es-ES"/>
        </w:rPr>
        <w:t>Computación en la nube y tratamiento de datos</w:t>
      </w:r>
      <w:r w:rsidRPr="00F03AAA">
        <w:rPr>
          <w:lang w:val="es-ES"/>
        </w:rPr>
        <w:t>), GT 3/13 (</w:t>
      </w:r>
      <w:r w:rsidRPr="00F03AAA">
        <w:rPr>
          <w:i/>
          <w:iCs/>
          <w:lang w:val="es-ES"/>
        </w:rPr>
        <w:t>Redes futuras</w:t>
      </w:r>
      <w:r w:rsidRPr="00F03AAA">
        <w:rPr>
          <w:lang w:val="es-ES"/>
        </w:rPr>
        <w:t>) y GT 4/13 (</w:t>
      </w:r>
      <w:r w:rsidRPr="00F03AAA">
        <w:rPr>
          <w:i/>
          <w:iCs/>
          <w:lang w:val="es-ES"/>
        </w:rPr>
        <w:t>Escenarios, Despliegue y tecnologías</w:t>
      </w:r>
      <w:r w:rsidRPr="00F03AAA">
        <w:rPr>
          <w:lang w:val="es-ES"/>
        </w:rPr>
        <w:t>), que está previsto que se celebre</w:t>
      </w:r>
      <w:r w:rsidR="001A1E72">
        <w:rPr>
          <w:lang w:val="es-ES"/>
        </w:rPr>
        <w:t>n</w:t>
      </w:r>
      <w:r w:rsidRPr="00F03AAA">
        <w:rPr>
          <w:lang w:val="es-ES"/>
        </w:rPr>
        <w:t xml:space="preserve"> en la Sede de la Unión Internacional de Telecomunicaciones (UIT), en Ginebra, el 27 de febrero de 2026. Además, las siguientes reuniones precederán a las reuniones de los Grupos de Trabajo de la CE</w:t>
      </w:r>
      <w:r>
        <w:rPr>
          <w:lang w:val="es-ES"/>
        </w:rPr>
        <w:t> </w:t>
      </w:r>
      <w:r w:rsidRPr="00F03AAA">
        <w:rPr>
          <w:lang w:val="es-ES"/>
        </w:rPr>
        <w:t>13 en el mismo lugar:</w:t>
      </w:r>
    </w:p>
    <w:p w14:paraId="4607076C" w14:textId="3989B10B" w:rsidR="00CB2DD7" w:rsidRPr="00F03AAA" w:rsidRDefault="00CB2DD7" w:rsidP="00CB2DD7">
      <w:pPr>
        <w:pStyle w:val="enumlev1"/>
        <w:rPr>
          <w:lang w:val="es-ES"/>
        </w:rPr>
      </w:pPr>
      <w:r w:rsidRPr="00CB2DD7">
        <w:rPr>
          <w:lang w:val="es-ES"/>
        </w:rPr>
        <w:t>–</w:t>
      </w:r>
      <w:r w:rsidRPr="00F03AAA">
        <w:rPr>
          <w:lang w:val="es-ES"/>
        </w:rPr>
        <w:tab/>
        <w:t>24ª reunión de la Actividad Conjunta de Coordinación sobre las IMT-2020 e IMT-2030 (JCA</w:t>
      </w:r>
      <w:r>
        <w:rPr>
          <w:lang w:val="es-ES"/>
        </w:rPr>
        <w:noBreakHyphen/>
      </w:r>
      <w:r w:rsidRPr="00F03AAA">
        <w:rPr>
          <w:lang w:val="es-ES"/>
        </w:rPr>
        <w:t xml:space="preserve">IMT2020/IMT2030) el 24 de febrero de 2026, </w:t>
      </w:r>
      <w:hyperlink r:id="rId10" w:history="1">
        <w:r w:rsidRPr="00F03AAA">
          <w:rPr>
            <w:rStyle w:val="Hyperlink"/>
            <w:lang w:val="es-ES"/>
          </w:rPr>
          <w:t>https://www.itu.int/es/ITU-T/jca/imt2020/Pages/default.aspx</w:t>
        </w:r>
      </w:hyperlink>
      <w:r w:rsidRPr="00F03AAA">
        <w:rPr>
          <w:lang w:val="es-ES"/>
        </w:rPr>
        <w:t xml:space="preserve"> </w:t>
      </w:r>
    </w:p>
    <w:p w14:paraId="16B48E62" w14:textId="3C887D14" w:rsidR="00CB2DD7" w:rsidRPr="00F03AAA" w:rsidRDefault="00CB2DD7" w:rsidP="00CB2DD7">
      <w:pPr>
        <w:pStyle w:val="enumlev1"/>
        <w:rPr>
          <w:rFonts w:cstheme="minorHAnsi"/>
          <w:szCs w:val="22"/>
          <w:lang w:val="es-ES"/>
        </w:rPr>
      </w:pPr>
      <w:r w:rsidRPr="00CB2DD7">
        <w:rPr>
          <w:lang w:val="es-ES"/>
        </w:rPr>
        <w:t>–</w:t>
      </w:r>
      <w:r w:rsidRPr="00F03AAA">
        <w:rPr>
          <w:rFonts w:cstheme="minorHAnsi"/>
          <w:lang w:val="es-ES"/>
        </w:rPr>
        <w:tab/>
        <w:t xml:space="preserve">Reuniones de los Grupos de Relator de la </w:t>
      </w:r>
      <w:r w:rsidRPr="00CB2DD7">
        <w:rPr>
          <w:lang w:val="es-ES"/>
        </w:rPr>
        <w:t>CE</w:t>
      </w:r>
      <w:r w:rsidRPr="00F03AAA">
        <w:rPr>
          <w:rFonts w:cstheme="minorHAnsi"/>
          <w:lang w:val="es-ES"/>
        </w:rPr>
        <w:t xml:space="preserve"> 13 del 23 al 27 de febrero de 2026</w:t>
      </w:r>
    </w:p>
    <w:p w14:paraId="27C70F68" w14:textId="77777777" w:rsidR="00CB2DD7" w:rsidRPr="00F03AAA" w:rsidRDefault="00CB2DD7" w:rsidP="00CB2DD7">
      <w:pPr>
        <w:rPr>
          <w:rFonts w:cstheme="minorHAnsi"/>
          <w:szCs w:val="22"/>
          <w:lang w:val="es-ES"/>
        </w:rPr>
      </w:pPr>
      <w:r w:rsidRPr="00F03AAA">
        <w:rPr>
          <w:lang w:val="es-ES"/>
        </w:rPr>
        <w:t xml:space="preserve">La reunión del GT 4/13 comenzará a las 09.00 horas, la reunión del GT 3/13 comenzará a las 10.30 horas, la reunión del GT 2/13 comenzará a las 14.00 horas y el GT 1/13 comenzará a las 15.00 horas. La inscripción de los participantes comenzará a las 08.00 horas el 27 de febrero y el 23 de febrero en la </w:t>
      </w:r>
      <w:hyperlink r:id="rId11" w:history="1">
        <w:r w:rsidRPr="00F03AAA">
          <w:rPr>
            <w:rStyle w:val="Hyperlink"/>
            <w:lang w:val="es-ES"/>
          </w:rPr>
          <w:t>entrada del edificio de Montbrillant</w:t>
        </w:r>
      </w:hyperlink>
      <w:r w:rsidRPr="00F03AAA">
        <w:rPr>
          <w:lang w:val="es-ES"/>
        </w:rPr>
        <w:t xml:space="preserve">. La distribución de las salas de reunión se mostrará en las pantallas de la Sede de la UIT y se publicará en línea </w:t>
      </w:r>
      <w:hyperlink r:id="rId12" w:history="1">
        <w:r w:rsidRPr="00F03AAA">
          <w:rPr>
            <w:rStyle w:val="Hyperlink"/>
            <w:lang w:val="es-ES"/>
          </w:rPr>
          <w:t>aquí</w:t>
        </w:r>
      </w:hyperlink>
      <w:r w:rsidRPr="00F03AAA">
        <w:rPr>
          <w:lang w:val="es-ES"/>
        </w:rPr>
        <w:t>.</w:t>
      </w:r>
      <w:hyperlink r:id="rId13" w:history="1"/>
      <w:hyperlink r:id="rId14" w:history="1"/>
    </w:p>
    <w:p w14:paraId="1AA6DF67" w14:textId="58E5650F" w:rsidR="00CB2DD7" w:rsidRPr="00F03AAA" w:rsidRDefault="00CB2DD7" w:rsidP="00CB2DD7">
      <w:pPr>
        <w:rPr>
          <w:rFonts w:cstheme="minorHAnsi"/>
          <w:lang w:val="es-ES"/>
        </w:rPr>
      </w:pPr>
      <w:r w:rsidRPr="00F03AAA">
        <w:rPr>
          <w:lang w:val="es-ES"/>
        </w:rPr>
        <w:t xml:space="preserve">La documentación, la inscripción y demás información conexa pueden consultarse en la página principal de la </w:t>
      </w:r>
      <w:hyperlink r:id="rId15" w:anchor="/es" w:history="1">
        <w:r w:rsidRPr="00F03AAA">
          <w:rPr>
            <w:rStyle w:val="Hyperlink"/>
            <w:lang w:val="es-ES"/>
          </w:rPr>
          <w:t>Comisión de Estudio</w:t>
        </w:r>
      </w:hyperlink>
      <w:r w:rsidRPr="00F03AAA">
        <w:rPr>
          <w:lang w:val="es-ES"/>
        </w:rPr>
        <w:t xml:space="preserve">. </w:t>
      </w:r>
      <w:hyperlink r:id="rId16" w:history="1"/>
    </w:p>
    <w:p w14:paraId="0ED524FF" w14:textId="77777777" w:rsidR="00CB2DD7" w:rsidRPr="00F03AAA" w:rsidRDefault="00CB2DD7" w:rsidP="00CB2DD7">
      <w:pPr>
        <w:rPr>
          <w:rFonts w:cstheme="minorHAnsi"/>
          <w:lang w:val="es-ES"/>
        </w:rPr>
      </w:pPr>
      <w:r w:rsidRPr="00F03AAA">
        <w:rPr>
          <w:lang w:val="es-ES"/>
        </w:rPr>
        <w:t>No se concederán becas, y las reuniones se celebrarán únicamente en inglés, sin interpretación.</w:t>
      </w:r>
    </w:p>
    <w:p w14:paraId="21F9156B" w14:textId="77777777" w:rsidR="00CB2DD7" w:rsidRPr="00F03AAA" w:rsidRDefault="00CB2DD7" w:rsidP="00CB2DD7">
      <w:pPr>
        <w:rPr>
          <w:rFonts w:cstheme="minorBidi"/>
          <w:lang w:val="es-ES"/>
        </w:rPr>
      </w:pPr>
      <w:r w:rsidRPr="00F03AAA">
        <w:rPr>
          <w:lang w:val="es-ES"/>
        </w:rPr>
        <w:t>El principal objetivo de las reuniones de los Grupos de Trabajo es estudiar la posibilidad de iniciar el proceso de aprobación de los siguientes proyectos de Recomendación UIT-T y examinar los Suplementos para su aprobación, según proceda, sobre la base de los resultados de las reuniones de los Grupos de Relator celebradas en días anteriores (23-27 de febrero de 2026, Ginebra):</w:t>
      </w:r>
    </w:p>
    <w:p w14:paraId="6BB767FC" w14:textId="77777777" w:rsidR="00CB2DD7" w:rsidRPr="00F03AAA" w:rsidRDefault="00CB2DD7" w:rsidP="0075691C">
      <w:pPr>
        <w:pStyle w:val="Headingb0"/>
        <w:keepLines/>
        <w:spacing w:after="120"/>
        <w:rPr>
          <w:lang w:val="es-ES"/>
        </w:rPr>
      </w:pPr>
      <w:r w:rsidRPr="00F03AAA">
        <w:rPr>
          <w:lang w:val="es-ES"/>
        </w:rPr>
        <w:lastRenderedPageBreak/>
        <w:t>GT1/13:</w:t>
      </w:r>
    </w:p>
    <w:p w14:paraId="761D1EA3" w14:textId="0781E8C0" w:rsidR="00CB2DD7" w:rsidRPr="00F03AAA" w:rsidRDefault="00CB2DD7" w:rsidP="0075691C">
      <w:pPr>
        <w:pStyle w:val="enumlev1"/>
        <w:keepNext/>
        <w:keepLines/>
        <w:rPr>
          <w:lang w:val="es-ES"/>
        </w:rPr>
      </w:pPr>
      <w:r w:rsidRPr="00CB2DD7">
        <w:rPr>
          <w:lang w:val="es-ES"/>
        </w:rPr>
        <w:t>•</w:t>
      </w:r>
      <w:r>
        <w:rPr>
          <w:lang w:val="es-ES"/>
        </w:rPr>
        <w:tab/>
      </w:r>
      <w:r w:rsidRPr="00F03AAA">
        <w:rPr>
          <w:lang w:val="es-ES"/>
        </w:rPr>
        <w:t>Y.IMT2020-DIC "Colaboración en materia de inteligencia distribuida para las IMT-2020 y posteriores" (C20/13)</w:t>
      </w:r>
    </w:p>
    <w:p w14:paraId="562D493A" w14:textId="50CE446C" w:rsidR="00CB2DD7" w:rsidRPr="00F03AAA" w:rsidRDefault="00CB2DD7" w:rsidP="0075691C">
      <w:pPr>
        <w:pStyle w:val="enumlev1"/>
        <w:keepNext/>
        <w:keepLines/>
        <w:rPr>
          <w:rFonts w:cstheme="minorHAnsi"/>
          <w:lang w:val="es-ES"/>
        </w:rPr>
      </w:pPr>
      <w:r w:rsidRPr="00CB2DD7">
        <w:rPr>
          <w:lang w:val="es-ES"/>
        </w:rPr>
        <w:t>•</w:t>
      </w:r>
      <w:r>
        <w:rPr>
          <w:lang w:val="es-ES"/>
        </w:rPr>
        <w:tab/>
      </w:r>
      <w:r w:rsidRPr="00F03AAA">
        <w:rPr>
          <w:rFonts w:cstheme="minorHAnsi"/>
          <w:lang w:val="es-ES"/>
        </w:rPr>
        <w:t xml:space="preserve">Y.IMT2020-EE-CFW "Requisitos y </w:t>
      </w:r>
      <w:r w:rsidRPr="00CB2DD7">
        <w:rPr>
          <w:lang w:val="es-ES"/>
        </w:rPr>
        <w:t>marco</w:t>
      </w:r>
      <w:r w:rsidRPr="00F03AAA">
        <w:rPr>
          <w:rFonts w:cstheme="minorHAnsi"/>
          <w:lang w:val="es-ES"/>
        </w:rPr>
        <w:t xml:space="preserve"> de capacidades de las redes IMT-2020 y posteriores desde la perspectiva de la eficiencia energética" (C20/13)</w:t>
      </w:r>
    </w:p>
    <w:p w14:paraId="225F1335" w14:textId="01BD28AE" w:rsidR="00CB2DD7" w:rsidRPr="00F03AAA" w:rsidRDefault="00CB2DD7" w:rsidP="00CB2DD7">
      <w:pPr>
        <w:pStyle w:val="enumlev1"/>
        <w:rPr>
          <w:rFonts w:cstheme="minorHAnsi"/>
          <w:lang w:val="es-ES"/>
        </w:rPr>
      </w:pPr>
      <w:r w:rsidRPr="00CB2DD7">
        <w:rPr>
          <w:lang w:val="es-ES"/>
        </w:rPr>
        <w:t>•</w:t>
      </w:r>
      <w:r>
        <w:rPr>
          <w:lang w:val="es-ES"/>
        </w:rPr>
        <w:tab/>
      </w:r>
      <w:r w:rsidRPr="00F03AAA">
        <w:rPr>
          <w:rFonts w:cstheme="minorHAnsi"/>
          <w:lang w:val="es-ES"/>
        </w:rPr>
        <w:t xml:space="preserve">Y.IMT2020-DDP "Redes </w:t>
      </w:r>
      <w:r w:rsidRPr="00CB2DD7">
        <w:rPr>
          <w:lang w:val="es-ES"/>
        </w:rPr>
        <w:t>futuras</w:t>
      </w:r>
      <w:r w:rsidRPr="00F03AAA">
        <w:rPr>
          <w:rFonts w:cstheme="minorHAnsi"/>
          <w:lang w:val="es-ES"/>
        </w:rPr>
        <w:t>, incluidas las IMT-2020 – Requisitos y marco del plano de datos distribuido" (C20/13)</w:t>
      </w:r>
    </w:p>
    <w:p w14:paraId="3470A9A1" w14:textId="4E49D6AA" w:rsidR="00CB2DD7" w:rsidRPr="00F03AAA" w:rsidRDefault="00CB2DD7" w:rsidP="00CB2DD7">
      <w:pPr>
        <w:pStyle w:val="enumlev1"/>
        <w:rPr>
          <w:rFonts w:cstheme="minorHAnsi"/>
          <w:lang w:val="es-ES"/>
        </w:rPr>
      </w:pPr>
      <w:r w:rsidRPr="00CB2DD7">
        <w:rPr>
          <w:lang w:val="es-ES"/>
        </w:rPr>
        <w:t>•</w:t>
      </w:r>
      <w:r>
        <w:rPr>
          <w:lang w:val="es-ES"/>
        </w:rPr>
        <w:tab/>
      </w:r>
      <w:r w:rsidRPr="00F03AAA">
        <w:rPr>
          <w:rFonts w:cstheme="minorHAnsi"/>
          <w:lang w:val="es-ES"/>
        </w:rPr>
        <w:t>Y.Sup.MDT "</w:t>
      </w:r>
      <w:r w:rsidRPr="00CB2DD7">
        <w:rPr>
          <w:lang w:val="es-ES"/>
        </w:rPr>
        <w:t>Arquitectura</w:t>
      </w:r>
      <w:r w:rsidRPr="00F03AAA">
        <w:rPr>
          <w:rFonts w:cstheme="minorHAnsi"/>
          <w:lang w:val="es-ES"/>
        </w:rPr>
        <w:t xml:space="preserve"> funcional de las redes definidas por software para el servicio de transmisión masiva de datos" (C21/13)</w:t>
      </w:r>
    </w:p>
    <w:p w14:paraId="61284301" w14:textId="723AA145" w:rsidR="00CB2DD7" w:rsidRPr="00F03AAA" w:rsidRDefault="00CB2DD7" w:rsidP="00CB2DD7">
      <w:pPr>
        <w:pStyle w:val="enumlev1"/>
        <w:rPr>
          <w:rFonts w:cstheme="minorHAnsi"/>
          <w:lang w:val="es-ES"/>
        </w:rPr>
      </w:pPr>
      <w:r w:rsidRPr="00CB2DD7">
        <w:rPr>
          <w:lang w:val="es-ES"/>
        </w:rPr>
        <w:t>•</w:t>
      </w:r>
      <w:r>
        <w:rPr>
          <w:lang w:val="es-ES"/>
        </w:rPr>
        <w:tab/>
      </w:r>
      <w:r w:rsidRPr="00F03AAA">
        <w:rPr>
          <w:rFonts w:cstheme="minorHAnsi"/>
          <w:lang w:val="es-ES"/>
        </w:rPr>
        <w:t>Y.FMSC-MPTC "</w:t>
      </w:r>
      <w:r w:rsidRPr="00CB2DD7">
        <w:rPr>
          <w:lang w:val="es-ES"/>
        </w:rPr>
        <w:t>Convergencia</w:t>
      </w:r>
      <w:r w:rsidRPr="00F03AAA">
        <w:rPr>
          <w:rFonts w:cstheme="minorHAnsi"/>
          <w:lang w:val="es-ES"/>
        </w:rPr>
        <w:t xml:space="preserve"> fija, móvil y por satélite – Control de la transmisión multitrayecto para las redes IMT-2020 y posteriores" (C23/13)</w:t>
      </w:r>
    </w:p>
    <w:p w14:paraId="609F5C12" w14:textId="747972EB" w:rsidR="00CB2DD7" w:rsidRPr="00F03AAA" w:rsidRDefault="00CB2DD7" w:rsidP="00CB2DD7">
      <w:pPr>
        <w:pStyle w:val="enumlev1"/>
        <w:rPr>
          <w:rFonts w:cstheme="minorHAnsi"/>
          <w:lang w:val="es-ES"/>
        </w:rPr>
      </w:pPr>
      <w:r w:rsidRPr="00CB2DD7">
        <w:rPr>
          <w:lang w:val="es-ES"/>
        </w:rPr>
        <w:t>•</w:t>
      </w:r>
      <w:r>
        <w:rPr>
          <w:lang w:val="es-ES"/>
        </w:rPr>
        <w:tab/>
      </w:r>
      <w:r w:rsidRPr="00F03AAA">
        <w:rPr>
          <w:rFonts w:cstheme="minorHAnsi"/>
          <w:lang w:val="es-ES"/>
        </w:rPr>
        <w:t>Y.FMSC-DN "</w:t>
      </w:r>
      <w:r w:rsidRPr="00CB2DD7">
        <w:rPr>
          <w:lang w:val="es-ES"/>
        </w:rPr>
        <w:t>Convergencia</w:t>
      </w:r>
      <w:r w:rsidRPr="00F03AAA">
        <w:rPr>
          <w:rFonts w:cstheme="minorHAnsi"/>
          <w:lang w:val="es-ES"/>
        </w:rPr>
        <w:t xml:space="preserve"> fija, móvil y por satélite – Redes especializadas para las IMT-2020 y posteriores" (C23/13)</w:t>
      </w:r>
    </w:p>
    <w:p w14:paraId="5C9C0F28" w14:textId="7894832E" w:rsidR="00CB2DD7" w:rsidRPr="00F03AAA" w:rsidRDefault="00CB2DD7" w:rsidP="00CB2DD7">
      <w:pPr>
        <w:pStyle w:val="enumlev1"/>
        <w:rPr>
          <w:rFonts w:cstheme="minorHAnsi"/>
          <w:lang w:val="es-ES"/>
        </w:rPr>
      </w:pPr>
      <w:r w:rsidRPr="00CB2DD7">
        <w:rPr>
          <w:lang w:val="es-ES"/>
        </w:rPr>
        <w:t>•</w:t>
      </w:r>
      <w:r>
        <w:rPr>
          <w:lang w:val="es-ES"/>
        </w:rPr>
        <w:tab/>
      </w:r>
      <w:r w:rsidRPr="00F03AAA">
        <w:rPr>
          <w:rFonts w:cstheme="minorHAnsi"/>
          <w:lang w:val="es-ES"/>
        </w:rPr>
        <w:t>Y.FMSC-IUSU-arch "</w:t>
      </w:r>
      <w:r w:rsidRPr="00CB2DD7">
        <w:rPr>
          <w:lang w:val="es-ES"/>
        </w:rPr>
        <w:t>Convergencia</w:t>
      </w:r>
      <w:r w:rsidRPr="00F03AAA">
        <w:rPr>
          <w:rFonts w:cstheme="minorHAnsi"/>
          <w:lang w:val="es-ES"/>
        </w:rPr>
        <w:t xml:space="preserve"> fija, móvil y por satélite – Arquitectura mejorada para las redes IMT-2020 y posteriores en apoyo de unidades de servicio integradas centradas en el usuario" (C23/13)</w:t>
      </w:r>
    </w:p>
    <w:p w14:paraId="69FE4B98" w14:textId="77777777" w:rsidR="00CB2DD7" w:rsidRPr="00F03AAA" w:rsidRDefault="00CB2DD7" w:rsidP="00CB2DD7">
      <w:pPr>
        <w:pStyle w:val="Headingb0"/>
        <w:spacing w:after="120"/>
        <w:rPr>
          <w:rFonts w:cstheme="minorHAnsi"/>
          <w:b w:val="0"/>
          <w:bCs/>
          <w:szCs w:val="22"/>
          <w:lang w:val="es-ES"/>
        </w:rPr>
      </w:pPr>
      <w:r w:rsidRPr="00F03AAA">
        <w:rPr>
          <w:rFonts w:cstheme="minorHAnsi"/>
          <w:bCs/>
          <w:szCs w:val="22"/>
          <w:lang w:val="es-ES"/>
        </w:rPr>
        <w:t>GT2/13:</w:t>
      </w:r>
    </w:p>
    <w:p w14:paraId="5BA6ECCB" w14:textId="685DBA9D" w:rsidR="00CB2DD7" w:rsidRPr="00F03AAA" w:rsidRDefault="00CB2DD7" w:rsidP="00CB2DD7">
      <w:pPr>
        <w:pStyle w:val="enumlev1"/>
        <w:rPr>
          <w:lang w:val="es-ES"/>
        </w:rPr>
      </w:pPr>
      <w:r w:rsidRPr="00CB2DD7">
        <w:rPr>
          <w:lang w:val="es-ES"/>
        </w:rPr>
        <w:t>•</w:t>
      </w:r>
      <w:r>
        <w:rPr>
          <w:lang w:val="es-ES"/>
        </w:rPr>
        <w:tab/>
      </w:r>
      <w:r w:rsidRPr="00F03AAA">
        <w:rPr>
          <w:lang w:val="es-ES"/>
        </w:rPr>
        <w:t>Y.FaaS-reqts</w:t>
      </w:r>
      <w:r w:rsidR="005023B1">
        <w:rPr>
          <w:lang w:val="es-ES"/>
        </w:rPr>
        <w:t xml:space="preserve"> </w:t>
      </w:r>
      <w:r w:rsidRPr="00F03AAA">
        <w:rPr>
          <w:lang w:val="es-ES"/>
        </w:rPr>
        <w:t>"</w:t>
      </w:r>
      <w:r w:rsidRPr="00CB2DD7">
        <w:rPr>
          <w:rFonts w:cstheme="minorHAnsi"/>
          <w:lang w:val="es-ES"/>
        </w:rPr>
        <w:t>Computación</w:t>
      </w:r>
      <w:r w:rsidRPr="00F03AAA">
        <w:rPr>
          <w:lang w:val="es-ES"/>
        </w:rPr>
        <w:t xml:space="preserve"> en la nube – Requisitos funcionales de la función como servicio" (C17/13)</w:t>
      </w:r>
    </w:p>
    <w:p w14:paraId="2DD71B23" w14:textId="79DFB6A8" w:rsidR="00CB2DD7" w:rsidRPr="00F03AAA" w:rsidRDefault="00CB2DD7" w:rsidP="00CB2DD7">
      <w:pPr>
        <w:pStyle w:val="enumlev1"/>
        <w:rPr>
          <w:lang w:val="es-ES"/>
        </w:rPr>
      </w:pPr>
      <w:r w:rsidRPr="00CB2DD7">
        <w:rPr>
          <w:lang w:val="es-ES"/>
        </w:rPr>
        <w:t>•</w:t>
      </w:r>
      <w:r>
        <w:rPr>
          <w:lang w:val="es-ES"/>
        </w:rPr>
        <w:tab/>
      </w:r>
      <w:r w:rsidRPr="00F03AAA">
        <w:rPr>
          <w:lang w:val="es-ES"/>
        </w:rPr>
        <w:t>Y.ecs-reqts "Computación periférica – Requisitos funcionales del servicio de computación periférica" (C17/13)</w:t>
      </w:r>
    </w:p>
    <w:p w14:paraId="3038DD11" w14:textId="220AEA53" w:rsidR="00CB2DD7" w:rsidRPr="00F03AAA" w:rsidRDefault="00CB2DD7" w:rsidP="00CB2DD7">
      <w:pPr>
        <w:pStyle w:val="enumlev1"/>
        <w:rPr>
          <w:lang w:val="es-ES"/>
        </w:rPr>
      </w:pPr>
      <w:r w:rsidRPr="00CB2DD7">
        <w:rPr>
          <w:lang w:val="es-ES"/>
        </w:rPr>
        <w:t>•</w:t>
      </w:r>
      <w:r>
        <w:rPr>
          <w:lang w:val="es-ES"/>
        </w:rPr>
        <w:tab/>
      </w:r>
      <w:r w:rsidRPr="00F03AAA">
        <w:rPr>
          <w:lang w:val="es-ES"/>
        </w:rPr>
        <w:t xml:space="preserve">Y.3510-rev "Requisitos de </w:t>
      </w:r>
      <w:r w:rsidRPr="00CB2DD7">
        <w:rPr>
          <w:rFonts w:cstheme="minorHAnsi"/>
          <w:lang w:val="es-ES"/>
        </w:rPr>
        <w:t>infraestructura</w:t>
      </w:r>
      <w:r w:rsidRPr="00F03AAA">
        <w:rPr>
          <w:lang w:val="es-ES"/>
        </w:rPr>
        <w:t xml:space="preserve"> de computación en nube" (C17/13)</w:t>
      </w:r>
    </w:p>
    <w:p w14:paraId="1085965E" w14:textId="4663F171" w:rsidR="00CB2DD7" w:rsidRPr="00F03AAA" w:rsidRDefault="00CB2DD7" w:rsidP="00CB2DD7">
      <w:pPr>
        <w:pStyle w:val="enumlev1"/>
        <w:rPr>
          <w:lang w:val="es-ES"/>
        </w:rPr>
      </w:pPr>
      <w:r w:rsidRPr="00CB2DD7">
        <w:rPr>
          <w:lang w:val="es-ES"/>
        </w:rPr>
        <w:t>•</w:t>
      </w:r>
      <w:r>
        <w:rPr>
          <w:lang w:val="es-ES"/>
        </w:rPr>
        <w:tab/>
      </w:r>
      <w:r w:rsidRPr="00F03AAA">
        <w:rPr>
          <w:lang w:val="es-ES"/>
        </w:rPr>
        <w:t xml:space="preserve">Y.cmi-arch "Computación en </w:t>
      </w:r>
      <w:r w:rsidRPr="00CB2DD7">
        <w:rPr>
          <w:rFonts w:cstheme="minorHAnsi"/>
          <w:lang w:val="es-ES"/>
        </w:rPr>
        <w:t>la</w:t>
      </w:r>
      <w:r w:rsidRPr="00F03AAA">
        <w:rPr>
          <w:lang w:val="es-ES"/>
        </w:rPr>
        <w:t xml:space="preserve"> nube – Arquitectura funcional de la gestión de contenedores entre nubes" (C18/13)</w:t>
      </w:r>
    </w:p>
    <w:p w14:paraId="6FE648AC" w14:textId="03326781" w:rsidR="00CB2DD7" w:rsidRPr="00F03AAA" w:rsidRDefault="00CB2DD7" w:rsidP="00CB2DD7">
      <w:pPr>
        <w:pStyle w:val="enumlev1"/>
        <w:rPr>
          <w:lang w:val="es-ES"/>
        </w:rPr>
      </w:pPr>
      <w:r w:rsidRPr="00CB2DD7">
        <w:rPr>
          <w:lang w:val="es-ES"/>
        </w:rPr>
        <w:t>•</w:t>
      </w:r>
      <w:r>
        <w:rPr>
          <w:lang w:val="es-ES"/>
        </w:rPr>
        <w:tab/>
      </w:r>
      <w:r w:rsidRPr="00F03AAA">
        <w:rPr>
          <w:lang w:val="es-ES"/>
        </w:rPr>
        <w:t>Y.ccm-arch "Computación en la nube – Arquitectura funcional para contenedores y gestión de contenedores" (C18/13)</w:t>
      </w:r>
    </w:p>
    <w:p w14:paraId="707ED4FC" w14:textId="3FB95F1C" w:rsidR="00CB2DD7" w:rsidRPr="00F03AAA" w:rsidRDefault="00CB2DD7" w:rsidP="00CB2DD7">
      <w:pPr>
        <w:pStyle w:val="enumlev1"/>
        <w:rPr>
          <w:lang w:val="es-ES"/>
        </w:rPr>
      </w:pPr>
      <w:r w:rsidRPr="00CB2DD7">
        <w:rPr>
          <w:lang w:val="es-ES"/>
        </w:rPr>
        <w:t>•</w:t>
      </w:r>
      <w:r>
        <w:rPr>
          <w:lang w:val="es-ES"/>
        </w:rPr>
        <w:tab/>
      </w:r>
      <w:r w:rsidRPr="00F03AAA">
        <w:rPr>
          <w:lang w:val="es-ES"/>
        </w:rPr>
        <w:t>Y.rs-frame "Computación en la nube – Marco y requisitos funcionales de la calendarización de recursos entre múltiples proveedores de servicios en la nube" (C19/13)</w:t>
      </w:r>
    </w:p>
    <w:p w14:paraId="4CBDB3F8" w14:textId="77777777" w:rsidR="00CB2DD7" w:rsidRPr="00F03AAA" w:rsidRDefault="00CB2DD7" w:rsidP="00CB2DD7">
      <w:pPr>
        <w:pStyle w:val="Headingb0"/>
        <w:spacing w:after="120"/>
        <w:rPr>
          <w:rFonts w:cstheme="minorHAnsi"/>
          <w:b w:val="0"/>
          <w:bCs/>
          <w:szCs w:val="22"/>
          <w:lang w:val="es-ES"/>
        </w:rPr>
      </w:pPr>
      <w:r w:rsidRPr="00F03AAA">
        <w:rPr>
          <w:rFonts w:cstheme="minorHAnsi"/>
          <w:bCs/>
          <w:szCs w:val="22"/>
          <w:lang w:val="es-ES"/>
        </w:rPr>
        <w:t>GT3/</w:t>
      </w:r>
      <w:r w:rsidRPr="00CB2DD7">
        <w:rPr>
          <w:lang w:val="es-ES"/>
        </w:rPr>
        <w:t>13</w:t>
      </w:r>
      <w:r w:rsidRPr="00F03AAA">
        <w:rPr>
          <w:rFonts w:cstheme="minorHAnsi"/>
          <w:bCs/>
          <w:szCs w:val="22"/>
          <w:lang w:val="es-ES"/>
        </w:rPr>
        <w:t>:</w:t>
      </w:r>
    </w:p>
    <w:p w14:paraId="24AE04A4" w14:textId="106EA5A6" w:rsidR="00CB2DD7" w:rsidRPr="00F03AAA" w:rsidRDefault="00CB2DD7" w:rsidP="00CB2DD7">
      <w:pPr>
        <w:pStyle w:val="enumlev1"/>
        <w:rPr>
          <w:lang w:val="es-ES"/>
        </w:rPr>
      </w:pPr>
      <w:r w:rsidRPr="00CB2DD7">
        <w:rPr>
          <w:lang w:val="es-ES"/>
        </w:rPr>
        <w:t>•</w:t>
      </w:r>
      <w:r>
        <w:rPr>
          <w:lang w:val="es-ES"/>
        </w:rPr>
        <w:tab/>
      </w:r>
      <w:r w:rsidRPr="00F03AAA">
        <w:rPr>
          <w:lang w:val="es-ES"/>
        </w:rPr>
        <w:t>Y.NCE-DAICC "Mejora de la capacidad de red para centros de computación de inteligencia artificial distribuidos en NGNe" (C2/13)</w:t>
      </w:r>
    </w:p>
    <w:p w14:paraId="42F4CF5C" w14:textId="7FD59B68" w:rsidR="00CB2DD7" w:rsidRPr="00F03AAA" w:rsidRDefault="00CB2DD7" w:rsidP="00CB2DD7">
      <w:pPr>
        <w:pStyle w:val="enumlev1"/>
        <w:rPr>
          <w:lang w:val="es-ES"/>
        </w:rPr>
      </w:pPr>
      <w:r w:rsidRPr="00CB2DD7">
        <w:rPr>
          <w:lang w:val="es-ES"/>
        </w:rPr>
        <w:t>•</w:t>
      </w:r>
      <w:r>
        <w:rPr>
          <w:lang w:val="es-ES"/>
        </w:rPr>
        <w:tab/>
      </w:r>
      <w:r w:rsidRPr="00F03AAA">
        <w:rPr>
          <w:lang w:val="es-ES"/>
        </w:rPr>
        <w:t>Y.S-NICE-DLT-arch "Arquitectura funcional de S-NICE distribuido basada en DLT" (C2/13)</w:t>
      </w:r>
    </w:p>
    <w:p w14:paraId="44C3D6B6" w14:textId="40B7D746" w:rsidR="00CB2DD7" w:rsidRPr="00F03AAA" w:rsidRDefault="00CB2DD7" w:rsidP="00CB2DD7">
      <w:pPr>
        <w:pStyle w:val="enumlev1"/>
        <w:rPr>
          <w:lang w:val="es-ES"/>
        </w:rPr>
      </w:pPr>
      <w:r w:rsidRPr="00CB2DD7">
        <w:rPr>
          <w:lang w:val="es-ES"/>
        </w:rPr>
        <w:t>•</w:t>
      </w:r>
      <w:r>
        <w:rPr>
          <w:lang w:val="es-ES"/>
        </w:rPr>
        <w:tab/>
      </w:r>
      <w:r w:rsidRPr="00F03AAA">
        <w:rPr>
          <w:lang w:val="es-ES"/>
        </w:rPr>
        <w:t>Y.CPN-TP-arch "Requisitos y arquitectura funcional de la plataforma de transacción de red de potencia de cálculo" (C2/13)</w:t>
      </w:r>
    </w:p>
    <w:p w14:paraId="2810D93D" w14:textId="67CA60E2" w:rsidR="00CB2DD7" w:rsidRPr="00F03AAA" w:rsidRDefault="00CB2DD7" w:rsidP="00CB2DD7">
      <w:pPr>
        <w:pStyle w:val="enumlev1"/>
        <w:rPr>
          <w:lang w:val="es-ES"/>
        </w:rPr>
      </w:pPr>
      <w:r w:rsidRPr="00CB2DD7">
        <w:rPr>
          <w:lang w:val="es-ES"/>
        </w:rPr>
        <w:t>•</w:t>
      </w:r>
      <w:r>
        <w:rPr>
          <w:lang w:val="es-ES"/>
        </w:rPr>
        <w:tab/>
      </w:r>
      <w:r w:rsidRPr="00F03AAA">
        <w:rPr>
          <w:lang w:val="es-ES"/>
        </w:rPr>
        <w:t>Y.CPN-CL-arch "Requisitos y arquitectura de la capa de control CPN para recursos de red en las NGNe" (C2/13)</w:t>
      </w:r>
    </w:p>
    <w:p w14:paraId="296AB9D3" w14:textId="59F3B0BE" w:rsidR="00CB2DD7" w:rsidRPr="00F03AAA" w:rsidRDefault="00CB2DD7" w:rsidP="00CB2DD7">
      <w:pPr>
        <w:pStyle w:val="enumlev1"/>
        <w:rPr>
          <w:lang w:val="es-ES"/>
        </w:rPr>
      </w:pPr>
      <w:r w:rsidRPr="00CB2DD7">
        <w:rPr>
          <w:lang w:val="es-ES"/>
        </w:rPr>
        <w:t>•</w:t>
      </w:r>
      <w:r>
        <w:rPr>
          <w:lang w:val="es-ES"/>
        </w:rPr>
        <w:tab/>
      </w:r>
      <w:r w:rsidRPr="00F03AAA">
        <w:rPr>
          <w:lang w:val="es-ES"/>
        </w:rPr>
        <w:t>Y.Suppl.NGNe-UC-SCE "Suplemento a la serie Y.2300: Casos de uso de mejora de la capacidad orientada a servicios en las NGNe" (C2/13)</w:t>
      </w:r>
    </w:p>
    <w:p w14:paraId="7E67A41F" w14:textId="74D03F6A" w:rsidR="00CB2DD7" w:rsidRPr="00F03AAA" w:rsidRDefault="00CB2DD7" w:rsidP="00CB2DD7">
      <w:pPr>
        <w:pStyle w:val="enumlev1"/>
        <w:rPr>
          <w:lang w:val="es-ES"/>
        </w:rPr>
      </w:pPr>
      <w:r w:rsidRPr="00CB2DD7">
        <w:rPr>
          <w:lang w:val="es-ES"/>
        </w:rPr>
        <w:t>•</w:t>
      </w:r>
      <w:r>
        <w:rPr>
          <w:lang w:val="es-ES"/>
        </w:rPr>
        <w:tab/>
      </w:r>
      <w:r w:rsidRPr="00F03AAA">
        <w:rPr>
          <w:lang w:val="es-ES"/>
        </w:rPr>
        <w:t>Y.bDDN-DTMec "Redes basadas en macrodatos – Mecanismo de transmisión de datos" (C7/13)</w:t>
      </w:r>
    </w:p>
    <w:p w14:paraId="69103C9C" w14:textId="741DAFE7" w:rsidR="00CB2DD7" w:rsidRPr="00F03AAA" w:rsidRDefault="00CB2DD7" w:rsidP="00CB2DD7">
      <w:pPr>
        <w:pStyle w:val="enumlev1"/>
        <w:rPr>
          <w:lang w:val="es-ES"/>
        </w:rPr>
      </w:pPr>
      <w:r w:rsidRPr="00CB2DD7">
        <w:rPr>
          <w:lang w:val="es-ES"/>
        </w:rPr>
        <w:t>•</w:t>
      </w:r>
      <w:r>
        <w:rPr>
          <w:lang w:val="es-ES"/>
        </w:rPr>
        <w:tab/>
      </w:r>
      <w:r w:rsidRPr="00F03AAA">
        <w:rPr>
          <w:lang w:val="es-ES"/>
        </w:rPr>
        <w:t>Y.bDDN-MecArch-KC "Arquitectura de redes basadas en macrodatos y mecanismo de construcción de conocimientos" (C7/13)</w:t>
      </w:r>
    </w:p>
    <w:p w14:paraId="2EF2168C" w14:textId="31F22E6D" w:rsidR="00CB2DD7" w:rsidRPr="00F03AAA" w:rsidRDefault="00CB2DD7" w:rsidP="00CB2DD7">
      <w:pPr>
        <w:pStyle w:val="enumlev1"/>
        <w:rPr>
          <w:lang w:val="es-ES"/>
        </w:rPr>
      </w:pPr>
      <w:r w:rsidRPr="00CB2DD7">
        <w:rPr>
          <w:lang w:val="es-ES"/>
        </w:rPr>
        <w:t>•</w:t>
      </w:r>
      <w:r>
        <w:rPr>
          <w:lang w:val="es-ES"/>
        </w:rPr>
        <w:tab/>
      </w:r>
      <w:r w:rsidRPr="00F03AAA">
        <w:rPr>
          <w:lang w:val="es-ES"/>
        </w:rPr>
        <w:t>Y.ICN-UP "Redes centradas en la información posteriores a las IMT-2020 – Requisitos y marco funcional del plano de usuario habilitado para la ICN" (C22/13)</w:t>
      </w:r>
    </w:p>
    <w:p w14:paraId="1857C597" w14:textId="32EBC8AA" w:rsidR="00CB2DD7" w:rsidRPr="00F03AAA" w:rsidRDefault="00CB2DD7" w:rsidP="00CB2DD7">
      <w:pPr>
        <w:pStyle w:val="enumlev1"/>
        <w:rPr>
          <w:lang w:val="es-ES"/>
        </w:rPr>
      </w:pPr>
      <w:r w:rsidRPr="00CB2DD7">
        <w:rPr>
          <w:lang w:val="es-ES"/>
        </w:rPr>
        <w:t>•</w:t>
      </w:r>
      <w:r>
        <w:rPr>
          <w:lang w:val="es-ES"/>
        </w:rPr>
        <w:tab/>
      </w:r>
      <w:r w:rsidRPr="00F03AAA">
        <w:rPr>
          <w:lang w:val="es-ES"/>
        </w:rPr>
        <w:t>Y.DTN-ModelReq "Red gemela digital – Requisitos técnicos generales del dominio modelo en la capa gemela digital" (C22/13)</w:t>
      </w:r>
    </w:p>
    <w:p w14:paraId="7A43E554" w14:textId="77777777" w:rsidR="00CB2DD7" w:rsidRPr="00F03AAA" w:rsidRDefault="00CB2DD7" w:rsidP="00CB2DD7">
      <w:pPr>
        <w:pStyle w:val="Headingb0"/>
        <w:keepLines/>
        <w:spacing w:after="120"/>
        <w:rPr>
          <w:b w:val="0"/>
          <w:bCs/>
          <w:szCs w:val="22"/>
          <w:lang w:val="es-ES"/>
        </w:rPr>
      </w:pPr>
      <w:r w:rsidRPr="00F03AAA">
        <w:rPr>
          <w:bCs/>
          <w:szCs w:val="22"/>
          <w:lang w:val="es-ES"/>
        </w:rPr>
        <w:lastRenderedPageBreak/>
        <w:t>GT4/</w:t>
      </w:r>
      <w:r w:rsidRPr="00CB2DD7">
        <w:rPr>
          <w:rFonts w:cstheme="minorHAnsi"/>
          <w:bCs/>
          <w:szCs w:val="22"/>
          <w:lang w:val="es-ES"/>
        </w:rPr>
        <w:t>13</w:t>
      </w:r>
      <w:r w:rsidRPr="00F03AAA">
        <w:rPr>
          <w:bCs/>
          <w:szCs w:val="22"/>
          <w:lang w:val="es-ES"/>
        </w:rPr>
        <w:t>:</w:t>
      </w:r>
    </w:p>
    <w:p w14:paraId="19C1BF8E" w14:textId="44A6ABDC" w:rsidR="00CB2DD7" w:rsidRPr="00F03AAA" w:rsidRDefault="00CB2DD7" w:rsidP="00CB2DD7">
      <w:pPr>
        <w:pStyle w:val="enumlev1"/>
        <w:keepNext/>
        <w:keepLines/>
        <w:rPr>
          <w:lang w:val="es-ES"/>
        </w:rPr>
      </w:pPr>
      <w:r w:rsidRPr="00CB2DD7">
        <w:rPr>
          <w:lang w:val="es-ES"/>
        </w:rPr>
        <w:t>•</w:t>
      </w:r>
      <w:r>
        <w:rPr>
          <w:lang w:val="es-ES"/>
        </w:rPr>
        <w:tab/>
      </w:r>
      <w:r w:rsidRPr="00F03AAA">
        <w:rPr>
          <w:lang w:val="es-ES"/>
        </w:rPr>
        <w:t>Y.IMT2020-qos-cec-rf "Marco y requisitos de garantía de QoS para sistemas de computación colaborativa en la nube-periferia-dispositivo" (C6/13)</w:t>
      </w:r>
    </w:p>
    <w:p w14:paraId="38DE5DC3" w14:textId="254FEA70" w:rsidR="00CB2DD7" w:rsidRPr="00F03AAA" w:rsidRDefault="00CB2DD7" w:rsidP="00CB2DD7">
      <w:pPr>
        <w:pStyle w:val="enumlev1"/>
        <w:keepNext/>
        <w:keepLines/>
        <w:rPr>
          <w:lang w:val="es-ES"/>
        </w:rPr>
      </w:pPr>
      <w:r w:rsidRPr="00CB2DD7">
        <w:rPr>
          <w:lang w:val="es-ES"/>
        </w:rPr>
        <w:t>•</w:t>
      </w:r>
      <w:r>
        <w:rPr>
          <w:lang w:val="es-ES"/>
        </w:rPr>
        <w:tab/>
      </w:r>
      <w:r w:rsidRPr="00F03AAA">
        <w:rPr>
          <w:lang w:val="es-ES"/>
        </w:rPr>
        <w:t>Y.det-qos-req-ml-jrs "Requisitos de QoS de la planificación conjunta de recursos basada en el aprendizaje automático para soportar servicios de comunicación deterministas a través de redes heterogéneas, incluidas las IMT-2020 y posteriores" (C6/13)</w:t>
      </w:r>
    </w:p>
    <w:p w14:paraId="45BFDE00" w14:textId="5E866480" w:rsidR="00CB2DD7" w:rsidRPr="00F03AAA" w:rsidRDefault="00CB2DD7" w:rsidP="00CB2DD7">
      <w:pPr>
        <w:pStyle w:val="enumlev1"/>
        <w:rPr>
          <w:lang w:val="es-ES"/>
        </w:rPr>
      </w:pPr>
      <w:r w:rsidRPr="00CB2DD7">
        <w:rPr>
          <w:lang w:val="es-ES"/>
        </w:rPr>
        <w:t>•</w:t>
      </w:r>
      <w:r>
        <w:rPr>
          <w:lang w:val="es-ES"/>
        </w:rPr>
        <w:tab/>
      </w:r>
      <w:r w:rsidRPr="00F03AAA">
        <w:rPr>
          <w:lang w:val="es-ES"/>
        </w:rPr>
        <w:t>Y.IMT2020-QoS-FMSC "Requisitos y marco de garantía de QoS para la convergencia fija, móvil y por satélite soportada por las IMT-2020 y posteriores" (C6/13)</w:t>
      </w:r>
    </w:p>
    <w:p w14:paraId="6CB48FDF" w14:textId="17CC3E95" w:rsidR="00CB2DD7" w:rsidRPr="00F03AAA" w:rsidRDefault="00CB2DD7" w:rsidP="00CB2DD7">
      <w:pPr>
        <w:pStyle w:val="enumlev1"/>
        <w:rPr>
          <w:lang w:val="es-ES"/>
        </w:rPr>
      </w:pPr>
      <w:r w:rsidRPr="00CB2DD7">
        <w:rPr>
          <w:lang w:val="es-ES"/>
        </w:rPr>
        <w:t>•</w:t>
      </w:r>
      <w:r>
        <w:rPr>
          <w:lang w:val="es-ES"/>
        </w:rPr>
        <w:tab/>
      </w:r>
      <w:r w:rsidRPr="00F03AAA">
        <w:rPr>
          <w:lang w:val="es-ES"/>
        </w:rPr>
        <w:t>Y.QKDN-qos-allo "Redes de distribución cuántica – Atribución de la calidad de servicio de extremo a extremo" (C6/13)</w:t>
      </w:r>
    </w:p>
    <w:p w14:paraId="66005119" w14:textId="1B071C35" w:rsidR="00CB2DD7" w:rsidRPr="00F03AAA" w:rsidRDefault="00CB2DD7" w:rsidP="00CB2DD7">
      <w:pPr>
        <w:pStyle w:val="enumlev1"/>
        <w:rPr>
          <w:lang w:val="es-ES"/>
        </w:rPr>
      </w:pPr>
      <w:r w:rsidRPr="00CB2DD7">
        <w:rPr>
          <w:lang w:val="es-ES"/>
        </w:rPr>
        <w:t>•</w:t>
      </w:r>
      <w:r>
        <w:rPr>
          <w:lang w:val="es-ES"/>
        </w:rPr>
        <w:tab/>
      </w:r>
      <w:r w:rsidRPr="00F03AAA">
        <w:rPr>
          <w:lang w:val="es-ES"/>
        </w:rPr>
        <w:t>Y.QKD-TLS "Integración de la distribución de claves cuánticas con la seguridad de la capa de transporte 1.3" (C16/13)</w:t>
      </w:r>
    </w:p>
    <w:p w14:paraId="35342C49" w14:textId="7EFF164A" w:rsidR="00CB2DD7" w:rsidRPr="00F03AAA" w:rsidRDefault="00CB2DD7" w:rsidP="00CB2DD7">
      <w:pPr>
        <w:pStyle w:val="enumlev1"/>
        <w:rPr>
          <w:lang w:val="es-ES"/>
        </w:rPr>
      </w:pPr>
      <w:r w:rsidRPr="00CB2DD7">
        <w:rPr>
          <w:lang w:val="es-ES"/>
        </w:rPr>
        <w:t>•</w:t>
      </w:r>
      <w:r>
        <w:rPr>
          <w:lang w:val="es-ES"/>
        </w:rPr>
        <w:tab/>
      </w:r>
      <w:r w:rsidRPr="00F03AAA">
        <w:rPr>
          <w:lang w:val="es-ES"/>
        </w:rPr>
        <w:t>Y.QKD-IPsec-fr "Marco para la integración de la distribución de claves cuánticas y el IPSec" (C16/13)</w:t>
      </w:r>
    </w:p>
    <w:p w14:paraId="2D93BE31" w14:textId="0863FD75" w:rsidR="00CB2DD7" w:rsidRPr="00F03AAA" w:rsidRDefault="00CB2DD7" w:rsidP="00CB2DD7">
      <w:pPr>
        <w:pStyle w:val="enumlev1"/>
        <w:rPr>
          <w:lang w:val="es-ES"/>
        </w:rPr>
      </w:pPr>
      <w:r w:rsidRPr="00CB2DD7">
        <w:rPr>
          <w:lang w:val="es-ES"/>
        </w:rPr>
        <w:t>•</w:t>
      </w:r>
      <w:r>
        <w:rPr>
          <w:lang w:val="es-ES"/>
        </w:rPr>
        <w:tab/>
      </w:r>
      <w:r w:rsidRPr="00F03AAA">
        <w:rPr>
          <w:lang w:val="es-ES"/>
        </w:rPr>
        <w:t>Y.Supp.QKDNmc-UC "Casos de uso de la coordinación multipunto en QKDN" (C16/13)</w:t>
      </w:r>
    </w:p>
    <w:p w14:paraId="17F43731" w14:textId="77777777" w:rsidR="00CB2DD7" w:rsidRPr="00F03AAA" w:rsidRDefault="00CB2DD7" w:rsidP="00313DEE">
      <w:pPr>
        <w:rPr>
          <w:rFonts w:cstheme="minorHAnsi"/>
          <w:lang w:val="es-ES"/>
        </w:rPr>
      </w:pPr>
      <w:r w:rsidRPr="00F03AAA">
        <w:rPr>
          <w:lang w:val="es-ES"/>
        </w:rPr>
        <w:t>El orden del día de las reuniones de los Grupos de Trabajo 1/13, 2/13, 3/13 y 4/13 también prevé el examen de nuevos temas de trabajo, declaraciones de coordinación salientes y actividades futuras.</w:t>
      </w:r>
    </w:p>
    <w:p w14:paraId="0EF62107" w14:textId="77777777" w:rsidR="00CB2DD7" w:rsidRPr="00F03AAA" w:rsidRDefault="00CB2DD7" w:rsidP="00313DEE">
      <w:pPr>
        <w:rPr>
          <w:rFonts w:cstheme="minorHAnsi"/>
          <w:lang w:val="es-ES"/>
        </w:rPr>
      </w:pPr>
      <w:r w:rsidRPr="00F03AAA">
        <w:rPr>
          <w:lang w:val="es-ES"/>
        </w:rPr>
        <w:t xml:space="preserve">El </w:t>
      </w:r>
      <w:r w:rsidRPr="00F03AAA">
        <w:rPr>
          <w:b/>
          <w:bCs/>
          <w:lang w:val="es-ES"/>
        </w:rPr>
        <w:t>Anexo A</w:t>
      </w:r>
      <w:r w:rsidRPr="00F03AAA">
        <w:rPr>
          <w:lang w:val="es-ES"/>
        </w:rPr>
        <w:t xml:space="preserve"> contiene información práctica sobre las reuniones. En el </w:t>
      </w:r>
      <w:r w:rsidRPr="00F03AAA">
        <w:rPr>
          <w:b/>
          <w:bCs/>
          <w:lang w:val="es-ES"/>
        </w:rPr>
        <w:t>Anexo B</w:t>
      </w:r>
      <w:r w:rsidRPr="00F03AAA">
        <w:rPr>
          <w:lang w:val="es-ES"/>
        </w:rPr>
        <w:t xml:space="preserve"> figura un proyecto de orden del día, preparado por los Presidentes de los Grupos de Trabajo 1/13, 2/13, 3/13 y 4/13.</w:t>
      </w:r>
    </w:p>
    <w:p w14:paraId="135DD54C" w14:textId="77777777" w:rsidR="00CB2DD7" w:rsidRPr="00F03AAA" w:rsidRDefault="00CB2DD7" w:rsidP="00313DEE">
      <w:pPr>
        <w:pStyle w:val="Headingb0"/>
        <w:keepLines/>
        <w:spacing w:after="120"/>
        <w:rPr>
          <w:rFonts w:cstheme="minorHAnsi"/>
          <w:szCs w:val="22"/>
          <w:lang w:val="es-ES"/>
        </w:rPr>
      </w:pPr>
      <w:r w:rsidRPr="00F03AAA">
        <w:rPr>
          <w:rFonts w:cstheme="minorHAnsi"/>
          <w:bCs/>
          <w:szCs w:val="22"/>
          <w:lang w:val="es-ES"/>
        </w:rPr>
        <w:t xml:space="preserve">Plazos </w:t>
      </w:r>
      <w:r w:rsidRPr="00313DEE">
        <w:rPr>
          <w:bCs/>
          <w:szCs w:val="22"/>
          <w:lang w:val="es-ES"/>
        </w:rPr>
        <w:t>clave</w:t>
      </w:r>
      <w:r w:rsidRPr="00F03AAA">
        <w:rPr>
          <w:rFonts w:cstheme="minorHAnsi"/>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7793"/>
      </w:tblGrid>
      <w:tr w:rsidR="00CB2DD7" w:rsidRPr="00432707" w14:paraId="26625665" w14:textId="77777777" w:rsidTr="001E2AD2">
        <w:tc>
          <w:tcPr>
            <w:tcW w:w="1838" w:type="dxa"/>
          </w:tcPr>
          <w:p w14:paraId="11CC9097" w14:textId="641D7A99" w:rsidR="00CB2DD7" w:rsidRPr="00F03AAA" w:rsidRDefault="00CB2DD7" w:rsidP="001E2AD2">
            <w:pPr>
              <w:pStyle w:val="TableText"/>
              <w:rPr>
                <w:rFonts w:cstheme="minorHAnsi"/>
                <w:szCs w:val="22"/>
                <w:highlight w:val="yellow"/>
                <w:lang w:val="es-ES"/>
              </w:rPr>
            </w:pPr>
            <w:r w:rsidRPr="00F03AAA">
              <w:rPr>
                <w:rFonts w:cstheme="minorHAnsi"/>
                <w:szCs w:val="22"/>
                <w:lang w:val="es-ES"/>
              </w:rPr>
              <w:t>4 de enero de</w:t>
            </w:r>
            <w:r w:rsidR="00AC0F84">
              <w:rPr>
                <w:rFonts w:cstheme="minorHAnsi"/>
                <w:szCs w:val="22"/>
                <w:lang w:val="es-ES"/>
              </w:rPr>
              <w:t> </w:t>
            </w:r>
            <w:r w:rsidRPr="00F03AAA">
              <w:rPr>
                <w:rFonts w:cstheme="minorHAnsi"/>
                <w:szCs w:val="22"/>
                <w:lang w:val="es-ES"/>
              </w:rPr>
              <w:t>2026</w:t>
            </w:r>
          </w:p>
        </w:tc>
        <w:tc>
          <w:tcPr>
            <w:tcW w:w="7810" w:type="dxa"/>
          </w:tcPr>
          <w:p w14:paraId="6FD3AB5F" w14:textId="4D90D17A" w:rsidR="00CB2DD7" w:rsidRPr="00F03AAA" w:rsidRDefault="00313DEE" w:rsidP="001E2AD2">
            <w:pPr>
              <w:pStyle w:val="TableText"/>
              <w:ind w:left="172" w:hanging="207"/>
              <w:rPr>
                <w:rFonts w:cstheme="minorHAnsi"/>
                <w:szCs w:val="22"/>
                <w:lang w:val="es-ES"/>
              </w:rPr>
            </w:pPr>
            <w:r w:rsidRPr="00313DEE">
              <w:rPr>
                <w:rFonts w:cstheme="minorHAnsi"/>
                <w:szCs w:val="22"/>
                <w:lang w:val="es-ES"/>
              </w:rPr>
              <w:t>–</w:t>
            </w:r>
            <w:r w:rsidR="00CB2DD7" w:rsidRPr="00F03AAA">
              <w:rPr>
                <w:rFonts w:cstheme="minorHAnsi"/>
                <w:szCs w:val="22"/>
                <w:lang w:val="es-ES"/>
              </w:rPr>
              <w:tab/>
            </w:r>
            <w:hyperlink r:id="rId17" w:history="1">
              <w:r w:rsidR="00CB2DD7" w:rsidRPr="00F03AAA">
                <w:rPr>
                  <w:rStyle w:val="Hyperlink"/>
                  <w:rFonts w:cstheme="minorHAnsi"/>
                  <w:szCs w:val="22"/>
                  <w:lang w:val="es-ES"/>
                </w:rPr>
                <w:t>Presentación de las contribuciones de los Miembros del UIT T</w:t>
              </w:r>
            </w:hyperlink>
            <w:r w:rsidR="00CB2DD7" w:rsidRPr="00F03AAA">
              <w:rPr>
                <w:rFonts w:cstheme="minorHAnsi"/>
                <w:szCs w:val="22"/>
                <w:lang w:val="es-ES"/>
              </w:rPr>
              <w:t xml:space="preserve"> para las que se requiera traducción</w:t>
            </w:r>
          </w:p>
        </w:tc>
      </w:tr>
      <w:tr w:rsidR="00CB2DD7" w:rsidRPr="00432707" w14:paraId="2D4C14E8" w14:textId="77777777" w:rsidTr="001E2AD2">
        <w:tc>
          <w:tcPr>
            <w:tcW w:w="1838" w:type="dxa"/>
          </w:tcPr>
          <w:p w14:paraId="25993656" w14:textId="2B728F2F" w:rsidR="00CB2DD7" w:rsidRPr="00F03AAA" w:rsidRDefault="00CB2DD7" w:rsidP="001E2AD2">
            <w:pPr>
              <w:pStyle w:val="TableText"/>
              <w:rPr>
                <w:rFonts w:cstheme="minorHAnsi"/>
                <w:szCs w:val="22"/>
                <w:lang w:val="es-ES"/>
              </w:rPr>
            </w:pPr>
            <w:r w:rsidRPr="00F03AAA">
              <w:rPr>
                <w:rFonts w:cstheme="minorHAnsi"/>
                <w:szCs w:val="22"/>
                <w:lang w:val="es-ES"/>
              </w:rPr>
              <w:t>27 de enero de</w:t>
            </w:r>
            <w:r w:rsidR="00AC0F84">
              <w:rPr>
                <w:rFonts w:cstheme="minorHAnsi"/>
                <w:szCs w:val="22"/>
                <w:lang w:val="es-ES"/>
              </w:rPr>
              <w:t> </w:t>
            </w:r>
            <w:r w:rsidRPr="00F03AAA">
              <w:rPr>
                <w:rFonts w:cstheme="minorHAnsi"/>
                <w:szCs w:val="22"/>
                <w:lang w:val="es-ES"/>
              </w:rPr>
              <w:t>2026</w:t>
            </w:r>
          </w:p>
        </w:tc>
        <w:tc>
          <w:tcPr>
            <w:tcW w:w="7810" w:type="dxa"/>
          </w:tcPr>
          <w:p w14:paraId="01C64C53" w14:textId="1CA4AFB9" w:rsidR="00CB2DD7" w:rsidRPr="00F03AAA" w:rsidRDefault="00313DEE" w:rsidP="001E2AD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313DEE">
              <w:rPr>
                <w:rFonts w:cstheme="minorHAnsi"/>
                <w:szCs w:val="22"/>
                <w:lang w:val="es-ES"/>
              </w:rPr>
              <w:t>–</w:t>
            </w:r>
            <w:r w:rsidR="00CB2DD7" w:rsidRPr="00F03AAA">
              <w:rPr>
                <w:rFonts w:cstheme="minorHAnsi"/>
                <w:szCs w:val="22"/>
                <w:lang w:val="es-ES"/>
              </w:rPr>
              <w:tab/>
              <w:t xml:space="preserve">Preinscripción (mediante el formulario de inscripción en línea de la </w:t>
            </w:r>
            <w:hyperlink r:id="rId18" w:anchor="/es" w:history="1">
              <w:r w:rsidR="00CB2DD7" w:rsidRPr="00F03AAA">
                <w:rPr>
                  <w:rStyle w:val="Hyperlink"/>
                  <w:rFonts w:cstheme="minorHAnsi"/>
                  <w:szCs w:val="22"/>
                  <w:lang w:val="es-ES"/>
                </w:rPr>
                <w:t>página web de la Comisión de Estudio</w:t>
              </w:r>
            </w:hyperlink>
            <w:r w:rsidR="00CB2DD7" w:rsidRPr="00F03AAA">
              <w:rPr>
                <w:rFonts w:cstheme="minorHAnsi"/>
                <w:szCs w:val="22"/>
                <w:lang w:val="es-ES"/>
              </w:rPr>
              <w:t>)</w:t>
            </w:r>
          </w:p>
          <w:p w14:paraId="2F6ABFC7" w14:textId="2B823725" w:rsidR="00CB2DD7" w:rsidRPr="00F03AAA" w:rsidRDefault="00313DEE" w:rsidP="001E2AD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313DEE">
              <w:rPr>
                <w:rFonts w:cstheme="minorHAnsi"/>
                <w:szCs w:val="22"/>
                <w:lang w:val="es-ES"/>
              </w:rPr>
              <w:t>–</w:t>
            </w:r>
            <w:r w:rsidR="00CB2DD7" w:rsidRPr="00F03AAA">
              <w:rPr>
                <w:rFonts w:cstheme="minorHAnsi"/>
                <w:szCs w:val="22"/>
                <w:lang w:val="es-ES"/>
              </w:rPr>
              <w:tab/>
              <w:t>Presentación de solicitudes de cartas para la obtención de visados (mediante el formulario de inscripción en línea; véanse los detalles en el Anexo A)</w:t>
            </w:r>
          </w:p>
        </w:tc>
      </w:tr>
      <w:tr w:rsidR="00CB2DD7" w:rsidRPr="00432707" w14:paraId="71E7334F" w14:textId="77777777" w:rsidTr="001E2AD2">
        <w:tc>
          <w:tcPr>
            <w:tcW w:w="1838" w:type="dxa"/>
          </w:tcPr>
          <w:p w14:paraId="5ACACA11" w14:textId="43576541" w:rsidR="00CB2DD7" w:rsidRPr="00F03AAA" w:rsidRDefault="00CB2DD7" w:rsidP="001E2AD2">
            <w:pPr>
              <w:pStyle w:val="TableText"/>
              <w:rPr>
                <w:rFonts w:cstheme="minorHAnsi"/>
                <w:szCs w:val="22"/>
                <w:lang w:val="es-ES"/>
              </w:rPr>
            </w:pPr>
            <w:r w:rsidRPr="00F03AAA">
              <w:rPr>
                <w:rFonts w:cstheme="minorHAnsi"/>
                <w:szCs w:val="22"/>
                <w:lang w:val="es-ES"/>
              </w:rPr>
              <w:t>10 de febrero de</w:t>
            </w:r>
            <w:r w:rsidR="00AC0F84">
              <w:rPr>
                <w:rFonts w:cstheme="minorHAnsi"/>
                <w:szCs w:val="22"/>
                <w:lang w:val="es-ES"/>
              </w:rPr>
              <w:t> </w:t>
            </w:r>
            <w:r w:rsidRPr="00F03AAA">
              <w:rPr>
                <w:rFonts w:cstheme="minorHAnsi"/>
                <w:szCs w:val="22"/>
                <w:lang w:val="es-ES"/>
              </w:rPr>
              <w:t>2026</w:t>
            </w:r>
          </w:p>
        </w:tc>
        <w:tc>
          <w:tcPr>
            <w:tcW w:w="7810" w:type="dxa"/>
          </w:tcPr>
          <w:p w14:paraId="30B6DA73" w14:textId="7DDF1B61" w:rsidR="00CB2DD7" w:rsidRPr="00F03AAA" w:rsidRDefault="00313DEE" w:rsidP="001E2AD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313DEE">
              <w:rPr>
                <w:rFonts w:cstheme="minorHAnsi"/>
                <w:szCs w:val="22"/>
                <w:lang w:val="es-ES"/>
              </w:rPr>
              <w:t>–</w:t>
            </w:r>
            <w:r w:rsidR="00CB2DD7" w:rsidRPr="00F03AAA">
              <w:rPr>
                <w:rFonts w:cstheme="minorHAnsi"/>
                <w:szCs w:val="22"/>
                <w:lang w:val="es-ES"/>
              </w:rPr>
              <w:tab/>
            </w:r>
            <w:hyperlink r:id="rId19" w:history="1">
              <w:r w:rsidR="00CB2DD7" w:rsidRPr="00F03AAA">
                <w:rPr>
                  <w:rStyle w:val="Hyperlink"/>
                  <w:rFonts w:cstheme="minorHAnsi"/>
                  <w:lang w:val="es-ES"/>
                </w:rPr>
                <w:t>Presentación de las contribuciones de los Miembros del UIT T (a través de la Publicación Directa de Documentos)</w:t>
              </w:r>
            </w:hyperlink>
          </w:p>
        </w:tc>
      </w:tr>
    </w:tbl>
    <w:p w14:paraId="4DA84D1E" w14:textId="77777777" w:rsidR="00CB2DD7" w:rsidRPr="00F03AAA" w:rsidRDefault="00CB2DD7" w:rsidP="00CB2DD7">
      <w:pPr>
        <w:keepNext/>
        <w:keepLines/>
        <w:rPr>
          <w:rFonts w:cstheme="minorHAnsi"/>
          <w:szCs w:val="22"/>
          <w:lang w:val="es-ES"/>
        </w:rPr>
      </w:pPr>
      <w:r w:rsidRPr="00F03AAA">
        <w:rPr>
          <w:rFonts w:cstheme="minorHAnsi"/>
          <w:szCs w:val="22"/>
          <w:lang w:val="es-ES"/>
        </w:rPr>
        <w:t>Le deseo una reunión agradable y productiva.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3"/>
        <w:gridCol w:w="3091"/>
      </w:tblGrid>
      <w:tr w:rsidR="00CB2DD7" w:rsidRPr="00F03AAA" w14:paraId="0E58D431" w14:textId="77777777" w:rsidTr="001E2AD2">
        <w:trPr>
          <w:cantSplit/>
          <w:trHeight w:val="1955"/>
        </w:trPr>
        <w:tc>
          <w:tcPr>
            <w:tcW w:w="6663" w:type="dxa"/>
            <w:vMerge w:val="restart"/>
            <w:tcBorders>
              <w:right w:val="single" w:sz="4" w:space="0" w:color="auto"/>
            </w:tcBorders>
          </w:tcPr>
          <w:p w14:paraId="31190A9C" w14:textId="3C2956D6" w:rsidR="00CB2DD7" w:rsidRPr="00F12084" w:rsidRDefault="00241364" w:rsidP="00F12084">
            <w:pPr>
              <w:ind w:left="-105"/>
              <w:rPr>
                <w:lang w:val="es-ES"/>
              </w:rPr>
            </w:pPr>
            <w:r>
              <w:rPr>
                <w:noProof/>
                <w:lang w:val="es-ES"/>
              </w:rPr>
              <w:drawing>
                <wp:anchor distT="0" distB="0" distL="114300" distR="114300" simplePos="0" relativeHeight="251658240" behindDoc="1" locked="0" layoutInCell="1" allowOverlap="1" wp14:anchorId="5E3B6D74" wp14:editId="48EA851C">
                  <wp:simplePos x="0" y="0"/>
                  <wp:positionH relativeFrom="column">
                    <wp:posOffset>-64770</wp:posOffset>
                  </wp:positionH>
                  <wp:positionV relativeFrom="paragraph">
                    <wp:posOffset>257175</wp:posOffset>
                  </wp:positionV>
                  <wp:extent cx="825542" cy="330217"/>
                  <wp:effectExtent l="0" t="0" r="0" b="0"/>
                  <wp:wrapNone/>
                  <wp:docPr id="18199527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5273" name="Picture 1" descr="A black text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CB2DD7" w:rsidRPr="00F03AAA">
              <w:rPr>
                <w:lang w:val="es-ES"/>
              </w:rPr>
              <w:t>Atentamente,</w:t>
            </w:r>
          </w:p>
          <w:p w14:paraId="28B8C596" w14:textId="6ED9FF70" w:rsidR="00CB2DD7" w:rsidRPr="00F03AAA" w:rsidRDefault="00CB2DD7" w:rsidP="001E2AD2">
            <w:pPr>
              <w:spacing w:before="480" w:after="480"/>
              <w:ind w:left="-105"/>
              <w:rPr>
                <w:i/>
                <w:iCs/>
                <w:lang w:val="es-ES"/>
              </w:rPr>
            </w:pPr>
            <w:r w:rsidRPr="00F03AAA">
              <w:rPr>
                <w:lang w:val="es-ES"/>
              </w:rPr>
              <w:t>Seizo Onoe</w:t>
            </w:r>
            <w:r w:rsidRPr="00F03AAA">
              <w:rPr>
                <w:lang w:val="es-ES"/>
              </w:rPr>
              <w:br/>
            </w:r>
            <w:proofErr w:type="gramStart"/>
            <w:r w:rsidRPr="00F03AAA">
              <w:rPr>
                <w:lang w:val="es-ES"/>
              </w:rPr>
              <w:t>Director</w:t>
            </w:r>
            <w:proofErr w:type="gramEnd"/>
            <w:r w:rsidRPr="00F03AAA">
              <w:rPr>
                <w:lang w:val="es-ES"/>
              </w:rPr>
              <w:t xml:space="preserve"> de la Oficina de Normalización</w:t>
            </w:r>
            <w:r w:rsidRPr="00F03AAA">
              <w:rPr>
                <w:lang w:val="es-ES"/>
              </w:rPr>
              <w:br/>
              <w:t>de las Telecomunicaciones</w:t>
            </w:r>
          </w:p>
        </w:tc>
        <w:tc>
          <w:tcPr>
            <w:tcW w:w="3118" w:type="dxa"/>
            <w:tcBorders>
              <w:top w:val="single" w:sz="4" w:space="0" w:color="auto"/>
              <w:left w:val="single" w:sz="4" w:space="0" w:color="auto"/>
              <w:right w:val="single" w:sz="4" w:space="0" w:color="auto"/>
            </w:tcBorders>
            <w:textDirection w:val="btLr"/>
            <w:vAlign w:val="center"/>
          </w:tcPr>
          <w:p w14:paraId="5380C6D6" w14:textId="77777777" w:rsidR="00CB2DD7" w:rsidRPr="00F03AAA" w:rsidRDefault="00CB2DD7" w:rsidP="001E2AD2">
            <w:pPr>
              <w:keepNext/>
              <w:keepLines/>
              <w:spacing w:before="0"/>
              <w:ind w:left="113" w:right="113"/>
              <w:jc w:val="center"/>
              <w:rPr>
                <w:rFonts w:cstheme="minorBidi"/>
                <w:color w:val="FFFFFF" w:themeColor="background1"/>
                <w:lang w:val="es-ES"/>
              </w:rPr>
            </w:pPr>
            <w:r w:rsidRPr="00F03AAA">
              <w:rPr>
                <w:noProof/>
                <w:color w:val="FFFFFF" w:themeColor="background1"/>
                <w:lang w:val="es-ES"/>
              </w:rPr>
              <w:drawing>
                <wp:inline distT="0" distB="0" distL="0" distR="0" wp14:anchorId="2C962A70" wp14:editId="214E94CA">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1"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r w:rsidRPr="00F03AAA">
              <w:rPr>
                <w:rFonts w:eastAsia="SimSun" w:cstheme="minorBidi"/>
                <w:color w:val="FFFFFF" w:themeColor="background1"/>
                <w:lang w:val="es-ES" w:eastAsia="zh-CN"/>
              </w:rPr>
              <w:t>ITU-T SG13</w:t>
            </w:r>
          </w:p>
        </w:tc>
      </w:tr>
      <w:tr w:rsidR="00CB2DD7" w:rsidRPr="00432707" w14:paraId="6C3E54E9" w14:textId="77777777" w:rsidTr="001E2AD2">
        <w:trPr>
          <w:cantSplit/>
          <w:trHeight w:val="227"/>
        </w:trPr>
        <w:tc>
          <w:tcPr>
            <w:tcW w:w="6663" w:type="dxa"/>
            <w:vMerge/>
          </w:tcPr>
          <w:p w14:paraId="00D1041E" w14:textId="77777777" w:rsidR="00CB2DD7" w:rsidRPr="00F03AAA" w:rsidRDefault="00CB2DD7" w:rsidP="001E2AD2">
            <w:pPr>
              <w:spacing w:before="480"/>
              <w:rPr>
                <w:rFonts w:cstheme="minorHAnsi"/>
                <w:szCs w:val="22"/>
                <w:lang w:val="es-ES"/>
              </w:rPr>
            </w:pPr>
          </w:p>
        </w:tc>
        <w:tc>
          <w:tcPr>
            <w:tcW w:w="3118" w:type="dxa"/>
            <w:tcBorders>
              <w:left w:val="single" w:sz="4" w:space="0" w:color="auto"/>
              <w:bottom w:val="single" w:sz="4" w:space="0" w:color="auto"/>
              <w:right w:val="single" w:sz="4" w:space="0" w:color="auto"/>
            </w:tcBorders>
            <w:vAlign w:val="center"/>
          </w:tcPr>
          <w:p w14:paraId="6D979BBB" w14:textId="77777777" w:rsidR="00CB2DD7" w:rsidRPr="00F03AAA" w:rsidRDefault="00CB2DD7" w:rsidP="001E2AD2">
            <w:pPr>
              <w:spacing w:before="0"/>
              <w:jc w:val="center"/>
              <w:rPr>
                <w:rFonts w:eastAsia="SimSun" w:cstheme="minorHAnsi"/>
                <w:noProof/>
                <w:szCs w:val="22"/>
                <w:lang w:val="es-ES" w:eastAsia="zh-CN"/>
              </w:rPr>
            </w:pPr>
            <w:r w:rsidRPr="00F03AAA">
              <w:rPr>
                <w:rFonts w:eastAsia="SimSun" w:cstheme="minorHAnsi"/>
                <w:noProof/>
                <w:szCs w:val="22"/>
                <w:lang w:val="es-ES"/>
              </w:rPr>
              <w:t>Última información de la reunión</w:t>
            </w:r>
          </w:p>
        </w:tc>
      </w:tr>
    </w:tbl>
    <w:p w14:paraId="2E4C5D51" w14:textId="6F11C60C" w:rsidR="00CB2DD7" w:rsidRPr="00F03AAA" w:rsidRDefault="00CB2DD7" w:rsidP="00CB2DD7">
      <w:pPr>
        <w:spacing w:before="240"/>
        <w:rPr>
          <w:lang w:val="es-ES"/>
        </w:rPr>
      </w:pPr>
      <w:r w:rsidRPr="00F03AAA">
        <w:rPr>
          <w:rFonts w:cstheme="minorHAnsi"/>
          <w:b/>
          <w:bCs/>
          <w:szCs w:val="22"/>
          <w:lang w:val="es-ES"/>
        </w:rPr>
        <w:t>Anex</w:t>
      </w:r>
      <w:r w:rsidR="00A2075B">
        <w:rPr>
          <w:rFonts w:cstheme="minorHAnsi"/>
          <w:b/>
          <w:bCs/>
          <w:szCs w:val="22"/>
          <w:lang w:val="es-ES"/>
        </w:rPr>
        <w:t>o</w:t>
      </w:r>
      <w:r w:rsidRPr="00F03AAA">
        <w:rPr>
          <w:rFonts w:cstheme="minorHAnsi"/>
          <w:b/>
          <w:bCs/>
          <w:szCs w:val="22"/>
          <w:lang w:val="es-ES"/>
        </w:rPr>
        <w:t>s</w:t>
      </w:r>
      <w:r w:rsidRPr="00F03AAA">
        <w:rPr>
          <w:rFonts w:cstheme="minorHAnsi"/>
          <w:szCs w:val="22"/>
          <w:lang w:val="es-ES"/>
        </w:rPr>
        <w:t>:</w:t>
      </w:r>
      <w:r w:rsidRPr="00F03AAA">
        <w:rPr>
          <w:rFonts w:cstheme="minorHAnsi"/>
          <w:szCs w:val="22"/>
          <w:lang w:val="es-ES"/>
        </w:rPr>
        <w:tab/>
        <w:t>2</w:t>
      </w:r>
      <w:r w:rsidRPr="00F03AAA">
        <w:rPr>
          <w:lang w:val="es-ES"/>
        </w:rPr>
        <w:br w:type="page"/>
      </w:r>
    </w:p>
    <w:p w14:paraId="42A4AAD7" w14:textId="77777777" w:rsidR="00CB2DD7" w:rsidRPr="00F03AAA" w:rsidRDefault="00CB2DD7" w:rsidP="00A2075B">
      <w:pPr>
        <w:pStyle w:val="AnnexNotitle"/>
        <w:spacing w:after="240"/>
        <w:rPr>
          <w:rFonts w:cstheme="minorHAnsi"/>
          <w:lang w:val="es-ES"/>
        </w:rPr>
      </w:pPr>
      <w:bookmarkStart w:id="3" w:name="_Hlk215735486"/>
      <w:r w:rsidRPr="00F03AAA">
        <w:rPr>
          <w:rFonts w:cstheme="minorHAnsi"/>
          <w:lang w:val="es-ES"/>
        </w:rPr>
        <w:lastRenderedPageBreak/>
        <w:t>ANEXO A</w:t>
      </w:r>
      <w:r w:rsidRPr="00F03AAA">
        <w:rPr>
          <w:rFonts w:cstheme="minorHAnsi"/>
          <w:lang w:val="es-ES"/>
        </w:rPr>
        <w:br/>
        <w:t>Información práctica sobre la reunión</w:t>
      </w:r>
    </w:p>
    <w:p w14:paraId="423ADFB5" w14:textId="77777777" w:rsidR="00CB2DD7" w:rsidRPr="00F03AAA" w:rsidRDefault="00CB2DD7" w:rsidP="00A2075B">
      <w:pPr>
        <w:pStyle w:val="Headingb0"/>
        <w:jc w:val="center"/>
        <w:rPr>
          <w:lang w:val="es-ES"/>
        </w:rPr>
      </w:pPr>
      <w:r w:rsidRPr="00F03AAA">
        <w:rPr>
          <w:lang w:val="es-ES"/>
        </w:rPr>
        <w:t>MÉTODOS DE TRABAJO E INSTALACIONES</w:t>
      </w:r>
    </w:p>
    <w:bookmarkEnd w:id="3"/>
    <w:p w14:paraId="67A50848" w14:textId="534A6741" w:rsidR="00CB2DD7" w:rsidRPr="00F03AAA" w:rsidRDefault="00CB2DD7" w:rsidP="00A2075B">
      <w:pPr>
        <w:rPr>
          <w:lang w:val="es-ES"/>
        </w:rPr>
      </w:pPr>
      <w:r w:rsidRPr="00F03AAA">
        <w:rPr>
          <w:b/>
          <w:bCs/>
          <w:lang w:val="es-ES"/>
        </w:rPr>
        <w:t>PRESENTACIÓN Y ACCESO A LOS DOCUMENTOS:</w:t>
      </w:r>
      <w:r w:rsidRPr="00F03AAA">
        <w:rPr>
          <w:lang w:val="es-ES"/>
        </w:rPr>
        <w:t xml:space="preserve"> en la reunión no se utilizará documentación impresa. Las contribuciones de los Miembros deben presentarse utilizando la </w:t>
      </w:r>
      <w:hyperlink r:id="rId22" w:history="1">
        <w:r w:rsidRPr="00F03AAA">
          <w:rPr>
            <w:rStyle w:val="Hyperlink"/>
            <w:lang w:val="es-ES"/>
          </w:rPr>
          <w:t>Publicación Directa de Documentos</w:t>
        </w:r>
      </w:hyperlink>
      <w:r w:rsidRPr="00F03AAA">
        <w:rPr>
          <w:lang w:val="es-ES"/>
        </w:rPr>
        <w:t xml:space="preserve">; los proyectos de DT deben enviarse por correo electrónico a la secretaría de la Comisión de Estudio utilizando la </w:t>
      </w:r>
      <w:hyperlink r:id="rId23" w:history="1">
        <w:r w:rsidRPr="00F03AAA">
          <w:rPr>
            <w:rStyle w:val="Hyperlink"/>
            <w:lang w:val="es-ES"/>
          </w:rPr>
          <w:t>plantilla adecuada</w:t>
        </w:r>
      </w:hyperlink>
      <w:r w:rsidRPr="00F03AAA">
        <w:rPr>
          <w:lang w:val="es-ES"/>
        </w:rPr>
        <w:t>. El acceso a los documentos de la reunión se facilita a partir de la página de inicio de la Comisión de Estudio y está restringido a los Miembros del UIT</w:t>
      </w:r>
      <w:r w:rsidRPr="00F03AAA">
        <w:rPr>
          <w:lang w:val="es-ES"/>
        </w:rPr>
        <w:noBreakHyphen/>
        <w:t xml:space="preserve">T que dispongan de una </w:t>
      </w:r>
      <w:hyperlink r:id="rId24" w:anchor="/es" w:history="1">
        <w:r w:rsidRPr="00F03AAA">
          <w:rPr>
            <w:rStyle w:val="Hyperlink"/>
            <w:lang w:val="es-ES"/>
          </w:rPr>
          <w:t>cuenta de usuario de la UIT</w:t>
        </w:r>
      </w:hyperlink>
      <w:r w:rsidRPr="00F03AAA">
        <w:rPr>
          <w:lang w:val="es-ES"/>
        </w:rPr>
        <w:t xml:space="preserve"> con derechos de acceso TIES.</w:t>
      </w:r>
    </w:p>
    <w:p w14:paraId="413B90B7" w14:textId="7B6BA644" w:rsidR="00CB2DD7" w:rsidRPr="00F03AAA" w:rsidRDefault="00CB2DD7" w:rsidP="00CB2DD7">
      <w:pPr>
        <w:rPr>
          <w:b/>
          <w:bCs/>
          <w:szCs w:val="22"/>
          <w:lang w:val="es-ES"/>
        </w:rPr>
      </w:pPr>
      <w:r w:rsidRPr="00F03AAA">
        <w:rPr>
          <w:b/>
          <w:bCs/>
          <w:lang w:val="es-ES"/>
        </w:rPr>
        <w:t>IDIOMA DE TRABAJO</w:t>
      </w:r>
      <w:r w:rsidRPr="00F03AAA">
        <w:rPr>
          <w:lang w:val="es-ES"/>
        </w:rPr>
        <w:t>: La reunión se celebrará únicamente en inglés, sin interpretación</w:t>
      </w:r>
      <w:r w:rsidR="00E30AA3">
        <w:rPr>
          <w:b/>
          <w:bCs/>
          <w:szCs w:val="22"/>
          <w:lang w:val="es-ES"/>
        </w:rPr>
        <w:t>.</w:t>
      </w:r>
    </w:p>
    <w:p w14:paraId="252B9F2A" w14:textId="0A240E31" w:rsidR="00CB2DD7" w:rsidRPr="00F03AAA" w:rsidRDefault="00CB2DD7" w:rsidP="00CB2DD7">
      <w:pPr>
        <w:rPr>
          <w:lang w:val="es-ES"/>
        </w:rPr>
      </w:pPr>
      <w:r w:rsidRPr="00F03AAA">
        <w:rPr>
          <w:b/>
          <w:bCs/>
          <w:lang w:val="es-ES"/>
        </w:rPr>
        <w:t xml:space="preserve">LAN INALÁMBRICA: </w:t>
      </w:r>
      <w:bookmarkStart w:id="4" w:name="_Hlk215735602"/>
      <w:r w:rsidRPr="00F03AAA">
        <w:rPr>
          <w:lang w:val="es-ES"/>
        </w:rPr>
        <w:t>los delegados disponen de instalaciones de red de área local inalámbrica en todas las salas de reunión de la UIT. En la dirección web del UIT</w:t>
      </w:r>
      <w:r w:rsidRPr="00F03AAA">
        <w:rPr>
          <w:lang w:val="es-ES"/>
        </w:rPr>
        <w:noBreakHyphen/>
        <w:t>T (</w:t>
      </w:r>
      <w:hyperlink r:id="rId25" w:anchor="/es" w:history="1">
        <w:r w:rsidR="00A2075B">
          <w:rPr>
            <w:rStyle w:val="Hyperlink"/>
            <w:lang w:val="es-ES"/>
          </w:rPr>
          <w:t>https://www.itu.int/en/general-secretariat/ICT-Services/Pages/default.aspx</w:t>
        </w:r>
      </w:hyperlink>
      <w:r w:rsidRPr="00F03AAA">
        <w:rPr>
          <w:lang w:val="es-ES"/>
        </w:rPr>
        <w:t xml:space="preserve">) e </w:t>
      </w:r>
      <w:r w:rsidRPr="00F03AAA">
        <w:rPr>
          <w:i/>
          <w:iCs/>
          <w:lang w:val="es-ES"/>
        </w:rPr>
        <w:t xml:space="preserve">in situ </w:t>
      </w:r>
      <w:r w:rsidRPr="00F03AAA">
        <w:rPr>
          <w:lang w:val="es-ES"/>
        </w:rPr>
        <w:t>se puede encontrar información más detallada al respecto.</w:t>
      </w:r>
      <w:bookmarkEnd w:id="4"/>
    </w:p>
    <w:p w14:paraId="1585CA34" w14:textId="77777777" w:rsidR="00CB2DD7" w:rsidRPr="00F03AAA" w:rsidRDefault="00CB2DD7" w:rsidP="00CB2DD7">
      <w:pPr>
        <w:rPr>
          <w:lang w:val="es-ES"/>
        </w:rPr>
      </w:pPr>
      <w:r w:rsidRPr="00F03AAA">
        <w:rPr>
          <w:b/>
          <w:bCs/>
          <w:lang w:val="es-ES"/>
        </w:rPr>
        <w:t>TAQUILLAS ELECTRÓNICAS:</w:t>
      </w:r>
      <w:r w:rsidRPr="00F03AAA">
        <w:rPr>
          <w:lang w:val="es-ES"/>
        </w:rPr>
        <w:t xml:space="preserve"> durante toda la reunión, se pondrán a disposición taquillas electrónicas que los delegados podrán utilizar con su tarjeta de identificación RFID del UIT</w:t>
      </w:r>
      <w:r w:rsidRPr="00F03AAA">
        <w:rPr>
          <w:lang w:val="es-ES"/>
        </w:rPr>
        <w:noBreakHyphen/>
        <w:t>T. Las taquillas electrónicas están situadas en la planta baja y el primer subsuelo de la Torre de la UIT, así como en la planta baja del edificio Montbrillant.</w:t>
      </w:r>
    </w:p>
    <w:p w14:paraId="48AAEC5B" w14:textId="77777777" w:rsidR="00CB2DD7" w:rsidRPr="00F03AAA" w:rsidRDefault="00CB2DD7" w:rsidP="00CB2DD7">
      <w:pPr>
        <w:rPr>
          <w:lang w:val="es-ES"/>
        </w:rPr>
      </w:pPr>
      <w:r w:rsidRPr="00F03AAA">
        <w:rPr>
          <w:b/>
          <w:bCs/>
          <w:lang w:val="es-ES"/>
        </w:rPr>
        <w:t>IMPRESORAS:</w:t>
      </w:r>
      <w:r w:rsidRPr="00F03AAA">
        <w:rPr>
          <w:lang w:val="es-ES"/>
        </w:rPr>
        <w:t xml:space="preserve"> en las salas para los delegados y en las proximidades de las </w:t>
      </w:r>
      <w:hyperlink r:id="rId26" w:history="1">
        <w:r w:rsidRPr="00F03AAA">
          <w:rPr>
            <w:rStyle w:val="Hyperlink"/>
            <w:lang w:val="es-ES"/>
          </w:rPr>
          <w:t>principales salas de reunión</w:t>
        </w:r>
      </w:hyperlink>
      <w:r w:rsidRPr="00F03AAA">
        <w:rPr>
          <w:lang w:val="es-ES"/>
        </w:rPr>
        <w:t xml:space="preserve"> se han puesto a disposición impresoras. Para que los delegados no tengan que instalar controladores en sus computadoras, pueden imprimir directamente los documentos enviándolos por correo electrónico a la impresora deseada. Vea los detalles en </w:t>
      </w:r>
      <w:hyperlink r:id="rId27" w:history="1">
        <w:r w:rsidRPr="00F03AAA">
          <w:rPr>
            <w:rStyle w:val="Hyperlink"/>
            <w:lang w:val="es-ES"/>
          </w:rPr>
          <w:t>https://itu.int/go/e-print</w:t>
        </w:r>
      </w:hyperlink>
      <w:r w:rsidRPr="00F03AAA">
        <w:rPr>
          <w:lang w:val="es-ES"/>
        </w:rPr>
        <w:t>.</w:t>
      </w:r>
      <w:bookmarkStart w:id="5" w:name="_Hlk94878660"/>
      <w:bookmarkEnd w:id="5"/>
    </w:p>
    <w:p w14:paraId="603A3320" w14:textId="77777777" w:rsidR="00CB2DD7" w:rsidRPr="00F03AAA" w:rsidRDefault="00CB2DD7" w:rsidP="00CB2DD7">
      <w:pPr>
        <w:rPr>
          <w:lang w:val="es-ES"/>
        </w:rPr>
      </w:pPr>
      <w:r w:rsidRPr="00F03AAA">
        <w:rPr>
          <w:b/>
          <w:bCs/>
          <w:lang w:val="es-ES"/>
        </w:rPr>
        <w:t xml:space="preserve">PRÉSTAMO DE COMPUTADORAS PORTÁTILES: </w:t>
      </w:r>
      <w:r w:rsidRPr="00F03AAA">
        <w:rPr>
          <w:lang w:val="es-ES"/>
        </w:rPr>
        <w:t>el Servicio de Asistencia de la UIT (</w:t>
      </w:r>
      <w:hyperlink r:id="rId28" w:history="1">
        <w:r w:rsidRPr="00F03AAA">
          <w:rPr>
            <w:rStyle w:val="Hyperlink"/>
            <w:lang w:val="es-ES"/>
          </w:rPr>
          <w:t>servicedesk@itu.int</w:t>
        </w:r>
      </w:hyperlink>
      <w:r w:rsidRPr="00F03AAA">
        <w:rPr>
          <w:lang w:val="es-ES"/>
        </w:rPr>
        <w:t>) pondrá computadoras portátiles a disposición de los delegados. Se atenderán las solicitudes por orden de llegada.</w:t>
      </w:r>
    </w:p>
    <w:p w14:paraId="33C84B30" w14:textId="77777777" w:rsidR="00CB2DD7" w:rsidRPr="00F03AAA" w:rsidRDefault="00CB2DD7" w:rsidP="00A2075B">
      <w:pPr>
        <w:snapToGrid w:val="0"/>
        <w:spacing w:after="240"/>
        <w:rPr>
          <w:szCs w:val="22"/>
          <w:lang w:val="es-ES"/>
        </w:rPr>
      </w:pPr>
      <w:r w:rsidRPr="00F03AAA">
        <w:rPr>
          <w:b/>
          <w:bCs/>
          <w:lang w:val="es-ES"/>
        </w:rPr>
        <w:t>PARTICIPACIÓN A DISTANCIA</w:t>
      </w:r>
      <w:r w:rsidRPr="00F03AAA">
        <w:rPr>
          <w:lang w:val="es-ES"/>
        </w:rPr>
        <w:t xml:space="preserve">: Se utilizará la </w:t>
      </w:r>
      <w:r w:rsidRPr="00F03AAA">
        <w:rPr>
          <w:b/>
          <w:bCs/>
          <w:lang w:val="es-ES"/>
        </w:rPr>
        <w:t>herramienta</w:t>
      </w:r>
      <w:r w:rsidRPr="00F03AAA">
        <w:rPr>
          <w:lang w:val="es-ES"/>
        </w:rPr>
        <w:t xml:space="preserve"> </w:t>
      </w:r>
      <w:hyperlink r:id="rId29" w:history="1">
        <w:r w:rsidRPr="00F03AAA">
          <w:rPr>
            <w:rStyle w:val="Hyperlink"/>
            <w:lang w:val="es-ES"/>
          </w:rPr>
          <w:t>MyMeetings</w:t>
        </w:r>
      </w:hyperlink>
      <w:r w:rsidRPr="00F03AAA">
        <w:rPr>
          <w:lang w:val="es-ES"/>
        </w:rPr>
        <w:t xml:space="preserve"> para facilitar la participación a distancia en todas las reuniones de los Grupos de Trabajo.</w:t>
      </w:r>
      <w:hyperlink r:id="rId30" w:history="1"/>
    </w:p>
    <w:p w14:paraId="25F92DE1" w14:textId="77777777" w:rsidR="00CB2DD7" w:rsidRPr="00F03AAA" w:rsidRDefault="00CB2DD7" w:rsidP="00A2075B">
      <w:pPr>
        <w:pStyle w:val="Headingb0"/>
        <w:jc w:val="center"/>
        <w:rPr>
          <w:lang w:val="es-ES"/>
        </w:rPr>
      </w:pPr>
      <w:r w:rsidRPr="00F03AAA">
        <w:rPr>
          <w:lang w:val="es-ES"/>
        </w:rPr>
        <w:t>PREINSCRIPCIÓN Y APOYO PARA LA OBTENCIÓN DEL VISADO</w:t>
      </w:r>
    </w:p>
    <w:p w14:paraId="6361E87A" w14:textId="77777777" w:rsidR="00CB2DD7" w:rsidRPr="00F03AAA" w:rsidRDefault="00CB2DD7" w:rsidP="00A2075B">
      <w:pPr>
        <w:rPr>
          <w:lang w:val="es-ES"/>
        </w:rPr>
      </w:pPr>
      <w:r w:rsidRPr="00F03AAA">
        <w:rPr>
          <w:b/>
          <w:bCs/>
          <w:lang w:val="es-ES"/>
        </w:rPr>
        <w:t>PREINSCRIPCIÓN:</w:t>
      </w:r>
      <w:r w:rsidRPr="00F03AAA">
        <w:rPr>
          <w:lang w:val="es-ES"/>
        </w:rPr>
        <w:t xml:space="preserve"> la preinscripción es obligatoria para participar </w:t>
      </w:r>
      <w:r w:rsidRPr="00F03AAA">
        <w:rPr>
          <w:u w:val="single"/>
          <w:lang w:val="es-ES"/>
        </w:rPr>
        <w:t>tanto en persona como a distancia</w:t>
      </w:r>
      <w:r w:rsidRPr="00F03AAA">
        <w:rPr>
          <w:lang w:val="es-ES"/>
        </w:rPr>
        <w:t xml:space="preserve"> y debe realizarse en línea a través de la página principal de la Comisión de Estudio</w:t>
      </w:r>
      <w:r w:rsidRPr="00F03AAA">
        <w:rPr>
          <w:b/>
          <w:bCs/>
          <w:lang w:val="es-ES"/>
        </w:rPr>
        <w:t xml:space="preserve"> a más tardar un mes antes de la fecha de inicio de la reunión</w:t>
      </w:r>
      <w:r w:rsidRPr="00F03AAA">
        <w:rPr>
          <w:lang w:val="es-ES"/>
        </w:rPr>
        <w:t>. El sistema de inscripción del UIT</w:t>
      </w:r>
      <w:r w:rsidRPr="00F03AAA">
        <w:rPr>
          <w:lang w:val="es-ES"/>
        </w:rPr>
        <w:noBreakHyphen/>
        <w:t xml:space="preserve">T requiere que el coordinador apruebe las solicitudes de inscripción; no obstante, es posible modificar el proceso a fin de permitir la aprobación automática de las mismas, según se indica en la </w:t>
      </w:r>
      <w:hyperlink r:id="rId31" w:history="1">
        <w:r w:rsidRPr="00F03AAA">
          <w:rPr>
            <w:rStyle w:val="Hyperlink"/>
            <w:lang w:val="es-ES"/>
          </w:rPr>
          <w:t>Circular TSB 1</w:t>
        </w:r>
      </w:hyperlink>
      <w:r w:rsidRPr="00F03AAA">
        <w:rPr>
          <w:lang w:val="es-ES"/>
        </w:rPr>
        <w:t>. Algunas opciones del formulario de inscripción se aplican únicamente a los Estados Miembros, entre ellas las funciones, las solicitudes de interpretación y las solicitudes de becas. Se invita a los miembros a incluir mujeres en sus delegaciones siempre que sea posible.</w:t>
      </w:r>
    </w:p>
    <w:p w14:paraId="3E20850F" w14:textId="77777777" w:rsidR="00CB2DD7" w:rsidRPr="00F03AAA" w:rsidRDefault="00CB2DD7" w:rsidP="00991C27">
      <w:pPr>
        <w:rPr>
          <w:szCs w:val="22"/>
          <w:lang w:val="es-ES"/>
        </w:rPr>
      </w:pPr>
      <w:r w:rsidRPr="00F03AAA">
        <w:rPr>
          <w:b/>
          <w:bCs/>
          <w:lang w:val="es-ES"/>
        </w:rPr>
        <w:t>APOYO PARA LA OBTENCIÓN DEL VISADO:</w:t>
      </w:r>
      <w:r w:rsidRPr="00F03AAA">
        <w:rPr>
          <w:lang w:val="es-ES"/>
        </w:rPr>
        <w:t xml:space="preserve"> En su caso, los visados deben solicitarse antes de la fecha de llegada a Suiza en la embajada o el consulado que represente a Suiza en su país o, en su defecto, en la entidad más próxima a su país de partida. Los plazos varían, por lo que se sugiere consultar directamente con la representación correspondiente y presentar la solicitud con antelación.</w:t>
      </w:r>
    </w:p>
    <w:p w14:paraId="009D6A25" w14:textId="77777777" w:rsidR="00CB2DD7" w:rsidRPr="00F03AAA" w:rsidRDefault="00CB2DD7" w:rsidP="00991C27">
      <w:pPr>
        <w:rPr>
          <w:szCs w:val="22"/>
          <w:lang w:val="es-ES"/>
        </w:rPr>
      </w:pPr>
      <w:r w:rsidRPr="00F03AAA">
        <w:rPr>
          <w:lang w:val="es-ES"/>
        </w:rPr>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suelen transcurrir 15 días antes de que se emita la carta de solicitud de visado. Por consiguiente, las solicitudes deberán efectuarse marcando la casilla correspondiente en el formulario de inscripción </w:t>
      </w:r>
      <w:r w:rsidRPr="00F03AAA">
        <w:rPr>
          <w:b/>
          <w:bCs/>
          <w:lang w:val="es-ES"/>
        </w:rPr>
        <w:t>a más tardar un mes antes de la reunión</w:t>
      </w:r>
      <w:r w:rsidRPr="00F03AAA">
        <w:rPr>
          <w:lang w:val="es-ES"/>
        </w:rPr>
        <w:t>. Toda consulta al respecto debe remitirse a la Sección de Viajes de la UIT (</w:t>
      </w:r>
      <w:hyperlink r:id="rId32" w:history="1">
        <w:r w:rsidRPr="00F03AAA">
          <w:rPr>
            <w:rStyle w:val="Hyperlink"/>
            <w:lang w:val="es-ES"/>
          </w:rPr>
          <w:t>travel@itu.int</w:t>
        </w:r>
      </w:hyperlink>
      <w:r w:rsidRPr="00F03AAA">
        <w:rPr>
          <w:lang w:val="es-ES"/>
        </w:rPr>
        <w:t>) con la indicación "</w:t>
      </w:r>
      <w:r w:rsidRPr="00F03AAA">
        <w:rPr>
          <w:b/>
          <w:bCs/>
          <w:lang w:val="es-ES"/>
        </w:rPr>
        <w:t>apoyo para la obtención de visado</w:t>
      </w:r>
      <w:r w:rsidRPr="00F03AAA">
        <w:rPr>
          <w:lang w:val="es-ES"/>
        </w:rPr>
        <w:t>".</w:t>
      </w:r>
      <w:hyperlink r:id="rId33" w:history="1"/>
    </w:p>
    <w:p w14:paraId="31FDAAD1" w14:textId="77777777" w:rsidR="00CB2DD7" w:rsidRPr="00F03AAA" w:rsidRDefault="00CB2DD7" w:rsidP="000C1114">
      <w:pPr>
        <w:pStyle w:val="Headingb0"/>
        <w:jc w:val="center"/>
        <w:rPr>
          <w:b w:val="0"/>
          <w:bCs/>
          <w:lang w:val="es-ES"/>
        </w:rPr>
      </w:pPr>
      <w:r w:rsidRPr="00F03AAA">
        <w:rPr>
          <w:bCs/>
          <w:lang w:val="es-ES"/>
        </w:rPr>
        <w:lastRenderedPageBreak/>
        <w:t xml:space="preserve">VISITAS A GINEBRA: HOTELES, </w:t>
      </w:r>
      <w:r w:rsidRPr="000C1114">
        <w:rPr>
          <w:lang w:val="es-ES"/>
        </w:rPr>
        <w:t>TRANSPORTE</w:t>
      </w:r>
      <w:r w:rsidRPr="00F03AAA">
        <w:rPr>
          <w:bCs/>
          <w:lang w:val="es-ES"/>
        </w:rPr>
        <w:t xml:space="preserve"> </w:t>
      </w:r>
      <w:r w:rsidRPr="000C1114">
        <w:rPr>
          <w:lang w:val="es-ES"/>
        </w:rPr>
        <w:t>PÚBLICO</w:t>
      </w:r>
    </w:p>
    <w:p w14:paraId="6B8ECF31" w14:textId="77777777" w:rsidR="00CB2DD7" w:rsidRPr="00F03AAA" w:rsidRDefault="00CB2DD7" w:rsidP="00991C27">
      <w:pPr>
        <w:rPr>
          <w:lang w:val="es-ES"/>
        </w:rPr>
      </w:pPr>
      <w:r w:rsidRPr="00F03AAA">
        <w:rPr>
          <w:b/>
          <w:bCs/>
          <w:lang w:val="es-ES"/>
        </w:rPr>
        <w:t>VISITAS A GINEBRA:</w:t>
      </w:r>
      <w:r w:rsidRPr="00F03AAA">
        <w:rPr>
          <w:lang w:val="es-ES"/>
        </w:rPr>
        <w:t xml:space="preserve"> los delegados que asistan a reuniones de la UIT en Ginebra pueden encontrar información práctica en </w:t>
      </w:r>
      <w:hyperlink r:id="rId34" w:history="1">
        <w:r w:rsidRPr="00F03AAA">
          <w:rPr>
            <w:rStyle w:val="Hyperlink"/>
            <w:lang w:val="es-ES"/>
          </w:rPr>
          <w:t>https://www.itu.int/es/delegates-corner</w:t>
        </w:r>
      </w:hyperlink>
      <w:r w:rsidRPr="00F03AAA">
        <w:rPr>
          <w:lang w:val="es-ES"/>
        </w:rPr>
        <w:t>.</w:t>
      </w:r>
    </w:p>
    <w:p w14:paraId="60AF8A24" w14:textId="77777777" w:rsidR="00CB2DD7" w:rsidRDefault="00CB2DD7" w:rsidP="00991C27">
      <w:pPr>
        <w:rPr>
          <w:lang w:val="es-ES"/>
        </w:rPr>
      </w:pPr>
      <w:r w:rsidRPr="00F03AAA">
        <w:rPr>
          <w:b/>
          <w:bCs/>
          <w:lang w:val="es-ES"/>
        </w:rPr>
        <w:t xml:space="preserve">DESCUENTOS PARA HOTELES: </w:t>
      </w:r>
      <w:r w:rsidRPr="00F03AAA">
        <w:rPr>
          <w:lang w:val="es-ES"/>
        </w:rPr>
        <w:t xml:space="preserve">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5" w:history="1">
        <w:r w:rsidRPr="00F03AAA">
          <w:rPr>
            <w:rStyle w:val="Hyperlink"/>
            <w:lang w:val="es-ES"/>
          </w:rPr>
          <w:t>http://www.itu.int/travel/</w:t>
        </w:r>
      </w:hyperlink>
      <w:r w:rsidRPr="00F03AAA">
        <w:rPr>
          <w:lang w:val="es-ES"/>
        </w:rPr>
        <w:t>.</w:t>
      </w:r>
    </w:p>
    <w:p w14:paraId="3B8B39F0" w14:textId="673A72D8" w:rsidR="00991C27" w:rsidRDefault="00991C27">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1FDF1BDB" w14:textId="77777777" w:rsidR="00CB2DD7" w:rsidRPr="00432707" w:rsidRDefault="00CB2DD7" w:rsidP="00CB2DD7">
      <w:pPr>
        <w:pStyle w:val="Annextitle0"/>
        <w:rPr>
          <w:szCs w:val="28"/>
        </w:rPr>
      </w:pPr>
      <w:r w:rsidRPr="00432707">
        <w:rPr>
          <w:szCs w:val="28"/>
        </w:rPr>
        <w:lastRenderedPageBreak/>
        <w:t>ANNEX B</w:t>
      </w:r>
      <w:r w:rsidRPr="00432707">
        <w:rPr>
          <w:szCs w:val="28"/>
        </w:rPr>
        <w:br/>
        <w:t>Meetings of Working Parties 1/13, 2/13, 3/13 and 4/13</w:t>
      </w:r>
      <w:r w:rsidRPr="00432707">
        <w:rPr>
          <w:szCs w:val="28"/>
        </w:rPr>
        <w:br/>
        <w:t>Geneva, 27 February 2026</w:t>
      </w:r>
    </w:p>
    <w:p w14:paraId="4D3C553C" w14:textId="3DC7A345" w:rsidR="00CB2DD7" w:rsidRPr="00432707" w:rsidRDefault="00CB2DD7" w:rsidP="00CB2DD7">
      <w:pPr>
        <w:tabs>
          <w:tab w:val="center" w:pos="5103"/>
          <w:tab w:val="left" w:pos="7017"/>
        </w:tabs>
        <w:jc w:val="center"/>
        <w:rPr>
          <w:b/>
          <w:sz w:val="24"/>
          <w:szCs w:val="24"/>
          <w:lang w:val="en-GB"/>
        </w:rPr>
      </w:pPr>
      <w:r w:rsidRPr="00432707">
        <w:rPr>
          <w:b/>
          <w:sz w:val="24"/>
          <w:szCs w:val="24"/>
          <w:lang w:val="en-GB"/>
        </w:rPr>
        <w:t>Draft agenda</w:t>
      </w:r>
    </w:p>
    <w:p w14:paraId="1E9EACE0" w14:textId="77777777" w:rsidR="00CB2DD7" w:rsidRPr="00432707" w:rsidRDefault="00CB2DD7" w:rsidP="00CB2DD7">
      <w:pPr>
        <w:tabs>
          <w:tab w:val="clear" w:pos="794"/>
          <w:tab w:val="left" w:pos="426"/>
        </w:tabs>
        <w:rPr>
          <w:lang w:val="en-GB"/>
        </w:rPr>
      </w:pPr>
      <w:r w:rsidRPr="00432707">
        <w:rPr>
          <w:lang w:val="en-GB"/>
        </w:rPr>
        <w:t>1</w:t>
      </w:r>
      <w:r w:rsidRPr="00432707">
        <w:rPr>
          <w:lang w:val="en-GB"/>
        </w:rPr>
        <w:tab/>
        <w:t>Opening remarks and welcome</w:t>
      </w:r>
    </w:p>
    <w:p w14:paraId="485ACB31" w14:textId="77777777" w:rsidR="00CB2DD7" w:rsidRPr="00432707" w:rsidRDefault="00CB2DD7" w:rsidP="00CB2DD7">
      <w:pPr>
        <w:tabs>
          <w:tab w:val="clear" w:pos="794"/>
          <w:tab w:val="left" w:pos="426"/>
        </w:tabs>
        <w:rPr>
          <w:lang w:val="en-GB"/>
        </w:rPr>
      </w:pPr>
      <w:r w:rsidRPr="00432707">
        <w:rPr>
          <w:lang w:val="en-GB"/>
        </w:rPr>
        <w:t>2</w:t>
      </w:r>
      <w:r w:rsidRPr="00432707">
        <w:rPr>
          <w:lang w:val="en-GB"/>
        </w:rPr>
        <w:tab/>
        <w:t>Approval of the agenda for the plenary meetings of Working Parties 1, 2, 3 and 4/13</w:t>
      </w:r>
    </w:p>
    <w:p w14:paraId="5E31EB05" w14:textId="77777777" w:rsidR="00CB2DD7" w:rsidRPr="00432707" w:rsidRDefault="00CB2DD7" w:rsidP="00CB2DD7">
      <w:pPr>
        <w:tabs>
          <w:tab w:val="clear" w:pos="794"/>
          <w:tab w:val="left" w:pos="426"/>
        </w:tabs>
        <w:rPr>
          <w:lang w:val="en-GB"/>
        </w:rPr>
      </w:pPr>
      <w:r w:rsidRPr="00432707">
        <w:rPr>
          <w:lang w:val="en-GB"/>
        </w:rPr>
        <w:t>3</w:t>
      </w:r>
      <w:r w:rsidRPr="00432707">
        <w:rPr>
          <w:lang w:val="en-GB"/>
        </w:rPr>
        <w:tab/>
        <w:t>Review the results of Rapporteur Group meetings (December 2025 – February 2026)</w:t>
      </w:r>
    </w:p>
    <w:p w14:paraId="3C11FEF3" w14:textId="77777777" w:rsidR="00CB2DD7" w:rsidRPr="00432707" w:rsidRDefault="00CB2DD7" w:rsidP="00CB2DD7">
      <w:pPr>
        <w:tabs>
          <w:tab w:val="clear" w:pos="794"/>
          <w:tab w:val="left" w:pos="426"/>
          <w:tab w:val="left" w:pos="851"/>
        </w:tabs>
        <w:rPr>
          <w:lang w:val="en-GB"/>
        </w:rPr>
      </w:pPr>
      <w:r w:rsidRPr="00432707">
        <w:rPr>
          <w:lang w:val="en-GB"/>
        </w:rPr>
        <w:t>4</w:t>
      </w:r>
      <w:r w:rsidRPr="00432707">
        <w:rPr>
          <w:lang w:val="en-GB"/>
        </w:rPr>
        <w:tab/>
        <w:t>Consent of draft Recommendations</w:t>
      </w:r>
    </w:p>
    <w:p w14:paraId="196E8BD8" w14:textId="77777777" w:rsidR="00CB2DD7" w:rsidRPr="00432707" w:rsidRDefault="00CB2DD7" w:rsidP="00CB2DD7">
      <w:pPr>
        <w:tabs>
          <w:tab w:val="clear" w:pos="794"/>
          <w:tab w:val="left" w:pos="426"/>
        </w:tabs>
        <w:rPr>
          <w:lang w:val="en-GB"/>
        </w:rPr>
      </w:pPr>
      <w:r w:rsidRPr="00432707">
        <w:rPr>
          <w:lang w:val="en-GB"/>
        </w:rPr>
        <w:t>5</w:t>
      </w:r>
      <w:r w:rsidRPr="00432707">
        <w:rPr>
          <w:lang w:val="en-GB"/>
        </w:rPr>
        <w:tab/>
        <w:t>Agreement on Supplements</w:t>
      </w:r>
    </w:p>
    <w:p w14:paraId="40F78F99" w14:textId="77777777" w:rsidR="00CB2DD7" w:rsidRPr="00432707" w:rsidRDefault="00CB2DD7" w:rsidP="00CB2DD7">
      <w:pPr>
        <w:tabs>
          <w:tab w:val="clear" w:pos="794"/>
          <w:tab w:val="left" w:pos="426"/>
        </w:tabs>
        <w:rPr>
          <w:lang w:val="en-GB"/>
        </w:rPr>
      </w:pPr>
      <w:r w:rsidRPr="00432707">
        <w:rPr>
          <w:lang w:val="en-GB"/>
        </w:rPr>
        <w:t>6</w:t>
      </w:r>
      <w:r w:rsidRPr="00432707">
        <w:rPr>
          <w:lang w:val="en-GB"/>
        </w:rPr>
        <w:tab/>
        <w:t xml:space="preserve">Agreement on new work items </w:t>
      </w:r>
    </w:p>
    <w:p w14:paraId="744CA7E9" w14:textId="77777777" w:rsidR="00CB2DD7" w:rsidRPr="00432707" w:rsidRDefault="00CB2DD7" w:rsidP="00CB2DD7">
      <w:pPr>
        <w:tabs>
          <w:tab w:val="clear" w:pos="794"/>
          <w:tab w:val="left" w:pos="426"/>
        </w:tabs>
        <w:rPr>
          <w:lang w:val="en-GB"/>
        </w:rPr>
      </w:pPr>
      <w:r w:rsidRPr="00432707">
        <w:rPr>
          <w:lang w:val="en-GB"/>
        </w:rPr>
        <w:t>7</w:t>
      </w:r>
      <w:r w:rsidRPr="00432707">
        <w:rPr>
          <w:lang w:val="en-GB"/>
        </w:rPr>
        <w:tab/>
        <w:t>Approval of outgoing liaison statements</w:t>
      </w:r>
    </w:p>
    <w:p w14:paraId="3BD292DA" w14:textId="77777777" w:rsidR="00CB2DD7" w:rsidRPr="00432707" w:rsidRDefault="00CB2DD7" w:rsidP="00CB2DD7">
      <w:pPr>
        <w:tabs>
          <w:tab w:val="clear" w:pos="794"/>
          <w:tab w:val="left" w:pos="426"/>
        </w:tabs>
        <w:rPr>
          <w:lang w:val="en-GB"/>
        </w:rPr>
      </w:pPr>
      <w:r w:rsidRPr="00432707">
        <w:rPr>
          <w:lang w:val="en-GB"/>
        </w:rPr>
        <w:t>8</w:t>
      </w:r>
      <w:r w:rsidRPr="00432707">
        <w:rPr>
          <w:lang w:val="en-GB"/>
        </w:rPr>
        <w:tab/>
        <w:t>Agreement on future activities</w:t>
      </w:r>
    </w:p>
    <w:p w14:paraId="18587CC1" w14:textId="77777777" w:rsidR="00CB2DD7" w:rsidRPr="00432707" w:rsidRDefault="00CB2DD7" w:rsidP="00CB2DD7">
      <w:pPr>
        <w:tabs>
          <w:tab w:val="clear" w:pos="794"/>
          <w:tab w:val="left" w:pos="426"/>
        </w:tabs>
        <w:rPr>
          <w:lang w:val="en-GB"/>
        </w:rPr>
      </w:pPr>
      <w:r w:rsidRPr="00432707">
        <w:rPr>
          <w:lang w:val="en-GB"/>
        </w:rPr>
        <w:t>9</w:t>
      </w:r>
      <w:r w:rsidRPr="00432707">
        <w:rPr>
          <w:lang w:val="en-GB"/>
        </w:rPr>
        <w:tab/>
        <w:t>Miscellaneous</w:t>
      </w:r>
    </w:p>
    <w:p w14:paraId="15B6BD80" w14:textId="77777777" w:rsidR="00CB2DD7" w:rsidRPr="00432707" w:rsidRDefault="00CB2DD7" w:rsidP="00CB2DD7">
      <w:pPr>
        <w:tabs>
          <w:tab w:val="clear" w:pos="794"/>
          <w:tab w:val="clear" w:pos="1191"/>
          <w:tab w:val="left" w:pos="426"/>
        </w:tabs>
        <w:rPr>
          <w:b/>
          <w:bCs/>
          <w:lang w:val="en-GB"/>
        </w:rPr>
      </w:pPr>
      <w:r w:rsidRPr="00432707">
        <w:rPr>
          <w:lang w:val="en-GB"/>
        </w:rPr>
        <w:t>10</w:t>
      </w:r>
      <w:r w:rsidRPr="00432707">
        <w:rPr>
          <w:lang w:val="en-GB"/>
        </w:rPr>
        <w:tab/>
        <w:t>Closure of the meeting</w:t>
      </w:r>
    </w:p>
    <w:p w14:paraId="166706BF" w14:textId="77777777" w:rsidR="00991C27" w:rsidRDefault="00991C27" w:rsidP="00411C49">
      <w:pPr>
        <w:pStyle w:val="Reasons"/>
      </w:pPr>
    </w:p>
    <w:p w14:paraId="097A85F6" w14:textId="77777777" w:rsidR="00991C27" w:rsidRDefault="00991C27">
      <w:pPr>
        <w:jc w:val="center"/>
      </w:pPr>
      <w:r>
        <w:t>______________</w:t>
      </w:r>
    </w:p>
    <w:sectPr w:rsidR="00991C27" w:rsidSect="002545AA">
      <w:headerReference w:type="even" r:id="rId36"/>
      <w:headerReference w:type="default" r:id="rId37"/>
      <w:footerReference w:type="even" r:id="rId38"/>
      <w:footerReference w:type="default" r:id="rId39"/>
      <w:footerReference w:type="first" r:id="rId40"/>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E60B" w14:textId="77777777" w:rsidR="00807BB2" w:rsidRDefault="00807BB2">
      <w:r>
        <w:separator/>
      </w:r>
    </w:p>
  </w:endnote>
  <w:endnote w:type="continuationSeparator" w:id="0">
    <w:p w14:paraId="6D2918CA" w14:textId="77777777" w:rsidR="00807BB2" w:rsidRDefault="0080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D652" w14:textId="7B0583E0"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C5" w14:textId="6955C3D3"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B11F" w14:textId="77777777" w:rsidR="00807BB2" w:rsidRDefault="00807BB2">
      <w:r>
        <w:t>____________________</w:t>
      </w:r>
    </w:p>
  </w:footnote>
  <w:footnote w:type="continuationSeparator" w:id="0">
    <w:p w14:paraId="2ACCE8D8" w14:textId="77777777" w:rsidR="00807BB2" w:rsidRDefault="0080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77777777"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proofErr w:type="spellStart"/>
        <w:r>
          <w:rPr>
            <w:bCs/>
            <w:sz w:val="18"/>
            <w:szCs w:val="18"/>
          </w:rPr>
          <w:t>xx</w:t>
        </w:r>
        <w:proofErr w:type="spellEnd"/>
        <w:r w:rsidRPr="001A50AB">
          <w:rPr>
            <w:bCs/>
            <w:sz w:val="18"/>
            <w:szCs w:val="18"/>
          </w:rPr>
          <w:t>/</w:t>
        </w:r>
        <w:proofErr w:type="spellStart"/>
        <w:r>
          <w:rPr>
            <w:bCs/>
            <w:sz w:val="18"/>
            <w:szCs w:val="18"/>
          </w:rPr>
          <w:t>xx</w:t>
        </w:r>
        <w:proofErr w:type="spellEnd"/>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4481CD62"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13DEE">
          <w:rPr>
            <w:bCs/>
            <w:sz w:val="18"/>
            <w:szCs w:val="18"/>
          </w:rPr>
          <w:t>4/13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E38"/>
    <w:multiLevelType w:val="hybridMultilevel"/>
    <w:tmpl w:val="E2E2B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C0EB4"/>
    <w:multiLevelType w:val="hybridMultilevel"/>
    <w:tmpl w:val="A434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014EF"/>
    <w:multiLevelType w:val="hybridMultilevel"/>
    <w:tmpl w:val="5D3E9E12"/>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3"/>
  </w:num>
  <w:num w:numId="2" w16cid:durableId="2019042747">
    <w:abstractNumId w:val="9"/>
  </w:num>
  <w:num w:numId="3" w16cid:durableId="719399487">
    <w:abstractNumId w:val="8"/>
  </w:num>
  <w:num w:numId="4" w16cid:durableId="104009228">
    <w:abstractNumId w:val="5"/>
  </w:num>
  <w:num w:numId="5" w16cid:durableId="734862130">
    <w:abstractNumId w:val="6"/>
  </w:num>
  <w:num w:numId="6" w16cid:durableId="1144541770">
    <w:abstractNumId w:val="7"/>
  </w:num>
  <w:num w:numId="7" w16cid:durableId="438335943">
    <w:abstractNumId w:val="4"/>
  </w:num>
  <w:num w:numId="8" w16cid:durableId="1625691170">
    <w:abstractNumId w:val="2"/>
  </w:num>
  <w:num w:numId="9" w16cid:durableId="2091659031">
    <w:abstractNumId w:val="1"/>
  </w:num>
  <w:num w:numId="10" w16cid:durableId="61302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55C30"/>
    <w:rsid w:val="000678BB"/>
    <w:rsid w:val="00080F6C"/>
    <w:rsid w:val="000C1114"/>
    <w:rsid w:val="000C375D"/>
    <w:rsid w:val="000C382F"/>
    <w:rsid w:val="000F67AE"/>
    <w:rsid w:val="00114963"/>
    <w:rsid w:val="001173CC"/>
    <w:rsid w:val="00126D02"/>
    <w:rsid w:val="001344C2"/>
    <w:rsid w:val="00136FC2"/>
    <w:rsid w:val="00141CB4"/>
    <w:rsid w:val="001671BC"/>
    <w:rsid w:val="001A1E72"/>
    <w:rsid w:val="001A2905"/>
    <w:rsid w:val="001A54CC"/>
    <w:rsid w:val="001C2FAD"/>
    <w:rsid w:val="001D1BA9"/>
    <w:rsid w:val="001F0D48"/>
    <w:rsid w:val="002021BB"/>
    <w:rsid w:val="00212668"/>
    <w:rsid w:val="00221C83"/>
    <w:rsid w:val="00241364"/>
    <w:rsid w:val="002545AA"/>
    <w:rsid w:val="00257FB4"/>
    <w:rsid w:val="00271D3E"/>
    <w:rsid w:val="0027571F"/>
    <w:rsid w:val="002C1570"/>
    <w:rsid w:val="00303D62"/>
    <w:rsid w:val="00313DBB"/>
    <w:rsid w:val="00313DEE"/>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23B1"/>
    <w:rsid w:val="00505119"/>
    <w:rsid w:val="005267F7"/>
    <w:rsid w:val="00535F99"/>
    <w:rsid w:val="00545669"/>
    <w:rsid w:val="00555E45"/>
    <w:rsid w:val="00560EDA"/>
    <w:rsid w:val="0056692D"/>
    <w:rsid w:val="00567B54"/>
    <w:rsid w:val="0057186B"/>
    <w:rsid w:val="005827E3"/>
    <w:rsid w:val="00586B1D"/>
    <w:rsid w:val="005B4854"/>
    <w:rsid w:val="005B6711"/>
    <w:rsid w:val="005D516A"/>
    <w:rsid w:val="005D75B2"/>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0721C"/>
    <w:rsid w:val="007128A1"/>
    <w:rsid w:val="00715D93"/>
    <w:rsid w:val="00720BA2"/>
    <w:rsid w:val="0075691C"/>
    <w:rsid w:val="00781E2A"/>
    <w:rsid w:val="007A6373"/>
    <w:rsid w:val="007B34FB"/>
    <w:rsid w:val="00807BB2"/>
    <w:rsid w:val="008134A7"/>
    <w:rsid w:val="00823E22"/>
    <w:rsid w:val="008258C2"/>
    <w:rsid w:val="00833CCA"/>
    <w:rsid w:val="00846D89"/>
    <w:rsid w:val="008505BD"/>
    <w:rsid w:val="00850C78"/>
    <w:rsid w:val="00855B98"/>
    <w:rsid w:val="008C17AD"/>
    <w:rsid w:val="008D02CD"/>
    <w:rsid w:val="008F29BD"/>
    <w:rsid w:val="0091255A"/>
    <w:rsid w:val="00914890"/>
    <w:rsid w:val="00934054"/>
    <w:rsid w:val="0095172A"/>
    <w:rsid w:val="00963CD8"/>
    <w:rsid w:val="00975A06"/>
    <w:rsid w:val="009900B7"/>
    <w:rsid w:val="00991C27"/>
    <w:rsid w:val="009D3E5C"/>
    <w:rsid w:val="009D4C42"/>
    <w:rsid w:val="009F0942"/>
    <w:rsid w:val="00A119A2"/>
    <w:rsid w:val="00A2075B"/>
    <w:rsid w:val="00A41330"/>
    <w:rsid w:val="00A42718"/>
    <w:rsid w:val="00A54E47"/>
    <w:rsid w:val="00A6120F"/>
    <w:rsid w:val="00A85283"/>
    <w:rsid w:val="00A9210B"/>
    <w:rsid w:val="00AA30D4"/>
    <w:rsid w:val="00AC0F8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2DD7"/>
    <w:rsid w:val="00CB3300"/>
    <w:rsid w:val="00CC1DE4"/>
    <w:rsid w:val="00CD4AE3"/>
    <w:rsid w:val="00D027A3"/>
    <w:rsid w:val="00D119EC"/>
    <w:rsid w:val="00DA16FC"/>
    <w:rsid w:val="00DA7E46"/>
    <w:rsid w:val="00DD77C9"/>
    <w:rsid w:val="00DD7900"/>
    <w:rsid w:val="00DF4D66"/>
    <w:rsid w:val="00DF5926"/>
    <w:rsid w:val="00DF61F3"/>
    <w:rsid w:val="00E25441"/>
    <w:rsid w:val="00E30AA3"/>
    <w:rsid w:val="00E5040E"/>
    <w:rsid w:val="00E764E2"/>
    <w:rsid w:val="00E81A56"/>
    <w:rsid w:val="00E839B0"/>
    <w:rsid w:val="00E85734"/>
    <w:rsid w:val="00E92C09"/>
    <w:rsid w:val="00EA3374"/>
    <w:rsid w:val="00EB4E19"/>
    <w:rsid w:val="00EF4FA4"/>
    <w:rsid w:val="00F1208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超链接1,하이퍼링크2,하이퍼링크21,超??级链Ú,fL????,fL?级,超??级链,超?级链Ú,’´?级链,’´????,’´??级链Ú,’´??级,超?级链ïÈ,õ±?级链,õ±链ïÈ1,õ±???"/>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List Paragraph1"/>
    <w:basedOn w:val="Normal"/>
    <w:link w:val="ListParagraphChar"/>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70721C"/>
    <w:rPr>
      <w:color w:val="605E5C"/>
      <w:shd w:val="clear" w:color="auto" w:fill="E1DFDD"/>
    </w:rPr>
  </w:style>
  <w:style w:type="paragraph" w:customStyle="1" w:styleId="Annextitle0">
    <w:name w:val="Annex_title"/>
    <w:basedOn w:val="Normal"/>
    <w:next w:val="Normal"/>
    <w:rsid w:val="00CB2DD7"/>
    <w:pPr>
      <w:keepNext/>
      <w:keepLines/>
      <w:spacing w:before="240" w:after="280"/>
      <w:jc w:val="center"/>
    </w:pPr>
    <w:rPr>
      <w:b/>
      <w:sz w:val="28"/>
      <w:lang w:val="en-GB"/>
    </w:rPr>
  </w:style>
  <w:style w:type="table" w:customStyle="1" w:styleId="TableGrid1">
    <w:name w:val="Table Grid1"/>
    <w:basedOn w:val="TableNormal"/>
    <w:next w:val="TableGrid"/>
    <w:rsid w:val="00CB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CB2DD7"/>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about/Documents/itu-plan.pdf" TargetMode="External"/><Relationship Id="rId18" Type="http://schemas.openxmlformats.org/officeDocument/2006/relationships/hyperlink" Target="https://www.itu.int/en/ITU-T/studygroups/2025-2028/13/Pages/default.aspx" TargetMode="External"/><Relationship Id="rId26" Type="http://schemas.openxmlformats.org/officeDocument/2006/relationships/hyperlink" Target="https://www.itu.int/en/about/Documents/itu-plan.pdf" TargetMode="External"/><Relationship Id="rId39" Type="http://schemas.openxmlformats.org/officeDocument/2006/relationships/footer" Target="footer2.xml"/><Relationship Id="rId21" Type="http://schemas.openxmlformats.org/officeDocument/2006/relationships/image" Target="media/image3.png"/><Relationship Id="rId34" Type="http://schemas.openxmlformats.org/officeDocument/2006/relationships/hyperlink" Target="https://www.itu.int/es/delegates-corn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13/Pages/default.aspx" TargetMode="External"/><Relationship Id="rId20" Type="http://schemas.openxmlformats.org/officeDocument/2006/relationships/image" Target="media/image2.png"/><Relationship Id="rId29" Type="http://schemas.openxmlformats.org/officeDocument/2006/relationships/hyperlink" Target="https://remote.itu.i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hub/membership/user-account-ties/" TargetMode="External"/><Relationship Id="rId32" Type="http://schemas.openxmlformats.org/officeDocument/2006/relationships/hyperlink" Target="mailto:travel@itu.int" TargetMode="External"/><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en/ITU-T/studygroups/2025-2028/13/Pages/default.aspx"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mailto:servicedesk@itu.int" TargetMode="External"/><Relationship Id="rId36" Type="http://schemas.openxmlformats.org/officeDocument/2006/relationships/header" Target="header1.xml"/><Relationship Id="rId10" Type="http://schemas.openxmlformats.org/officeDocument/2006/relationships/hyperlink" Target="https://www.itu.int/es/ITU-T/jca/imt2020/Pages/default.aspx" TargetMode="External"/><Relationship Id="rId19" Type="http://schemas.openxmlformats.org/officeDocument/2006/relationships/hyperlink" Target="https://www.itu.int/net/ITU-T/ddp/Default.aspx?groupid=T25-SG13" TargetMode="External"/><Relationship Id="rId31" Type="http://schemas.openxmlformats.org/officeDocument/2006/relationships/hyperlink" Target="https://www.itu.int/md/T25-TSB-CIR-0001/es"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handle.itu.int/11.1002/apps/meeting-rooms" TargetMode="External"/><Relationship Id="rId22" Type="http://schemas.openxmlformats.org/officeDocument/2006/relationships/hyperlink" Target="https://itu.int/net/ITU-T/ddp/" TargetMode="External"/><Relationship Id="rId27" Type="http://schemas.openxmlformats.org/officeDocument/2006/relationships/hyperlink" Target="https://itu.int/go/e-print" TargetMode="External"/><Relationship Id="rId30" Type="http://schemas.openxmlformats.org/officeDocument/2006/relationships/hyperlink" Target="https://remote.itu.int/" TargetMode="External"/><Relationship Id="rId35" Type="http://schemas.openxmlformats.org/officeDocument/2006/relationships/hyperlink" Target="https://www.itu.int/net4/travel/index-es.asp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net/ITU-T/ddp/Default.aspx?groupid=T25-SG13" TargetMode="External"/><Relationship Id="rId25" Type="http://schemas.openxmlformats.org/officeDocument/2006/relationships/hyperlink" Target="https://www.itu.int/en/general-secretariat/ICT-Services/Pages/default.aspx" TargetMode="External"/><Relationship Id="rId33" Type="http://schemas.openxmlformats.org/officeDocument/2006/relationships/hyperlink" Target="mailto:travel@itu.int"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75</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14220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13</cp:revision>
  <cp:lastPrinted>2025-12-11T15:18:00Z</cp:lastPrinted>
  <dcterms:created xsi:type="dcterms:W3CDTF">2025-12-04T09:32:00Z</dcterms:created>
  <dcterms:modified xsi:type="dcterms:W3CDTF">2025-12-11T15:19:00Z</dcterms:modified>
</cp:coreProperties>
</file>