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-421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6537"/>
        <w:gridCol w:w="1984"/>
      </w:tblGrid>
      <w:tr w:rsidR="00427EA6" w:rsidRPr="00DF1813" w14:paraId="5FCB831A" w14:textId="77777777" w:rsidTr="00AF27E3">
        <w:trPr>
          <w:cantSplit/>
        </w:trPr>
        <w:tc>
          <w:tcPr>
            <w:tcW w:w="1260" w:type="dxa"/>
            <w:vAlign w:val="center"/>
          </w:tcPr>
          <w:p w14:paraId="7D2F8655" w14:textId="77777777" w:rsidR="00427EA6" w:rsidRPr="00DF1813" w:rsidRDefault="00CD4AE3" w:rsidP="00427EA6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DF1813">
              <w:rPr>
                <w:noProof/>
                <w:lang w:eastAsia="zh-CN"/>
              </w:rPr>
              <w:drawing>
                <wp:inline distT="0" distB="0" distL="0" distR="0" wp14:anchorId="19A8972B" wp14:editId="33BC7211">
                  <wp:extent cx="781050" cy="781050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37" w:type="dxa"/>
            <w:vAlign w:val="center"/>
          </w:tcPr>
          <w:p w14:paraId="23416829" w14:textId="77777777" w:rsidR="00427EA6" w:rsidRPr="00DF1813" w:rsidRDefault="00427EA6" w:rsidP="00427EA6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DF1813"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14:paraId="1F45BB59" w14:textId="77777777" w:rsidR="00427EA6" w:rsidRPr="00DF1813" w:rsidRDefault="00427EA6" w:rsidP="00427EA6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DF1813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Oficina de Normalización de las Telecomunicaciones</w:t>
            </w:r>
          </w:p>
        </w:tc>
        <w:tc>
          <w:tcPr>
            <w:tcW w:w="1984" w:type="dxa"/>
            <w:vAlign w:val="center"/>
          </w:tcPr>
          <w:p w14:paraId="5130FFA0" w14:textId="77777777" w:rsidR="00427EA6" w:rsidRPr="00DF1813" w:rsidRDefault="00427EA6" w:rsidP="00427EA6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</w:p>
        </w:tc>
      </w:tr>
    </w:tbl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2"/>
        <w:gridCol w:w="3625"/>
        <w:gridCol w:w="4762"/>
      </w:tblGrid>
      <w:tr w:rsidR="002545AA" w:rsidRPr="00DF1813" w14:paraId="5BAED284" w14:textId="77777777" w:rsidTr="00AF27E3">
        <w:trPr>
          <w:cantSplit/>
          <w:trHeight w:val="649"/>
        </w:trPr>
        <w:tc>
          <w:tcPr>
            <w:tcW w:w="1252" w:type="dxa"/>
          </w:tcPr>
          <w:p w14:paraId="21415219" w14:textId="77777777" w:rsidR="002545AA" w:rsidRPr="00DF1813" w:rsidRDefault="002545AA" w:rsidP="002C58A4">
            <w:pPr>
              <w:tabs>
                <w:tab w:val="left" w:pos="4111"/>
              </w:tabs>
              <w:spacing w:before="10"/>
              <w:ind w:left="57"/>
              <w:rPr>
                <w:szCs w:val="24"/>
              </w:rPr>
            </w:pPr>
          </w:p>
        </w:tc>
        <w:tc>
          <w:tcPr>
            <w:tcW w:w="3625" w:type="dxa"/>
          </w:tcPr>
          <w:p w14:paraId="61F74745" w14:textId="77777777" w:rsidR="002545AA" w:rsidRPr="00DF1813" w:rsidRDefault="002545AA" w:rsidP="002C58A4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</w:p>
        </w:tc>
        <w:tc>
          <w:tcPr>
            <w:tcW w:w="4762" w:type="dxa"/>
          </w:tcPr>
          <w:p w14:paraId="66761920" w14:textId="485DE96C" w:rsidR="002545AA" w:rsidRPr="00DF1813" w:rsidRDefault="002545AA" w:rsidP="002C58A4">
            <w:pPr>
              <w:pStyle w:val="Tabletext0"/>
              <w:tabs>
                <w:tab w:val="clear" w:pos="1134"/>
                <w:tab w:val="clear" w:pos="2268"/>
                <w:tab w:val="left" w:pos="794"/>
                <w:tab w:val="left" w:pos="1191"/>
                <w:tab w:val="left" w:pos="1588"/>
              </w:tabs>
              <w:spacing w:before="240" w:after="120"/>
              <w:rPr>
                <w:bCs/>
              </w:rPr>
            </w:pPr>
            <w:r w:rsidRPr="00DF1813">
              <w:t xml:space="preserve">Ginebra, </w:t>
            </w:r>
            <w:r w:rsidR="00485DDF" w:rsidRPr="00DF1813">
              <w:t>9 de mayo de 2025</w:t>
            </w:r>
          </w:p>
        </w:tc>
      </w:tr>
      <w:tr w:rsidR="002545AA" w:rsidRPr="00DF1813" w14:paraId="031E6D64" w14:textId="77777777" w:rsidTr="00AF27E3">
        <w:trPr>
          <w:cantSplit/>
          <w:trHeight w:val="649"/>
        </w:trPr>
        <w:tc>
          <w:tcPr>
            <w:tcW w:w="1252" w:type="dxa"/>
          </w:tcPr>
          <w:p w14:paraId="5CCEEF63" w14:textId="77777777" w:rsidR="002545AA" w:rsidRPr="00DF1813" w:rsidRDefault="002545AA" w:rsidP="002C58A4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AF27E3">
              <w:rPr>
                <w:b/>
                <w:bCs/>
                <w:szCs w:val="24"/>
              </w:rPr>
              <w:t>Ref</w:t>
            </w:r>
            <w:r w:rsidRPr="00DF1813">
              <w:rPr>
                <w:szCs w:val="24"/>
              </w:rPr>
              <w:t>.:</w:t>
            </w:r>
          </w:p>
        </w:tc>
        <w:tc>
          <w:tcPr>
            <w:tcW w:w="3625" w:type="dxa"/>
          </w:tcPr>
          <w:p w14:paraId="09C29637" w14:textId="4FFD6E46" w:rsidR="002545AA" w:rsidRPr="00DF1813" w:rsidRDefault="002545AA" w:rsidP="002C58A4">
            <w:pPr>
              <w:tabs>
                <w:tab w:val="left" w:pos="4111"/>
              </w:tabs>
              <w:spacing w:before="40" w:after="40"/>
              <w:ind w:left="57"/>
              <w:rPr>
                <w:b/>
                <w:szCs w:val="24"/>
              </w:rPr>
            </w:pPr>
            <w:r w:rsidRPr="00DF1813">
              <w:rPr>
                <w:b/>
              </w:rPr>
              <w:t xml:space="preserve">Carta Colectiva TSB </w:t>
            </w:r>
            <w:r w:rsidR="00485DDF" w:rsidRPr="00DF1813">
              <w:rPr>
                <w:b/>
                <w:szCs w:val="24"/>
              </w:rPr>
              <w:t>2</w:t>
            </w:r>
            <w:r w:rsidRPr="00DF1813">
              <w:rPr>
                <w:b/>
                <w:szCs w:val="24"/>
              </w:rPr>
              <w:t>/</w:t>
            </w:r>
            <w:r w:rsidR="00485DDF" w:rsidRPr="00DF1813">
              <w:rPr>
                <w:b/>
                <w:szCs w:val="24"/>
              </w:rPr>
              <w:t>13</w:t>
            </w:r>
          </w:p>
          <w:p w14:paraId="09096904" w14:textId="2985C8EC" w:rsidR="002545AA" w:rsidRPr="00DF1813" w:rsidRDefault="002545AA" w:rsidP="002C58A4">
            <w:pPr>
              <w:tabs>
                <w:tab w:val="left" w:pos="4111"/>
              </w:tabs>
              <w:spacing w:before="0" w:after="40"/>
              <w:ind w:left="57"/>
              <w:rPr>
                <w:u w:val="single"/>
              </w:rPr>
            </w:pPr>
            <w:bookmarkStart w:id="0" w:name="lt_pId018"/>
            <w:r w:rsidRPr="00DF1813">
              <w:t>CE </w:t>
            </w:r>
            <w:r w:rsidR="00485DDF" w:rsidRPr="00DF1813">
              <w:t>13</w:t>
            </w:r>
            <w:r w:rsidRPr="00DF1813">
              <w:t>/</w:t>
            </w:r>
            <w:bookmarkEnd w:id="0"/>
            <w:r w:rsidR="00485DDF" w:rsidRPr="00DF1813">
              <w:t>TK</w:t>
            </w:r>
          </w:p>
        </w:tc>
        <w:tc>
          <w:tcPr>
            <w:tcW w:w="4762" w:type="dxa"/>
            <w:vMerge w:val="restart"/>
          </w:tcPr>
          <w:p w14:paraId="3F2113AD" w14:textId="794D02BC" w:rsidR="00485DDF" w:rsidRPr="00485DDF" w:rsidRDefault="00485DDF" w:rsidP="00485DDF">
            <w:pPr>
              <w:tabs>
                <w:tab w:val="clear" w:pos="794"/>
                <w:tab w:val="left" w:pos="501"/>
                <w:tab w:val="left" w:pos="4111"/>
              </w:tabs>
              <w:spacing w:before="40" w:after="40"/>
              <w:ind w:left="501" w:hanging="444"/>
              <w:rPr>
                <w:bCs/>
              </w:rPr>
            </w:pPr>
            <w:r w:rsidRPr="00DF1813">
              <w:rPr>
                <w:bCs/>
              </w:rPr>
              <w:t>–</w:t>
            </w:r>
            <w:r w:rsidRPr="00485DDF">
              <w:rPr>
                <w:bCs/>
              </w:rPr>
              <w:tab/>
              <w:t>A las Administraciones de los Estados Miembros de la Unión;</w:t>
            </w:r>
          </w:p>
          <w:p w14:paraId="72FC9C4D" w14:textId="1A6EF0EB" w:rsidR="00485DDF" w:rsidRPr="00485DDF" w:rsidRDefault="00485DDF" w:rsidP="00485DDF">
            <w:pPr>
              <w:tabs>
                <w:tab w:val="clear" w:pos="794"/>
                <w:tab w:val="left" w:pos="501"/>
                <w:tab w:val="left" w:pos="4111"/>
              </w:tabs>
              <w:spacing w:before="40" w:after="40"/>
              <w:ind w:left="501" w:hanging="444"/>
              <w:rPr>
                <w:bCs/>
              </w:rPr>
            </w:pPr>
            <w:r w:rsidRPr="00DF1813">
              <w:rPr>
                <w:bCs/>
              </w:rPr>
              <w:t>–</w:t>
            </w:r>
            <w:r w:rsidRPr="00485DDF">
              <w:rPr>
                <w:bCs/>
              </w:rPr>
              <w:tab/>
              <w:t xml:space="preserve">Al Estado de Palestina </w:t>
            </w:r>
            <w:r w:rsidRPr="00DF1813">
              <w:rPr>
                <w:bCs/>
              </w:rPr>
              <w:br/>
            </w:r>
            <w:r w:rsidRPr="00485DDF">
              <w:rPr>
                <w:bCs/>
              </w:rPr>
              <w:t>(Res. 99 (Rev. Dubái, 2018));</w:t>
            </w:r>
          </w:p>
          <w:p w14:paraId="6005289C" w14:textId="11EFBE0E" w:rsidR="00485DDF" w:rsidRPr="00485DDF" w:rsidRDefault="00485DDF" w:rsidP="00485DDF">
            <w:pPr>
              <w:tabs>
                <w:tab w:val="clear" w:pos="794"/>
                <w:tab w:val="left" w:pos="501"/>
                <w:tab w:val="left" w:pos="4111"/>
              </w:tabs>
              <w:spacing w:before="40" w:after="40"/>
              <w:ind w:left="501" w:hanging="444"/>
              <w:rPr>
                <w:bCs/>
              </w:rPr>
            </w:pPr>
            <w:r w:rsidRPr="00DF1813">
              <w:rPr>
                <w:bCs/>
              </w:rPr>
              <w:t>–</w:t>
            </w:r>
            <w:r w:rsidRPr="00485DDF">
              <w:rPr>
                <w:bCs/>
              </w:rPr>
              <w:tab/>
              <w:t>A los Miembros de Sector del UIT-T;</w:t>
            </w:r>
          </w:p>
          <w:p w14:paraId="40F3E594" w14:textId="6A90E136" w:rsidR="00485DDF" w:rsidRPr="00485DDF" w:rsidRDefault="00485DDF" w:rsidP="00485DDF">
            <w:pPr>
              <w:tabs>
                <w:tab w:val="clear" w:pos="794"/>
                <w:tab w:val="left" w:pos="501"/>
                <w:tab w:val="left" w:pos="4111"/>
              </w:tabs>
              <w:spacing w:before="40" w:after="40"/>
              <w:ind w:left="501" w:hanging="444"/>
              <w:rPr>
                <w:bCs/>
              </w:rPr>
            </w:pPr>
            <w:r w:rsidRPr="00DF1813">
              <w:rPr>
                <w:bCs/>
              </w:rPr>
              <w:t>–</w:t>
            </w:r>
            <w:r w:rsidRPr="00485DDF">
              <w:rPr>
                <w:bCs/>
              </w:rPr>
              <w:tab/>
              <w:t>A los Asociados de la Comisión de Estudio 13 del UIT-T;</w:t>
            </w:r>
          </w:p>
          <w:p w14:paraId="4D1D965E" w14:textId="4AFB4056" w:rsidR="002545AA" w:rsidRPr="00DF1813" w:rsidRDefault="00485DDF" w:rsidP="00485DDF">
            <w:pPr>
              <w:tabs>
                <w:tab w:val="clear" w:pos="794"/>
                <w:tab w:val="left" w:pos="501"/>
                <w:tab w:val="left" w:pos="4111"/>
              </w:tabs>
              <w:spacing w:before="40" w:after="40"/>
              <w:ind w:left="501" w:hanging="444"/>
              <w:rPr>
                <w:bCs/>
              </w:rPr>
            </w:pPr>
            <w:r w:rsidRPr="00DF1813">
              <w:rPr>
                <w:bCs/>
              </w:rPr>
              <w:t>–</w:t>
            </w:r>
            <w:r w:rsidRPr="00DF1813">
              <w:rPr>
                <w:bCs/>
              </w:rPr>
              <w:tab/>
              <w:t>A las Instituciones Académicas de la UIT</w:t>
            </w:r>
          </w:p>
        </w:tc>
      </w:tr>
      <w:tr w:rsidR="002545AA" w:rsidRPr="00DF1813" w14:paraId="2EF8A298" w14:textId="77777777" w:rsidTr="00AF27E3">
        <w:trPr>
          <w:cantSplit/>
          <w:trHeight w:val="390"/>
        </w:trPr>
        <w:tc>
          <w:tcPr>
            <w:tcW w:w="1252" w:type="dxa"/>
          </w:tcPr>
          <w:p w14:paraId="4157559E" w14:textId="77777777" w:rsidR="002545AA" w:rsidRPr="00DF1813" w:rsidRDefault="002545AA" w:rsidP="002C58A4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DF1813">
              <w:rPr>
                <w:szCs w:val="24"/>
              </w:rPr>
              <w:t>Tel.:</w:t>
            </w:r>
          </w:p>
        </w:tc>
        <w:tc>
          <w:tcPr>
            <w:tcW w:w="3625" w:type="dxa"/>
          </w:tcPr>
          <w:p w14:paraId="4E7C6265" w14:textId="31168673" w:rsidR="002545AA" w:rsidRPr="00DF1813" w:rsidRDefault="002545AA" w:rsidP="002C58A4">
            <w:pPr>
              <w:tabs>
                <w:tab w:val="left" w:pos="4111"/>
              </w:tabs>
              <w:spacing w:before="40" w:after="40"/>
              <w:ind w:left="57"/>
            </w:pPr>
            <w:r w:rsidRPr="00DF1813">
              <w:t xml:space="preserve">+41 22 730 </w:t>
            </w:r>
            <w:r w:rsidR="00485DDF" w:rsidRPr="00DF1813">
              <w:t>5126</w:t>
            </w:r>
          </w:p>
        </w:tc>
        <w:tc>
          <w:tcPr>
            <w:tcW w:w="4762" w:type="dxa"/>
            <w:vMerge/>
          </w:tcPr>
          <w:p w14:paraId="14D79EED" w14:textId="77777777" w:rsidR="002545AA" w:rsidRPr="00DF1813" w:rsidRDefault="002545AA" w:rsidP="002C58A4">
            <w:pPr>
              <w:tabs>
                <w:tab w:val="left" w:pos="4111"/>
              </w:tabs>
              <w:spacing w:beforeLines="40" w:before="96" w:after="40"/>
              <w:ind w:left="57"/>
              <w:rPr>
                <w:bCs/>
              </w:rPr>
            </w:pPr>
          </w:p>
        </w:tc>
      </w:tr>
      <w:tr w:rsidR="002545AA" w:rsidRPr="00DF1813" w14:paraId="00AB7670" w14:textId="77777777" w:rsidTr="00AF27E3">
        <w:trPr>
          <w:cantSplit/>
          <w:trHeight w:val="431"/>
        </w:trPr>
        <w:tc>
          <w:tcPr>
            <w:tcW w:w="1252" w:type="dxa"/>
          </w:tcPr>
          <w:p w14:paraId="1382796A" w14:textId="77777777" w:rsidR="002545AA" w:rsidRPr="00DF1813" w:rsidRDefault="002545AA" w:rsidP="002C58A4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DF1813">
              <w:rPr>
                <w:szCs w:val="24"/>
              </w:rPr>
              <w:t>Fax:</w:t>
            </w:r>
          </w:p>
        </w:tc>
        <w:tc>
          <w:tcPr>
            <w:tcW w:w="3625" w:type="dxa"/>
          </w:tcPr>
          <w:p w14:paraId="0F7882F8" w14:textId="77777777" w:rsidR="002545AA" w:rsidRPr="00DF1813" w:rsidRDefault="002545AA" w:rsidP="002C58A4">
            <w:pPr>
              <w:tabs>
                <w:tab w:val="left" w:pos="4111"/>
              </w:tabs>
              <w:spacing w:before="40" w:after="40"/>
              <w:ind w:left="57"/>
            </w:pPr>
            <w:r w:rsidRPr="00DF1813">
              <w:t>+41 22 730 5853</w:t>
            </w:r>
          </w:p>
        </w:tc>
        <w:tc>
          <w:tcPr>
            <w:tcW w:w="4762" w:type="dxa"/>
            <w:vMerge/>
          </w:tcPr>
          <w:p w14:paraId="1D45250F" w14:textId="77777777" w:rsidR="002545AA" w:rsidRPr="00DF1813" w:rsidRDefault="002545AA" w:rsidP="002C58A4">
            <w:pPr>
              <w:tabs>
                <w:tab w:val="left" w:pos="4111"/>
              </w:tabs>
              <w:spacing w:beforeLines="40" w:before="96" w:after="40"/>
              <w:ind w:left="57"/>
              <w:rPr>
                <w:bCs/>
              </w:rPr>
            </w:pPr>
          </w:p>
        </w:tc>
      </w:tr>
      <w:tr w:rsidR="002545AA" w:rsidRPr="00DF1813" w14:paraId="347CD68B" w14:textId="77777777" w:rsidTr="00AF27E3">
        <w:trPr>
          <w:cantSplit/>
        </w:trPr>
        <w:tc>
          <w:tcPr>
            <w:tcW w:w="1252" w:type="dxa"/>
          </w:tcPr>
          <w:p w14:paraId="4CEB4CD3" w14:textId="77777777" w:rsidR="002545AA" w:rsidRPr="00DF1813" w:rsidRDefault="002545AA" w:rsidP="002C58A4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DF1813">
              <w:rPr>
                <w:szCs w:val="24"/>
              </w:rPr>
              <w:t>Correo-e:</w:t>
            </w:r>
          </w:p>
        </w:tc>
        <w:tc>
          <w:tcPr>
            <w:tcW w:w="3625" w:type="dxa"/>
          </w:tcPr>
          <w:p w14:paraId="79EF25F3" w14:textId="29DC5DBB" w:rsidR="002545AA" w:rsidRPr="00DF1813" w:rsidRDefault="00485DDF" w:rsidP="002C58A4">
            <w:pPr>
              <w:tabs>
                <w:tab w:val="left" w:pos="4111"/>
              </w:tabs>
              <w:spacing w:before="40" w:after="40"/>
              <w:ind w:left="57"/>
            </w:pPr>
            <w:hyperlink r:id="rId9" w:history="1">
              <w:r w:rsidRPr="00DF1813">
                <w:rPr>
                  <w:rStyle w:val="Hyperlink"/>
                  <w:szCs w:val="24"/>
                </w:rPr>
                <w:t>tsbsg13@itu.int</w:t>
              </w:r>
            </w:hyperlink>
          </w:p>
        </w:tc>
        <w:tc>
          <w:tcPr>
            <w:tcW w:w="4762" w:type="dxa"/>
            <w:vMerge/>
          </w:tcPr>
          <w:p w14:paraId="668FC4C6" w14:textId="77777777" w:rsidR="002545AA" w:rsidRPr="00DF1813" w:rsidRDefault="002545AA" w:rsidP="002C58A4">
            <w:pPr>
              <w:tabs>
                <w:tab w:val="left" w:pos="4111"/>
              </w:tabs>
              <w:spacing w:beforeLines="40" w:before="96" w:after="40"/>
              <w:ind w:left="57"/>
            </w:pPr>
          </w:p>
        </w:tc>
      </w:tr>
      <w:tr w:rsidR="002545AA" w:rsidRPr="00DF1813" w14:paraId="2D49493A" w14:textId="77777777" w:rsidTr="00AF27E3">
        <w:trPr>
          <w:cantSplit/>
        </w:trPr>
        <w:tc>
          <w:tcPr>
            <w:tcW w:w="1252" w:type="dxa"/>
          </w:tcPr>
          <w:p w14:paraId="343F5A94" w14:textId="77777777" w:rsidR="002545AA" w:rsidRPr="00DF1813" w:rsidRDefault="002545AA" w:rsidP="002C58A4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DF1813">
              <w:rPr>
                <w:szCs w:val="24"/>
              </w:rPr>
              <w:t>Web:</w:t>
            </w:r>
          </w:p>
        </w:tc>
        <w:tc>
          <w:tcPr>
            <w:tcW w:w="3625" w:type="dxa"/>
          </w:tcPr>
          <w:p w14:paraId="7D82AF90" w14:textId="1694F7A5" w:rsidR="002545AA" w:rsidRPr="00DF1813" w:rsidRDefault="00485DDF" w:rsidP="002C58A4">
            <w:pPr>
              <w:tabs>
                <w:tab w:val="left" w:pos="4111"/>
              </w:tabs>
              <w:spacing w:before="40" w:after="40"/>
              <w:ind w:left="57"/>
            </w:pPr>
            <w:hyperlink r:id="rId10" w:history="1">
              <w:r w:rsidRPr="00DF1813">
                <w:rPr>
                  <w:rStyle w:val="Hyperlink"/>
                </w:rPr>
                <w:t>http://itu.int/go/tsg13</w:t>
              </w:r>
            </w:hyperlink>
          </w:p>
        </w:tc>
        <w:tc>
          <w:tcPr>
            <w:tcW w:w="4762" w:type="dxa"/>
            <w:vMerge/>
          </w:tcPr>
          <w:p w14:paraId="19961250" w14:textId="77777777" w:rsidR="002545AA" w:rsidRPr="00DF1813" w:rsidRDefault="002545AA" w:rsidP="002C58A4">
            <w:pPr>
              <w:tabs>
                <w:tab w:val="left" w:pos="4111"/>
              </w:tabs>
              <w:spacing w:beforeLines="40" w:before="96" w:after="40"/>
              <w:ind w:left="57"/>
            </w:pPr>
          </w:p>
        </w:tc>
      </w:tr>
      <w:tr w:rsidR="002545AA" w:rsidRPr="00DF1813" w14:paraId="2C82981D" w14:textId="77777777" w:rsidTr="00AF27E3">
        <w:trPr>
          <w:cantSplit/>
          <w:trHeight w:val="396"/>
        </w:trPr>
        <w:tc>
          <w:tcPr>
            <w:tcW w:w="1252" w:type="dxa"/>
          </w:tcPr>
          <w:p w14:paraId="6F8AF874" w14:textId="77777777" w:rsidR="002545AA" w:rsidRPr="00DF1813" w:rsidRDefault="002545AA" w:rsidP="002C58A4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AF27E3">
              <w:rPr>
                <w:b/>
                <w:bCs/>
                <w:szCs w:val="24"/>
              </w:rPr>
              <w:t>Asunto</w:t>
            </w:r>
            <w:r w:rsidRPr="00DF1813">
              <w:rPr>
                <w:szCs w:val="24"/>
              </w:rPr>
              <w:t>:</w:t>
            </w:r>
          </w:p>
        </w:tc>
        <w:tc>
          <w:tcPr>
            <w:tcW w:w="8387" w:type="dxa"/>
            <w:gridSpan w:val="2"/>
          </w:tcPr>
          <w:p w14:paraId="416A77CC" w14:textId="61E4E777" w:rsidR="002545AA" w:rsidRPr="00DF1813" w:rsidRDefault="00485DDF" w:rsidP="002C58A4">
            <w:pPr>
              <w:tabs>
                <w:tab w:val="left" w:pos="4111"/>
              </w:tabs>
              <w:spacing w:before="40" w:after="40"/>
              <w:ind w:left="57"/>
              <w:rPr>
                <w:b/>
                <w:bCs/>
              </w:rPr>
            </w:pPr>
            <w:r w:rsidRPr="00DF1813">
              <w:rPr>
                <w:b/>
                <w:bCs/>
                <w:szCs w:val="24"/>
              </w:rPr>
              <w:t>Reuniones de los Grupos de Trabajo 1, 2, 3 y 4/13, Ginebra, 25 de julio de 2025</w:t>
            </w:r>
          </w:p>
        </w:tc>
      </w:tr>
    </w:tbl>
    <w:p w14:paraId="2912638F" w14:textId="251BFAC4" w:rsidR="002545AA" w:rsidRPr="00AF27E3" w:rsidRDefault="002545AA" w:rsidP="00AF27E3">
      <w:pPr>
        <w:pStyle w:val="ITUintr"/>
        <w:tabs>
          <w:tab w:val="clear" w:pos="737"/>
          <w:tab w:val="clear" w:pos="1134"/>
          <w:tab w:val="left" w:pos="794"/>
        </w:tabs>
        <w:spacing w:before="120" w:after="0"/>
        <w:ind w:right="86"/>
        <w:rPr>
          <w:rFonts w:asciiTheme="minorHAnsi" w:hAnsiTheme="minorHAnsi"/>
          <w:sz w:val="22"/>
          <w:szCs w:val="18"/>
        </w:rPr>
      </w:pPr>
      <w:bookmarkStart w:id="1" w:name="ditulogo"/>
      <w:bookmarkEnd w:id="1"/>
      <w:r w:rsidRPr="00AF27E3">
        <w:rPr>
          <w:rFonts w:asciiTheme="minorHAnsi" w:hAnsiTheme="minorHAnsi"/>
          <w:sz w:val="22"/>
          <w:szCs w:val="18"/>
        </w:rPr>
        <w:t>Muy Señora mía/Muy Señor mío</w:t>
      </w:r>
      <w:r w:rsidR="00AF27E3" w:rsidRPr="00AF27E3">
        <w:rPr>
          <w:rFonts w:asciiTheme="minorHAnsi" w:hAnsiTheme="minorHAnsi"/>
          <w:sz w:val="22"/>
          <w:szCs w:val="18"/>
        </w:rPr>
        <w:t>,</w:t>
      </w:r>
    </w:p>
    <w:p w14:paraId="5C8AF74A" w14:textId="77777777" w:rsidR="00DF1813" w:rsidRPr="00DF1813" w:rsidRDefault="00DF1813" w:rsidP="00DF1813">
      <w:r w:rsidRPr="00DF1813">
        <w:t xml:space="preserve">Accediendo a la solicitud formulada por el Presidente de la Comisión de Estudio 13 (Sr. Kazunori </w:t>
      </w:r>
      <w:proofErr w:type="spellStart"/>
      <w:r w:rsidRPr="00DF1813">
        <w:t>Tanikawa</w:t>
      </w:r>
      <w:proofErr w:type="spellEnd"/>
      <w:r w:rsidRPr="00DF1813">
        <w:t xml:space="preserve">), respaldada por la Comisión de Estudio 13 en su reunión celebrada en Ginebra del 3 al 14 de marzo de 2025, me complace </w:t>
      </w:r>
      <w:proofErr w:type="gramStart"/>
      <w:r w:rsidRPr="00DF1813">
        <w:t>invitarle</w:t>
      </w:r>
      <w:proofErr w:type="gramEnd"/>
      <w:r w:rsidRPr="00DF1813">
        <w:t xml:space="preserve"> a las próximas reuniones de los GT1/13 </w:t>
      </w:r>
      <w:r w:rsidRPr="00DF1813">
        <w:rPr>
          <w:i/>
          <w:iCs/>
        </w:rPr>
        <w:t>(Sistemas IMT</w:t>
      </w:r>
      <w:r w:rsidRPr="00DF1813">
        <w:t>), GT2/13 (</w:t>
      </w:r>
      <w:r w:rsidRPr="00DF1813">
        <w:rPr>
          <w:i/>
          <w:iCs/>
        </w:rPr>
        <w:t>Computación en la nube y gestión de datos</w:t>
      </w:r>
      <w:r w:rsidRPr="00DF1813">
        <w:t>), GT3/13 (</w:t>
      </w:r>
      <w:r w:rsidRPr="00DF1813">
        <w:rPr>
          <w:i/>
          <w:iCs/>
        </w:rPr>
        <w:t>Redes futuras</w:t>
      </w:r>
      <w:r w:rsidRPr="00DF1813">
        <w:t xml:space="preserve">) y GT4/13 </w:t>
      </w:r>
      <w:r w:rsidRPr="00DF1813">
        <w:rPr>
          <w:i/>
          <w:iCs/>
        </w:rPr>
        <w:t xml:space="preserve">(Hipótesis, despliegue y tecnologías) </w:t>
      </w:r>
      <w:r w:rsidRPr="00DF1813">
        <w:t>que se celebrarán en la Sede de la UIT en Ginebra el 25 de julio de 2025.</w:t>
      </w:r>
    </w:p>
    <w:p w14:paraId="5A3DC2E0" w14:textId="77777777" w:rsidR="00DF1813" w:rsidRPr="00DF1813" w:rsidRDefault="00DF1813" w:rsidP="00DF1813">
      <w:r w:rsidRPr="00DF1813">
        <w:t xml:space="preserve">La reunión del GT4/13 empezará a las 09.00 horas, la reunión del GT3/13 empezará a las 10.30 horas, la reunión del GT1/13 empezará a las 14.00 horas y la reunión del GT2/13 empezará a las 15.00 horas. La inscripción de participantes se abrirá a las 08.30 horas del 14 y el 25 de julio en la </w:t>
      </w:r>
      <w:hyperlink r:id="rId11" w:history="1">
        <w:r w:rsidRPr="00DF1813">
          <w:rPr>
            <w:rStyle w:val="Hyperlink"/>
          </w:rPr>
          <w:t xml:space="preserve">entrada del edificio </w:t>
        </w:r>
        <w:proofErr w:type="spellStart"/>
        <w:r w:rsidRPr="00DF1813">
          <w:rPr>
            <w:rStyle w:val="Hyperlink"/>
          </w:rPr>
          <w:t>Montbrillant</w:t>
        </w:r>
        <w:proofErr w:type="spellEnd"/>
      </w:hyperlink>
      <w:r w:rsidRPr="00DF1813">
        <w:t xml:space="preserve">. La distribución de las salas de reunión se mostrará en las pantallas de la Sede de la UIT y se publicará en línea </w:t>
      </w:r>
      <w:hyperlink r:id="rId12" w:history="1">
        <w:r w:rsidRPr="00DF1813">
          <w:rPr>
            <w:rStyle w:val="Hyperlink"/>
          </w:rPr>
          <w:t>aquí</w:t>
        </w:r>
      </w:hyperlink>
      <w:r w:rsidRPr="00DF1813">
        <w:t>.</w:t>
      </w:r>
    </w:p>
    <w:p w14:paraId="0E69E1EC" w14:textId="0DC6B74E" w:rsidR="00DF1813" w:rsidRPr="00DF1813" w:rsidRDefault="00DF1813" w:rsidP="00DF1813">
      <w:r w:rsidRPr="00DF1813">
        <w:t xml:space="preserve">La documentación y los pormenores del proceso de inscripción y la participación a distancia, entre otra información conexa, pueden consultarse en la página principal de la </w:t>
      </w:r>
      <w:hyperlink r:id="rId13" w:history="1">
        <w:r w:rsidRPr="00DF1813">
          <w:rPr>
            <w:rStyle w:val="Hyperlink"/>
          </w:rPr>
          <w:t>Comisión de Estudio</w:t>
        </w:r>
      </w:hyperlink>
      <w:r w:rsidRPr="00DF1813">
        <w:t>.</w:t>
      </w:r>
    </w:p>
    <w:p w14:paraId="0F0CC659" w14:textId="77777777" w:rsidR="00DF1813" w:rsidRPr="00DF1813" w:rsidRDefault="00DF1813" w:rsidP="00DF1813">
      <w:r w:rsidRPr="00DF1813">
        <w:t>No se concederán becas para estas reuniones, que tendrán lugar únicamente en inglés, sin servicios de interpretación.</w:t>
      </w:r>
    </w:p>
    <w:p w14:paraId="7821ECDD" w14:textId="77777777" w:rsidR="00DF1813" w:rsidRPr="00DF1813" w:rsidRDefault="00DF1813" w:rsidP="00DF1813">
      <w:r w:rsidRPr="00DF1813">
        <w:t>El principal objetivo de las reuniones de los Grupos de Trabajo es considerar la posibilidad de iniciar el proceso de aprobación de los siguientes proyectos de Recomendación UIT-T y examinar los Suplementos para su acuerdo, según proceda, en función de los resultados de las reuniones de Grupos de Relator celebradas los días anteriores (14-25 de julio de 2025, Ginebra):</w:t>
      </w:r>
    </w:p>
    <w:p w14:paraId="4888E4C1" w14:textId="77777777" w:rsidR="00DF1813" w:rsidRPr="00DF1813" w:rsidRDefault="00DF1813" w:rsidP="00DF1813">
      <w:pPr>
        <w:pStyle w:val="Headingb0"/>
      </w:pPr>
      <w:r w:rsidRPr="00DF1813">
        <w:t>GT1/13:</w:t>
      </w:r>
    </w:p>
    <w:p w14:paraId="46BC8D5D" w14:textId="507CB24E" w:rsidR="00DF1813" w:rsidRPr="00DF1813" w:rsidRDefault="00DF1813" w:rsidP="00DF1813">
      <w:pPr>
        <w:pStyle w:val="enumlev1"/>
      </w:pPr>
      <w:r>
        <w:t>•</w:t>
      </w:r>
      <w:r>
        <w:tab/>
      </w:r>
      <w:r w:rsidRPr="00DF1813">
        <w:t xml:space="preserve">Y.CNAO </w:t>
      </w:r>
      <w:r w:rsidR="009A28B2">
        <w:t>"</w:t>
      </w:r>
      <w:proofErr w:type="spellStart"/>
      <w:r w:rsidRPr="00DF1813">
        <w:t>Requirements</w:t>
      </w:r>
      <w:proofErr w:type="spellEnd"/>
      <w:r w:rsidRPr="00DF1813">
        <w:t xml:space="preserve"> and </w:t>
      </w:r>
      <w:proofErr w:type="spellStart"/>
      <w:r w:rsidRPr="00DF1813">
        <w:t>functional</w:t>
      </w:r>
      <w:proofErr w:type="spellEnd"/>
      <w:r w:rsidRPr="00DF1813">
        <w:t xml:space="preserve"> </w:t>
      </w:r>
      <w:proofErr w:type="spellStart"/>
      <w:r w:rsidRPr="00DF1813">
        <w:t>framework</w:t>
      </w:r>
      <w:proofErr w:type="spellEnd"/>
      <w:r w:rsidRPr="00DF1813">
        <w:t xml:space="preserve"> for </w:t>
      </w:r>
      <w:proofErr w:type="spellStart"/>
      <w:r w:rsidRPr="00DF1813">
        <w:t>Customer-oriented</w:t>
      </w:r>
      <w:proofErr w:type="spellEnd"/>
      <w:r w:rsidRPr="00DF1813">
        <w:t xml:space="preserve"> Network </w:t>
      </w:r>
      <w:proofErr w:type="spellStart"/>
      <w:r w:rsidRPr="00DF1813">
        <w:t>Quality</w:t>
      </w:r>
      <w:proofErr w:type="spellEnd"/>
      <w:r w:rsidRPr="00DF1813">
        <w:t xml:space="preserve"> Auto </w:t>
      </w:r>
      <w:r w:rsidRPr="00DF1813">
        <w:br/>
      </w:r>
      <w:proofErr w:type="spellStart"/>
      <w:r w:rsidRPr="00DF1813">
        <w:t>Optimization</w:t>
      </w:r>
      <w:proofErr w:type="spellEnd"/>
      <w:r w:rsidRPr="00DF1813">
        <w:t xml:space="preserve"> </w:t>
      </w:r>
      <w:proofErr w:type="spellStart"/>
      <w:r w:rsidRPr="00DF1813">
        <w:t>with</w:t>
      </w:r>
      <w:proofErr w:type="spellEnd"/>
      <w:r w:rsidRPr="00DF1813">
        <w:t xml:space="preserve"> Artificial </w:t>
      </w:r>
      <w:proofErr w:type="spellStart"/>
      <w:r w:rsidRPr="00DF1813">
        <w:t>Intelligence</w:t>
      </w:r>
      <w:proofErr w:type="spellEnd"/>
      <w:r w:rsidR="009A28B2">
        <w:t>"</w:t>
      </w:r>
      <w:r w:rsidRPr="00DF1813">
        <w:t xml:space="preserve"> (C20/13),</w:t>
      </w:r>
    </w:p>
    <w:p w14:paraId="4A880D0A" w14:textId="43DFB232" w:rsidR="00DF1813" w:rsidRPr="00DF1813" w:rsidRDefault="00DF1813" w:rsidP="00DF1813">
      <w:pPr>
        <w:pStyle w:val="enumlev1"/>
      </w:pPr>
      <w:r>
        <w:t>•</w:t>
      </w:r>
      <w:r>
        <w:tab/>
      </w:r>
      <w:r w:rsidRPr="00DF1813">
        <w:t>Y.LDT-</w:t>
      </w:r>
      <w:proofErr w:type="spellStart"/>
      <w:r w:rsidRPr="00DF1813">
        <w:t>reqs</w:t>
      </w:r>
      <w:proofErr w:type="spellEnd"/>
      <w:r w:rsidRPr="00DF1813">
        <w:t>-</w:t>
      </w:r>
      <w:proofErr w:type="spellStart"/>
      <w:r w:rsidRPr="00DF1813">
        <w:t>funcs</w:t>
      </w:r>
      <w:proofErr w:type="spellEnd"/>
      <w:r w:rsidRPr="00DF1813">
        <w:t xml:space="preserve"> </w:t>
      </w:r>
      <w:r w:rsidR="009A28B2">
        <w:t>"</w:t>
      </w:r>
      <w:r w:rsidRPr="00DF1813">
        <w:t xml:space="preserve">IMT-2020 </w:t>
      </w:r>
      <w:proofErr w:type="spellStart"/>
      <w:r w:rsidRPr="00DF1813">
        <w:t>networks</w:t>
      </w:r>
      <w:proofErr w:type="spellEnd"/>
      <w:r w:rsidRPr="00DF1813">
        <w:t xml:space="preserve"> and </w:t>
      </w:r>
      <w:proofErr w:type="spellStart"/>
      <w:r w:rsidRPr="00DF1813">
        <w:t>beyond</w:t>
      </w:r>
      <w:proofErr w:type="spellEnd"/>
      <w:r w:rsidRPr="00DF1813">
        <w:t xml:space="preserve">: </w:t>
      </w:r>
      <w:proofErr w:type="spellStart"/>
      <w:r w:rsidRPr="00DF1813">
        <w:t>Requirements</w:t>
      </w:r>
      <w:proofErr w:type="spellEnd"/>
      <w:r w:rsidRPr="00DF1813">
        <w:t xml:space="preserve"> and </w:t>
      </w:r>
      <w:proofErr w:type="spellStart"/>
      <w:r w:rsidRPr="00DF1813">
        <w:t>functions</w:t>
      </w:r>
      <w:proofErr w:type="spellEnd"/>
      <w:r w:rsidRPr="00DF1813">
        <w:t xml:space="preserve"> for </w:t>
      </w:r>
      <w:proofErr w:type="spellStart"/>
      <w:r w:rsidRPr="00DF1813">
        <w:t>applications</w:t>
      </w:r>
      <w:proofErr w:type="spellEnd"/>
      <w:r w:rsidRPr="00DF1813">
        <w:t xml:space="preserve"> </w:t>
      </w:r>
      <w:proofErr w:type="spellStart"/>
      <w:r w:rsidRPr="00DF1813">
        <w:t>demanding</w:t>
      </w:r>
      <w:proofErr w:type="spellEnd"/>
      <w:r w:rsidRPr="00DF1813">
        <w:t xml:space="preserve"> </w:t>
      </w:r>
      <w:proofErr w:type="spellStart"/>
      <w:r w:rsidRPr="00DF1813">
        <w:t>large</w:t>
      </w:r>
      <w:proofErr w:type="spellEnd"/>
      <w:r w:rsidRPr="00DF1813">
        <w:t xml:space="preserve"> data </w:t>
      </w:r>
      <w:proofErr w:type="spellStart"/>
      <w:r w:rsidRPr="00DF1813">
        <w:t>transmission</w:t>
      </w:r>
      <w:proofErr w:type="spellEnd"/>
      <w:r w:rsidR="009A28B2">
        <w:t>"</w:t>
      </w:r>
      <w:r w:rsidRPr="00DF1813">
        <w:t xml:space="preserve"> (C20/13),</w:t>
      </w:r>
    </w:p>
    <w:p w14:paraId="606913D2" w14:textId="10D0475B" w:rsidR="00DF1813" w:rsidRPr="00DF1813" w:rsidRDefault="00DF1813" w:rsidP="00DF1813">
      <w:pPr>
        <w:pStyle w:val="enumlev1"/>
      </w:pPr>
      <w:r>
        <w:t>•</w:t>
      </w:r>
      <w:r>
        <w:tab/>
      </w:r>
      <w:r w:rsidRPr="00DF1813">
        <w:t xml:space="preserve">Y.IMT2020-MEVE-req-frame </w:t>
      </w:r>
      <w:r w:rsidR="009A28B2">
        <w:t>"</w:t>
      </w:r>
      <w:r w:rsidRPr="00DF1813">
        <w:t xml:space="preserve">Future </w:t>
      </w:r>
      <w:proofErr w:type="spellStart"/>
      <w:r w:rsidRPr="00DF1813">
        <w:t>networks</w:t>
      </w:r>
      <w:proofErr w:type="spellEnd"/>
      <w:r w:rsidRPr="00DF1813">
        <w:t xml:space="preserve"> </w:t>
      </w:r>
      <w:proofErr w:type="spellStart"/>
      <w:r w:rsidRPr="00DF1813">
        <w:t>including</w:t>
      </w:r>
      <w:proofErr w:type="spellEnd"/>
      <w:r w:rsidRPr="00DF1813">
        <w:t xml:space="preserve"> IMT-2020: </w:t>
      </w:r>
      <w:proofErr w:type="spellStart"/>
      <w:r w:rsidRPr="00DF1813">
        <w:t>requirements</w:t>
      </w:r>
      <w:proofErr w:type="spellEnd"/>
      <w:r w:rsidRPr="00DF1813">
        <w:t xml:space="preserve"> and </w:t>
      </w:r>
      <w:proofErr w:type="spellStart"/>
      <w:r w:rsidRPr="00DF1813">
        <w:t>framework</w:t>
      </w:r>
      <w:proofErr w:type="spellEnd"/>
      <w:r w:rsidRPr="00DF1813">
        <w:t xml:space="preserve"> for </w:t>
      </w:r>
      <w:proofErr w:type="spellStart"/>
      <w:r w:rsidRPr="00DF1813">
        <w:t>measurement</w:t>
      </w:r>
      <w:proofErr w:type="spellEnd"/>
      <w:r w:rsidRPr="00DF1813">
        <w:t xml:space="preserve"> of </w:t>
      </w:r>
      <w:proofErr w:type="spellStart"/>
      <w:r w:rsidRPr="00DF1813">
        <w:t>effectiveness</w:t>
      </w:r>
      <w:proofErr w:type="spellEnd"/>
      <w:r w:rsidRPr="00DF1813">
        <w:t xml:space="preserve"> and </w:t>
      </w:r>
      <w:proofErr w:type="spellStart"/>
      <w:r w:rsidRPr="00DF1813">
        <w:t>value</w:t>
      </w:r>
      <w:proofErr w:type="spellEnd"/>
      <w:r w:rsidRPr="00DF1813">
        <w:t xml:space="preserve"> </w:t>
      </w:r>
      <w:proofErr w:type="spellStart"/>
      <w:r w:rsidRPr="00DF1813">
        <w:t>evaluation</w:t>
      </w:r>
      <w:proofErr w:type="spellEnd"/>
      <w:r w:rsidRPr="00DF1813">
        <w:t xml:space="preserve"> of </w:t>
      </w:r>
      <w:proofErr w:type="spellStart"/>
      <w:r w:rsidRPr="00DF1813">
        <w:t>autonomous</w:t>
      </w:r>
      <w:proofErr w:type="spellEnd"/>
      <w:r w:rsidRPr="00DF1813">
        <w:t xml:space="preserve"> </w:t>
      </w:r>
      <w:proofErr w:type="spellStart"/>
      <w:r w:rsidRPr="00DF1813">
        <w:t>networks</w:t>
      </w:r>
      <w:proofErr w:type="spellEnd"/>
      <w:r w:rsidR="009A28B2">
        <w:t>"</w:t>
      </w:r>
      <w:r w:rsidRPr="00DF1813">
        <w:t xml:space="preserve"> (C20/13),</w:t>
      </w:r>
    </w:p>
    <w:p w14:paraId="3A2A3B4D" w14:textId="4D9D141D" w:rsidR="00DF1813" w:rsidRPr="00DF1813" w:rsidRDefault="00DF1813" w:rsidP="00DF1813">
      <w:pPr>
        <w:pStyle w:val="enumlev1"/>
      </w:pPr>
      <w:r>
        <w:t>•</w:t>
      </w:r>
      <w:r>
        <w:tab/>
      </w:r>
      <w:r w:rsidRPr="00DF1813">
        <w:t xml:space="preserve">Y.IMT2020-STI-NS </w:t>
      </w:r>
      <w:r w:rsidR="009A28B2">
        <w:t>"</w:t>
      </w:r>
      <w:r w:rsidRPr="00DF1813">
        <w:t xml:space="preserve">Network </w:t>
      </w:r>
      <w:proofErr w:type="spellStart"/>
      <w:r w:rsidRPr="00DF1813">
        <w:t>slicing</w:t>
      </w:r>
      <w:proofErr w:type="spellEnd"/>
      <w:r w:rsidRPr="00DF1813">
        <w:t xml:space="preserve"> in </w:t>
      </w:r>
      <w:proofErr w:type="spellStart"/>
      <w:r w:rsidRPr="00DF1813">
        <w:t>satellite-terrestrial</w:t>
      </w:r>
      <w:proofErr w:type="spellEnd"/>
      <w:r w:rsidRPr="00DF1813">
        <w:t xml:space="preserve"> </w:t>
      </w:r>
      <w:proofErr w:type="spellStart"/>
      <w:r w:rsidRPr="00DF1813">
        <w:t>integration</w:t>
      </w:r>
      <w:proofErr w:type="spellEnd"/>
      <w:r w:rsidRPr="00DF1813">
        <w:t xml:space="preserve"> in IMT-2020 </w:t>
      </w:r>
      <w:proofErr w:type="spellStart"/>
      <w:r w:rsidRPr="00DF1813">
        <w:t>networks</w:t>
      </w:r>
      <w:proofErr w:type="spellEnd"/>
      <w:r w:rsidRPr="00DF1813">
        <w:t xml:space="preserve"> and </w:t>
      </w:r>
      <w:proofErr w:type="spellStart"/>
      <w:r w:rsidRPr="00DF1813">
        <w:t>beyond</w:t>
      </w:r>
      <w:proofErr w:type="spellEnd"/>
      <w:r w:rsidRPr="00DF1813">
        <w:t xml:space="preserve"> (C21/13),</w:t>
      </w:r>
    </w:p>
    <w:p w14:paraId="0131D4EA" w14:textId="3EA05127" w:rsidR="00DF1813" w:rsidRPr="00DF1813" w:rsidRDefault="00DF1813" w:rsidP="00DF1813">
      <w:pPr>
        <w:pStyle w:val="enumlev1"/>
      </w:pPr>
      <w:r>
        <w:t>•</w:t>
      </w:r>
      <w:r>
        <w:tab/>
      </w:r>
      <w:r w:rsidRPr="00DF1813">
        <w:t>Y.FMSC-</w:t>
      </w:r>
      <w:proofErr w:type="spellStart"/>
      <w:r w:rsidRPr="00DF1813">
        <w:t>ConTrans</w:t>
      </w:r>
      <w:proofErr w:type="spellEnd"/>
      <w:r w:rsidRPr="00DF1813">
        <w:t xml:space="preserve"> </w:t>
      </w:r>
      <w:r w:rsidR="009A28B2">
        <w:t>"</w:t>
      </w:r>
      <w:proofErr w:type="spellStart"/>
      <w:r w:rsidRPr="00DF1813">
        <w:t>Fixed</w:t>
      </w:r>
      <w:proofErr w:type="spellEnd"/>
      <w:r w:rsidRPr="00DF1813">
        <w:t xml:space="preserve">, </w:t>
      </w:r>
      <w:proofErr w:type="spellStart"/>
      <w:r w:rsidRPr="00DF1813">
        <w:t>mobile</w:t>
      </w:r>
      <w:proofErr w:type="spellEnd"/>
      <w:r w:rsidRPr="00DF1813">
        <w:t xml:space="preserve"> and </w:t>
      </w:r>
      <w:proofErr w:type="spellStart"/>
      <w:r w:rsidRPr="00DF1813">
        <w:t>satellite</w:t>
      </w:r>
      <w:proofErr w:type="spellEnd"/>
      <w:r w:rsidRPr="00DF1813">
        <w:t xml:space="preserve"> </w:t>
      </w:r>
      <w:proofErr w:type="spellStart"/>
      <w:r w:rsidRPr="00DF1813">
        <w:t>convergence</w:t>
      </w:r>
      <w:proofErr w:type="spellEnd"/>
      <w:r w:rsidRPr="00DF1813">
        <w:t xml:space="preserve"> – </w:t>
      </w:r>
      <w:proofErr w:type="spellStart"/>
      <w:r w:rsidRPr="00DF1813">
        <w:t>Functional</w:t>
      </w:r>
      <w:proofErr w:type="spellEnd"/>
      <w:r w:rsidRPr="00DF1813">
        <w:t xml:space="preserve"> </w:t>
      </w:r>
      <w:proofErr w:type="spellStart"/>
      <w:r w:rsidRPr="00DF1813">
        <w:t>requirements</w:t>
      </w:r>
      <w:proofErr w:type="spellEnd"/>
      <w:r w:rsidRPr="00DF1813">
        <w:t xml:space="preserve"> and </w:t>
      </w:r>
      <w:proofErr w:type="spellStart"/>
      <w:r w:rsidRPr="00DF1813">
        <w:t>functional</w:t>
      </w:r>
      <w:proofErr w:type="spellEnd"/>
      <w:r w:rsidRPr="00DF1813">
        <w:t xml:space="preserve"> </w:t>
      </w:r>
      <w:proofErr w:type="spellStart"/>
      <w:r w:rsidRPr="00DF1813">
        <w:t>architecture</w:t>
      </w:r>
      <w:proofErr w:type="spellEnd"/>
      <w:r w:rsidRPr="00DF1813">
        <w:t xml:space="preserve"> of the </w:t>
      </w:r>
      <w:proofErr w:type="spellStart"/>
      <w:r w:rsidRPr="00DF1813">
        <w:t>transformer</w:t>
      </w:r>
      <w:proofErr w:type="spellEnd"/>
      <w:r w:rsidRPr="00DF1813">
        <w:t xml:space="preserve"> </w:t>
      </w:r>
      <w:proofErr w:type="spellStart"/>
      <w:r w:rsidRPr="00DF1813">
        <w:t>model</w:t>
      </w:r>
      <w:proofErr w:type="spellEnd"/>
      <w:r w:rsidRPr="00DF1813">
        <w:t xml:space="preserve"> </w:t>
      </w:r>
      <w:proofErr w:type="spellStart"/>
      <w:r w:rsidRPr="00DF1813">
        <w:t>based</w:t>
      </w:r>
      <w:proofErr w:type="spellEnd"/>
      <w:r w:rsidRPr="00DF1813">
        <w:t xml:space="preserve"> </w:t>
      </w:r>
      <w:proofErr w:type="spellStart"/>
      <w:r w:rsidRPr="00DF1813">
        <w:t>unified</w:t>
      </w:r>
      <w:proofErr w:type="spellEnd"/>
      <w:r w:rsidRPr="00DF1813">
        <w:t xml:space="preserve"> control </w:t>
      </w:r>
      <w:proofErr w:type="spellStart"/>
      <w:r w:rsidRPr="00DF1813">
        <w:t>entity</w:t>
      </w:r>
      <w:proofErr w:type="spellEnd"/>
      <w:r w:rsidR="009A28B2">
        <w:t>"</w:t>
      </w:r>
      <w:r w:rsidRPr="00DF1813">
        <w:t xml:space="preserve"> (C23/13),</w:t>
      </w:r>
    </w:p>
    <w:p w14:paraId="6FC1C39C" w14:textId="73456D20" w:rsidR="00DF1813" w:rsidRPr="00DF1813" w:rsidRDefault="00DF1813" w:rsidP="00DF1813">
      <w:pPr>
        <w:pStyle w:val="enumlev1"/>
      </w:pPr>
      <w:r>
        <w:t>•</w:t>
      </w:r>
      <w:r>
        <w:tab/>
      </w:r>
      <w:r w:rsidRPr="00DF1813">
        <w:t xml:space="preserve">Y.FMSC-LDS </w:t>
      </w:r>
      <w:r w:rsidR="009A28B2">
        <w:t>"</w:t>
      </w:r>
      <w:proofErr w:type="spellStart"/>
      <w:r w:rsidRPr="00DF1813">
        <w:t>Fixed</w:t>
      </w:r>
      <w:proofErr w:type="spellEnd"/>
      <w:r w:rsidRPr="00DF1813">
        <w:t xml:space="preserve">, </w:t>
      </w:r>
      <w:proofErr w:type="spellStart"/>
      <w:r w:rsidRPr="00DF1813">
        <w:t>mobile</w:t>
      </w:r>
      <w:proofErr w:type="spellEnd"/>
      <w:r w:rsidRPr="00DF1813">
        <w:t xml:space="preserve"> and </w:t>
      </w:r>
      <w:proofErr w:type="spellStart"/>
      <w:r w:rsidRPr="00DF1813">
        <w:t>satellite</w:t>
      </w:r>
      <w:proofErr w:type="spellEnd"/>
      <w:r w:rsidRPr="00DF1813">
        <w:t xml:space="preserve"> </w:t>
      </w:r>
      <w:proofErr w:type="spellStart"/>
      <w:r w:rsidRPr="00DF1813">
        <w:t>convergence</w:t>
      </w:r>
      <w:proofErr w:type="spellEnd"/>
      <w:r w:rsidRPr="00DF1813">
        <w:t xml:space="preserve"> – Local data </w:t>
      </w:r>
      <w:proofErr w:type="spellStart"/>
      <w:r w:rsidRPr="00DF1813">
        <w:t>switching</w:t>
      </w:r>
      <w:proofErr w:type="spellEnd"/>
      <w:r w:rsidRPr="00DF1813">
        <w:t xml:space="preserve"> for IMT-2020 and </w:t>
      </w:r>
      <w:proofErr w:type="spellStart"/>
      <w:r w:rsidRPr="00DF1813">
        <w:t>beyond</w:t>
      </w:r>
      <w:proofErr w:type="spellEnd"/>
      <w:r w:rsidR="009A28B2">
        <w:t>"</w:t>
      </w:r>
      <w:r w:rsidRPr="00DF1813">
        <w:t xml:space="preserve"> (C23/13),</w:t>
      </w:r>
    </w:p>
    <w:p w14:paraId="777A371F" w14:textId="4ACE5E00" w:rsidR="00DF1813" w:rsidRPr="00DF1813" w:rsidRDefault="00DF1813" w:rsidP="00DF1813">
      <w:pPr>
        <w:pStyle w:val="enumlev1"/>
      </w:pPr>
      <w:r>
        <w:lastRenderedPageBreak/>
        <w:t>•</w:t>
      </w:r>
      <w:r>
        <w:tab/>
      </w:r>
      <w:r w:rsidRPr="00DF1813">
        <w:t xml:space="preserve">Y.FMSC-MEC </w:t>
      </w:r>
      <w:r w:rsidR="009A28B2">
        <w:t>"</w:t>
      </w:r>
      <w:proofErr w:type="spellStart"/>
      <w:r w:rsidRPr="00DF1813">
        <w:t>Multi-access</w:t>
      </w:r>
      <w:proofErr w:type="spellEnd"/>
      <w:r w:rsidRPr="00DF1813">
        <w:t xml:space="preserve"> Edge Computing for </w:t>
      </w:r>
      <w:proofErr w:type="spellStart"/>
      <w:r w:rsidRPr="00DF1813">
        <w:t>fixed</w:t>
      </w:r>
      <w:proofErr w:type="spellEnd"/>
      <w:r w:rsidRPr="00DF1813">
        <w:t xml:space="preserve">, </w:t>
      </w:r>
      <w:proofErr w:type="spellStart"/>
      <w:r w:rsidRPr="00DF1813">
        <w:t>mobile</w:t>
      </w:r>
      <w:proofErr w:type="spellEnd"/>
      <w:r w:rsidRPr="00DF1813">
        <w:t xml:space="preserve"> and </w:t>
      </w:r>
      <w:proofErr w:type="spellStart"/>
      <w:r w:rsidRPr="00DF1813">
        <w:t>satellite</w:t>
      </w:r>
      <w:proofErr w:type="spellEnd"/>
      <w:r w:rsidRPr="00DF1813">
        <w:t xml:space="preserve"> </w:t>
      </w:r>
      <w:proofErr w:type="spellStart"/>
      <w:r w:rsidRPr="00DF1813">
        <w:t>convergence</w:t>
      </w:r>
      <w:proofErr w:type="spellEnd"/>
      <w:r w:rsidRPr="00DF1813">
        <w:t xml:space="preserve"> in IMT-2020 </w:t>
      </w:r>
      <w:proofErr w:type="spellStart"/>
      <w:r w:rsidRPr="00DF1813">
        <w:t>networks</w:t>
      </w:r>
      <w:proofErr w:type="spellEnd"/>
      <w:r w:rsidRPr="00DF1813">
        <w:t xml:space="preserve"> and </w:t>
      </w:r>
      <w:proofErr w:type="spellStart"/>
      <w:r w:rsidRPr="00DF1813">
        <w:t>beyond</w:t>
      </w:r>
      <w:proofErr w:type="spellEnd"/>
      <w:r w:rsidR="009A28B2">
        <w:t>"</w:t>
      </w:r>
      <w:r w:rsidRPr="00DF1813">
        <w:t xml:space="preserve"> (C23/13),</w:t>
      </w:r>
    </w:p>
    <w:p w14:paraId="26A1AAF5" w14:textId="23753EF3" w:rsidR="00DF1813" w:rsidRPr="00DF1813" w:rsidRDefault="00DF1813" w:rsidP="00DF1813">
      <w:pPr>
        <w:pStyle w:val="enumlev1"/>
      </w:pPr>
      <w:r>
        <w:t>•</w:t>
      </w:r>
      <w:r>
        <w:tab/>
      </w:r>
      <w:r w:rsidRPr="00DF1813">
        <w:t>Y.FMSC-</w:t>
      </w:r>
      <w:proofErr w:type="spellStart"/>
      <w:r w:rsidRPr="00DF1813">
        <w:t>InNetFL</w:t>
      </w:r>
      <w:proofErr w:type="spellEnd"/>
      <w:r w:rsidRPr="00DF1813">
        <w:t xml:space="preserve"> </w:t>
      </w:r>
      <w:r w:rsidR="009A28B2">
        <w:t>"</w:t>
      </w:r>
      <w:r w:rsidRPr="00DF1813">
        <w:t xml:space="preserve"> </w:t>
      </w:r>
      <w:proofErr w:type="spellStart"/>
      <w:r w:rsidRPr="00DF1813">
        <w:t>Requirements</w:t>
      </w:r>
      <w:proofErr w:type="spellEnd"/>
      <w:r w:rsidRPr="00DF1813">
        <w:t xml:space="preserve"> and Framework for In-Network </w:t>
      </w:r>
      <w:proofErr w:type="spellStart"/>
      <w:r w:rsidRPr="00DF1813">
        <w:t>Aggregated</w:t>
      </w:r>
      <w:proofErr w:type="spellEnd"/>
      <w:r w:rsidRPr="00DF1813">
        <w:t xml:space="preserve"> </w:t>
      </w:r>
      <w:proofErr w:type="spellStart"/>
      <w:r w:rsidRPr="00DF1813">
        <w:t>Federated</w:t>
      </w:r>
      <w:proofErr w:type="spellEnd"/>
      <w:r w:rsidRPr="00DF1813">
        <w:t xml:space="preserve"> </w:t>
      </w:r>
      <w:proofErr w:type="spellStart"/>
      <w:r w:rsidRPr="00DF1813">
        <w:t>Learning</w:t>
      </w:r>
      <w:proofErr w:type="spellEnd"/>
      <w:r w:rsidRPr="00DF1813">
        <w:t xml:space="preserve"> to </w:t>
      </w:r>
      <w:proofErr w:type="spellStart"/>
      <w:r w:rsidRPr="00DF1813">
        <w:t>Enable</w:t>
      </w:r>
      <w:proofErr w:type="spellEnd"/>
      <w:r w:rsidRPr="00DF1813">
        <w:t xml:space="preserve"> AI in </w:t>
      </w:r>
      <w:proofErr w:type="spellStart"/>
      <w:r w:rsidRPr="00DF1813">
        <w:t>Fixed</w:t>
      </w:r>
      <w:proofErr w:type="spellEnd"/>
      <w:r w:rsidRPr="00DF1813">
        <w:t xml:space="preserve">, Mobile, and </w:t>
      </w:r>
      <w:proofErr w:type="spellStart"/>
      <w:r w:rsidRPr="00DF1813">
        <w:t>Satellite</w:t>
      </w:r>
      <w:proofErr w:type="spellEnd"/>
      <w:r w:rsidRPr="00DF1813">
        <w:t xml:space="preserve"> </w:t>
      </w:r>
      <w:proofErr w:type="spellStart"/>
      <w:r w:rsidRPr="00DF1813">
        <w:t>Convergence</w:t>
      </w:r>
      <w:proofErr w:type="spellEnd"/>
      <w:r w:rsidRPr="00DF1813">
        <w:t xml:space="preserve"> Networks</w:t>
      </w:r>
      <w:r w:rsidR="009A28B2">
        <w:t>"</w:t>
      </w:r>
      <w:r w:rsidRPr="00DF1813">
        <w:t xml:space="preserve"> (C23/13).</w:t>
      </w:r>
    </w:p>
    <w:p w14:paraId="232834E0" w14:textId="77777777" w:rsidR="00DF1813" w:rsidRPr="00DF1813" w:rsidRDefault="00DF1813" w:rsidP="00DF1813">
      <w:pPr>
        <w:pStyle w:val="Headingb0"/>
        <w:rPr>
          <w:bCs/>
        </w:rPr>
      </w:pPr>
      <w:r w:rsidRPr="00DF1813">
        <w:rPr>
          <w:bCs/>
        </w:rPr>
        <w:t>GT2/13:</w:t>
      </w:r>
    </w:p>
    <w:p w14:paraId="58812DDF" w14:textId="530319B9" w:rsidR="00DF1813" w:rsidRPr="00DF1813" w:rsidRDefault="00DF1813" w:rsidP="00DF1813">
      <w:pPr>
        <w:pStyle w:val="enumlev1"/>
        <w:rPr>
          <w:lang w:val="en-GB"/>
        </w:rPr>
      </w:pPr>
      <w:r w:rsidRPr="00DF1813">
        <w:rPr>
          <w:lang w:val="en-GB"/>
        </w:rPr>
        <w:t>•</w:t>
      </w:r>
      <w:r w:rsidRPr="00DF1813">
        <w:rPr>
          <w:lang w:val="en-GB"/>
        </w:rPr>
        <w:tab/>
      </w:r>
      <w:proofErr w:type="spellStart"/>
      <w:r w:rsidRPr="00DF1813">
        <w:rPr>
          <w:lang w:val="en-GB"/>
        </w:rPr>
        <w:t>Y.cdp-reqts</w:t>
      </w:r>
      <w:proofErr w:type="spellEnd"/>
      <w:r w:rsidRPr="00DF1813">
        <w:rPr>
          <w:lang w:val="en-GB"/>
        </w:rPr>
        <w:t xml:space="preserve"> </w:t>
      </w:r>
      <w:r w:rsidR="009A28B2">
        <w:rPr>
          <w:lang w:val="en-GB"/>
        </w:rPr>
        <w:t>"</w:t>
      </w:r>
      <w:r w:rsidRPr="00DF1813">
        <w:rPr>
          <w:lang w:val="en-GB"/>
        </w:rPr>
        <w:t xml:space="preserve">Data handling </w:t>
      </w:r>
      <w:r w:rsidR="009A28B2" w:rsidRPr="009A28B2">
        <w:rPr>
          <w:lang w:val="en-GB"/>
        </w:rPr>
        <w:t>–</w:t>
      </w:r>
      <w:r w:rsidRPr="00DF1813">
        <w:rPr>
          <w:lang w:val="en-GB"/>
        </w:rPr>
        <w:t xml:space="preserve"> Functional requirements of collaborative data processing in data platform</w:t>
      </w:r>
      <w:r w:rsidR="009A28B2">
        <w:rPr>
          <w:lang w:val="en-GB"/>
        </w:rPr>
        <w:t>"</w:t>
      </w:r>
      <w:r w:rsidRPr="00DF1813">
        <w:rPr>
          <w:lang w:val="en-GB"/>
        </w:rPr>
        <w:t xml:space="preserve"> (C17/13),</w:t>
      </w:r>
    </w:p>
    <w:p w14:paraId="6EC99C33" w14:textId="75118856" w:rsidR="00DF1813" w:rsidRPr="00DF1813" w:rsidRDefault="00DF1813" w:rsidP="00DF1813">
      <w:pPr>
        <w:pStyle w:val="enumlev1"/>
      </w:pPr>
      <w:r w:rsidRPr="00DF1813">
        <w:rPr>
          <w:lang w:val="en-GB"/>
        </w:rPr>
        <w:t>•</w:t>
      </w:r>
      <w:r w:rsidRPr="00DF1813">
        <w:rPr>
          <w:lang w:val="en-GB"/>
        </w:rPr>
        <w:tab/>
      </w:r>
      <w:r w:rsidRPr="00DF1813">
        <w:t xml:space="preserve">Y.3601-rev </w:t>
      </w:r>
      <w:r w:rsidR="009A28B2">
        <w:t>"</w:t>
      </w:r>
      <w:r w:rsidRPr="00DF1813">
        <w:t xml:space="preserve">Big data – Framework and </w:t>
      </w:r>
      <w:proofErr w:type="spellStart"/>
      <w:r w:rsidRPr="00DF1813">
        <w:t>requirements</w:t>
      </w:r>
      <w:proofErr w:type="spellEnd"/>
      <w:r w:rsidRPr="00DF1813">
        <w:t xml:space="preserve"> for data </w:t>
      </w:r>
      <w:proofErr w:type="spellStart"/>
      <w:r w:rsidRPr="00DF1813">
        <w:t>exchange</w:t>
      </w:r>
      <w:proofErr w:type="spellEnd"/>
      <w:r w:rsidR="009A28B2">
        <w:t>"</w:t>
      </w:r>
      <w:r w:rsidRPr="00DF1813">
        <w:t xml:space="preserve"> (C17/13),</w:t>
      </w:r>
    </w:p>
    <w:p w14:paraId="477A48B6" w14:textId="183631E4" w:rsidR="00DF1813" w:rsidRPr="00DF1813" w:rsidRDefault="00DF1813" w:rsidP="00DF1813">
      <w:pPr>
        <w:pStyle w:val="enumlev1"/>
      </w:pPr>
      <w:r w:rsidRPr="00DF1813">
        <w:rPr>
          <w:lang w:val="en-GB"/>
        </w:rPr>
        <w:t>•</w:t>
      </w:r>
      <w:r w:rsidRPr="00DF1813">
        <w:rPr>
          <w:lang w:val="en-GB"/>
        </w:rPr>
        <w:tab/>
      </w:r>
      <w:r w:rsidRPr="00DF1813">
        <w:t xml:space="preserve">Y.3505-rev </w:t>
      </w:r>
      <w:r w:rsidR="009A28B2">
        <w:t>"</w:t>
      </w:r>
      <w:r w:rsidRPr="00DF1813">
        <w:t xml:space="preserve">Cloud </w:t>
      </w:r>
      <w:proofErr w:type="spellStart"/>
      <w:r w:rsidRPr="00DF1813">
        <w:t>computing</w:t>
      </w:r>
      <w:proofErr w:type="spellEnd"/>
      <w:r w:rsidRPr="00DF1813">
        <w:t xml:space="preserve"> – </w:t>
      </w:r>
      <w:proofErr w:type="spellStart"/>
      <w:r w:rsidRPr="00DF1813">
        <w:t>Overview</w:t>
      </w:r>
      <w:proofErr w:type="spellEnd"/>
      <w:r w:rsidRPr="00DF1813">
        <w:t xml:space="preserve"> and </w:t>
      </w:r>
      <w:proofErr w:type="spellStart"/>
      <w:r w:rsidRPr="00DF1813">
        <w:t>functional</w:t>
      </w:r>
      <w:proofErr w:type="spellEnd"/>
      <w:r w:rsidRPr="00DF1813">
        <w:t xml:space="preserve"> </w:t>
      </w:r>
      <w:proofErr w:type="spellStart"/>
      <w:r w:rsidRPr="00DF1813">
        <w:t>requirements</w:t>
      </w:r>
      <w:proofErr w:type="spellEnd"/>
      <w:r w:rsidRPr="00DF1813">
        <w:t xml:space="preserve"> for data </w:t>
      </w:r>
      <w:proofErr w:type="spellStart"/>
      <w:r w:rsidRPr="00DF1813">
        <w:t>storage</w:t>
      </w:r>
      <w:proofErr w:type="spellEnd"/>
      <w:r w:rsidRPr="00DF1813">
        <w:t xml:space="preserve"> </w:t>
      </w:r>
      <w:proofErr w:type="spellStart"/>
      <w:r w:rsidRPr="00DF1813">
        <w:t>federation</w:t>
      </w:r>
      <w:proofErr w:type="spellEnd"/>
      <w:r w:rsidR="009A28B2">
        <w:t>"</w:t>
      </w:r>
      <w:r w:rsidRPr="00DF1813">
        <w:t xml:space="preserve"> (C17/13),</w:t>
      </w:r>
    </w:p>
    <w:p w14:paraId="39445572" w14:textId="49F56136" w:rsidR="00DF1813" w:rsidRPr="00DF1813" w:rsidRDefault="00DF1813" w:rsidP="00DF1813">
      <w:pPr>
        <w:pStyle w:val="enumlev1"/>
      </w:pPr>
      <w:r w:rsidRPr="00DF1813">
        <w:rPr>
          <w:lang w:val="en-GB"/>
        </w:rPr>
        <w:t>•</w:t>
      </w:r>
      <w:r w:rsidRPr="00DF1813">
        <w:rPr>
          <w:lang w:val="en-GB"/>
        </w:rPr>
        <w:tab/>
      </w:r>
      <w:r w:rsidRPr="00DF1813">
        <w:t>Y.mc-</w:t>
      </w:r>
      <w:proofErr w:type="spellStart"/>
      <w:r w:rsidRPr="00DF1813">
        <w:t>arch</w:t>
      </w:r>
      <w:proofErr w:type="spellEnd"/>
      <w:r w:rsidRPr="00DF1813">
        <w:t xml:space="preserve"> </w:t>
      </w:r>
      <w:r w:rsidR="009A28B2">
        <w:t>"</w:t>
      </w:r>
      <w:r w:rsidRPr="00DF1813">
        <w:t xml:space="preserve">Cloud </w:t>
      </w:r>
      <w:proofErr w:type="spellStart"/>
      <w:r w:rsidRPr="00DF1813">
        <w:t>computing</w:t>
      </w:r>
      <w:proofErr w:type="spellEnd"/>
      <w:r w:rsidRPr="00DF1813">
        <w:t xml:space="preserve"> </w:t>
      </w:r>
      <w:r w:rsidR="009A28B2" w:rsidRPr="009A28B2">
        <w:rPr>
          <w:lang w:val="en-GB"/>
        </w:rPr>
        <w:t>–</w:t>
      </w:r>
      <w:proofErr w:type="spellStart"/>
      <w:r w:rsidRPr="00DF1813">
        <w:t>Functional</w:t>
      </w:r>
      <w:proofErr w:type="spellEnd"/>
      <w:r w:rsidRPr="00DF1813">
        <w:t xml:space="preserve"> </w:t>
      </w:r>
      <w:proofErr w:type="spellStart"/>
      <w:r w:rsidRPr="00DF1813">
        <w:t>architecture</w:t>
      </w:r>
      <w:proofErr w:type="spellEnd"/>
      <w:r w:rsidRPr="00DF1813">
        <w:t xml:space="preserve"> for </w:t>
      </w:r>
      <w:proofErr w:type="spellStart"/>
      <w:r w:rsidRPr="00DF1813">
        <w:t>multi-cloud</w:t>
      </w:r>
      <w:proofErr w:type="spellEnd"/>
      <w:r w:rsidR="009A28B2">
        <w:t>"</w:t>
      </w:r>
      <w:r w:rsidRPr="00DF1813">
        <w:t xml:space="preserve"> (C18/13),</w:t>
      </w:r>
    </w:p>
    <w:p w14:paraId="0D8EBC67" w14:textId="28781CA6" w:rsidR="00DF1813" w:rsidRPr="00DF1813" w:rsidRDefault="00DF1813" w:rsidP="00DF1813">
      <w:pPr>
        <w:pStyle w:val="enumlev1"/>
      </w:pPr>
      <w:r w:rsidRPr="00DF1813">
        <w:rPr>
          <w:lang w:val="en-GB"/>
        </w:rPr>
        <w:t>•</w:t>
      </w:r>
      <w:r w:rsidRPr="00DF1813">
        <w:rPr>
          <w:lang w:val="en-GB"/>
        </w:rPr>
        <w:tab/>
      </w:r>
      <w:proofErr w:type="spellStart"/>
      <w:r w:rsidRPr="00DF1813">
        <w:t>Y.ccmm-reqts</w:t>
      </w:r>
      <w:proofErr w:type="spellEnd"/>
      <w:r w:rsidRPr="00DF1813">
        <w:t xml:space="preserve"> </w:t>
      </w:r>
      <w:r w:rsidR="009A28B2">
        <w:t>"</w:t>
      </w:r>
      <w:r w:rsidRPr="00DF1813">
        <w:t xml:space="preserve">Cloud </w:t>
      </w:r>
      <w:proofErr w:type="spellStart"/>
      <w:r w:rsidRPr="00DF1813">
        <w:t>computing</w:t>
      </w:r>
      <w:proofErr w:type="spellEnd"/>
      <w:r w:rsidRPr="00DF1813">
        <w:t xml:space="preserve"> </w:t>
      </w:r>
      <w:r w:rsidR="009A28B2" w:rsidRPr="009A28B2">
        <w:rPr>
          <w:lang w:val="en-GB"/>
        </w:rPr>
        <w:t>–</w:t>
      </w:r>
      <w:r w:rsidRPr="00DF1813">
        <w:t xml:space="preserve"> Framework and </w:t>
      </w:r>
      <w:proofErr w:type="spellStart"/>
      <w:r w:rsidRPr="00DF1813">
        <w:t>functional</w:t>
      </w:r>
      <w:proofErr w:type="spellEnd"/>
      <w:r w:rsidRPr="00DF1813">
        <w:t xml:space="preserve"> </w:t>
      </w:r>
      <w:proofErr w:type="spellStart"/>
      <w:r w:rsidRPr="00DF1813">
        <w:t>requirements</w:t>
      </w:r>
      <w:proofErr w:type="spellEnd"/>
      <w:r w:rsidRPr="00DF1813">
        <w:t xml:space="preserve"> of </w:t>
      </w:r>
      <w:proofErr w:type="spellStart"/>
      <w:r w:rsidRPr="00DF1813">
        <w:t>micro-service</w:t>
      </w:r>
      <w:proofErr w:type="spellEnd"/>
      <w:r w:rsidRPr="00DF1813">
        <w:t xml:space="preserve"> </w:t>
      </w:r>
      <w:proofErr w:type="spellStart"/>
      <w:r w:rsidRPr="00DF1813">
        <w:t>monitoring</w:t>
      </w:r>
      <w:proofErr w:type="spellEnd"/>
      <w:r w:rsidR="009A28B2">
        <w:t>"</w:t>
      </w:r>
      <w:r w:rsidRPr="00DF1813">
        <w:t xml:space="preserve"> (C19/13),</w:t>
      </w:r>
    </w:p>
    <w:p w14:paraId="37DE618F" w14:textId="54AF5A31" w:rsidR="00DF1813" w:rsidRPr="00DF1813" w:rsidRDefault="00DF1813" w:rsidP="00DF1813">
      <w:pPr>
        <w:pStyle w:val="enumlev1"/>
      </w:pPr>
      <w:r w:rsidRPr="00DF1813">
        <w:rPr>
          <w:lang w:val="en-GB"/>
        </w:rPr>
        <w:t>•</w:t>
      </w:r>
      <w:r w:rsidRPr="00DF1813">
        <w:rPr>
          <w:lang w:val="en-GB"/>
        </w:rPr>
        <w:tab/>
      </w:r>
      <w:proofErr w:type="spellStart"/>
      <w:r w:rsidRPr="00DF1813">
        <w:t>Y.ccimvc</w:t>
      </w:r>
      <w:proofErr w:type="spellEnd"/>
      <w:r w:rsidRPr="00DF1813">
        <w:t xml:space="preserve"> </w:t>
      </w:r>
      <w:r w:rsidR="009A28B2">
        <w:t>"</w:t>
      </w:r>
      <w:r w:rsidRPr="00DF1813">
        <w:t xml:space="preserve">Cloud </w:t>
      </w:r>
      <w:proofErr w:type="spellStart"/>
      <w:r w:rsidRPr="00DF1813">
        <w:t>computing</w:t>
      </w:r>
      <w:proofErr w:type="spellEnd"/>
      <w:r w:rsidR="009A28B2">
        <w:t xml:space="preserve"> </w:t>
      </w:r>
      <w:r w:rsidR="009A28B2" w:rsidRPr="009A28B2">
        <w:rPr>
          <w:lang w:val="en-GB"/>
        </w:rPr>
        <w:t>–</w:t>
      </w:r>
      <w:r w:rsidRPr="00DF1813">
        <w:t xml:space="preserve"> </w:t>
      </w:r>
      <w:proofErr w:type="spellStart"/>
      <w:r w:rsidRPr="00DF1813">
        <w:t>Functional</w:t>
      </w:r>
      <w:proofErr w:type="spellEnd"/>
      <w:r w:rsidRPr="00DF1813">
        <w:t xml:space="preserve"> </w:t>
      </w:r>
      <w:proofErr w:type="spellStart"/>
      <w:r w:rsidRPr="00DF1813">
        <w:t>requirements</w:t>
      </w:r>
      <w:proofErr w:type="spellEnd"/>
      <w:r w:rsidRPr="00DF1813">
        <w:t xml:space="preserve"> of </w:t>
      </w:r>
      <w:proofErr w:type="spellStart"/>
      <w:r w:rsidRPr="00DF1813">
        <w:t>integrated</w:t>
      </w:r>
      <w:proofErr w:type="spellEnd"/>
      <w:r w:rsidRPr="00DF1813">
        <w:t xml:space="preserve"> </w:t>
      </w:r>
      <w:proofErr w:type="spellStart"/>
      <w:r w:rsidRPr="00DF1813">
        <w:t>management</w:t>
      </w:r>
      <w:proofErr w:type="spellEnd"/>
      <w:r w:rsidRPr="00DF1813">
        <w:t xml:space="preserve"> for virtual machine and container</w:t>
      </w:r>
      <w:r w:rsidR="009A28B2">
        <w:t>"</w:t>
      </w:r>
      <w:r w:rsidRPr="00DF1813">
        <w:t xml:space="preserve"> (C19/13).</w:t>
      </w:r>
    </w:p>
    <w:p w14:paraId="69516FE2" w14:textId="77777777" w:rsidR="00DF1813" w:rsidRPr="00DF1813" w:rsidRDefault="00DF1813" w:rsidP="00DF1813">
      <w:pPr>
        <w:pStyle w:val="Headingb0"/>
        <w:rPr>
          <w:bCs/>
        </w:rPr>
      </w:pPr>
      <w:r w:rsidRPr="00DF1813">
        <w:rPr>
          <w:bCs/>
        </w:rPr>
        <w:t>GT3/13:</w:t>
      </w:r>
    </w:p>
    <w:p w14:paraId="743E0F22" w14:textId="0D141765" w:rsidR="00DF1813" w:rsidRPr="00DF1813" w:rsidRDefault="00DF1813" w:rsidP="00DF1813">
      <w:pPr>
        <w:pStyle w:val="enumlev1"/>
      </w:pPr>
      <w:r w:rsidRPr="00DF1813">
        <w:rPr>
          <w:lang w:val="en-GB"/>
        </w:rPr>
        <w:t>•</w:t>
      </w:r>
      <w:r w:rsidRPr="00DF1813">
        <w:rPr>
          <w:lang w:val="en-GB"/>
        </w:rPr>
        <w:tab/>
      </w:r>
      <w:r w:rsidRPr="00DF1813">
        <w:t xml:space="preserve">Y.CPN-DF </w:t>
      </w:r>
      <w:r w:rsidR="009A28B2">
        <w:t>"</w:t>
      </w:r>
      <w:r w:rsidRPr="00DF1813">
        <w:t xml:space="preserve">Computing </w:t>
      </w:r>
      <w:proofErr w:type="spellStart"/>
      <w:r w:rsidRPr="00DF1813">
        <w:t>power</w:t>
      </w:r>
      <w:proofErr w:type="spellEnd"/>
      <w:r w:rsidRPr="00DF1813">
        <w:t xml:space="preserve"> </w:t>
      </w:r>
      <w:proofErr w:type="spellStart"/>
      <w:r w:rsidRPr="00DF1813">
        <w:t>network</w:t>
      </w:r>
      <w:proofErr w:type="spellEnd"/>
      <w:r w:rsidRPr="00DF1813">
        <w:t xml:space="preserve"> </w:t>
      </w:r>
      <w:r w:rsidR="009A28B2" w:rsidRPr="009A28B2">
        <w:rPr>
          <w:lang w:val="en-GB"/>
        </w:rPr>
        <w:t>–</w:t>
      </w:r>
      <w:r w:rsidRPr="00DF1813">
        <w:t xml:space="preserve"> </w:t>
      </w:r>
      <w:proofErr w:type="spellStart"/>
      <w:r w:rsidRPr="00DF1813">
        <w:t>Terms</w:t>
      </w:r>
      <w:proofErr w:type="spellEnd"/>
      <w:r w:rsidRPr="00DF1813">
        <w:t xml:space="preserve"> and </w:t>
      </w:r>
      <w:proofErr w:type="spellStart"/>
      <w:r w:rsidRPr="00DF1813">
        <w:t>definitions</w:t>
      </w:r>
      <w:proofErr w:type="spellEnd"/>
      <w:r w:rsidR="009A28B2">
        <w:t>"</w:t>
      </w:r>
      <w:r w:rsidRPr="00DF1813">
        <w:t xml:space="preserve"> (C2/13),</w:t>
      </w:r>
    </w:p>
    <w:p w14:paraId="0BD789FC" w14:textId="207067EC" w:rsidR="00DF1813" w:rsidRPr="00DF1813" w:rsidRDefault="00DF1813" w:rsidP="00DF1813">
      <w:pPr>
        <w:pStyle w:val="enumlev1"/>
      </w:pPr>
      <w:r w:rsidRPr="00DF1813">
        <w:rPr>
          <w:lang w:val="en-GB"/>
        </w:rPr>
        <w:t>•</w:t>
      </w:r>
      <w:r w:rsidRPr="00DF1813">
        <w:rPr>
          <w:lang w:val="en-GB"/>
        </w:rPr>
        <w:tab/>
      </w:r>
      <w:proofErr w:type="spellStart"/>
      <w:r w:rsidRPr="00DF1813">
        <w:t>Y.NGNe</w:t>
      </w:r>
      <w:proofErr w:type="spellEnd"/>
      <w:r w:rsidRPr="00DF1813">
        <w:t>-IBN-</w:t>
      </w:r>
      <w:proofErr w:type="spellStart"/>
      <w:r w:rsidRPr="00DF1813">
        <w:t>arch</w:t>
      </w:r>
      <w:proofErr w:type="spellEnd"/>
      <w:r w:rsidRPr="00DF1813">
        <w:t xml:space="preserve"> </w:t>
      </w:r>
      <w:r w:rsidR="009A28B2">
        <w:t>"</w:t>
      </w:r>
      <w:proofErr w:type="spellStart"/>
      <w:r w:rsidRPr="00DF1813">
        <w:t>Functional</w:t>
      </w:r>
      <w:proofErr w:type="spellEnd"/>
      <w:r w:rsidRPr="00DF1813">
        <w:t xml:space="preserve"> </w:t>
      </w:r>
      <w:proofErr w:type="spellStart"/>
      <w:r w:rsidRPr="00DF1813">
        <w:t>architecture</w:t>
      </w:r>
      <w:proofErr w:type="spellEnd"/>
      <w:r w:rsidRPr="00DF1813">
        <w:t xml:space="preserve"> of NGN </w:t>
      </w:r>
      <w:proofErr w:type="spellStart"/>
      <w:r w:rsidRPr="00DF1813">
        <w:t>evolution</w:t>
      </w:r>
      <w:proofErr w:type="spellEnd"/>
      <w:r w:rsidRPr="00DF1813">
        <w:t xml:space="preserve"> </w:t>
      </w:r>
      <w:proofErr w:type="spellStart"/>
      <w:r w:rsidRPr="00DF1813">
        <w:t>by</w:t>
      </w:r>
      <w:proofErr w:type="spellEnd"/>
      <w:r w:rsidRPr="00DF1813">
        <w:t xml:space="preserve"> </w:t>
      </w:r>
      <w:proofErr w:type="spellStart"/>
      <w:r w:rsidRPr="00DF1813">
        <w:t>adoption</w:t>
      </w:r>
      <w:proofErr w:type="spellEnd"/>
      <w:r w:rsidRPr="00DF1813">
        <w:t xml:space="preserve"> of </w:t>
      </w:r>
      <w:proofErr w:type="spellStart"/>
      <w:r w:rsidRPr="00DF1813">
        <w:t>Intent-Based</w:t>
      </w:r>
      <w:proofErr w:type="spellEnd"/>
      <w:r w:rsidRPr="00DF1813">
        <w:t xml:space="preserve"> Network</w:t>
      </w:r>
      <w:r w:rsidR="009A28B2">
        <w:t>"</w:t>
      </w:r>
      <w:r w:rsidRPr="00DF1813">
        <w:t xml:space="preserve"> (C2/13),</w:t>
      </w:r>
    </w:p>
    <w:p w14:paraId="66D53B1F" w14:textId="10B3164D" w:rsidR="00DF1813" w:rsidRPr="00DF1813" w:rsidRDefault="00DF1813" w:rsidP="00DF1813">
      <w:pPr>
        <w:pStyle w:val="enumlev1"/>
      </w:pPr>
      <w:r w:rsidRPr="00DF1813">
        <w:rPr>
          <w:lang w:val="en-GB"/>
        </w:rPr>
        <w:t>•</w:t>
      </w:r>
      <w:r w:rsidRPr="00DF1813">
        <w:rPr>
          <w:lang w:val="en-GB"/>
        </w:rPr>
        <w:tab/>
      </w:r>
      <w:proofErr w:type="spellStart"/>
      <w:r w:rsidRPr="00DF1813">
        <w:t>Y.Suppl.CPN</w:t>
      </w:r>
      <w:proofErr w:type="spellEnd"/>
      <w:r w:rsidRPr="00DF1813">
        <w:t xml:space="preserve">-SR </w:t>
      </w:r>
      <w:r w:rsidR="009A28B2">
        <w:t>"</w:t>
      </w:r>
      <w:proofErr w:type="spellStart"/>
      <w:r w:rsidRPr="00DF1813">
        <w:t>Roadmap</w:t>
      </w:r>
      <w:proofErr w:type="spellEnd"/>
      <w:r w:rsidRPr="00DF1813">
        <w:t xml:space="preserve"> to </w:t>
      </w:r>
      <w:proofErr w:type="spellStart"/>
      <w:r w:rsidRPr="00DF1813">
        <w:t>standardization</w:t>
      </w:r>
      <w:proofErr w:type="spellEnd"/>
      <w:r w:rsidRPr="00DF1813">
        <w:t xml:space="preserve"> on </w:t>
      </w:r>
      <w:proofErr w:type="spellStart"/>
      <w:r w:rsidRPr="00DF1813">
        <w:t>computing</w:t>
      </w:r>
      <w:proofErr w:type="spellEnd"/>
      <w:r w:rsidRPr="00DF1813">
        <w:t xml:space="preserve"> </w:t>
      </w:r>
      <w:proofErr w:type="spellStart"/>
      <w:r w:rsidRPr="00DF1813">
        <w:t>power</w:t>
      </w:r>
      <w:proofErr w:type="spellEnd"/>
      <w:r w:rsidRPr="00DF1813">
        <w:t xml:space="preserve"> </w:t>
      </w:r>
      <w:proofErr w:type="spellStart"/>
      <w:r w:rsidRPr="00DF1813">
        <w:t>network</w:t>
      </w:r>
      <w:proofErr w:type="spellEnd"/>
      <w:r w:rsidR="009A28B2">
        <w:t>"</w:t>
      </w:r>
      <w:r w:rsidRPr="00DF1813">
        <w:t xml:space="preserve"> (C2/13),</w:t>
      </w:r>
    </w:p>
    <w:p w14:paraId="1D4A0568" w14:textId="39AEC421" w:rsidR="00DF1813" w:rsidRPr="00DF1813" w:rsidRDefault="00DF1813" w:rsidP="00DF1813">
      <w:pPr>
        <w:pStyle w:val="enumlev1"/>
      </w:pPr>
      <w:r w:rsidRPr="00DF1813">
        <w:rPr>
          <w:lang w:val="en-GB"/>
        </w:rPr>
        <w:t>•</w:t>
      </w:r>
      <w:r w:rsidRPr="00DF1813">
        <w:rPr>
          <w:lang w:val="en-GB"/>
        </w:rPr>
        <w:tab/>
      </w:r>
      <w:proofErr w:type="spellStart"/>
      <w:r w:rsidRPr="00DF1813">
        <w:t>Y.Suppl.NGNe</w:t>
      </w:r>
      <w:proofErr w:type="spellEnd"/>
      <w:r w:rsidRPr="00DF1813">
        <w:t xml:space="preserve">-UC-SCE </w:t>
      </w:r>
      <w:r w:rsidR="009A28B2">
        <w:t>"</w:t>
      </w:r>
      <w:r w:rsidRPr="00DF1813">
        <w:t xml:space="preserve">Use cases of </w:t>
      </w:r>
      <w:proofErr w:type="spellStart"/>
      <w:r w:rsidRPr="00DF1813">
        <w:t>service-oriented</w:t>
      </w:r>
      <w:proofErr w:type="spellEnd"/>
      <w:r w:rsidRPr="00DF1813">
        <w:t xml:space="preserve"> </w:t>
      </w:r>
      <w:proofErr w:type="spellStart"/>
      <w:r w:rsidRPr="00DF1813">
        <w:t>capability</w:t>
      </w:r>
      <w:proofErr w:type="spellEnd"/>
      <w:r w:rsidRPr="00DF1813">
        <w:t xml:space="preserve"> </w:t>
      </w:r>
      <w:proofErr w:type="spellStart"/>
      <w:r w:rsidRPr="00DF1813">
        <w:t>enhancement</w:t>
      </w:r>
      <w:proofErr w:type="spellEnd"/>
      <w:r w:rsidRPr="00DF1813">
        <w:t xml:space="preserve"> in </w:t>
      </w:r>
      <w:proofErr w:type="spellStart"/>
      <w:r w:rsidRPr="00DF1813">
        <w:t>NGNe</w:t>
      </w:r>
      <w:proofErr w:type="spellEnd"/>
      <w:r w:rsidR="009A28B2">
        <w:t>"</w:t>
      </w:r>
      <w:r w:rsidRPr="00DF1813">
        <w:t xml:space="preserve"> (C2/13),</w:t>
      </w:r>
    </w:p>
    <w:p w14:paraId="3BBE24E6" w14:textId="48976F5B" w:rsidR="00DF1813" w:rsidRPr="00DF1813" w:rsidRDefault="00DF1813" w:rsidP="00DF1813">
      <w:pPr>
        <w:pStyle w:val="enumlev1"/>
      </w:pPr>
      <w:r w:rsidRPr="00DF1813">
        <w:rPr>
          <w:lang w:val="en-GB"/>
        </w:rPr>
        <w:t>•</w:t>
      </w:r>
      <w:r w:rsidRPr="00DF1813">
        <w:rPr>
          <w:lang w:val="en-GB"/>
        </w:rPr>
        <w:tab/>
      </w:r>
      <w:proofErr w:type="spellStart"/>
      <w:r w:rsidRPr="00DF1813">
        <w:t>Y.bDDN</w:t>
      </w:r>
      <w:proofErr w:type="spellEnd"/>
      <w:r w:rsidRPr="00DF1813">
        <w:t>-</w:t>
      </w:r>
      <w:proofErr w:type="spellStart"/>
      <w:r w:rsidRPr="00DF1813">
        <w:t>MecArch</w:t>
      </w:r>
      <w:proofErr w:type="spellEnd"/>
      <w:r w:rsidRPr="00DF1813">
        <w:t xml:space="preserve">-KC </w:t>
      </w:r>
      <w:r w:rsidR="009A28B2">
        <w:t>"</w:t>
      </w:r>
      <w:r w:rsidRPr="00DF1813">
        <w:t xml:space="preserve">Big data </w:t>
      </w:r>
      <w:proofErr w:type="spellStart"/>
      <w:r w:rsidRPr="00DF1813">
        <w:t>driven</w:t>
      </w:r>
      <w:proofErr w:type="spellEnd"/>
      <w:r w:rsidRPr="00DF1813">
        <w:t xml:space="preserve"> </w:t>
      </w:r>
      <w:proofErr w:type="spellStart"/>
      <w:r w:rsidRPr="00DF1813">
        <w:t>networking</w:t>
      </w:r>
      <w:proofErr w:type="spellEnd"/>
      <w:r w:rsidR="009A28B2">
        <w:t xml:space="preserve"> </w:t>
      </w:r>
      <w:r w:rsidR="009A28B2" w:rsidRPr="009A28B2">
        <w:rPr>
          <w:lang w:val="en-GB"/>
        </w:rPr>
        <w:t>–</w:t>
      </w:r>
      <w:r w:rsidRPr="00DF1813">
        <w:t xml:space="preserve"> </w:t>
      </w:r>
      <w:proofErr w:type="spellStart"/>
      <w:r w:rsidRPr="00DF1813">
        <w:t>architecture</w:t>
      </w:r>
      <w:proofErr w:type="spellEnd"/>
      <w:r w:rsidRPr="00DF1813">
        <w:t xml:space="preserve"> and </w:t>
      </w:r>
      <w:proofErr w:type="spellStart"/>
      <w:r w:rsidRPr="00DF1813">
        <w:t>mechanism</w:t>
      </w:r>
      <w:proofErr w:type="spellEnd"/>
      <w:r w:rsidRPr="00DF1813">
        <w:t xml:space="preserve"> of </w:t>
      </w:r>
      <w:proofErr w:type="spellStart"/>
      <w:r w:rsidRPr="00DF1813">
        <w:t>knowledge</w:t>
      </w:r>
      <w:proofErr w:type="spellEnd"/>
      <w:r w:rsidRPr="00DF1813">
        <w:t xml:space="preserve"> </w:t>
      </w:r>
      <w:proofErr w:type="spellStart"/>
      <w:r w:rsidRPr="00DF1813">
        <w:t>constructing</w:t>
      </w:r>
      <w:proofErr w:type="spellEnd"/>
      <w:r w:rsidR="009A28B2">
        <w:t>"</w:t>
      </w:r>
      <w:r w:rsidRPr="00DF1813">
        <w:t xml:space="preserve"> (C7/13),</w:t>
      </w:r>
    </w:p>
    <w:p w14:paraId="089A554A" w14:textId="5ADA1797" w:rsidR="00DF1813" w:rsidRPr="00DF1813" w:rsidRDefault="00DF1813" w:rsidP="00DF1813">
      <w:pPr>
        <w:pStyle w:val="enumlev1"/>
      </w:pPr>
      <w:r w:rsidRPr="00DF1813">
        <w:rPr>
          <w:lang w:val="en-GB"/>
        </w:rPr>
        <w:t>•</w:t>
      </w:r>
      <w:r w:rsidRPr="00DF1813">
        <w:rPr>
          <w:lang w:val="en-GB"/>
        </w:rPr>
        <w:tab/>
      </w:r>
      <w:proofErr w:type="spellStart"/>
      <w:r w:rsidRPr="00DF1813">
        <w:t>Y.bDDN</w:t>
      </w:r>
      <w:proofErr w:type="spellEnd"/>
      <w:r w:rsidRPr="00DF1813">
        <w:t xml:space="preserve">-AM-COINO </w:t>
      </w:r>
      <w:r w:rsidR="009A28B2">
        <w:t>"</w:t>
      </w:r>
      <w:r w:rsidRPr="00DF1813">
        <w:t xml:space="preserve">Big data </w:t>
      </w:r>
      <w:proofErr w:type="spellStart"/>
      <w:r w:rsidRPr="00DF1813">
        <w:t>driven</w:t>
      </w:r>
      <w:proofErr w:type="spellEnd"/>
      <w:r w:rsidRPr="00DF1813">
        <w:t xml:space="preserve"> </w:t>
      </w:r>
      <w:proofErr w:type="spellStart"/>
      <w:r w:rsidRPr="00DF1813">
        <w:t>networking</w:t>
      </w:r>
      <w:proofErr w:type="spellEnd"/>
      <w:r w:rsidRPr="00DF1813">
        <w:t xml:space="preserve"> </w:t>
      </w:r>
      <w:r w:rsidR="009A28B2" w:rsidRPr="009A28B2">
        <w:rPr>
          <w:lang w:val="en-GB"/>
        </w:rPr>
        <w:t>–</w:t>
      </w:r>
      <w:r w:rsidRPr="00DF1813">
        <w:t xml:space="preserve"> </w:t>
      </w:r>
      <w:proofErr w:type="spellStart"/>
      <w:r w:rsidRPr="00DF1813">
        <w:t>architecture</w:t>
      </w:r>
      <w:proofErr w:type="spellEnd"/>
      <w:r w:rsidRPr="00DF1813">
        <w:t xml:space="preserve"> and </w:t>
      </w:r>
      <w:proofErr w:type="spellStart"/>
      <w:r w:rsidRPr="00DF1813">
        <w:t>mechanism</w:t>
      </w:r>
      <w:proofErr w:type="spellEnd"/>
      <w:r w:rsidRPr="00DF1813">
        <w:t xml:space="preserve"> for </w:t>
      </w:r>
      <w:proofErr w:type="spellStart"/>
      <w:r w:rsidRPr="00DF1813">
        <w:t>customer-oriented</w:t>
      </w:r>
      <w:proofErr w:type="spellEnd"/>
      <w:r w:rsidRPr="00DF1813">
        <w:t xml:space="preserve"> </w:t>
      </w:r>
      <w:proofErr w:type="spellStart"/>
      <w:r w:rsidRPr="00DF1813">
        <w:t>intelligent</w:t>
      </w:r>
      <w:proofErr w:type="spellEnd"/>
      <w:r w:rsidRPr="00DF1813">
        <w:t xml:space="preserve"> </w:t>
      </w:r>
      <w:proofErr w:type="spellStart"/>
      <w:r w:rsidRPr="00DF1813">
        <w:t>network</w:t>
      </w:r>
      <w:proofErr w:type="spellEnd"/>
      <w:r w:rsidRPr="00DF1813">
        <w:t xml:space="preserve"> </w:t>
      </w:r>
      <w:proofErr w:type="spellStart"/>
      <w:r w:rsidRPr="00DF1813">
        <w:t>operation</w:t>
      </w:r>
      <w:proofErr w:type="spellEnd"/>
      <w:r w:rsidR="009A28B2">
        <w:t>"</w:t>
      </w:r>
      <w:r w:rsidRPr="00DF1813">
        <w:t xml:space="preserve"> (C7/13),</w:t>
      </w:r>
    </w:p>
    <w:p w14:paraId="23C6A12C" w14:textId="4CAA46E5" w:rsidR="00DF1813" w:rsidRPr="00DF1813" w:rsidRDefault="00DF1813" w:rsidP="00DF1813">
      <w:pPr>
        <w:pStyle w:val="enumlev1"/>
      </w:pPr>
      <w:r w:rsidRPr="00DF1813">
        <w:rPr>
          <w:lang w:val="en-GB"/>
        </w:rPr>
        <w:t>•</w:t>
      </w:r>
      <w:r w:rsidRPr="00DF1813">
        <w:rPr>
          <w:lang w:val="en-GB"/>
        </w:rPr>
        <w:tab/>
      </w:r>
      <w:r w:rsidRPr="00DF1813">
        <w:t xml:space="preserve">Y.ICN-INP </w:t>
      </w:r>
      <w:r w:rsidR="009A28B2">
        <w:t>"</w:t>
      </w:r>
      <w:r w:rsidRPr="00DF1813">
        <w:t>Information-</w:t>
      </w:r>
      <w:proofErr w:type="spellStart"/>
      <w:r w:rsidRPr="00DF1813">
        <w:t>centric</w:t>
      </w:r>
      <w:proofErr w:type="spellEnd"/>
      <w:r w:rsidRPr="00DF1813">
        <w:t xml:space="preserve"> </w:t>
      </w:r>
      <w:proofErr w:type="spellStart"/>
      <w:r w:rsidRPr="00DF1813">
        <w:t>networking</w:t>
      </w:r>
      <w:proofErr w:type="spellEnd"/>
      <w:r w:rsidRPr="00DF1813">
        <w:t xml:space="preserve"> in </w:t>
      </w:r>
      <w:proofErr w:type="spellStart"/>
      <w:r w:rsidRPr="00DF1813">
        <w:t>networks</w:t>
      </w:r>
      <w:proofErr w:type="spellEnd"/>
      <w:r w:rsidRPr="00DF1813">
        <w:t xml:space="preserve"> </w:t>
      </w:r>
      <w:proofErr w:type="spellStart"/>
      <w:r w:rsidRPr="00DF1813">
        <w:t>beyond</w:t>
      </w:r>
      <w:proofErr w:type="spellEnd"/>
      <w:r w:rsidRPr="00DF1813">
        <w:t xml:space="preserve"> IMT-2020: </w:t>
      </w:r>
      <w:proofErr w:type="spellStart"/>
      <w:r w:rsidRPr="00DF1813">
        <w:t>Requirements</w:t>
      </w:r>
      <w:proofErr w:type="spellEnd"/>
      <w:r w:rsidRPr="00DF1813">
        <w:t xml:space="preserve"> and </w:t>
      </w:r>
      <w:proofErr w:type="spellStart"/>
      <w:r w:rsidRPr="00DF1813">
        <w:t>capabilities</w:t>
      </w:r>
      <w:proofErr w:type="spellEnd"/>
      <w:r w:rsidRPr="00DF1813">
        <w:t xml:space="preserve"> of </w:t>
      </w:r>
      <w:proofErr w:type="spellStart"/>
      <w:r w:rsidRPr="00DF1813">
        <w:t>node</w:t>
      </w:r>
      <w:proofErr w:type="spellEnd"/>
      <w:r w:rsidRPr="00DF1813">
        <w:t xml:space="preserve"> to </w:t>
      </w:r>
      <w:proofErr w:type="spellStart"/>
      <w:r w:rsidRPr="00DF1813">
        <w:t>support</w:t>
      </w:r>
      <w:proofErr w:type="spellEnd"/>
      <w:r w:rsidRPr="00DF1813">
        <w:t xml:space="preserve"> </w:t>
      </w:r>
      <w:proofErr w:type="spellStart"/>
      <w:r w:rsidRPr="00DF1813">
        <w:t>in-network</w:t>
      </w:r>
      <w:proofErr w:type="spellEnd"/>
      <w:r w:rsidRPr="00DF1813">
        <w:t xml:space="preserve"> </w:t>
      </w:r>
      <w:proofErr w:type="spellStart"/>
      <w:r w:rsidRPr="00DF1813">
        <w:t>processing</w:t>
      </w:r>
      <w:proofErr w:type="spellEnd"/>
      <w:r w:rsidRPr="00DF1813">
        <w:t xml:space="preserve"> in </w:t>
      </w:r>
      <w:proofErr w:type="spellStart"/>
      <w:r w:rsidRPr="00DF1813">
        <w:t>networks</w:t>
      </w:r>
      <w:proofErr w:type="spellEnd"/>
      <w:r w:rsidRPr="00DF1813">
        <w:t xml:space="preserve"> </w:t>
      </w:r>
      <w:proofErr w:type="spellStart"/>
      <w:r w:rsidRPr="00DF1813">
        <w:t>beyond</w:t>
      </w:r>
      <w:proofErr w:type="spellEnd"/>
      <w:r w:rsidRPr="00DF1813">
        <w:t xml:space="preserve"> IMT-2020</w:t>
      </w:r>
      <w:r w:rsidR="009A28B2">
        <w:t>"</w:t>
      </w:r>
      <w:r w:rsidRPr="00DF1813">
        <w:t xml:space="preserve"> (C22/13),</w:t>
      </w:r>
    </w:p>
    <w:p w14:paraId="1621CBAF" w14:textId="00658CD7" w:rsidR="00DF1813" w:rsidRPr="00DF1813" w:rsidRDefault="00DF1813" w:rsidP="00DF1813">
      <w:pPr>
        <w:pStyle w:val="enumlev1"/>
      </w:pPr>
      <w:r w:rsidRPr="00DF1813">
        <w:rPr>
          <w:lang w:val="en-GB"/>
        </w:rPr>
        <w:t>•</w:t>
      </w:r>
      <w:r w:rsidRPr="00DF1813">
        <w:rPr>
          <w:lang w:val="en-GB"/>
        </w:rPr>
        <w:tab/>
      </w:r>
      <w:r w:rsidRPr="00DF1813">
        <w:t>Y.DTN-</w:t>
      </w:r>
      <w:proofErr w:type="spellStart"/>
      <w:r w:rsidRPr="00DF1813">
        <w:t>DataFrame</w:t>
      </w:r>
      <w:proofErr w:type="spellEnd"/>
      <w:r w:rsidRPr="00DF1813">
        <w:t xml:space="preserve"> </w:t>
      </w:r>
      <w:r w:rsidR="009A28B2">
        <w:t>"</w:t>
      </w:r>
      <w:r w:rsidRPr="00DF1813">
        <w:t xml:space="preserve">Digital Twin Network </w:t>
      </w:r>
      <w:r w:rsidR="009A28B2" w:rsidRPr="009A28B2">
        <w:rPr>
          <w:lang w:val="en-GB"/>
        </w:rPr>
        <w:t>–</w:t>
      </w:r>
      <w:r w:rsidRPr="00DF1813">
        <w:t xml:space="preserve"> Framework and </w:t>
      </w:r>
      <w:proofErr w:type="spellStart"/>
      <w:r w:rsidRPr="00DF1813">
        <w:t>functional</w:t>
      </w:r>
      <w:proofErr w:type="spellEnd"/>
      <w:r w:rsidRPr="00DF1813">
        <w:t xml:space="preserve"> </w:t>
      </w:r>
      <w:proofErr w:type="spellStart"/>
      <w:r w:rsidRPr="00DF1813">
        <w:t>requirements</w:t>
      </w:r>
      <w:proofErr w:type="spellEnd"/>
      <w:r w:rsidRPr="00DF1813">
        <w:t xml:space="preserve"> of data </w:t>
      </w:r>
      <w:proofErr w:type="spellStart"/>
      <w:r w:rsidRPr="00DF1813">
        <w:t>domain</w:t>
      </w:r>
      <w:proofErr w:type="spellEnd"/>
      <w:r w:rsidRPr="00DF1813">
        <w:t xml:space="preserve"> in </w:t>
      </w:r>
      <w:proofErr w:type="spellStart"/>
      <w:r w:rsidRPr="00DF1813">
        <w:t>network</w:t>
      </w:r>
      <w:proofErr w:type="spellEnd"/>
      <w:r w:rsidRPr="00DF1813">
        <w:t xml:space="preserve"> digital </w:t>
      </w:r>
      <w:proofErr w:type="spellStart"/>
      <w:r w:rsidRPr="00DF1813">
        <w:t>twin</w:t>
      </w:r>
      <w:proofErr w:type="spellEnd"/>
      <w:r w:rsidRPr="00DF1813">
        <w:t xml:space="preserve"> </w:t>
      </w:r>
      <w:proofErr w:type="spellStart"/>
      <w:r w:rsidRPr="00DF1813">
        <w:t>layer</w:t>
      </w:r>
      <w:proofErr w:type="spellEnd"/>
      <w:r w:rsidR="009A28B2">
        <w:t>"</w:t>
      </w:r>
      <w:r w:rsidRPr="00DF1813">
        <w:t xml:space="preserve"> (C22/13).</w:t>
      </w:r>
    </w:p>
    <w:p w14:paraId="298FC2FB" w14:textId="77777777" w:rsidR="00DF1813" w:rsidRPr="00DF1813" w:rsidRDefault="00DF1813" w:rsidP="00DF1813">
      <w:pPr>
        <w:pStyle w:val="Headingb0"/>
        <w:rPr>
          <w:bCs/>
        </w:rPr>
      </w:pPr>
      <w:r w:rsidRPr="00DF1813">
        <w:rPr>
          <w:bCs/>
        </w:rPr>
        <w:t>GT4/13:</w:t>
      </w:r>
    </w:p>
    <w:p w14:paraId="0B37D8D3" w14:textId="68E83C49" w:rsidR="00DF1813" w:rsidRPr="00DF1813" w:rsidRDefault="00DF1813" w:rsidP="00DF1813">
      <w:pPr>
        <w:pStyle w:val="enumlev1"/>
      </w:pPr>
      <w:r w:rsidRPr="00DF1813">
        <w:rPr>
          <w:lang w:val="en-GB"/>
        </w:rPr>
        <w:t>•</w:t>
      </w:r>
      <w:r w:rsidRPr="00DF1813">
        <w:rPr>
          <w:lang w:val="en-GB"/>
        </w:rPr>
        <w:tab/>
      </w:r>
      <w:proofErr w:type="spellStart"/>
      <w:r w:rsidRPr="00DF1813">
        <w:t>Y.supp.mlip</w:t>
      </w:r>
      <w:proofErr w:type="spellEnd"/>
      <w:r w:rsidRPr="00DF1813">
        <w:t xml:space="preserve"> </w:t>
      </w:r>
      <w:r w:rsidR="009A28B2">
        <w:t>"</w:t>
      </w:r>
      <w:r w:rsidRPr="00DF1813">
        <w:t xml:space="preserve">Service </w:t>
      </w:r>
      <w:proofErr w:type="spellStart"/>
      <w:r w:rsidRPr="00DF1813">
        <w:t>model</w:t>
      </w:r>
      <w:proofErr w:type="spellEnd"/>
      <w:r w:rsidRPr="00DF1813">
        <w:t xml:space="preserve"> of </w:t>
      </w:r>
      <w:proofErr w:type="spellStart"/>
      <w:r w:rsidRPr="00DF1813">
        <w:t>risk</w:t>
      </w:r>
      <w:proofErr w:type="spellEnd"/>
      <w:r w:rsidRPr="00DF1813">
        <w:t xml:space="preserve"> </w:t>
      </w:r>
      <w:proofErr w:type="spellStart"/>
      <w:r w:rsidRPr="00DF1813">
        <w:t>mitigation</w:t>
      </w:r>
      <w:proofErr w:type="spellEnd"/>
      <w:r w:rsidRPr="00DF1813">
        <w:t xml:space="preserve"> on </w:t>
      </w:r>
      <w:proofErr w:type="spellStart"/>
      <w:r w:rsidRPr="00DF1813">
        <w:t>livestock</w:t>
      </w:r>
      <w:proofErr w:type="spellEnd"/>
      <w:r w:rsidRPr="00DF1813">
        <w:t xml:space="preserve"> </w:t>
      </w:r>
      <w:proofErr w:type="spellStart"/>
      <w:r w:rsidRPr="00DF1813">
        <w:t>pandemic</w:t>
      </w:r>
      <w:proofErr w:type="spellEnd"/>
      <w:r w:rsidRPr="00DF1813">
        <w:t xml:space="preserve"> </w:t>
      </w:r>
      <w:proofErr w:type="spellStart"/>
      <w:r w:rsidRPr="00DF1813">
        <w:t>based</w:t>
      </w:r>
      <w:proofErr w:type="spellEnd"/>
      <w:r w:rsidRPr="00DF1813">
        <w:t xml:space="preserve"> on </w:t>
      </w:r>
      <w:proofErr w:type="spellStart"/>
      <w:r w:rsidRPr="00DF1813">
        <w:t>networks</w:t>
      </w:r>
      <w:proofErr w:type="spellEnd"/>
      <w:r w:rsidR="009A28B2">
        <w:t>"</w:t>
      </w:r>
      <w:r w:rsidRPr="00DF1813">
        <w:t xml:space="preserve"> (C1/13),</w:t>
      </w:r>
    </w:p>
    <w:p w14:paraId="7885CE9F" w14:textId="5DB405D0" w:rsidR="00DF1813" w:rsidRPr="00DF1813" w:rsidRDefault="00DF1813" w:rsidP="00DF1813">
      <w:pPr>
        <w:pStyle w:val="enumlev1"/>
      </w:pPr>
      <w:r w:rsidRPr="00DF1813">
        <w:rPr>
          <w:lang w:val="en-GB"/>
        </w:rPr>
        <w:t>•</w:t>
      </w:r>
      <w:r w:rsidRPr="00DF1813">
        <w:rPr>
          <w:lang w:val="en-GB"/>
        </w:rPr>
        <w:tab/>
      </w:r>
      <w:r w:rsidRPr="00DF1813">
        <w:t xml:space="preserve">Sup-Y.MBIMT2020-Gen </w:t>
      </w:r>
      <w:r w:rsidR="009A28B2">
        <w:t>"</w:t>
      </w:r>
      <w:proofErr w:type="spellStart"/>
      <w:r w:rsidRPr="00DF1813">
        <w:t>Guidance</w:t>
      </w:r>
      <w:proofErr w:type="spellEnd"/>
      <w:r w:rsidRPr="00DF1813">
        <w:t xml:space="preserve"> for </w:t>
      </w:r>
      <w:proofErr w:type="spellStart"/>
      <w:r w:rsidRPr="00DF1813">
        <w:t>migrating</w:t>
      </w:r>
      <w:proofErr w:type="spellEnd"/>
      <w:r w:rsidRPr="00DF1813">
        <w:t xml:space="preserve"> </w:t>
      </w:r>
      <w:proofErr w:type="spellStart"/>
      <w:r w:rsidRPr="00DF1813">
        <w:t>existing</w:t>
      </w:r>
      <w:proofErr w:type="spellEnd"/>
      <w:r w:rsidRPr="00DF1813">
        <w:t xml:space="preserve"> </w:t>
      </w:r>
      <w:proofErr w:type="spellStart"/>
      <w:r w:rsidRPr="00DF1813">
        <w:t>mobile</w:t>
      </w:r>
      <w:proofErr w:type="spellEnd"/>
      <w:r w:rsidRPr="00DF1813">
        <w:t xml:space="preserve"> </w:t>
      </w:r>
      <w:proofErr w:type="spellStart"/>
      <w:r w:rsidRPr="00DF1813">
        <w:t>network</w:t>
      </w:r>
      <w:proofErr w:type="spellEnd"/>
      <w:r w:rsidRPr="00DF1813">
        <w:t xml:space="preserve"> </w:t>
      </w:r>
      <w:proofErr w:type="spellStart"/>
      <w:r w:rsidRPr="00DF1813">
        <w:t>technologies</w:t>
      </w:r>
      <w:proofErr w:type="spellEnd"/>
      <w:r w:rsidRPr="00DF1813">
        <w:t xml:space="preserve"> to IMT 2020 and </w:t>
      </w:r>
      <w:proofErr w:type="spellStart"/>
      <w:r w:rsidRPr="00DF1813">
        <w:t>beyond</w:t>
      </w:r>
      <w:proofErr w:type="spellEnd"/>
      <w:r w:rsidR="009A28B2">
        <w:t>"</w:t>
      </w:r>
      <w:r w:rsidRPr="00DF1813">
        <w:t xml:space="preserve"> (C5/13),</w:t>
      </w:r>
    </w:p>
    <w:p w14:paraId="40549DE7" w14:textId="3BC91DEF" w:rsidR="00DF1813" w:rsidRPr="00DF1813" w:rsidRDefault="00DF1813" w:rsidP="00DF1813">
      <w:pPr>
        <w:pStyle w:val="enumlev1"/>
      </w:pPr>
      <w:r w:rsidRPr="00DF1813">
        <w:rPr>
          <w:lang w:val="en-GB"/>
        </w:rPr>
        <w:t>•</w:t>
      </w:r>
      <w:r w:rsidRPr="00DF1813">
        <w:rPr>
          <w:lang w:val="en-GB"/>
        </w:rPr>
        <w:tab/>
      </w:r>
      <w:proofErr w:type="spellStart"/>
      <w:r w:rsidRPr="00DF1813">
        <w:t>Y.expBDtech-frame</w:t>
      </w:r>
      <w:proofErr w:type="spellEnd"/>
      <w:r w:rsidRPr="00DF1813">
        <w:t xml:space="preserve"> </w:t>
      </w:r>
      <w:r w:rsidR="009A28B2">
        <w:t>"</w:t>
      </w:r>
      <w:proofErr w:type="spellStart"/>
      <w:r w:rsidRPr="00DF1813">
        <w:t>Requirements</w:t>
      </w:r>
      <w:proofErr w:type="spellEnd"/>
      <w:r w:rsidRPr="00DF1813">
        <w:t xml:space="preserve"> and Framework for the </w:t>
      </w:r>
      <w:proofErr w:type="spellStart"/>
      <w:r w:rsidRPr="00DF1813">
        <w:t>exploitation</w:t>
      </w:r>
      <w:proofErr w:type="spellEnd"/>
      <w:r w:rsidRPr="00DF1813">
        <w:t xml:space="preserve"> of Big Data/Artificial </w:t>
      </w:r>
      <w:proofErr w:type="spellStart"/>
      <w:r w:rsidRPr="00DF1813">
        <w:t>Intelligence</w:t>
      </w:r>
      <w:proofErr w:type="spellEnd"/>
      <w:r w:rsidRPr="00DF1813">
        <w:t xml:space="preserve"> </w:t>
      </w:r>
      <w:proofErr w:type="spellStart"/>
      <w:r w:rsidRPr="00DF1813">
        <w:t>technologies</w:t>
      </w:r>
      <w:proofErr w:type="spellEnd"/>
      <w:r w:rsidRPr="00DF1813">
        <w:t xml:space="preserve"> in </w:t>
      </w:r>
      <w:proofErr w:type="spellStart"/>
      <w:r w:rsidRPr="00DF1813">
        <w:t>developing</w:t>
      </w:r>
      <w:proofErr w:type="spellEnd"/>
      <w:r w:rsidRPr="00DF1813">
        <w:t xml:space="preserve"> </w:t>
      </w:r>
      <w:proofErr w:type="spellStart"/>
      <w:r w:rsidRPr="00DF1813">
        <w:t>countries</w:t>
      </w:r>
      <w:proofErr w:type="spellEnd"/>
      <w:r w:rsidR="009A28B2">
        <w:t>"</w:t>
      </w:r>
      <w:r w:rsidRPr="00DF1813">
        <w:t xml:space="preserve"> (C5/13),</w:t>
      </w:r>
    </w:p>
    <w:p w14:paraId="093A6F61" w14:textId="366FA302" w:rsidR="00DF1813" w:rsidRPr="00DF1813" w:rsidRDefault="00DF1813" w:rsidP="00DF1813">
      <w:pPr>
        <w:pStyle w:val="enumlev1"/>
      </w:pPr>
      <w:r w:rsidRPr="00DF1813">
        <w:rPr>
          <w:lang w:val="en-GB"/>
        </w:rPr>
        <w:t>•</w:t>
      </w:r>
      <w:r w:rsidRPr="00DF1813">
        <w:rPr>
          <w:lang w:val="en-GB"/>
        </w:rPr>
        <w:tab/>
      </w:r>
      <w:proofErr w:type="spellStart"/>
      <w:r w:rsidRPr="00DF1813">
        <w:t>Y.det</w:t>
      </w:r>
      <w:proofErr w:type="spellEnd"/>
      <w:r w:rsidRPr="00DF1813">
        <w:t xml:space="preserve">-FQ-fa </w:t>
      </w:r>
      <w:r w:rsidR="009A28B2">
        <w:t>"</w:t>
      </w:r>
      <w:proofErr w:type="spellStart"/>
      <w:r w:rsidRPr="00DF1813">
        <w:t>Functional</w:t>
      </w:r>
      <w:proofErr w:type="spellEnd"/>
      <w:r w:rsidRPr="00DF1813">
        <w:t xml:space="preserve"> </w:t>
      </w:r>
      <w:proofErr w:type="spellStart"/>
      <w:r w:rsidRPr="00DF1813">
        <w:t>architecture</w:t>
      </w:r>
      <w:proofErr w:type="spellEnd"/>
      <w:r w:rsidRPr="00DF1813">
        <w:t xml:space="preserve"> for </w:t>
      </w:r>
      <w:proofErr w:type="spellStart"/>
      <w:r w:rsidRPr="00DF1813">
        <w:t>stateless</w:t>
      </w:r>
      <w:proofErr w:type="spellEnd"/>
      <w:r w:rsidRPr="00DF1813">
        <w:t xml:space="preserve"> </w:t>
      </w:r>
      <w:proofErr w:type="spellStart"/>
      <w:r w:rsidRPr="00DF1813">
        <w:t>fair</w:t>
      </w:r>
      <w:proofErr w:type="spellEnd"/>
      <w:r w:rsidRPr="00DF1813">
        <w:t xml:space="preserve"> </w:t>
      </w:r>
      <w:proofErr w:type="spellStart"/>
      <w:r w:rsidRPr="00DF1813">
        <w:t>queuing</w:t>
      </w:r>
      <w:proofErr w:type="spellEnd"/>
      <w:r w:rsidRPr="00DF1813">
        <w:t xml:space="preserve"> in </w:t>
      </w:r>
      <w:proofErr w:type="spellStart"/>
      <w:r w:rsidRPr="00DF1813">
        <w:t>large</w:t>
      </w:r>
      <w:proofErr w:type="spellEnd"/>
      <w:r w:rsidRPr="00DF1813">
        <w:t xml:space="preserve"> </w:t>
      </w:r>
      <w:proofErr w:type="spellStart"/>
      <w:r w:rsidRPr="00DF1813">
        <w:t>scale</w:t>
      </w:r>
      <w:proofErr w:type="spellEnd"/>
      <w:r w:rsidRPr="00DF1813">
        <w:t xml:space="preserve"> </w:t>
      </w:r>
      <w:proofErr w:type="spellStart"/>
      <w:r w:rsidRPr="00DF1813">
        <w:t>networks</w:t>
      </w:r>
      <w:proofErr w:type="spellEnd"/>
      <w:r w:rsidRPr="00DF1813">
        <w:t xml:space="preserve"> </w:t>
      </w:r>
      <w:proofErr w:type="spellStart"/>
      <w:r w:rsidRPr="00DF1813">
        <w:t>including</w:t>
      </w:r>
      <w:proofErr w:type="spellEnd"/>
      <w:r w:rsidRPr="00DF1813">
        <w:t xml:space="preserve"> IMT-2020</w:t>
      </w:r>
      <w:r w:rsidR="009A28B2">
        <w:t>"</w:t>
      </w:r>
      <w:r w:rsidRPr="00DF1813">
        <w:t xml:space="preserve"> (C6/13),</w:t>
      </w:r>
    </w:p>
    <w:p w14:paraId="21CF8227" w14:textId="05EFE019" w:rsidR="00DF1813" w:rsidRPr="00DF1813" w:rsidRDefault="00DF1813" w:rsidP="00DF1813">
      <w:pPr>
        <w:pStyle w:val="enumlev1"/>
      </w:pPr>
      <w:r w:rsidRPr="00DF1813">
        <w:rPr>
          <w:lang w:val="en-GB"/>
        </w:rPr>
        <w:t>•</w:t>
      </w:r>
      <w:r w:rsidRPr="00DF1813">
        <w:rPr>
          <w:lang w:val="en-GB"/>
        </w:rPr>
        <w:tab/>
      </w:r>
      <w:r w:rsidRPr="00DF1813">
        <w:t xml:space="preserve">Y.IMT-2020-qos-lstn-req </w:t>
      </w:r>
      <w:r w:rsidR="009A28B2">
        <w:t>"</w:t>
      </w:r>
      <w:proofErr w:type="spellStart"/>
      <w:r w:rsidRPr="00DF1813">
        <w:t>Requirements</w:t>
      </w:r>
      <w:proofErr w:type="spellEnd"/>
      <w:r w:rsidRPr="00DF1813">
        <w:t xml:space="preserve"> and </w:t>
      </w:r>
      <w:proofErr w:type="spellStart"/>
      <w:r w:rsidRPr="00DF1813">
        <w:t>framework</w:t>
      </w:r>
      <w:proofErr w:type="spellEnd"/>
      <w:r w:rsidRPr="00DF1813">
        <w:t xml:space="preserve"> of </w:t>
      </w:r>
      <w:proofErr w:type="spellStart"/>
      <w:r w:rsidRPr="00DF1813">
        <w:t>Deterministic</w:t>
      </w:r>
      <w:proofErr w:type="spellEnd"/>
      <w:r w:rsidRPr="00DF1813">
        <w:t xml:space="preserve"> </w:t>
      </w:r>
      <w:proofErr w:type="spellStart"/>
      <w:r w:rsidRPr="00DF1813">
        <w:t>QoS</w:t>
      </w:r>
      <w:proofErr w:type="spellEnd"/>
      <w:r w:rsidRPr="00DF1813">
        <w:t xml:space="preserve"> in </w:t>
      </w:r>
      <w:proofErr w:type="spellStart"/>
      <w:r w:rsidRPr="00DF1813">
        <w:t>large-scale</w:t>
      </w:r>
      <w:proofErr w:type="spellEnd"/>
      <w:r w:rsidRPr="00DF1813">
        <w:t xml:space="preserve"> </w:t>
      </w:r>
      <w:proofErr w:type="spellStart"/>
      <w:r w:rsidRPr="00DF1813">
        <w:t>telecommunications</w:t>
      </w:r>
      <w:proofErr w:type="spellEnd"/>
      <w:r w:rsidRPr="00DF1813">
        <w:t xml:space="preserve"> </w:t>
      </w:r>
      <w:proofErr w:type="spellStart"/>
      <w:r w:rsidRPr="00DF1813">
        <w:t>networking</w:t>
      </w:r>
      <w:proofErr w:type="spellEnd"/>
      <w:r w:rsidRPr="00DF1813">
        <w:t xml:space="preserve"> for IMT-2020 </w:t>
      </w:r>
      <w:proofErr w:type="spellStart"/>
      <w:r w:rsidRPr="00DF1813">
        <w:t>networks</w:t>
      </w:r>
      <w:proofErr w:type="spellEnd"/>
      <w:r w:rsidRPr="00DF1813">
        <w:t xml:space="preserve"> and </w:t>
      </w:r>
      <w:proofErr w:type="spellStart"/>
      <w:r w:rsidRPr="00DF1813">
        <w:t>beyond</w:t>
      </w:r>
      <w:proofErr w:type="spellEnd"/>
      <w:r w:rsidR="009A28B2">
        <w:t>"</w:t>
      </w:r>
      <w:r w:rsidRPr="00DF1813">
        <w:t xml:space="preserve"> (C6/13),</w:t>
      </w:r>
    </w:p>
    <w:p w14:paraId="30C0E890" w14:textId="393F7823" w:rsidR="00DF1813" w:rsidRPr="00DF1813" w:rsidRDefault="00DF1813" w:rsidP="00DF1813">
      <w:pPr>
        <w:pStyle w:val="enumlev1"/>
      </w:pPr>
      <w:r w:rsidRPr="00DF1813">
        <w:rPr>
          <w:lang w:val="en-GB"/>
        </w:rPr>
        <w:t>•</w:t>
      </w:r>
      <w:r w:rsidRPr="00DF1813">
        <w:rPr>
          <w:lang w:val="en-GB"/>
        </w:rPr>
        <w:tab/>
      </w:r>
      <w:proofErr w:type="spellStart"/>
      <w:r w:rsidRPr="00DF1813">
        <w:t>Y.qos</w:t>
      </w:r>
      <w:proofErr w:type="spellEnd"/>
      <w:r w:rsidRPr="00DF1813">
        <w:t>-</w:t>
      </w:r>
      <w:proofErr w:type="spellStart"/>
      <w:r w:rsidRPr="00DF1813">
        <w:t>req</w:t>
      </w:r>
      <w:proofErr w:type="spellEnd"/>
      <w:r w:rsidRPr="00DF1813">
        <w:t xml:space="preserve">-ti </w:t>
      </w:r>
      <w:r w:rsidR="009A28B2">
        <w:t>"</w:t>
      </w:r>
      <w:proofErr w:type="spellStart"/>
      <w:r w:rsidRPr="00DF1813">
        <w:t>Quality</w:t>
      </w:r>
      <w:proofErr w:type="spellEnd"/>
      <w:r w:rsidRPr="00DF1813">
        <w:t xml:space="preserve"> of </w:t>
      </w:r>
      <w:proofErr w:type="spellStart"/>
      <w:r w:rsidRPr="00DF1813">
        <w:t>service</w:t>
      </w:r>
      <w:proofErr w:type="spellEnd"/>
      <w:r w:rsidRPr="00DF1813">
        <w:t xml:space="preserve"> </w:t>
      </w:r>
      <w:proofErr w:type="spellStart"/>
      <w:r w:rsidRPr="00DF1813">
        <w:t>assurance</w:t>
      </w:r>
      <w:proofErr w:type="spellEnd"/>
      <w:r w:rsidRPr="00DF1813">
        <w:t xml:space="preserve"> </w:t>
      </w:r>
      <w:proofErr w:type="spellStart"/>
      <w:r w:rsidRPr="00DF1813">
        <w:t>requirements</w:t>
      </w:r>
      <w:proofErr w:type="spellEnd"/>
      <w:r w:rsidRPr="00DF1813">
        <w:t xml:space="preserve"> for the </w:t>
      </w:r>
      <w:proofErr w:type="spellStart"/>
      <w:r w:rsidRPr="00DF1813">
        <w:t>tactile</w:t>
      </w:r>
      <w:proofErr w:type="spellEnd"/>
      <w:r w:rsidRPr="00DF1813">
        <w:t xml:space="preserve"> internet</w:t>
      </w:r>
      <w:r w:rsidR="009A28B2">
        <w:t>"</w:t>
      </w:r>
      <w:r w:rsidRPr="00DF1813">
        <w:t xml:space="preserve"> (C6/13),</w:t>
      </w:r>
    </w:p>
    <w:p w14:paraId="73A6A058" w14:textId="4CFFF924" w:rsidR="00DF1813" w:rsidRPr="00DF1813" w:rsidRDefault="00DF1813" w:rsidP="00DF1813">
      <w:pPr>
        <w:pStyle w:val="enumlev1"/>
      </w:pPr>
      <w:r w:rsidRPr="00DF1813">
        <w:rPr>
          <w:lang w:val="en-GB"/>
        </w:rPr>
        <w:t>•</w:t>
      </w:r>
      <w:r w:rsidRPr="00DF1813">
        <w:rPr>
          <w:lang w:val="en-GB"/>
        </w:rPr>
        <w:tab/>
      </w:r>
      <w:r w:rsidRPr="00DF1813">
        <w:t xml:space="preserve">Y.IMT-2020-qos-cnc-req </w:t>
      </w:r>
      <w:r w:rsidR="009A28B2">
        <w:t>"</w:t>
      </w:r>
      <w:proofErr w:type="spellStart"/>
      <w:r w:rsidRPr="00DF1813">
        <w:t>QoS</w:t>
      </w:r>
      <w:proofErr w:type="spellEnd"/>
      <w:r w:rsidRPr="00DF1813">
        <w:t xml:space="preserve"> </w:t>
      </w:r>
      <w:proofErr w:type="spellStart"/>
      <w:r w:rsidRPr="00DF1813">
        <w:t>assurance</w:t>
      </w:r>
      <w:proofErr w:type="spellEnd"/>
      <w:r w:rsidRPr="00DF1813">
        <w:t xml:space="preserve"> </w:t>
      </w:r>
      <w:proofErr w:type="spellStart"/>
      <w:r w:rsidRPr="00DF1813">
        <w:t>requirements</w:t>
      </w:r>
      <w:proofErr w:type="spellEnd"/>
      <w:r w:rsidRPr="00DF1813">
        <w:t xml:space="preserve"> and </w:t>
      </w:r>
      <w:proofErr w:type="spellStart"/>
      <w:r w:rsidRPr="00DF1813">
        <w:t>framework</w:t>
      </w:r>
      <w:proofErr w:type="spellEnd"/>
      <w:r w:rsidRPr="00DF1813">
        <w:t xml:space="preserve"> for </w:t>
      </w:r>
      <w:proofErr w:type="spellStart"/>
      <w:r w:rsidRPr="00DF1813">
        <w:t>coordination</w:t>
      </w:r>
      <w:proofErr w:type="spellEnd"/>
      <w:r w:rsidRPr="00DF1813">
        <w:t xml:space="preserve"> of </w:t>
      </w:r>
      <w:proofErr w:type="spellStart"/>
      <w:r w:rsidRPr="00DF1813">
        <w:t>networking</w:t>
      </w:r>
      <w:proofErr w:type="spellEnd"/>
      <w:r w:rsidRPr="00DF1813">
        <w:t xml:space="preserve"> and </w:t>
      </w:r>
      <w:proofErr w:type="spellStart"/>
      <w:r w:rsidRPr="00DF1813">
        <w:t>computing</w:t>
      </w:r>
      <w:proofErr w:type="spellEnd"/>
      <w:r w:rsidRPr="00DF1813">
        <w:t xml:space="preserve"> </w:t>
      </w:r>
      <w:proofErr w:type="spellStart"/>
      <w:r w:rsidRPr="00DF1813">
        <w:t>supported</w:t>
      </w:r>
      <w:proofErr w:type="spellEnd"/>
      <w:r w:rsidRPr="00DF1813">
        <w:t xml:space="preserve"> </w:t>
      </w:r>
      <w:proofErr w:type="spellStart"/>
      <w:r w:rsidRPr="00DF1813">
        <w:t>by</w:t>
      </w:r>
      <w:proofErr w:type="spellEnd"/>
      <w:r w:rsidRPr="00DF1813">
        <w:t xml:space="preserve"> IMT-2020 and </w:t>
      </w:r>
      <w:proofErr w:type="spellStart"/>
      <w:r w:rsidRPr="00DF1813">
        <w:t>beyond</w:t>
      </w:r>
      <w:proofErr w:type="spellEnd"/>
      <w:r w:rsidR="009A28B2">
        <w:t>"</w:t>
      </w:r>
      <w:r w:rsidRPr="00DF1813">
        <w:t xml:space="preserve"> (C6/13),</w:t>
      </w:r>
    </w:p>
    <w:p w14:paraId="5A624D79" w14:textId="06870893" w:rsidR="00DF1813" w:rsidRPr="00DF1813" w:rsidRDefault="00DF1813" w:rsidP="00DF1813">
      <w:pPr>
        <w:pStyle w:val="enumlev1"/>
      </w:pPr>
      <w:r w:rsidRPr="00DF1813">
        <w:rPr>
          <w:lang w:val="en-GB"/>
        </w:rPr>
        <w:t>•</w:t>
      </w:r>
      <w:r w:rsidRPr="00DF1813">
        <w:rPr>
          <w:lang w:val="en-GB"/>
        </w:rPr>
        <w:tab/>
      </w:r>
      <w:r w:rsidRPr="00DF1813">
        <w:t xml:space="preserve">Y.IMT2020-QoS-FMSC </w:t>
      </w:r>
      <w:r w:rsidR="009A28B2">
        <w:t>"</w:t>
      </w:r>
      <w:proofErr w:type="spellStart"/>
      <w:r w:rsidRPr="00DF1813">
        <w:t>QoS</w:t>
      </w:r>
      <w:proofErr w:type="spellEnd"/>
      <w:r w:rsidRPr="00DF1813">
        <w:t xml:space="preserve"> </w:t>
      </w:r>
      <w:proofErr w:type="spellStart"/>
      <w:r w:rsidRPr="00DF1813">
        <w:t>assurance</w:t>
      </w:r>
      <w:proofErr w:type="spellEnd"/>
      <w:r w:rsidRPr="00DF1813">
        <w:t xml:space="preserve"> </w:t>
      </w:r>
      <w:proofErr w:type="spellStart"/>
      <w:r w:rsidRPr="00DF1813">
        <w:t>requirements</w:t>
      </w:r>
      <w:proofErr w:type="spellEnd"/>
      <w:r w:rsidRPr="00DF1813">
        <w:t xml:space="preserve"> and </w:t>
      </w:r>
      <w:proofErr w:type="spellStart"/>
      <w:r w:rsidRPr="00DF1813">
        <w:t>framework</w:t>
      </w:r>
      <w:proofErr w:type="spellEnd"/>
      <w:r w:rsidRPr="00DF1813">
        <w:t xml:space="preserve"> for </w:t>
      </w:r>
      <w:proofErr w:type="spellStart"/>
      <w:r w:rsidRPr="00DF1813">
        <w:t>fixed</w:t>
      </w:r>
      <w:proofErr w:type="spellEnd"/>
      <w:r w:rsidRPr="00DF1813">
        <w:t xml:space="preserve">, </w:t>
      </w:r>
      <w:proofErr w:type="spellStart"/>
      <w:r w:rsidRPr="00DF1813">
        <w:t>mobile</w:t>
      </w:r>
      <w:proofErr w:type="spellEnd"/>
      <w:r w:rsidRPr="00DF1813">
        <w:t xml:space="preserve"> and </w:t>
      </w:r>
      <w:proofErr w:type="spellStart"/>
      <w:r w:rsidRPr="00DF1813">
        <w:t>satellite</w:t>
      </w:r>
      <w:proofErr w:type="spellEnd"/>
      <w:r w:rsidRPr="00DF1813">
        <w:t xml:space="preserve"> </w:t>
      </w:r>
      <w:proofErr w:type="spellStart"/>
      <w:r w:rsidRPr="00DF1813">
        <w:t>convergence</w:t>
      </w:r>
      <w:proofErr w:type="spellEnd"/>
      <w:r w:rsidRPr="00DF1813">
        <w:t xml:space="preserve"> </w:t>
      </w:r>
      <w:proofErr w:type="spellStart"/>
      <w:r w:rsidRPr="00DF1813">
        <w:t>supported</w:t>
      </w:r>
      <w:proofErr w:type="spellEnd"/>
      <w:r w:rsidRPr="00DF1813">
        <w:t xml:space="preserve"> </w:t>
      </w:r>
      <w:proofErr w:type="spellStart"/>
      <w:r w:rsidRPr="00DF1813">
        <w:t>by</w:t>
      </w:r>
      <w:proofErr w:type="spellEnd"/>
      <w:r w:rsidRPr="00DF1813">
        <w:t xml:space="preserve"> IMT-2020 and </w:t>
      </w:r>
      <w:proofErr w:type="spellStart"/>
      <w:r w:rsidRPr="00DF1813">
        <w:t>beyond</w:t>
      </w:r>
      <w:proofErr w:type="spellEnd"/>
      <w:r w:rsidR="009A28B2">
        <w:t>"</w:t>
      </w:r>
      <w:r w:rsidRPr="00DF1813">
        <w:t xml:space="preserve"> (C6/13),</w:t>
      </w:r>
    </w:p>
    <w:p w14:paraId="0842FE64" w14:textId="01680519" w:rsidR="00DF1813" w:rsidRPr="00DF1813" w:rsidRDefault="00DF1813" w:rsidP="00DF1813">
      <w:pPr>
        <w:pStyle w:val="enumlev1"/>
      </w:pPr>
      <w:r w:rsidRPr="00DF1813">
        <w:rPr>
          <w:lang w:val="en-GB"/>
        </w:rPr>
        <w:lastRenderedPageBreak/>
        <w:t>•</w:t>
      </w:r>
      <w:r w:rsidRPr="00DF1813">
        <w:rPr>
          <w:lang w:val="en-GB"/>
        </w:rPr>
        <w:tab/>
      </w:r>
      <w:proofErr w:type="spellStart"/>
      <w:proofErr w:type="gramStart"/>
      <w:r w:rsidRPr="00DF1813">
        <w:t>Y.QKDNi</w:t>
      </w:r>
      <w:proofErr w:type="spellEnd"/>
      <w:proofErr w:type="gramEnd"/>
      <w:r w:rsidRPr="00DF1813">
        <w:t>-</w:t>
      </w:r>
      <w:proofErr w:type="spellStart"/>
      <w:r w:rsidRPr="00DF1813">
        <w:t>qos</w:t>
      </w:r>
      <w:proofErr w:type="spellEnd"/>
      <w:r w:rsidRPr="00DF1813">
        <w:t xml:space="preserve">-fa </w:t>
      </w:r>
      <w:r w:rsidR="009A28B2">
        <w:t>"</w:t>
      </w:r>
      <w:r w:rsidRPr="00DF1813">
        <w:t xml:space="preserve">Quantum </w:t>
      </w:r>
      <w:proofErr w:type="spellStart"/>
      <w:r w:rsidRPr="00DF1813">
        <w:t>key</w:t>
      </w:r>
      <w:proofErr w:type="spellEnd"/>
      <w:r w:rsidRPr="00DF1813">
        <w:t xml:space="preserve"> </w:t>
      </w:r>
      <w:proofErr w:type="spellStart"/>
      <w:r w:rsidRPr="00DF1813">
        <w:t>distribution</w:t>
      </w:r>
      <w:proofErr w:type="spellEnd"/>
      <w:r w:rsidRPr="00DF1813">
        <w:t xml:space="preserve"> </w:t>
      </w:r>
      <w:proofErr w:type="spellStart"/>
      <w:r w:rsidRPr="00DF1813">
        <w:t>networks</w:t>
      </w:r>
      <w:proofErr w:type="spellEnd"/>
      <w:r w:rsidRPr="00DF1813">
        <w:t xml:space="preserve"> </w:t>
      </w:r>
      <w:proofErr w:type="spellStart"/>
      <w:r w:rsidRPr="00DF1813">
        <w:t>interworking</w:t>
      </w:r>
      <w:proofErr w:type="spellEnd"/>
      <w:r w:rsidRPr="00DF1813">
        <w:t xml:space="preserve"> </w:t>
      </w:r>
      <w:r w:rsidR="009A28B2" w:rsidRPr="009A28B2">
        <w:rPr>
          <w:lang w:val="en-GB"/>
        </w:rPr>
        <w:t>–</w:t>
      </w:r>
      <w:r w:rsidRPr="00DF1813">
        <w:t xml:space="preserve"> </w:t>
      </w:r>
      <w:proofErr w:type="spellStart"/>
      <w:r w:rsidRPr="00DF1813">
        <w:t>Functional</w:t>
      </w:r>
      <w:proofErr w:type="spellEnd"/>
      <w:r w:rsidRPr="00DF1813">
        <w:t xml:space="preserve"> </w:t>
      </w:r>
      <w:proofErr w:type="spellStart"/>
      <w:r w:rsidRPr="00DF1813">
        <w:t>architecture</w:t>
      </w:r>
      <w:proofErr w:type="spellEnd"/>
      <w:r w:rsidRPr="00DF1813">
        <w:t xml:space="preserve"> for </w:t>
      </w:r>
      <w:proofErr w:type="spellStart"/>
      <w:proofErr w:type="gramStart"/>
      <w:r w:rsidRPr="00DF1813">
        <w:t>quality</w:t>
      </w:r>
      <w:proofErr w:type="spellEnd"/>
      <w:r w:rsidRPr="00DF1813">
        <w:t xml:space="preserve"> of </w:t>
      </w:r>
      <w:proofErr w:type="spellStart"/>
      <w:r w:rsidRPr="00DF1813">
        <w:t>service</w:t>
      </w:r>
      <w:proofErr w:type="spellEnd"/>
      <w:proofErr w:type="gramEnd"/>
      <w:r w:rsidRPr="00DF1813">
        <w:t xml:space="preserve"> </w:t>
      </w:r>
      <w:proofErr w:type="spellStart"/>
      <w:r w:rsidRPr="00DF1813">
        <w:t>assurance</w:t>
      </w:r>
      <w:proofErr w:type="spellEnd"/>
      <w:r w:rsidR="009A28B2">
        <w:t>"</w:t>
      </w:r>
      <w:r w:rsidRPr="00DF1813">
        <w:t xml:space="preserve"> (C6/13),</w:t>
      </w:r>
    </w:p>
    <w:p w14:paraId="0D25F73B" w14:textId="451EDE68" w:rsidR="00DF1813" w:rsidRPr="00DF1813" w:rsidRDefault="00DF1813" w:rsidP="00DF1813">
      <w:pPr>
        <w:pStyle w:val="enumlev1"/>
      </w:pPr>
      <w:r w:rsidRPr="00DF1813">
        <w:rPr>
          <w:lang w:val="en-GB"/>
        </w:rPr>
        <w:t>•</w:t>
      </w:r>
      <w:r w:rsidRPr="00DF1813">
        <w:rPr>
          <w:lang w:val="en-GB"/>
        </w:rPr>
        <w:tab/>
      </w:r>
      <w:r w:rsidRPr="00DF1813">
        <w:t>Y.QKDN-</w:t>
      </w:r>
      <w:proofErr w:type="spellStart"/>
      <w:r w:rsidRPr="00DF1813">
        <w:t>qos</w:t>
      </w:r>
      <w:proofErr w:type="spellEnd"/>
      <w:r w:rsidRPr="00DF1813">
        <w:t>-</w:t>
      </w:r>
      <w:proofErr w:type="spellStart"/>
      <w:r w:rsidRPr="00DF1813">
        <w:t>sdnc</w:t>
      </w:r>
      <w:proofErr w:type="spellEnd"/>
      <w:r w:rsidRPr="00DF1813">
        <w:t xml:space="preserve"> </w:t>
      </w:r>
      <w:r w:rsidR="009A28B2">
        <w:t>"</w:t>
      </w:r>
      <w:proofErr w:type="spellStart"/>
      <w:r w:rsidRPr="00DF1813">
        <w:t>QoS</w:t>
      </w:r>
      <w:proofErr w:type="spellEnd"/>
      <w:r w:rsidRPr="00DF1813">
        <w:t xml:space="preserve"> </w:t>
      </w:r>
      <w:proofErr w:type="spellStart"/>
      <w:r w:rsidRPr="00DF1813">
        <w:t>assurance</w:t>
      </w:r>
      <w:proofErr w:type="spellEnd"/>
      <w:r w:rsidRPr="00DF1813">
        <w:t xml:space="preserve"> </w:t>
      </w:r>
      <w:proofErr w:type="spellStart"/>
      <w:r w:rsidRPr="00DF1813">
        <w:t>requirements</w:t>
      </w:r>
      <w:proofErr w:type="spellEnd"/>
      <w:r w:rsidRPr="00DF1813">
        <w:t xml:space="preserve"> for quantum </w:t>
      </w:r>
      <w:proofErr w:type="spellStart"/>
      <w:r w:rsidRPr="00DF1813">
        <w:t>key</w:t>
      </w:r>
      <w:proofErr w:type="spellEnd"/>
      <w:r w:rsidRPr="00DF1813">
        <w:t xml:space="preserve"> </w:t>
      </w:r>
      <w:proofErr w:type="spellStart"/>
      <w:r w:rsidRPr="00DF1813">
        <w:t>distribution</w:t>
      </w:r>
      <w:proofErr w:type="spellEnd"/>
      <w:r w:rsidRPr="00DF1813">
        <w:t xml:space="preserve"> </w:t>
      </w:r>
      <w:proofErr w:type="spellStart"/>
      <w:r w:rsidRPr="00DF1813">
        <w:t>networks</w:t>
      </w:r>
      <w:proofErr w:type="spellEnd"/>
      <w:r w:rsidRPr="00DF1813">
        <w:t xml:space="preserve"> </w:t>
      </w:r>
      <w:proofErr w:type="spellStart"/>
      <w:r w:rsidRPr="00DF1813">
        <w:t>enabled</w:t>
      </w:r>
      <w:proofErr w:type="spellEnd"/>
      <w:r w:rsidRPr="00DF1813">
        <w:t xml:space="preserve"> </w:t>
      </w:r>
      <w:proofErr w:type="spellStart"/>
      <w:r w:rsidRPr="00DF1813">
        <w:t>by</w:t>
      </w:r>
      <w:proofErr w:type="spellEnd"/>
      <w:r w:rsidRPr="00DF1813">
        <w:t xml:space="preserve"> software </w:t>
      </w:r>
      <w:proofErr w:type="spellStart"/>
      <w:r w:rsidRPr="00DF1813">
        <w:t>defined</w:t>
      </w:r>
      <w:proofErr w:type="spellEnd"/>
      <w:r w:rsidRPr="00DF1813">
        <w:t xml:space="preserve"> </w:t>
      </w:r>
      <w:proofErr w:type="spellStart"/>
      <w:r w:rsidRPr="00DF1813">
        <w:t>networking</w:t>
      </w:r>
      <w:proofErr w:type="spellEnd"/>
      <w:r w:rsidRPr="00DF1813">
        <w:t xml:space="preserve"> control</w:t>
      </w:r>
      <w:r w:rsidR="009A28B2">
        <w:t>"</w:t>
      </w:r>
      <w:r w:rsidRPr="00DF1813">
        <w:t xml:space="preserve"> (C6/13),</w:t>
      </w:r>
    </w:p>
    <w:p w14:paraId="49077D8A" w14:textId="15C59E24" w:rsidR="00DF1813" w:rsidRPr="00DF1813" w:rsidRDefault="00DF1813" w:rsidP="00DF1813">
      <w:pPr>
        <w:pStyle w:val="enumlev1"/>
      </w:pPr>
      <w:r w:rsidRPr="00DF1813">
        <w:rPr>
          <w:lang w:val="en-GB"/>
        </w:rPr>
        <w:t>•</w:t>
      </w:r>
      <w:r w:rsidRPr="00DF1813">
        <w:rPr>
          <w:lang w:val="en-GB"/>
        </w:rPr>
        <w:tab/>
      </w:r>
      <w:r w:rsidRPr="00DF1813">
        <w:t>Y.QKDN-</w:t>
      </w:r>
      <w:proofErr w:type="spellStart"/>
      <w:r w:rsidRPr="00DF1813">
        <w:t>qos</w:t>
      </w:r>
      <w:proofErr w:type="spellEnd"/>
      <w:r w:rsidRPr="00DF1813">
        <w:t>-</w:t>
      </w:r>
      <w:proofErr w:type="spellStart"/>
      <w:r w:rsidRPr="00DF1813">
        <w:t>fr-req</w:t>
      </w:r>
      <w:proofErr w:type="spellEnd"/>
      <w:r w:rsidRPr="00DF1813">
        <w:t xml:space="preserve"> </w:t>
      </w:r>
      <w:r w:rsidR="009A28B2">
        <w:t>"</w:t>
      </w:r>
      <w:proofErr w:type="spellStart"/>
      <w:r w:rsidRPr="00DF1813">
        <w:t>Requirements</w:t>
      </w:r>
      <w:proofErr w:type="spellEnd"/>
      <w:r w:rsidRPr="00DF1813">
        <w:t xml:space="preserve"> of </w:t>
      </w:r>
      <w:proofErr w:type="spellStart"/>
      <w:r w:rsidRPr="00DF1813">
        <w:t>QoS</w:t>
      </w:r>
      <w:proofErr w:type="spellEnd"/>
      <w:r w:rsidRPr="00DF1813">
        <w:t xml:space="preserve"> </w:t>
      </w:r>
      <w:proofErr w:type="spellStart"/>
      <w:r w:rsidRPr="00DF1813">
        <w:t>assurance</w:t>
      </w:r>
      <w:proofErr w:type="spellEnd"/>
      <w:r w:rsidRPr="00DF1813">
        <w:t xml:space="preserve"> for QKDN </w:t>
      </w:r>
      <w:proofErr w:type="spellStart"/>
      <w:r w:rsidRPr="00DF1813">
        <w:t>federation</w:t>
      </w:r>
      <w:proofErr w:type="spellEnd"/>
      <w:r w:rsidR="009A28B2">
        <w:t>"</w:t>
      </w:r>
      <w:r w:rsidRPr="00DF1813">
        <w:t xml:space="preserve"> (C6/13),</w:t>
      </w:r>
    </w:p>
    <w:p w14:paraId="3F67EC7A" w14:textId="76F6B3D6" w:rsidR="00DF1813" w:rsidRPr="00DF1813" w:rsidRDefault="00DF1813" w:rsidP="00DF1813">
      <w:pPr>
        <w:pStyle w:val="enumlev1"/>
      </w:pPr>
      <w:r w:rsidRPr="00DF1813">
        <w:rPr>
          <w:lang w:val="en-GB"/>
        </w:rPr>
        <w:t>•</w:t>
      </w:r>
      <w:r w:rsidRPr="00DF1813">
        <w:rPr>
          <w:lang w:val="en-GB"/>
        </w:rPr>
        <w:tab/>
      </w:r>
      <w:r w:rsidRPr="00DF1813">
        <w:t>Y.QKD-</w:t>
      </w:r>
      <w:proofErr w:type="spellStart"/>
      <w:r w:rsidRPr="00DF1813">
        <w:t>orfr</w:t>
      </w:r>
      <w:proofErr w:type="spellEnd"/>
      <w:r w:rsidRPr="00DF1813">
        <w:t xml:space="preserve"> </w:t>
      </w:r>
      <w:r w:rsidR="009A28B2">
        <w:t>"</w:t>
      </w:r>
      <w:r w:rsidRPr="00DF1813">
        <w:t xml:space="preserve">Framework for quantum </w:t>
      </w:r>
      <w:proofErr w:type="spellStart"/>
      <w:r w:rsidRPr="00DF1813">
        <w:t>key</w:t>
      </w:r>
      <w:proofErr w:type="spellEnd"/>
      <w:r w:rsidRPr="00DF1813">
        <w:t xml:space="preserve"> </w:t>
      </w:r>
      <w:proofErr w:type="spellStart"/>
      <w:r w:rsidRPr="00DF1813">
        <w:t>distribution</w:t>
      </w:r>
      <w:proofErr w:type="spellEnd"/>
      <w:r w:rsidRPr="00DF1813">
        <w:t xml:space="preserve"> </w:t>
      </w:r>
      <w:proofErr w:type="spellStart"/>
      <w:r w:rsidRPr="00DF1813">
        <w:t>network</w:t>
      </w:r>
      <w:proofErr w:type="spellEnd"/>
      <w:r w:rsidRPr="00DF1813">
        <w:t xml:space="preserve"> </w:t>
      </w:r>
      <w:proofErr w:type="spellStart"/>
      <w:r w:rsidRPr="00DF1813">
        <w:t>orchestration</w:t>
      </w:r>
      <w:proofErr w:type="spellEnd"/>
      <w:r w:rsidR="009A28B2">
        <w:t>"</w:t>
      </w:r>
      <w:r w:rsidRPr="00DF1813">
        <w:t xml:space="preserve"> (C16/13),</w:t>
      </w:r>
    </w:p>
    <w:p w14:paraId="10E7D9E4" w14:textId="020E5A82" w:rsidR="00DF1813" w:rsidRPr="00DF1813" w:rsidRDefault="00DF1813" w:rsidP="00DF1813">
      <w:pPr>
        <w:pStyle w:val="enumlev1"/>
      </w:pPr>
      <w:r w:rsidRPr="00DF1813">
        <w:rPr>
          <w:lang w:val="en-GB"/>
        </w:rPr>
        <w:t>•</w:t>
      </w:r>
      <w:r w:rsidRPr="00DF1813">
        <w:rPr>
          <w:lang w:val="en-GB"/>
        </w:rPr>
        <w:tab/>
      </w:r>
      <w:r w:rsidRPr="00DF1813">
        <w:t>Y.QKD-</w:t>
      </w:r>
      <w:proofErr w:type="spellStart"/>
      <w:r w:rsidRPr="00DF1813">
        <w:t>rsff</w:t>
      </w:r>
      <w:proofErr w:type="spellEnd"/>
      <w:r w:rsidRPr="00DF1813">
        <w:t xml:space="preserve"> </w:t>
      </w:r>
      <w:r w:rsidR="009A28B2">
        <w:t>"</w:t>
      </w:r>
      <w:r w:rsidRPr="00DF1813">
        <w:t xml:space="preserve">Quantum </w:t>
      </w:r>
      <w:proofErr w:type="spellStart"/>
      <w:r w:rsidRPr="00DF1813">
        <w:t>key</w:t>
      </w:r>
      <w:proofErr w:type="spellEnd"/>
      <w:r w:rsidRPr="00DF1813">
        <w:t xml:space="preserve"> </w:t>
      </w:r>
      <w:proofErr w:type="spellStart"/>
      <w:r w:rsidRPr="00DF1813">
        <w:t>distribution</w:t>
      </w:r>
      <w:proofErr w:type="spellEnd"/>
      <w:r w:rsidRPr="00DF1813">
        <w:t xml:space="preserve"> </w:t>
      </w:r>
      <w:proofErr w:type="spellStart"/>
      <w:r w:rsidRPr="00DF1813">
        <w:t>networks</w:t>
      </w:r>
      <w:proofErr w:type="spellEnd"/>
      <w:r w:rsidRPr="00DF1813">
        <w:t xml:space="preserve"> </w:t>
      </w:r>
      <w:r w:rsidR="009A28B2" w:rsidRPr="009A28B2">
        <w:rPr>
          <w:lang w:val="en-GB"/>
        </w:rPr>
        <w:t>–</w:t>
      </w:r>
      <w:r w:rsidRPr="00DF1813">
        <w:t xml:space="preserve"> </w:t>
      </w:r>
      <w:proofErr w:type="spellStart"/>
      <w:r w:rsidRPr="00DF1813">
        <w:t>functional</w:t>
      </w:r>
      <w:proofErr w:type="spellEnd"/>
      <w:r w:rsidRPr="00DF1813">
        <w:t xml:space="preserve"> </w:t>
      </w:r>
      <w:proofErr w:type="spellStart"/>
      <w:r w:rsidRPr="00DF1813">
        <w:t>framework</w:t>
      </w:r>
      <w:proofErr w:type="spellEnd"/>
      <w:r w:rsidRPr="00DF1813">
        <w:t xml:space="preserve"> of </w:t>
      </w:r>
      <w:proofErr w:type="spellStart"/>
      <w:r w:rsidRPr="00DF1813">
        <w:t>resilience</w:t>
      </w:r>
      <w:proofErr w:type="spellEnd"/>
      <w:r w:rsidR="009A28B2">
        <w:t>"</w:t>
      </w:r>
      <w:r w:rsidRPr="00DF1813">
        <w:t xml:space="preserve"> (C16/13).</w:t>
      </w:r>
    </w:p>
    <w:p w14:paraId="299EC3F1" w14:textId="77777777" w:rsidR="00DF1813" w:rsidRPr="00DF1813" w:rsidRDefault="00DF1813" w:rsidP="0098036A">
      <w:r w:rsidRPr="00DF1813">
        <w:t>El orden del día de las reuniones de los Grupos de Trabajo 1/13, 2/13, 3/13 y 4/13 también prevé el examen de nuevos temas de trabajo, declaraciones de coordinación salientes y actividades futuras.</w:t>
      </w:r>
    </w:p>
    <w:p w14:paraId="4ACFAC4C" w14:textId="2B728A55" w:rsidR="00DF1813" w:rsidRPr="00DF1813" w:rsidRDefault="00DF1813" w:rsidP="0098036A">
      <w:r w:rsidRPr="00DF1813">
        <w:t>Además, antes de las reuniones de los GT de la CE</w:t>
      </w:r>
      <w:r w:rsidR="00523425">
        <w:t xml:space="preserve"> </w:t>
      </w:r>
      <w:r w:rsidRPr="00DF1813">
        <w:t>13 se celebrarán en el mismo lugar las siguientes reuniones:</w:t>
      </w:r>
    </w:p>
    <w:p w14:paraId="1C11BED9" w14:textId="56BF16C6" w:rsidR="00DF1813" w:rsidRPr="00DF1813" w:rsidRDefault="0098036A" w:rsidP="00DF1813">
      <w:pPr>
        <w:pStyle w:val="enumlev1"/>
      </w:pPr>
      <w:r>
        <w:t>–</w:t>
      </w:r>
      <w:r w:rsidR="00DF1813" w:rsidRPr="00DF1813">
        <w:tab/>
        <w:t>22ª reunión de la Actividad Conjunta de Coordinación sobre IMT-2020 y tecnologías posteriores (JCA-IMT2020), 16 de julio de 2025</w:t>
      </w:r>
      <w:r w:rsidR="00DF1813" w:rsidRPr="00DF1813">
        <w:br/>
      </w:r>
      <w:hyperlink r:id="rId14" w:history="1">
        <w:r w:rsidR="00DF1813" w:rsidRPr="00DF1813">
          <w:rPr>
            <w:rStyle w:val="Hyperlink"/>
          </w:rPr>
          <w:t>https://www.itu.int/en/ITU-T/jca/imt2020/Pages/default.aspx</w:t>
        </w:r>
      </w:hyperlink>
    </w:p>
    <w:p w14:paraId="1543D74C" w14:textId="6689413B" w:rsidR="00DF1813" w:rsidRPr="00DF1813" w:rsidRDefault="0098036A" w:rsidP="0098036A">
      <w:pPr>
        <w:pStyle w:val="enumlev1"/>
      </w:pPr>
      <w:r>
        <w:t>–</w:t>
      </w:r>
      <w:r w:rsidR="00DF1813" w:rsidRPr="00DF1813">
        <w:tab/>
        <w:t>8ª reunión de la Actividad Conjunta de Coordinación sobre Inteligencia artificial, incluido el aprendizaje automático (JCA-AI/ML), 18 de julio de 2025</w:t>
      </w:r>
      <w:r>
        <w:br/>
      </w:r>
      <w:hyperlink r:id="rId15" w:history="1">
        <w:r w:rsidR="00DF1813" w:rsidRPr="00DF1813">
          <w:rPr>
            <w:rStyle w:val="Hyperlink"/>
          </w:rPr>
          <w:t>https://www.itu.int/en/ITU-T/jca/ml/Pages/default.aspx</w:t>
        </w:r>
      </w:hyperlink>
    </w:p>
    <w:p w14:paraId="66A74185" w14:textId="6431AF0D" w:rsidR="00DF1813" w:rsidRPr="00DF1813" w:rsidRDefault="0098036A" w:rsidP="0098036A">
      <w:pPr>
        <w:pStyle w:val="enumlev1"/>
      </w:pPr>
      <w:r>
        <w:t>–</w:t>
      </w:r>
      <w:r w:rsidR="00DF1813" w:rsidRPr="00DF1813">
        <w:tab/>
        <w:t>Reuniones de los Grupos de Relator de la CE</w:t>
      </w:r>
      <w:r w:rsidR="00523425">
        <w:t xml:space="preserve"> </w:t>
      </w:r>
      <w:r w:rsidR="00DF1813" w:rsidRPr="00DF1813">
        <w:t>13, 14-25 de julio de 2025</w:t>
      </w:r>
    </w:p>
    <w:p w14:paraId="39896D06" w14:textId="77777777" w:rsidR="00DF1813" w:rsidRPr="00DF1813" w:rsidRDefault="00DF1813" w:rsidP="0098036A">
      <w:r w:rsidRPr="00DF1813">
        <w:t xml:space="preserve">El </w:t>
      </w:r>
      <w:r w:rsidRPr="00DF1813">
        <w:rPr>
          <w:b/>
          <w:bCs/>
        </w:rPr>
        <w:t xml:space="preserve">Anexo A </w:t>
      </w:r>
      <w:r w:rsidRPr="00DF1813">
        <w:t xml:space="preserve">contiene información práctica sobre las reuniones. En el </w:t>
      </w:r>
      <w:r w:rsidRPr="00DF1813">
        <w:rPr>
          <w:b/>
          <w:bCs/>
        </w:rPr>
        <w:t xml:space="preserve">Anexo B </w:t>
      </w:r>
      <w:r w:rsidRPr="00DF1813">
        <w:t xml:space="preserve">figura un proyecto de </w:t>
      </w:r>
      <w:r w:rsidRPr="00DF1813">
        <w:rPr>
          <w:b/>
          <w:bCs/>
        </w:rPr>
        <w:t>orden del día</w:t>
      </w:r>
      <w:r w:rsidRPr="00DF1813">
        <w:t>, preparado por los Presidentes de los Grupos de Trabajo 1/13, 2/13, 3/13 y 4/13.</w:t>
      </w:r>
    </w:p>
    <w:p w14:paraId="6828539F" w14:textId="77777777" w:rsidR="00DF1813" w:rsidRPr="00DF1813" w:rsidRDefault="00DF1813" w:rsidP="007961CD">
      <w:pPr>
        <w:pStyle w:val="Headingb0"/>
      </w:pPr>
      <w:r w:rsidRPr="00DF1813">
        <w:rPr>
          <w:bCs/>
        </w:rPr>
        <w:t>Plazos clave</w:t>
      </w:r>
      <w:r w:rsidRPr="00DF1813"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7507"/>
      </w:tblGrid>
      <w:tr w:rsidR="00DF1813" w:rsidRPr="00DF1813" w14:paraId="122B522D" w14:textId="77777777" w:rsidTr="007961CD">
        <w:tc>
          <w:tcPr>
            <w:tcW w:w="2122" w:type="dxa"/>
            <w:shd w:val="clear" w:color="auto" w:fill="auto"/>
          </w:tcPr>
          <w:p w14:paraId="6E1CEFCC" w14:textId="77777777" w:rsidR="00DF1813" w:rsidRPr="00DF1813" w:rsidRDefault="00DF1813" w:rsidP="00DF1813">
            <w:pPr>
              <w:ind w:right="91"/>
            </w:pPr>
            <w:r w:rsidRPr="00DF1813">
              <w:t>25 de mayo de 2025</w:t>
            </w:r>
          </w:p>
        </w:tc>
        <w:tc>
          <w:tcPr>
            <w:tcW w:w="7507" w:type="dxa"/>
            <w:shd w:val="clear" w:color="auto" w:fill="auto"/>
          </w:tcPr>
          <w:p w14:paraId="67285AAB" w14:textId="2641C004" w:rsidR="00DF1813" w:rsidRPr="00DF1813" w:rsidRDefault="007961CD" w:rsidP="007961CD">
            <w:pPr>
              <w:tabs>
                <w:tab w:val="clear" w:pos="794"/>
                <w:tab w:val="left" w:pos="468"/>
              </w:tabs>
              <w:ind w:left="468" w:right="91" w:hanging="468"/>
            </w:pPr>
            <w:r>
              <w:t>–</w:t>
            </w:r>
            <w:r w:rsidR="00DF1813" w:rsidRPr="00DF1813">
              <w:tab/>
            </w:r>
            <w:hyperlink r:id="rId16" w:history="1">
              <w:r w:rsidR="00DF1813" w:rsidRPr="00DF1813">
                <w:rPr>
                  <w:rStyle w:val="Hyperlink"/>
                </w:rPr>
                <w:t>Presentación de las contribuciones de los Miembros del UIT-T</w:t>
              </w:r>
            </w:hyperlink>
            <w:r w:rsidR="00DF1813" w:rsidRPr="00DF1813">
              <w:t xml:space="preserve"> para las que se requiera traducción</w:t>
            </w:r>
          </w:p>
        </w:tc>
      </w:tr>
      <w:tr w:rsidR="00DF1813" w:rsidRPr="00DF1813" w14:paraId="12703ABA" w14:textId="77777777" w:rsidTr="007961CD">
        <w:tc>
          <w:tcPr>
            <w:tcW w:w="2122" w:type="dxa"/>
            <w:shd w:val="clear" w:color="auto" w:fill="auto"/>
          </w:tcPr>
          <w:p w14:paraId="22FC4C16" w14:textId="77777777" w:rsidR="00DF1813" w:rsidRPr="00DF1813" w:rsidRDefault="00DF1813" w:rsidP="00DF1813">
            <w:pPr>
              <w:ind w:right="91"/>
            </w:pPr>
            <w:r w:rsidRPr="00DF1813">
              <w:t>25 de junio de 2025</w:t>
            </w:r>
          </w:p>
        </w:tc>
        <w:tc>
          <w:tcPr>
            <w:tcW w:w="7507" w:type="dxa"/>
            <w:shd w:val="clear" w:color="auto" w:fill="auto"/>
          </w:tcPr>
          <w:p w14:paraId="43FFA343" w14:textId="4010F114" w:rsidR="00DF1813" w:rsidRPr="00DF1813" w:rsidRDefault="007961CD" w:rsidP="007961CD">
            <w:pPr>
              <w:tabs>
                <w:tab w:val="clear" w:pos="794"/>
                <w:tab w:val="left" w:pos="468"/>
              </w:tabs>
              <w:ind w:left="468" w:right="91" w:hanging="468"/>
            </w:pPr>
            <w:r>
              <w:t>–</w:t>
            </w:r>
            <w:r w:rsidR="00DF1813" w:rsidRPr="00DF1813">
              <w:tab/>
              <w:t xml:space="preserve">Preinscripción (en línea a través del formulario de inscripción en línea de la </w:t>
            </w:r>
            <w:hyperlink r:id="rId17" w:history="1">
              <w:r w:rsidR="00DF1813" w:rsidRPr="00DF1813">
                <w:rPr>
                  <w:rStyle w:val="Hyperlink"/>
                </w:rPr>
                <w:t>página principal de la Comisión de Estudio</w:t>
              </w:r>
            </w:hyperlink>
            <w:r w:rsidR="00DF1813" w:rsidRPr="00DF1813">
              <w:t>)</w:t>
            </w:r>
          </w:p>
          <w:p w14:paraId="41270ED1" w14:textId="46BA95B3" w:rsidR="00DF1813" w:rsidRPr="00DF1813" w:rsidRDefault="007961CD" w:rsidP="007961CD">
            <w:pPr>
              <w:tabs>
                <w:tab w:val="clear" w:pos="794"/>
                <w:tab w:val="left" w:pos="468"/>
              </w:tabs>
              <w:ind w:left="468" w:right="91" w:hanging="468"/>
            </w:pPr>
            <w:r>
              <w:t>–</w:t>
            </w:r>
            <w:r w:rsidR="00DF1813" w:rsidRPr="00DF1813">
              <w:tab/>
              <w:t>Presentación de solicitudes de cartas para la obtención de visados (mediante el formulario de inscripción en línea, véanse los detalles en el Anexo A)</w:t>
            </w:r>
          </w:p>
        </w:tc>
      </w:tr>
      <w:tr w:rsidR="00DF1813" w:rsidRPr="00DF1813" w14:paraId="14463172" w14:textId="77777777" w:rsidTr="007961CD">
        <w:tc>
          <w:tcPr>
            <w:tcW w:w="2122" w:type="dxa"/>
            <w:shd w:val="clear" w:color="auto" w:fill="auto"/>
          </w:tcPr>
          <w:p w14:paraId="76899A07" w14:textId="77777777" w:rsidR="00DF1813" w:rsidRPr="00DF1813" w:rsidRDefault="00DF1813" w:rsidP="00DF1813">
            <w:pPr>
              <w:ind w:right="91"/>
            </w:pPr>
            <w:r w:rsidRPr="00DF1813">
              <w:t>1 de julio de 2025</w:t>
            </w:r>
          </w:p>
        </w:tc>
        <w:tc>
          <w:tcPr>
            <w:tcW w:w="7507" w:type="dxa"/>
            <w:shd w:val="clear" w:color="auto" w:fill="auto"/>
          </w:tcPr>
          <w:p w14:paraId="17E7020B" w14:textId="65A8097B" w:rsidR="00DF1813" w:rsidRPr="00DF1813" w:rsidRDefault="007961CD" w:rsidP="007961CD">
            <w:pPr>
              <w:tabs>
                <w:tab w:val="clear" w:pos="794"/>
                <w:tab w:val="left" w:pos="468"/>
              </w:tabs>
              <w:ind w:left="468" w:right="91" w:hanging="468"/>
            </w:pPr>
            <w:r>
              <w:t>–</w:t>
            </w:r>
            <w:r w:rsidR="00DF1813" w:rsidRPr="00DF1813">
              <w:tab/>
            </w:r>
            <w:hyperlink r:id="rId18" w:history="1">
              <w:r w:rsidR="00DF1813" w:rsidRPr="00DF1813">
                <w:rPr>
                  <w:rStyle w:val="Hyperlink"/>
                </w:rPr>
                <w:t>Presentación de las contribuciones de los Miembros del UIT-T (a través de la Publicación Directa de Documentos)</w:t>
              </w:r>
            </w:hyperlink>
          </w:p>
        </w:tc>
      </w:tr>
    </w:tbl>
    <w:p w14:paraId="63E3A6E6" w14:textId="2C7E654F" w:rsidR="00DF1813" w:rsidRPr="00DF1813" w:rsidRDefault="00DF1813" w:rsidP="0098036A">
      <w:r w:rsidRPr="00DF1813">
        <w:t>Le deseo una reunión agradable y productiva.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43"/>
        <w:gridCol w:w="3091"/>
      </w:tblGrid>
      <w:tr w:rsidR="00DF1813" w:rsidRPr="00DF1813" w14:paraId="497AA156" w14:textId="77777777" w:rsidTr="00226764">
        <w:trPr>
          <w:cantSplit/>
          <w:trHeight w:val="1955"/>
        </w:trPr>
        <w:tc>
          <w:tcPr>
            <w:tcW w:w="6663" w:type="dxa"/>
            <w:vMerge w:val="restart"/>
            <w:tcBorders>
              <w:right w:val="single" w:sz="4" w:space="0" w:color="auto"/>
            </w:tcBorders>
          </w:tcPr>
          <w:p w14:paraId="187918DC" w14:textId="2A5E5FD0" w:rsidR="00DF1813" w:rsidRDefault="00DF1813" w:rsidP="00226764">
            <w:pPr>
              <w:keepNext/>
              <w:keepLines/>
              <w:ind w:left="-107"/>
              <w:rPr>
                <w:rFonts w:cstheme="minorHAnsi"/>
                <w:szCs w:val="22"/>
              </w:rPr>
            </w:pPr>
            <w:r w:rsidRPr="00DF1813">
              <w:rPr>
                <w:rFonts w:cstheme="minorHAnsi"/>
                <w:szCs w:val="22"/>
              </w:rPr>
              <w:t>Atentamente,</w:t>
            </w:r>
          </w:p>
          <w:p w14:paraId="3B156AF6" w14:textId="69E45760" w:rsidR="00DF1813" w:rsidRDefault="00D128F8" w:rsidP="00AF27E3">
            <w:pPr>
              <w:keepNext/>
              <w:keepLines/>
              <w:spacing w:before="840"/>
              <w:ind w:left="-115"/>
              <w:rPr>
                <w:rFonts w:cstheme="minorHAnsi"/>
                <w:szCs w:val="22"/>
              </w:rPr>
            </w:pPr>
            <w:r>
              <w:rPr>
                <w:rFonts w:cstheme="minorHAnsi"/>
                <w:noProof/>
                <w:szCs w:val="22"/>
              </w:rPr>
              <w:drawing>
                <wp:anchor distT="0" distB="0" distL="114300" distR="114300" simplePos="0" relativeHeight="251658240" behindDoc="1" locked="0" layoutInCell="1" allowOverlap="1" wp14:anchorId="54A25379" wp14:editId="63926614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120015</wp:posOffset>
                  </wp:positionV>
                  <wp:extent cx="825500" cy="330200"/>
                  <wp:effectExtent l="0" t="0" r="0" b="0"/>
                  <wp:wrapNone/>
                  <wp:docPr id="471106794" name="Picture 2" descr="A black text on a white backgroun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1106794" name="Picture 2" descr="A black text on a white background&#10;&#10;AI-generated content may be incorrect.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F1813" w:rsidRPr="00DF1813">
              <w:rPr>
                <w:rFonts w:cstheme="minorHAnsi"/>
                <w:szCs w:val="22"/>
              </w:rPr>
              <w:t>Seizo Onoe</w:t>
            </w:r>
            <w:r w:rsidR="00DF1813" w:rsidRPr="00DF1813">
              <w:rPr>
                <w:rFonts w:cstheme="minorHAnsi"/>
                <w:szCs w:val="22"/>
              </w:rPr>
              <w:br/>
            </w:r>
            <w:proofErr w:type="gramStart"/>
            <w:r w:rsidR="00DF1813" w:rsidRPr="00DF1813">
              <w:rPr>
                <w:rFonts w:cstheme="minorHAnsi"/>
                <w:szCs w:val="22"/>
              </w:rPr>
              <w:t>Director</w:t>
            </w:r>
            <w:proofErr w:type="gramEnd"/>
            <w:r w:rsidR="00DF1813" w:rsidRPr="00DF1813">
              <w:rPr>
                <w:rFonts w:cstheme="minorHAnsi"/>
                <w:szCs w:val="22"/>
              </w:rPr>
              <w:t xml:space="preserve"> de la Oficina de </w:t>
            </w:r>
            <w:r w:rsidR="00DF1813" w:rsidRPr="00DF1813">
              <w:rPr>
                <w:rFonts w:cstheme="minorHAnsi"/>
                <w:szCs w:val="22"/>
              </w:rPr>
              <w:br/>
              <w:t>Normalización de las Telecomunicaciones</w:t>
            </w:r>
          </w:p>
          <w:p w14:paraId="78BB7035" w14:textId="309E5A3C" w:rsidR="00AF27E3" w:rsidRPr="00AF27E3" w:rsidRDefault="00AF27E3" w:rsidP="00AF27E3">
            <w:pPr>
              <w:keepNext/>
              <w:keepLines/>
              <w:spacing w:before="840"/>
              <w:rPr>
                <w:rFonts w:cstheme="minorHAnsi"/>
                <w:szCs w:val="22"/>
                <w:lang w:val="fr-CH"/>
              </w:rPr>
            </w:pPr>
            <w:proofErr w:type="spellStart"/>
            <w:r w:rsidRPr="00AF27E3">
              <w:rPr>
                <w:rFonts w:cstheme="minorHAnsi"/>
                <w:b/>
                <w:bCs/>
                <w:szCs w:val="22"/>
                <w:lang w:val="fr-CH"/>
              </w:rPr>
              <w:t>Anexos</w:t>
            </w:r>
            <w:proofErr w:type="spellEnd"/>
            <w:r>
              <w:rPr>
                <w:rFonts w:cstheme="minorHAnsi"/>
                <w:szCs w:val="22"/>
                <w:lang w:val="fr-CH"/>
              </w:rPr>
              <w:t> : 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9CC9B9D" w14:textId="77777777" w:rsidR="00DF1813" w:rsidRPr="00DF1813" w:rsidRDefault="00DF1813" w:rsidP="00226764">
            <w:pPr>
              <w:keepNext/>
              <w:keepLines/>
              <w:spacing w:before="0"/>
              <w:ind w:left="113" w:right="113"/>
              <w:jc w:val="center"/>
              <w:rPr>
                <w:rFonts w:cstheme="minorBidi"/>
                <w:color w:val="FFFFFF" w:themeColor="background1"/>
              </w:rPr>
            </w:pPr>
            <w:r w:rsidRPr="00DF1813">
              <w:rPr>
                <w:noProof/>
                <w:color w:val="FFFFFF" w:themeColor="background1"/>
              </w:rPr>
              <w:drawing>
                <wp:inline distT="0" distB="0" distL="0" distR="0" wp14:anchorId="40931556" wp14:editId="2CB3BC67">
                  <wp:extent cx="1113576" cy="1113576"/>
                  <wp:effectExtent l="0" t="0" r="0" b="0"/>
                  <wp:docPr id="54" name="Picture 54" descr="This QR code redirects to the latest meeeting information at:&#10;http://handle.itu.int/11.1002/groups/sg13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/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9698" t="-2432" r="9698"/>
                          <a:stretch/>
                        </pic:blipFill>
                        <pic:spPr>
                          <a:xfrm>
                            <a:off x="0" y="0"/>
                            <a:ext cx="1113576" cy="11135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F1813">
              <w:rPr>
                <w:rFonts w:eastAsia="SimSun" w:cstheme="minorBidi"/>
                <w:color w:val="FFFFFF" w:themeColor="background1"/>
                <w:lang w:eastAsia="zh-CN"/>
              </w:rPr>
              <w:t>ITU-T SG13</w:t>
            </w:r>
          </w:p>
        </w:tc>
      </w:tr>
      <w:tr w:rsidR="00DF1813" w:rsidRPr="00DF1813" w14:paraId="14C4E3A5" w14:textId="77777777" w:rsidTr="00226764">
        <w:trPr>
          <w:cantSplit/>
          <w:trHeight w:val="227"/>
        </w:trPr>
        <w:tc>
          <w:tcPr>
            <w:tcW w:w="6663" w:type="dxa"/>
            <w:vMerge/>
          </w:tcPr>
          <w:p w14:paraId="008C4F24" w14:textId="77777777" w:rsidR="00DF1813" w:rsidRPr="00DF1813" w:rsidRDefault="00DF1813" w:rsidP="00226764">
            <w:pPr>
              <w:spacing w:before="480"/>
              <w:rPr>
                <w:rFonts w:cstheme="minorHAnsi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4C4F6" w14:textId="77777777" w:rsidR="00DF1813" w:rsidRPr="00DF1813" w:rsidRDefault="00DF1813" w:rsidP="00226764">
            <w:pPr>
              <w:spacing w:before="0"/>
              <w:jc w:val="center"/>
              <w:rPr>
                <w:rFonts w:eastAsia="SimSun" w:cstheme="minorHAnsi"/>
                <w:noProof/>
                <w:szCs w:val="22"/>
                <w:lang w:eastAsia="zh-CN"/>
              </w:rPr>
            </w:pPr>
            <w:r w:rsidRPr="00DF1813">
              <w:rPr>
                <w:rFonts w:cstheme="minorHAnsi"/>
                <w:szCs w:val="22"/>
              </w:rPr>
              <w:t>Última información sobre la reunión</w:t>
            </w:r>
          </w:p>
        </w:tc>
      </w:tr>
    </w:tbl>
    <w:p w14:paraId="52A3CCC9" w14:textId="0871AED5" w:rsidR="007961CD" w:rsidRPr="00575E0E" w:rsidRDefault="002545AA" w:rsidP="007961CD">
      <w:pPr>
        <w:pStyle w:val="Annextitle0"/>
        <w:tabs>
          <w:tab w:val="center" w:pos="5103"/>
          <w:tab w:val="left" w:pos="6734"/>
          <w:tab w:val="left" w:pos="6780"/>
        </w:tabs>
        <w:rPr>
          <w:b w:val="0"/>
          <w:bCs/>
          <w:szCs w:val="28"/>
          <w:lang w:val="es-ES"/>
        </w:rPr>
      </w:pPr>
      <w:r w:rsidRPr="00DF1813">
        <w:rPr>
          <w:bCs/>
          <w:lang w:val="es-ES_tradnl"/>
        </w:rPr>
        <w:br w:type="page"/>
      </w:r>
      <w:r w:rsidR="007961CD" w:rsidRPr="00575E0E">
        <w:rPr>
          <w:szCs w:val="28"/>
          <w:lang w:val="es-ES"/>
        </w:rPr>
        <w:lastRenderedPageBreak/>
        <w:t>ANEXO A</w:t>
      </w:r>
      <w:r w:rsidR="007961CD" w:rsidRPr="00575E0E">
        <w:rPr>
          <w:b w:val="0"/>
          <w:bCs/>
          <w:szCs w:val="28"/>
          <w:lang w:val="es-ES"/>
        </w:rPr>
        <w:br/>
      </w:r>
      <w:r w:rsidR="007961CD" w:rsidRPr="00575E0E">
        <w:rPr>
          <w:szCs w:val="28"/>
          <w:lang w:val="es-ES"/>
        </w:rPr>
        <w:t>Información práctica sobre la reunió</w:t>
      </w:r>
      <w:r w:rsidR="007961CD">
        <w:rPr>
          <w:szCs w:val="28"/>
          <w:lang w:val="es-ES"/>
        </w:rPr>
        <w:t>n</w:t>
      </w:r>
    </w:p>
    <w:p w14:paraId="70F42258" w14:textId="77777777" w:rsidR="007961CD" w:rsidRPr="00575E0E" w:rsidRDefault="007961CD" w:rsidP="007961CD">
      <w:pPr>
        <w:tabs>
          <w:tab w:val="left" w:pos="1418"/>
          <w:tab w:val="left" w:pos="1702"/>
          <w:tab w:val="left" w:pos="2160"/>
        </w:tabs>
        <w:spacing w:before="80" w:after="120"/>
        <w:ind w:right="91"/>
        <w:jc w:val="center"/>
        <w:rPr>
          <w:b/>
          <w:bCs/>
          <w:szCs w:val="22"/>
          <w:lang w:val="es-ES"/>
        </w:rPr>
      </w:pPr>
      <w:r w:rsidRPr="00575E0E">
        <w:rPr>
          <w:b/>
          <w:bCs/>
          <w:szCs w:val="22"/>
          <w:lang w:val="es-ES"/>
        </w:rPr>
        <w:t>MÉTODOS DE TRABAJO E INSTALACIONES</w:t>
      </w:r>
    </w:p>
    <w:p w14:paraId="60D67650" w14:textId="77777777" w:rsidR="007961CD" w:rsidRPr="00575E0E" w:rsidRDefault="007961CD" w:rsidP="007961CD">
      <w:pPr>
        <w:spacing w:after="120"/>
        <w:rPr>
          <w:rFonts w:eastAsia="SimSun"/>
          <w:szCs w:val="22"/>
          <w:lang w:val="es-ES" w:eastAsia="zh-CN"/>
        </w:rPr>
      </w:pPr>
      <w:r w:rsidRPr="00575E0E">
        <w:rPr>
          <w:rFonts w:eastAsia="SimSun"/>
          <w:b/>
          <w:bCs/>
          <w:szCs w:val="22"/>
          <w:lang w:val="es-ES" w:eastAsia="zh-CN"/>
        </w:rPr>
        <w:t>PRESENTACIÓN Y ACCESO A LOS DOCUMENTOS</w:t>
      </w:r>
      <w:r w:rsidRPr="00575E0E">
        <w:rPr>
          <w:rFonts w:eastAsia="SimSun"/>
          <w:szCs w:val="22"/>
          <w:lang w:val="es-ES" w:eastAsia="zh-CN"/>
        </w:rPr>
        <w:t>:</w:t>
      </w:r>
      <w:r w:rsidRPr="00575E0E">
        <w:rPr>
          <w:rFonts w:eastAsia="SimSun"/>
          <w:b/>
          <w:bCs/>
          <w:szCs w:val="22"/>
          <w:lang w:val="es-ES" w:eastAsia="zh-CN"/>
        </w:rPr>
        <w:t xml:space="preserve"> </w:t>
      </w:r>
      <w:r>
        <w:rPr>
          <w:rFonts w:eastAsia="SimSun"/>
          <w:szCs w:val="22"/>
          <w:lang w:val="es-ES" w:eastAsia="zh-CN"/>
        </w:rPr>
        <w:t>En la reunión no se utilizará documentación impresa. Las contribuciones de los Miembros deben presentarse utilizando la</w:t>
      </w:r>
      <w:r w:rsidRPr="00575E0E">
        <w:rPr>
          <w:rFonts w:eastAsia="SimSun"/>
          <w:szCs w:val="22"/>
          <w:lang w:val="es-ES" w:eastAsia="zh-CN"/>
        </w:rPr>
        <w:t xml:space="preserve"> </w:t>
      </w:r>
      <w:hyperlink r:id="rId21" w:history="1">
        <w:r w:rsidRPr="00575E0E">
          <w:rPr>
            <w:rStyle w:val="Hyperlink"/>
            <w:rFonts w:eastAsia="SimSun"/>
            <w:szCs w:val="22"/>
            <w:lang w:val="es-ES" w:eastAsia="zh-CN"/>
          </w:rPr>
          <w:t>Publicación Directa de Documentos</w:t>
        </w:r>
      </w:hyperlink>
      <w:r w:rsidRPr="00575E0E">
        <w:rPr>
          <w:rFonts w:eastAsia="SimSun"/>
          <w:szCs w:val="22"/>
          <w:lang w:val="es-ES" w:eastAsia="zh-CN"/>
        </w:rPr>
        <w:t>; l</w:t>
      </w:r>
      <w:r>
        <w:rPr>
          <w:rFonts w:eastAsia="SimSun"/>
          <w:szCs w:val="22"/>
          <w:lang w:val="es-ES" w:eastAsia="zh-CN"/>
        </w:rPr>
        <w:t>os proyectos de DT deben enviarse por correo-electrónico a la secretaría de la Comisión de Estudio utilizando la</w:t>
      </w:r>
      <w:r w:rsidRPr="00575E0E">
        <w:rPr>
          <w:rFonts w:eastAsia="SimSun"/>
          <w:szCs w:val="22"/>
          <w:lang w:val="es-ES" w:eastAsia="zh-CN"/>
        </w:rPr>
        <w:t xml:space="preserve"> </w:t>
      </w:r>
      <w:hyperlink r:id="rId22" w:history="1">
        <w:r>
          <w:rPr>
            <w:rStyle w:val="Hyperlink"/>
            <w:rFonts w:eastAsia="SimSun"/>
            <w:szCs w:val="22"/>
            <w:lang w:val="es-ES" w:eastAsia="zh-CN"/>
          </w:rPr>
          <w:t>plantilla adecuada</w:t>
        </w:r>
      </w:hyperlink>
      <w:r w:rsidRPr="00575E0E">
        <w:rPr>
          <w:rFonts w:eastAsia="SimSun"/>
          <w:szCs w:val="22"/>
          <w:lang w:val="es-ES" w:eastAsia="zh-CN"/>
        </w:rPr>
        <w:t xml:space="preserve">. El acceso a los documentos de reunión se facilita a partir de la página principal de la Comisión de Estudio y </w:t>
      </w:r>
      <w:r>
        <w:rPr>
          <w:rFonts w:eastAsia="SimSun"/>
          <w:szCs w:val="22"/>
          <w:lang w:val="es-ES" w:eastAsia="zh-CN"/>
        </w:rPr>
        <w:t>está restringido a los Miembros del UIT-T que dispongan de una</w:t>
      </w:r>
      <w:r w:rsidRPr="00575E0E">
        <w:rPr>
          <w:rFonts w:eastAsia="SimSun"/>
          <w:szCs w:val="22"/>
          <w:lang w:val="es-ES" w:eastAsia="zh-CN"/>
        </w:rPr>
        <w:t xml:space="preserve"> </w:t>
      </w:r>
      <w:hyperlink r:id="rId23" w:history="1">
        <w:r>
          <w:rPr>
            <w:rStyle w:val="Hyperlink"/>
            <w:rFonts w:eastAsia="SimSun"/>
            <w:szCs w:val="22"/>
            <w:lang w:val="es-ES" w:eastAsia="zh-CN"/>
          </w:rPr>
          <w:t>cuenta de usuario de la UIT</w:t>
        </w:r>
      </w:hyperlink>
      <w:r w:rsidRPr="00575E0E">
        <w:rPr>
          <w:rFonts w:eastAsia="SimSun"/>
          <w:szCs w:val="22"/>
          <w:lang w:val="es-ES" w:eastAsia="zh-CN"/>
        </w:rPr>
        <w:t xml:space="preserve"> </w:t>
      </w:r>
      <w:r>
        <w:rPr>
          <w:rFonts w:eastAsia="SimSun"/>
          <w:szCs w:val="22"/>
          <w:lang w:val="es-ES" w:eastAsia="zh-CN"/>
        </w:rPr>
        <w:t>con derechos de acceso</w:t>
      </w:r>
      <w:r w:rsidRPr="00575E0E">
        <w:rPr>
          <w:rFonts w:eastAsia="SimSun"/>
          <w:szCs w:val="22"/>
          <w:lang w:val="es-ES" w:eastAsia="zh-CN"/>
        </w:rPr>
        <w:t xml:space="preserve"> TIES.</w:t>
      </w:r>
    </w:p>
    <w:p w14:paraId="1E85CE14" w14:textId="77777777" w:rsidR="007961CD" w:rsidRPr="00575E0E" w:rsidRDefault="007961CD" w:rsidP="007961CD">
      <w:pPr>
        <w:spacing w:after="120"/>
        <w:rPr>
          <w:rFonts w:eastAsia="SimSun"/>
          <w:b/>
          <w:bCs/>
          <w:szCs w:val="22"/>
          <w:lang w:val="es-ES" w:eastAsia="zh-CN"/>
        </w:rPr>
      </w:pPr>
      <w:r w:rsidRPr="00575E0E">
        <w:rPr>
          <w:rFonts w:eastAsia="SimSun"/>
          <w:b/>
          <w:bCs/>
          <w:szCs w:val="22"/>
          <w:lang w:val="es-ES" w:eastAsia="zh-CN"/>
        </w:rPr>
        <w:t xml:space="preserve">IDIOMA DE TRABAJO: </w:t>
      </w:r>
      <w:r w:rsidRPr="00575E0E">
        <w:rPr>
          <w:rFonts w:eastAsia="SimSun"/>
          <w:szCs w:val="22"/>
          <w:lang w:val="es-ES" w:eastAsia="zh-CN"/>
        </w:rPr>
        <w:t>La reunión se celebrará únicamente en inglés</w:t>
      </w:r>
      <w:r>
        <w:rPr>
          <w:rFonts w:eastAsia="SimSun"/>
          <w:szCs w:val="22"/>
          <w:lang w:val="es-ES" w:eastAsia="zh-CN"/>
        </w:rPr>
        <w:t>, sin interpretación</w:t>
      </w:r>
      <w:r w:rsidRPr="00575E0E">
        <w:rPr>
          <w:rFonts w:eastAsia="SimSun"/>
          <w:szCs w:val="22"/>
          <w:lang w:val="es-ES" w:eastAsia="zh-CN"/>
        </w:rPr>
        <w:t>.</w:t>
      </w:r>
    </w:p>
    <w:p w14:paraId="0E3FA824" w14:textId="77777777" w:rsidR="007961CD" w:rsidRPr="00575E0E" w:rsidRDefault="007961CD" w:rsidP="007961CD">
      <w:pPr>
        <w:rPr>
          <w:szCs w:val="22"/>
          <w:lang w:val="es-ES"/>
        </w:rPr>
      </w:pPr>
      <w:r w:rsidRPr="00575E0E">
        <w:rPr>
          <w:b/>
          <w:bCs/>
          <w:szCs w:val="22"/>
          <w:lang w:val="es-ES"/>
        </w:rPr>
        <w:t>LAN INALÁMBRICA:</w:t>
      </w:r>
      <w:r w:rsidRPr="00575E0E">
        <w:rPr>
          <w:szCs w:val="22"/>
          <w:lang w:val="es-ES"/>
        </w:rPr>
        <w:t xml:space="preserve"> Los delegados disponen de instalaciones de red de </w:t>
      </w:r>
      <w:r>
        <w:rPr>
          <w:szCs w:val="22"/>
          <w:lang w:val="es-ES"/>
        </w:rPr>
        <w:t xml:space="preserve">área local inalámbrica en todas las salas de reunión de la UIT. </w:t>
      </w:r>
      <w:r w:rsidRPr="00575E0E">
        <w:rPr>
          <w:szCs w:val="22"/>
          <w:lang w:val="es-ES"/>
        </w:rPr>
        <w:t>En la dirección web del UIT-T (</w:t>
      </w:r>
      <w:hyperlink r:id="rId24" w:history="1">
        <w:r w:rsidRPr="00575E0E">
          <w:rPr>
            <w:rStyle w:val="Hyperlink"/>
            <w:szCs w:val="22"/>
            <w:lang w:val="es-ES"/>
          </w:rPr>
          <w:t>https://www.itu.int/en/general-secretariat/ICT-Services/Pages/default.aspx</w:t>
        </w:r>
      </w:hyperlink>
      <w:r w:rsidRPr="00575E0E">
        <w:rPr>
          <w:szCs w:val="22"/>
          <w:lang w:val="es-ES"/>
        </w:rPr>
        <w:t xml:space="preserve">) </w:t>
      </w:r>
      <w:r>
        <w:rPr>
          <w:szCs w:val="22"/>
          <w:lang w:val="es-ES"/>
        </w:rPr>
        <w:t xml:space="preserve">e </w:t>
      </w:r>
      <w:r>
        <w:rPr>
          <w:i/>
          <w:iCs/>
          <w:szCs w:val="22"/>
          <w:lang w:val="es-ES"/>
        </w:rPr>
        <w:t xml:space="preserve">in situ </w:t>
      </w:r>
      <w:r>
        <w:rPr>
          <w:szCs w:val="22"/>
          <w:lang w:val="es-ES"/>
        </w:rPr>
        <w:t>se puede encontrar más información detallada al respecto</w:t>
      </w:r>
      <w:r w:rsidRPr="00575E0E">
        <w:rPr>
          <w:szCs w:val="22"/>
          <w:lang w:val="es-ES"/>
        </w:rPr>
        <w:t>.</w:t>
      </w:r>
    </w:p>
    <w:p w14:paraId="3B221C82" w14:textId="6933C104" w:rsidR="007961CD" w:rsidRPr="00575E0E" w:rsidRDefault="007961CD" w:rsidP="007961CD">
      <w:pPr>
        <w:spacing w:after="120"/>
        <w:rPr>
          <w:rFonts w:eastAsia="SimSun"/>
          <w:lang w:val="es-ES" w:eastAsia="zh-CN"/>
        </w:rPr>
      </w:pPr>
      <w:r w:rsidRPr="00575E0E">
        <w:rPr>
          <w:rFonts w:eastAsia="SimSun"/>
          <w:b/>
          <w:bCs/>
          <w:lang w:val="es-ES" w:eastAsia="zh-CN"/>
        </w:rPr>
        <w:t>TAQUILLAS ELECTRÓNICAS:</w:t>
      </w:r>
      <w:r w:rsidRPr="00575E0E">
        <w:rPr>
          <w:rFonts w:eastAsia="SimSun"/>
          <w:lang w:val="es-ES" w:eastAsia="zh-CN"/>
        </w:rPr>
        <w:t xml:space="preserve"> Durante toda la reunión se pondrán </w:t>
      </w:r>
      <w:r>
        <w:rPr>
          <w:rFonts w:eastAsia="SimSun"/>
          <w:lang w:val="es-ES" w:eastAsia="zh-CN"/>
        </w:rPr>
        <w:t>a disposición taquillas electrónicas que los delegados podrán utilizar con su tarjeta de identificación</w:t>
      </w:r>
      <w:r w:rsidRPr="00575E0E">
        <w:rPr>
          <w:rFonts w:eastAsia="SimSun"/>
          <w:lang w:val="es-ES" w:eastAsia="zh-CN"/>
        </w:rPr>
        <w:t xml:space="preserve"> RFID </w:t>
      </w:r>
      <w:r>
        <w:rPr>
          <w:rFonts w:eastAsia="SimSun"/>
          <w:lang w:val="es-ES" w:eastAsia="zh-CN"/>
        </w:rPr>
        <w:t>del UIT-T. Las taquillas electrónicas están situadas en la planta baja y el primer subsuelo de la Torre de la UIT, así como en la planta baja y el edificio</w:t>
      </w:r>
      <w:r w:rsidR="009A28B2">
        <w:rPr>
          <w:rFonts w:eastAsia="SimSun"/>
          <w:lang w:val="es-ES" w:eastAsia="zh-CN"/>
        </w:rPr>
        <w:t> </w:t>
      </w:r>
      <w:proofErr w:type="spellStart"/>
      <w:r>
        <w:rPr>
          <w:rFonts w:eastAsia="SimSun"/>
          <w:lang w:val="es-ES" w:eastAsia="zh-CN"/>
        </w:rPr>
        <w:t>Montbrillant</w:t>
      </w:r>
      <w:proofErr w:type="spellEnd"/>
      <w:r w:rsidRPr="00575E0E">
        <w:rPr>
          <w:rFonts w:eastAsia="SimSun"/>
          <w:lang w:val="es-ES" w:eastAsia="zh-CN"/>
        </w:rPr>
        <w:t>.</w:t>
      </w:r>
    </w:p>
    <w:p w14:paraId="26AC803E" w14:textId="77777777" w:rsidR="007961CD" w:rsidRPr="00575E0E" w:rsidRDefault="007961CD" w:rsidP="007961CD">
      <w:pPr>
        <w:rPr>
          <w:szCs w:val="22"/>
          <w:lang w:val="es-ES"/>
        </w:rPr>
      </w:pPr>
      <w:r w:rsidRPr="00575E0E">
        <w:rPr>
          <w:b/>
          <w:bCs/>
          <w:szCs w:val="22"/>
          <w:lang w:val="es-ES"/>
        </w:rPr>
        <w:t>IMPRESORAS:</w:t>
      </w:r>
      <w:r w:rsidRPr="00575E0E">
        <w:rPr>
          <w:szCs w:val="22"/>
          <w:lang w:val="es-ES"/>
        </w:rPr>
        <w:t xml:space="preserve"> En las salas para los delegados y en</w:t>
      </w:r>
      <w:r>
        <w:rPr>
          <w:szCs w:val="22"/>
          <w:lang w:val="es-ES"/>
        </w:rPr>
        <w:t xml:space="preserve"> las proximidades de las</w:t>
      </w:r>
      <w:r w:rsidRPr="00575E0E">
        <w:rPr>
          <w:szCs w:val="22"/>
          <w:lang w:val="es-ES"/>
        </w:rPr>
        <w:t xml:space="preserve"> </w:t>
      </w:r>
      <w:hyperlink r:id="rId25" w:history="1">
        <w:r>
          <w:rPr>
            <w:rStyle w:val="Hyperlink"/>
            <w:szCs w:val="22"/>
            <w:lang w:val="es-ES"/>
          </w:rPr>
          <w:t>principales salas de reunión</w:t>
        </w:r>
      </w:hyperlink>
      <w:r w:rsidRPr="00575E0E">
        <w:rPr>
          <w:szCs w:val="22"/>
          <w:lang w:val="es-ES"/>
        </w:rPr>
        <w:t xml:space="preserve"> </w:t>
      </w:r>
      <w:r>
        <w:rPr>
          <w:szCs w:val="22"/>
          <w:lang w:val="es-ES"/>
        </w:rPr>
        <w:t xml:space="preserve">se han puesto a disposición impresoras. </w:t>
      </w:r>
      <w:r w:rsidRPr="00575E0E">
        <w:rPr>
          <w:szCs w:val="22"/>
          <w:lang w:val="es-ES"/>
        </w:rPr>
        <w:t>Para no tener que instalar controladores en su computadora, puede im</w:t>
      </w:r>
      <w:r>
        <w:rPr>
          <w:szCs w:val="22"/>
          <w:lang w:val="es-ES"/>
        </w:rPr>
        <w:t>primir directamente los documentos enviándolos por correo electrónico a la impresora deseada</w:t>
      </w:r>
      <w:r w:rsidRPr="00575E0E">
        <w:rPr>
          <w:szCs w:val="22"/>
          <w:lang w:val="es-ES"/>
        </w:rPr>
        <w:t>.</w:t>
      </w:r>
      <w:r w:rsidRPr="00575E0E">
        <w:rPr>
          <w:szCs w:val="22"/>
          <w:lang w:val="es-ES"/>
        </w:rPr>
        <w:br/>
        <w:t xml:space="preserve">Vea los detalles en </w:t>
      </w:r>
      <w:bookmarkStart w:id="2" w:name="_Hlk94878660"/>
      <w:r>
        <w:rPr>
          <w:szCs w:val="22"/>
        </w:rPr>
        <w:fldChar w:fldCharType="begin"/>
      </w:r>
      <w:r w:rsidRPr="00575E0E">
        <w:rPr>
          <w:szCs w:val="22"/>
          <w:lang w:val="es-ES"/>
        </w:rPr>
        <w:instrText xml:space="preserve"> HYPERLINK "https://itu.int/go/e-print" </w:instrText>
      </w:r>
      <w:r>
        <w:rPr>
          <w:szCs w:val="22"/>
        </w:rPr>
      </w:r>
      <w:r>
        <w:rPr>
          <w:szCs w:val="22"/>
        </w:rPr>
        <w:fldChar w:fldCharType="separate"/>
      </w:r>
      <w:r w:rsidRPr="00575E0E">
        <w:rPr>
          <w:rStyle w:val="Hyperlink"/>
          <w:szCs w:val="22"/>
          <w:lang w:val="es-ES"/>
        </w:rPr>
        <w:t>https://itu.int/go/e-print</w:t>
      </w:r>
      <w:r>
        <w:rPr>
          <w:szCs w:val="22"/>
        </w:rPr>
        <w:fldChar w:fldCharType="end"/>
      </w:r>
      <w:r w:rsidRPr="00575E0E">
        <w:rPr>
          <w:szCs w:val="22"/>
          <w:lang w:val="es-ES"/>
        </w:rPr>
        <w:t>.</w:t>
      </w:r>
      <w:bookmarkEnd w:id="2"/>
    </w:p>
    <w:p w14:paraId="42C09C45" w14:textId="77777777" w:rsidR="007961CD" w:rsidRPr="00EA49D1" w:rsidRDefault="007961CD" w:rsidP="007961CD">
      <w:pPr>
        <w:rPr>
          <w:szCs w:val="22"/>
          <w:lang w:val="es-ES"/>
        </w:rPr>
      </w:pPr>
      <w:r w:rsidRPr="00D03338">
        <w:rPr>
          <w:b/>
          <w:bCs/>
          <w:szCs w:val="22"/>
          <w:lang w:val="es-ES"/>
        </w:rPr>
        <w:t xml:space="preserve">PRÉSTAMO DE COMPUTADORAS PORTÁTILES: </w:t>
      </w:r>
      <w:r w:rsidRPr="00D03338">
        <w:rPr>
          <w:szCs w:val="22"/>
          <w:lang w:val="es-ES"/>
        </w:rPr>
        <w:t xml:space="preserve">El Servicio de </w:t>
      </w:r>
      <w:r>
        <w:rPr>
          <w:szCs w:val="22"/>
          <w:lang w:val="es-ES"/>
        </w:rPr>
        <w:t>Asistencia de la UIT</w:t>
      </w:r>
      <w:r w:rsidRPr="00D03338">
        <w:rPr>
          <w:szCs w:val="22"/>
          <w:lang w:val="es-ES"/>
        </w:rPr>
        <w:t xml:space="preserve"> (</w:t>
      </w:r>
      <w:hyperlink r:id="rId26" w:history="1">
        <w:r w:rsidRPr="00D03338">
          <w:rPr>
            <w:rStyle w:val="Hyperlink"/>
            <w:szCs w:val="22"/>
            <w:lang w:val="es-ES"/>
          </w:rPr>
          <w:t>servicedesk@itu.int</w:t>
        </w:r>
      </w:hyperlink>
      <w:r w:rsidRPr="00D03338">
        <w:rPr>
          <w:szCs w:val="22"/>
          <w:lang w:val="es-ES"/>
        </w:rPr>
        <w:t xml:space="preserve">) </w:t>
      </w:r>
      <w:r>
        <w:rPr>
          <w:szCs w:val="22"/>
          <w:lang w:val="es-ES"/>
        </w:rPr>
        <w:t xml:space="preserve">pondrá computadoras portátiles a disposición de los delegados. </w:t>
      </w:r>
      <w:r w:rsidRPr="00EA49D1">
        <w:rPr>
          <w:szCs w:val="22"/>
          <w:lang w:val="es-ES"/>
        </w:rPr>
        <w:t>Se atenderán las solicitudes por orden de llegada.</w:t>
      </w:r>
    </w:p>
    <w:p w14:paraId="7237E36C" w14:textId="77777777" w:rsidR="007961CD" w:rsidRPr="00D03338" w:rsidRDefault="007961CD" w:rsidP="007961CD">
      <w:pPr>
        <w:snapToGrid w:val="0"/>
        <w:spacing w:after="120"/>
        <w:rPr>
          <w:rFonts w:cstheme="minorHAnsi"/>
          <w:szCs w:val="22"/>
          <w:lang w:val="es-ES"/>
        </w:rPr>
      </w:pPr>
      <w:r w:rsidRPr="00D03338">
        <w:rPr>
          <w:b/>
          <w:szCs w:val="22"/>
          <w:lang w:val="es-ES"/>
        </w:rPr>
        <w:t>PARTICIPACIÓN A DISTANCIA</w:t>
      </w:r>
      <w:r w:rsidRPr="00D03338">
        <w:rPr>
          <w:szCs w:val="22"/>
          <w:lang w:val="es-ES"/>
        </w:rPr>
        <w:t>: Se utilizará la herramienta</w:t>
      </w:r>
      <w:hyperlink r:id="rId27" w:history="1">
        <w:r w:rsidRPr="00D03338">
          <w:rPr>
            <w:rStyle w:val="Hyperlink"/>
            <w:rFonts w:eastAsia="SimSun" w:cstheme="minorHAnsi"/>
            <w:szCs w:val="22"/>
            <w:lang w:val="es-ES"/>
          </w:rPr>
          <w:t xml:space="preserve"> </w:t>
        </w:r>
        <w:proofErr w:type="spellStart"/>
        <w:r w:rsidRPr="00D03338">
          <w:rPr>
            <w:rStyle w:val="Hyperlink"/>
            <w:rFonts w:eastAsia="SimSun" w:cstheme="minorHAnsi"/>
            <w:szCs w:val="22"/>
            <w:lang w:val="es-ES"/>
          </w:rPr>
          <w:t>MyMeetings</w:t>
        </w:r>
        <w:proofErr w:type="spellEnd"/>
      </w:hyperlink>
      <w:r w:rsidRPr="00D03338">
        <w:rPr>
          <w:rFonts w:eastAsia="SimSun" w:cstheme="minorHAnsi"/>
          <w:szCs w:val="22"/>
          <w:lang w:val="es-ES"/>
        </w:rPr>
        <w:t xml:space="preserve"> para facilitar la participación a distancia en todas las r</w:t>
      </w:r>
      <w:r>
        <w:rPr>
          <w:rFonts w:eastAsia="SimSun" w:cstheme="minorHAnsi"/>
          <w:szCs w:val="22"/>
          <w:lang w:val="es-ES"/>
        </w:rPr>
        <w:t>e</w:t>
      </w:r>
      <w:r w:rsidRPr="00D03338">
        <w:rPr>
          <w:rFonts w:eastAsia="SimSun" w:cstheme="minorHAnsi"/>
          <w:szCs w:val="22"/>
          <w:lang w:val="es-ES"/>
        </w:rPr>
        <w:t>uniones de los Gr</w:t>
      </w:r>
      <w:r>
        <w:rPr>
          <w:rFonts w:eastAsia="SimSun" w:cstheme="minorHAnsi"/>
          <w:szCs w:val="22"/>
          <w:lang w:val="es-ES"/>
        </w:rPr>
        <w:t xml:space="preserve">upos de Trabajo. </w:t>
      </w:r>
      <w:r w:rsidRPr="00D03338">
        <w:rPr>
          <w:rFonts w:eastAsia="SimSun" w:cstheme="minorHAnsi"/>
          <w:szCs w:val="22"/>
          <w:lang w:val="es-ES"/>
        </w:rPr>
        <w:t xml:space="preserve">Se recuerda a los delegados que, conforme a las disposiciones en </w:t>
      </w:r>
      <w:r>
        <w:rPr>
          <w:rFonts w:eastAsia="SimSun" w:cstheme="minorHAnsi"/>
          <w:szCs w:val="22"/>
          <w:lang w:val="es-ES"/>
        </w:rPr>
        <w:t>vigor, sólo los presentes en la sala de reunión podrán participar en los procesos de toma de decisiones</w:t>
      </w:r>
      <w:r w:rsidRPr="00D03338">
        <w:rPr>
          <w:rFonts w:eastAsia="SimSun" w:cstheme="minorHAnsi"/>
          <w:szCs w:val="22"/>
          <w:lang w:val="es-ES"/>
        </w:rPr>
        <w:t>.</w:t>
      </w:r>
    </w:p>
    <w:p w14:paraId="651C96B3" w14:textId="77777777" w:rsidR="007961CD" w:rsidRPr="00D03338" w:rsidRDefault="007961CD" w:rsidP="007961CD">
      <w:pPr>
        <w:rPr>
          <w:szCs w:val="22"/>
          <w:lang w:val="es-ES"/>
        </w:rPr>
      </w:pPr>
      <w:r w:rsidRPr="00D03338">
        <w:rPr>
          <w:szCs w:val="22"/>
          <w:lang w:val="es-ES"/>
        </w:rPr>
        <w:t xml:space="preserve">Para tener acceso a las sesiones a distancia, los delegados </w:t>
      </w:r>
      <w:r>
        <w:rPr>
          <w:szCs w:val="22"/>
          <w:lang w:val="es-ES"/>
        </w:rPr>
        <w:t xml:space="preserve">habrán de inscribirse en la reunión. </w:t>
      </w:r>
      <w:r w:rsidRPr="00D03338">
        <w:rPr>
          <w:szCs w:val="22"/>
          <w:lang w:val="es-ES"/>
        </w:rPr>
        <w:t>Los participantes deben tener presente que, como es ha</w:t>
      </w:r>
      <w:r>
        <w:rPr>
          <w:szCs w:val="22"/>
          <w:lang w:val="es-ES"/>
        </w:rPr>
        <w:t xml:space="preserve">bitual en estos casos, la reunión no se retrasará ni se interrumpirá por la incapacidad de un participante a distancia para conectarse, escuchar o ser escuchado, según el criterio del Presidente. </w:t>
      </w:r>
      <w:r w:rsidRPr="00D03338">
        <w:rPr>
          <w:szCs w:val="22"/>
          <w:lang w:val="es-ES"/>
        </w:rPr>
        <w:t>Si se considera que la calidad de la vo</w:t>
      </w:r>
      <w:r>
        <w:rPr>
          <w:szCs w:val="22"/>
          <w:lang w:val="es-ES"/>
        </w:rPr>
        <w:t xml:space="preserve">z de un participante a distancia es insuficiente, el Presidente podrá interrumpirlo y abstenerse de concederle la palabra hasta que se indique que el problema se ha resuelto. </w:t>
      </w:r>
      <w:r w:rsidRPr="00D03338">
        <w:rPr>
          <w:szCs w:val="22"/>
          <w:lang w:val="es-ES"/>
        </w:rPr>
        <w:t xml:space="preserve">Se alienta a los participantes a utilizar el chat de la </w:t>
      </w:r>
      <w:r>
        <w:rPr>
          <w:szCs w:val="22"/>
          <w:lang w:val="es-ES"/>
        </w:rPr>
        <w:t>reunión para asegurar la gestión eficaz del tiempo durante las sesiones, a discreción del Presidente</w:t>
      </w:r>
      <w:r w:rsidRPr="00D03338">
        <w:rPr>
          <w:szCs w:val="22"/>
          <w:lang w:val="es-ES"/>
        </w:rPr>
        <w:t>.</w:t>
      </w:r>
    </w:p>
    <w:p w14:paraId="14CE4398" w14:textId="77777777" w:rsidR="007961CD" w:rsidRPr="00D03338" w:rsidRDefault="007961CD" w:rsidP="007961CD">
      <w:pPr>
        <w:tabs>
          <w:tab w:val="clear" w:pos="794"/>
          <w:tab w:val="clear" w:pos="1191"/>
          <w:tab w:val="clear" w:pos="1588"/>
          <w:tab w:val="clear" w:pos="1985"/>
        </w:tabs>
        <w:spacing w:before="200" w:after="120"/>
        <w:ind w:right="91"/>
        <w:jc w:val="center"/>
        <w:rPr>
          <w:b/>
          <w:bCs/>
          <w:szCs w:val="22"/>
          <w:lang w:val="es-ES"/>
        </w:rPr>
      </w:pPr>
      <w:r w:rsidRPr="00D03338">
        <w:rPr>
          <w:b/>
          <w:bCs/>
          <w:szCs w:val="22"/>
          <w:lang w:val="es-ES"/>
        </w:rPr>
        <w:t>PREINSCRIPCIÓN Y APOYO PARA LA OBTE</w:t>
      </w:r>
      <w:r>
        <w:rPr>
          <w:b/>
          <w:bCs/>
          <w:szCs w:val="22"/>
          <w:lang w:val="es-ES"/>
        </w:rPr>
        <w:t>NCIÓN DE VISADO</w:t>
      </w:r>
    </w:p>
    <w:p w14:paraId="4803EDA4" w14:textId="137FEC55" w:rsidR="007961CD" w:rsidRPr="00D03338" w:rsidRDefault="007961CD" w:rsidP="009A28B2">
      <w:pPr>
        <w:rPr>
          <w:b/>
          <w:bCs/>
          <w:lang w:val="es-ES"/>
        </w:rPr>
      </w:pPr>
      <w:r w:rsidRPr="00D03338">
        <w:rPr>
          <w:b/>
          <w:bCs/>
          <w:lang w:val="es-ES"/>
        </w:rPr>
        <w:t>PREINSCRIPCIÓN</w:t>
      </w:r>
      <w:r w:rsidRPr="00D03338">
        <w:rPr>
          <w:lang w:val="es-ES"/>
        </w:rPr>
        <w:t>:</w:t>
      </w:r>
      <w:r w:rsidRPr="00D03338">
        <w:rPr>
          <w:b/>
          <w:bCs/>
          <w:lang w:val="es-ES"/>
        </w:rPr>
        <w:t xml:space="preserve"> </w:t>
      </w:r>
      <w:r w:rsidRPr="00D03338">
        <w:rPr>
          <w:lang w:val="es-ES"/>
        </w:rPr>
        <w:t xml:space="preserve">La preinscripción es obligatoria para participar </w:t>
      </w:r>
      <w:r w:rsidRPr="00D03338">
        <w:rPr>
          <w:u w:val="single"/>
          <w:lang w:val="es-ES"/>
        </w:rPr>
        <w:t xml:space="preserve">tanto en persona como a distancia </w:t>
      </w:r>
      <w:r w:rsidRPr="00D03338">
        <w:rPr>
          <w:lang w:val="es-ES"/>
        </w:rPr>
        <w:t xml:space="preserve">y debe realizarse en línea en la página principal </w:t>
      </w:r>
      <w:r>
        <w:rPr>
          <w:lang w:val="es-ES"/>
        </w:rPr>
        <w:t xml:space="preserve">de la Comisión de Estudio </w:t>
      </w:r>
      <w:r>
        <w:rPr>
          <w:b/>
          <w:bCs/>
          <w:lang w:val="es-ES"/>
        </w:rPr>
        <w:t>a más tardar un mes antes de la reunión</w:t>
      </w:r>
      <w:r w:rsidRPr="00D03338">
        <w:rPr>
          <w:lang w:val="es-ES"/>
        </w:rPr>
        <w:t>. El sistema de inscripción del UIT-T requiere que el coordinador apruebe las solicitudes de inscripción; no obstante, es</w:t>
      </w:r>
      <w:r>
        <w:rPr>
          <w:lang w:val="es-ES"/>
        </w:rPr>
        <w:t xml:space="preserve"> posible modificar el proceso a fin de permitir la aprobación automática de las mismas, según se indica en la</w:t>
      </w:r>
      <w:r w:rsidRPr="00D03338">
        <w:rPr>
          <w:lang w:val="es-ES"/>
        </w:rPr>
        <w:t xml:space="preserve"> </w:t>
      </w:r>
      <w:hyperlink r:id="rId28" w:history="1">
        <w:r>
          <w:rPr>
            <w:rStyle w:val="Hyperlink"/>
            <w:szCs w:val="22"/>
            <w:lang w:val="es-ES"/>
          </w:rPr>
          <w:t>Circular TSB 1</w:t>
        </w:r>
      </w:hyperlink>
      <w:r w:rsidRPr="00D03338">
        <w:rPr>
          <w:lang w:val="es-ES"/>
        </w:rPr>
        <w:t>. Algunas de las opciones en el formulario de inscripció</w:t>
      </w:r>
      <w:r>
        <w:rPr>
          <w:lang w:val="es-ES"/>
        </w:rPr>
        <w:t>n se aplican únicamente a los Estados Miembros (por ejemplo, función</w:t>
      </w:r>
      <w:r w:rsidRPr="00D03338">
        <w:rPr>
          <w:lang w:val="es-ES"/>
        </w:rPr>
        <w:t>). Se alienta a los Miembros a incluir mujeres en sus delegaciones</w:t>
      </w:r>
      <w:r>
        <w:rPr>
          <w:lang w:val="es-ES"/>
        </w:rPr>
        <w:t xml:space="preserve"> siempre que sea posible</w:t>
      </w:r>
      <w:r w:rsidRPr="00D03338">
        <w:rPr>
          <w:lang w:val="es-ES"/>
        </w:rPr>
        <w:t>.</w:t>
      </w:r>
    </w:p>
    <w:p w14:paraId="59C09B19" w14:textId="77777777" w:rsidR="007961CD" w:rsidRPr="00D03338" w:rsidRDefault="007961CD" w:rsidP="009A28B2">
      <w:pPr>
        <w:rPr>
          <w:bCs/>
          <w:lang w:val="es-ES"/>
        </w:rPr>
      </w:pPr>
      <w:r w:rsidRPr="00D03338">
        <w:rPr>
          <w:b/>
          <w:bCs/>
          <w:lang w:val="es-ES"/>
        </w:rPr>
        <w:t>APOYO PARA LA OBTENCIÓN DE VISADO</w:t>
      </w:r>
      <w:r w:rsidRPr="00D03338">
        <w:rPr>
          <w:bCs/>
          <w:lang w:val="es-ES"/>
        </w:rPr>
        <w:t>: En su caso, los visados deben solicitarse antes de la fecha de llegada a Suiza en la embajada o el consulado que represente a Suiza en su país o, en su</w:t>
      </w:r>
      <w:r>
        <w:rPr>
          <w:bCs/>
          <w:lang w:val="es-ES"/>
        </w:rPr>
        <w:t xml:space="preserve"> defecto, en la entidad más próxima a su país de partida. </w:t>
      </w:r>
      <w:r w:rsidRPr="00D03338">
        <w:rPr>
          <w:bCs/>
          <w:lang w:val="es-ES"/>
        </w:rPr>
        <w:t>Habida cuenta de que los plazos aplicables pueden variar, se recomienda consultar directamente a la representación adecuada y presentar la solicitud con antelación.</w:t>
      </w:r>
    </w:p>
    <w:p w14:paraId="4D0AE4D9" w14:textId="28865D11" w:rsidR="007961CD" w:rsidRPr="00372C68" w:rsidRDefault="007961CD" w:rsidP="009A28B2">
      <w:pPr>
        <w:rPr>
          <w:lang w:val="es-ES"/>
        </w:rPr>
      </w:pPr>
      <w:r w:rsidRPr="00D03338">
        <w:rPr>
          <w:bCs/>
          <w:lang w:val="es-ES"/>
        </w:rPr>
        <w:lastRenderedPageBreak/>
        <w:t>En caso de necesidad, la Unión puede, previa solicitud oficial de</w:t>
      </w:r>
      <w:r>
        <w:rPr>
          <w:bCs/>
          <w:lang w:val="es-ES"/>
        </w:rPr>
        <w:t xml:space="preserve"> </w:t>
      </w:r>
      <w:r w:rsidRPr="00D03338">
        <w:rPr>
          <w:bCs/>
          <w:lang w:val="es-ES"/>
        </w:rPr>
        <w:t>la administración o la entidad que usted representa, intervenir ante las autoridades suizas com</w:t>
      </w:r>
      <w:r>
        <w:rPr>
          <w:bCs/>
          <w:lang w:val="es-ES"/>
        </w:rPr>
        <w:t>petentes para facilitar la expedición de ese visado</w:t>
      </w:r>
      <w:r w:rsidRPr="00D03338">
        <w:rPr>
          <w:bCs/>
          <w:lang w:val="es-ES"/>
        </w:rPr>
        <w:t>. Una vez que el coordinador de inscripciones de su organización haya aprobado su in</w:t>
      </w:r>
      <w:r>
        <w:rPr>
          <w:bCs/>
          <w:lang w:val="es-ES"/>
        </w:rPr>
        <w:t xml:space="preserve">scripción, suelen transcurrir 15 días antes de que se emita la carta de solicitud de visado. </w:t>
      </w:r>
      <w:r w:rsidRPr="00372C68">
        <w:rPr>
          <w:bCs/>
          <w:lang w:val="es-ES"/>
        </w:rPr>
        <w:t>Por consiguiente, las solicitudes deberán efectuarse marcando la casilla correspondiente en el formulario de in</w:t>
      </w:r>
      <w:r>
        <w:rPr>
          <w:bCs/>
          <w:lang w:val="es-ES"/>
        </w:rPr>
        <w:t xml:space="preserve">scripción </w:t>
      </w:r>
      <w:r>
        <w:rPr>
          <w:b/>
          <w:lang w:val="es-ES"/>
        </w:rPr>
        <w:t>a más tardar un mes antes de la reunión</w:t>
      </w:r>
      <w:r w:rsidRPr="00372C68">
        <w:rPr>
          <w:bCs/>
          <w:lang w:val="es-ES"/>
        </w:rPr>
        <w:t>. Toda consulta al respecto debe remitirse a la Sección de Viaj</w:t>
      </w:r>
      <w:r>
        <w:rPr>
          <w:bCs/>
          <w:lang w:val="es-ES"/>
        </w:rPr>
        <w:t>es de la UIT</w:t>
      </w:r>
      <w:r w:rsidRPr="00372C68">
        <w:rPr>
          <w:bCs/>
          <w:lang w:val="es-ES"/>
        </w:rPr>
        <w:t xml:space="preserve"> (</w:t>
      </w:r>
      <w:hyperlink r:id="rId29" w:history="1">
        <w:r w:rsidRPr="00372C68">
          <w:rPr>
            <w:rStyle w:val="Hyperlink"/>
            <w:bCs/>
            <w:szCs w:val="22"/>
            <w:lang w:val="es-ES"/>
          </w:rPr>
          <w:t>travel@itu.int</w:t>
        </w:r>
      </w:hyperlink>
      <w:r w:rsidRPr="00372C68">
        <w:rPr>
          <w:bCs/>
          <w:lang w:val="es-ES"/>
        </w:rPr>
        <w:t>)</w:t>
      </w:r>
      <w:r>
        <w:rPr>
          <w:bCs/>
          <w:lang w:val="es-ES"/>
        </w:rPr>
        <w:t xml:space="preserve"> con la indicación </w:t>
      </w:r>
      <w:r w:rsidR="009A28B2">
        <w:rPr>
          <w:bCs/>
          <w:lang w:val="es-ES"/>
        </w:rPr>
        <w:t>"</w:t>
      </w:r>
      <w:r w:rsidRPr="00372C68">
        <w:rPr>
          <w:b/>
          <w:lang w:val="es-ES"/>
        </w:rPr>
        <w:t>apoyo para la obtención de visado</w:t>
      </w:r>
      <w:r w:rsidR="009A28B2">
        <w:rPr>
          <w:bCs/>
          <w:lang w:val="es-ES"/>
        </w:rPr>
        <w:t>"</w:t>
      </w:r>
      <w:r w:rsidRPr="00372C68">
        <w:rPr>
          <w:bCs/>
          <w:lang w:val="es-ES"/>
        </w:rPr>
        <w:t>.</w:t>
      </w:r>
    </w:p>
    <w:p w14:paraId="35FA3FB6" w14:textId="77777777" w:rsidR="007961CD" w:rsidRPr="00EA49D1" w:rsidRDefault="007961CD" w:rsidP="007961CD">
      <w:pPr>
        <w:tabs>
          <w:tab w:val="left" w:pos="1418"/>
          <w:tab w:val="left" w:pos="1702"/>
          <w:tab w:val="left" w:pos="2160"/>
        </w:tabs>
        <w:spacing w:before="200" w:after="120"/>
        <w:ind w:right="91"/>
        <w:jc w:val="center"/>
        <w:rPr>
          <w:b/>
          <w:bCs/>
          <w:szCs w:val="22"/>
          <w:lang w:val="es-ES"/>
        </w:rPr>
      </w:pPr>
      <w:r w:rsidRPr="00EA49D1">
        <w:rPr>
          <w:b/>
          <w:bCs/>
          <w:szCs w:val="22"/>
          <w:lang w:val="es-ES"/>
        </w:rPr>
        <w:t>VISITAS A GINEBRA: HOTELES, TRANSPORTE PÚBLICO</w:t>
      </w:r>
    </w:p>
    <w:p w14:paraId="5C6AEBA7" w14:textId="2D9A4203" w:rsidR="007961CD" w:rsidRPr="00372C68" w:rsidRDefault="007961CD" w:rsidP="009A28B2">
      <w:pPr>
        <w:rPr>
          <w:lang w:val="es-ES"/>
        </w:rPr>
      </w:pPr>
      <w:r w:rsidRPr="00372C68">
        <w:rPr>
          <w:b/>
          <w:bCs/>
          <w:lang w:val="es-ES"/>
        </w:rPr>
        <w:t>VISITAS A GINEBRA</w:t>
      </w:r>
      <w:r w:rsidRPr="00372C68">
        <w:rPr>
          <w:lang w:val="es-ES"/>
        </w:rPr>
        <w:t>: Los delegados que asistan a reuniones de</w:t>
      </w:r>
      <w:r>
        <w:rPr>
          <w:lang w:val="es-ES"/>
        </w:rPr>
        <w:t xml:space="preserve"> </w:t>
      </w:r>
      <w:r w:rsidRPr="00372C68">
        <w:rPr>
          <w:lang w:val="es-ES"/>
        </w:rPr>
        <w:t>la UIT en Ginebra pueden encontrar información práctica e</w:t>
      </w:r>
      <w:r>
        <w:rPr>
          <w:lang w:val="es-ES"/>
        </w:rPr>
        <w:t>n</w:t>
      </w:r>
      <w:r w:rsidRPr="00372C68">
        <w:rPr>
          <w:lang w:val="es-ES"/>
        </w:rPr>
        <w:t xml:space="preserve">: </w:t>
      </w:r>
      <w:hyperlink r:id="rId30">
        <w:r w:rsidRPr="00372C68">
          <w:rPr>
            <w:rStyle w:val="Hyperlink"/>
            <w:lang w:val="es-ES"/>
          </w:rPr>
          <w:t>https://itu.int/en/delegates-corner</w:t>
        </w:r>
      </w:hyperlink>
      <w:r w:rsidRPr="00372C68">
        <w:rPr>
          <w:lang w:val="es-ES"/>
        </w:rPr>
        <w:t>.</w:t>
      </w:r>
    </w:p>
    <w:p w14:paraId="0CDF4AE6" w14:textId="48D24420" w:rsidR="007961CD" w:rsidRDefault="007961CD" w:rsidP="007961CD">
      <w:pPr>
        <w:rPr>
          <w:lang w:val="es-ES"/>
        </w:rPr>
      </w:pPr>
      <w:r w:rsidRPr="00372C68">
        <w:rPr>
          <w:b/>
          <w:bCs/>
          <w:lang w:val="es-ES"/>
        </w:rPr>
        <w:t>DESCUENTOS PARA HOTELES</w:t>
      </w:r>
      <w:r w:rsidRPr="00372C68">
        <w:rPr>
          <w:lang w:val="es-ES"/>
        </w:rPr>
        <w:t>: Varios hoteles de Ginebra ofrecen precios especiales para los delegados que asisten a reun</w:t>
      </w:r>
      <w:r>
        <w:rPr>
          <w:lang w:val="es-ES"/>
        </w:rPr>
        <w:t xml:space="preserve">iones de la UIT y regalan un abono gratuito para los transportes públicos de la ciudad. </w:t>
      </w:r>
      <w:r w:rsidRPr="00372C68">
        <w:rPr>
          <w:lang w:val="es-ES"/>
        </w:rPr>
        <w:t>Puede consultar una lista de esos hoteles e información sobre cómo solicitar los descuentos</w:t>
      </w:r>
      <w:r>
        <w:rPr>
          <w:lang w:val="es-ES"/>
        </w:rPr>
        <w:t xml:space="preserve"> en la dirección</w:t>
      </w:r>
      <w:r w:rsidRPr="00EA49D1">
        <w:rPr>
          <w:lang w:val="es-ES"/>
        </w:rPr>
        <w:t xml:space="preserve"> </w:t>
      </w:r>
      <w:hyperlink r:id="rId31" w:history="1">
        <w:r w:rsidRPr="007961CD">
          <w:rPr>
            <w:rStyle w:val="Hyperlink"/>
            <w:lang w:val="es-ES"/>
          </w:rPr>
          <w:t>https://itu.int/travel/</w:t>
        </w:r>
      </w:hyperlink>
      <w:r w:rsidRPr="007961CD">
        <w:rPr>
          <w:lang w:val="es-ES"/>
        </w:rPr>
        <w:t>.</w:t>
      </w:r>
    </w:p>
    <w:p w14:paraId="458C4C0D" w14:textId="324E730E" w:rsidR="007961CD" w:rsidRDefault="007961C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28CD4354" w14:textId="77777777" w:rsidR="007961CD" w:rsidRPr="008E1E44" w:rsidRDefault="007961CD" w:rsidP="007961CD">
      <w:pPr>
        <w:pStyle w:val="Annextitle0"/>
        <w:rPr>
          <w:szCs w:val="28"/>
        </w:rPr>
      </w:pPr>
      <w:r w:rsidRPr="008E1E44">
        <w:rPr>
          <w:szCs w:val="28"/>
        </w:rPr>
        <w:lastRenderedPageBreak/>
        <w:t>ANNEX B</w:t>
      </w:r>
      <w:r>
        <w:rPr>
          <w:szCs w:val="28"/>
        </w:rPr>
        <w:br/>
      </w:r>
      <w:r w:rsidRPr="008E1E44">
        <w:rPr>
          <w:szCs w:val="28"/>
        </w:rPr>
        <w:t>Meetings of Working Parties 1/13, 2/13, 3/13 and 4/13</w:t>
      </w:r>
      <w:r w:rsidRPr="008E1E44">
        <w:rPr>
          <w:szCs w:val="28"/>
        </w:rPr>
        <w:br/>
        <w:t>Geneva, 25 July 2025</w:t>
      </w:r>
    </w:p>
    <w:p w14:paraId="659CA808" w14:textId="77777777" w:rsidR="007961CD" w:rsidRPr="007961CD" w:rsidRDefault="007961CD" w:rsidP="007961CD">
      <w:pPr>
        <w:tabs>
          <w:tab w:val="center" w:pos="5103"/>
          <w:tab w:val="left" w:pos="7017"/>
        </w:tabs>
        <w:jc w:val="center"/>
        <w:rPr>
          <w:b/>
          <w:sz w:val="24"/>
          <w:szCs w:val="24"/>
          <w:lang w:val="en-GB"/>
        </w:rPr>
      </w:pPr>
      <w:r w:rsidRPr="007961CD">
        <w:rPr>
          <w:b/>
          <w:sz w:val="24"/>
          <w:szCs w:val="24"/>
          <w:lang w:val="en-GB"/>
        </w:rPr>
        <w:t>Draft agenda</w:t>
      </w:r>
      <w:r w:rsidRPr="007961CD">
        <w:rPr>
          <w:b/>
          <w:sz w:val="24"/>
          <w:szCs w:val="24"/>
          <w:lang w:val="en-GB"/>
        </w:rPr>
        <w:tab/>
      </w:r>
      <w:r w:rsidRPr="007961CD">
        <w:rPr>
          <w:b/>
          <w:sz w:val="24"/>
          <w:szCs w:val="24"/>
          <w:lang w:val="en-GB"/>
        </w:rPr>
        <w:br/>
      </w:r>
    </w:p>
    <w:p w14:paraId="45E735CA" w14:textId="77777777" w:rsidR="007961CD" w:rsidRPr="007961CD" w:rsidRDefault="007961CD" w:rsidP="007961CD">
      <w:pPr>
        <w:tabs>
          <w:tab w:val="clear" w:pos="794"/>
          <w:tab w:val="left" w:pos="426"/>
        </w:tabs>
        <w:rPr>
          <w:lang w:val="en-GB"/>
        </w:rPr>
      </w:pPr>
      <w:r w:rsidRPr="007961CD">
        <w:rPr>
          <w:lang w:val="en-GB"/>
        </w:rPr>
        <w:t>1</w:t>
      </w:r>
      <w:r w:rsidRPr="007961CD">
        <w:rPr>
          <w:lang w:val="en-GB"/>
        </w:rPr>
        <w:tab/>
        <w:t>Opening remarks and welcome</w:t>
      </w:r>
    </w:p>
    <w:p w14:paraId="52075C06" w14:textId="77777777" w:rsidR="007961CD" w:rsidRPr="007961CD" w:rsidRDefault="007961CD" w:rsidP="007961CD">
      <w:pPr>
        <w:tabs>
          <w:tab w:val="clear" w:pos="794"/>
          <w:tab w:val="left" w:pos="426"/>
        </w:tabs>
        <w:rPr>
          <w:lang w:val="en-GB"/>
        </w:rPr>
      </w:pPr>
      <w:r w:rsidRPr="007961CD">
        <w:rPr>
          <w:lang w:val="en-GB"/>
        </w:rPr>
        <w:t>2</w:t>
      </w:r>
      <w:r w:rsidRPr="007961CD">
        <w:rPr>
          <w:lang w:val="en-GB"/>
        </w:rPr>
        <w:tab/>
        <w:t>Approval of the agenda for the plenary meetings of Working Parties 1, 2, 3 and 4/13</w:t>
      </w:r>
    </w:p>
    <w:p w14:paraId="7F62439E" w14:textId="77777777" w:rsidR="007961CD" w:rsidRPr="007961CD" w:rsidRDefault="007961CD" w:rsidP="007961CD">
      <w:pPr>
        <w:tabs>
          <w:tab w:val="clear" w:pos="794"/>
          <w:tab w:val="left" w:pos="426"/>
        </w:tabs>
        <w:rPr>
          <w:lang w:val="en-GB"/>
        </w:rPr>
      </w:pPr>
      <w:r w:rsidRPr="007961CD">
        <w:rPr>
          <w:lang w:val="en-GB"/>
        </w:rPr>
        <w:t>3</w:t>
      </w:r>
      <w:r w:rsidRPr="007961CD">
        <w:rPr>
          <w:lang w:val="en-GB"/>
        </w:rPr>
        <w:tab/>
        <w:t>Review the results of Rapporteur Group meetings (May - July 2025)</w:t>
      </w:r>
    </w:p>
    <w:p w14:paraId="77C904BF" w14:textId="77777777" w:rsidR="007961CD" w:rsidRPr="007961CD" w:rsidRDefault="007961CD" w:rsidP="007961CD">
      <w:pPr>
        <w:tabs>
          <w:tab w:val="clear" w:pos="794"/>
          <w:tab w:val="left" w:pos="426"/>
          <w:tab w:val="left" w:pos="851"/>
        </w:tabs>
        <w:rPr>
          <w:lang w:val="en-GB"/>
        </w:rPr>
      </w:pPr>
      <w:r w:rsidRPr="007961CD">
        <w:rPr>
          <w:lang w:val="en-GB"/>
        </w:rPr>
        <w:t>4</w:t>
      </w:r>
      <w:r w:rsidRPr="007961CD">
        <w:rPr>
          <w:lang w:val="en-GB"/>
        </w:rPr>
        <w:tab/>
        <w:t xml:space="preserve">Determination of draft Recommendation </w:t>
      </w:r>
    </w:p>
    <w:p w14:paraId="75C8196E" w14:textId="77777777" w:rsidR="007961CD" w:rsidRPr="007961CD" w:rsidRDefault="007961CD" w:rsidP="007961CD">
      <w:pPr>
        <w:tabs>
          <w:tab w:val="clear" w:pos="794"/>
          <w:tab w:val="left" w:pos="426"/>
        </w:tabs>
        <w:rPr>
          <w:lang w:val="en-GB"/>
        </w:rPr>
      </w:pPr>
      <w:r w:rsidRPr="007961CD">
        <w:rPr>
          <w:lang w:val="en-GB"/>
        </w:rPr>
        <w:t>5</w:t>
      </w:r>
      <w:r w:rsidRPr="007961CD">
        <w:rPr>
          <w:lang w:val="en-GB"/>
        </w:rPr>
        <w:tab/>
        <w:t>Consent of draft Recommendations</w:t>
      </w:r>
    </w:p>
    <w:p w14:paraId="18848F84" w14:textId="77777777" w:rsidR="007961CD" w:rsidRPr="007961CD" w:rsidRDefault="007961CD" w:rsidP="007961CD">
      <w:pPr>
        <w:tabs>
          <w:tab w:val="clear" w:pos="794"/>
          <w:tab w:val="left" w:pos="426"/>
        </w:tabs>
        <w:rPr>
          <w:lang w:val="en-GB"/>
        </w:rPr>
      </w:pPr>
      <w:r w:rsidRPr="007961CD">
        <w:rPr>
          <w:lang w:val="en-GB"/>
        </w:rPr>
        <w:t>6</w:t>
      </w:r>
      <w:r w:rsidRPr="007961CD">
        <w:rPr>
          <w:lang w:val="en-GB"/>
        </w:rPr>
        <w:tab/>
        <w:t>Agreement on Supplements</w:t>
      </w:r>
    </w:p>
    <w:p w14:paraId="30828CDA" w14:textId="77777777" w:rsidR="007961CD" w:rsidRPr="007961CD" w:rsidRDefault="007961CD" w:rsidP="007961CD">
      <w:pPr>
        <w:tabs>
          <w:tab w:val="clear" w:pos="794"/>
          <w:tab w:val="left" w:pos="426"/>
        </w:tabs>
        <w:rPr>
          <w:lang w:val="en-GB"/>
        </w:rPr>
      </w:pPr>
      <w:r w:rsidRPr="007961CD">
        <w:rPr>
          <w:lang w:val="en-GB"/>
        </w:rPr>
        <w:t>7</w:t>
      </w:r>
      <w:r w:rsidRPr="007961CD">
        <w:rPr>
          <w:lang w:val="en-GB"/>
        </w:rPr>
        <w:tab/>
        <w:t xml:space="preserve">Agreement on new work items </w:t>
      </w:r>
    </w:p>
    <w:p w14:paraId="1B624F21" w14:textId="77777777" w:rsidR="007961CD" w:rsidRPr="007961CD" w:rsidRDefault="007961CD" w:rsidP="007961CD">
      <w:pPr>
        <w:tabs>
          <w:tab w:val="clear" w:pos="794"/>
          <w:tab w:val="left" w:pos="426"/>
        </w:tabs>
        <w:rPr>
          <w:lang w:val="en-GB"/>
        </w:rPr>
      </w:pPr>
      <w:r w:rsidRPr="007961CD">
        <w:rPr>
          <w:lang w:val="en-GB"/>
        </w:rPr>
        <w:t>8</w:t>
      </w:r>
      <w:r w:rsidRPr="007961CD">
        <w:rPr>
          <w:lang w:val="en-GB"/>
        </w:rPr>
        <w:tab/>
        <w:t>Approval of outgoing liaison statements</w:t>
      </w:r>
    </w:p>
    <w:p w14:paraId="258266DA" w14:textId="77777777" w:rsidR="007961CD" w:rsidRPr="007961CD" w:rsidRDefault="007961CD" w:rsidP="007961CD">
      <w:pPr>
        <w:tabs>
          <w:tab w:val="clear" w:pos="794"/>
          <w:tab w:val="left" w:pos="426"/>
        </w:tabs>
        <w:rPr>
          <w:lang w:val="en-GB"/>
        </w:rPr>
      </w:pPr>
      <w:r w:rsidRPr="007961CD">
        <w:rPr>
          <w:lang w:val="en-GB"/>
        </w:rPr>
        <w:t>9</w:t>
      </w:r>
      <w:r w:rsidRPr="007961CD">
        <w:rPr>
          <w:lang w:val="en-GB"/>
        </w:rPr>
        <w:tab/>
        <w:t>Agreement on future activities</w:t>
      </w:r>
    </w:p>
    <w:p w14:paraId="16B08613" w14:textId="77777777" w:rsidR="007961CD" w:rsidRPr="00BE1744" w:rsidRDefault="007961CD" w:rsidP="007961CD">
      <w:pPr>
        <w:tabs>
          <w:tab w:val="clear" w:pos="794"/>
          <w:tab w:val="left" w:pos="426"/>
        </w:tabs>
      </w:pPr>
      <w:r w:rsidRPr="00BE1744">
        <w:t>10</w:t>
      </w:r>
      <w:r w:rsidRPr="00FE6126">
        <w:tab/>
      </w:r>
      <w:proofErr w:type="spellStart"/>
      <w:r w:rsidRPr="00BE1744">
        <w:t>Miscellaneous</w:t>
      </w:r>
      <w:proofErr w:type="spellEnd"/>
    </w:p>
    <w:p w14:paraId="0D144851" w14:textId="1DE547DC" w:rsidR="007961CD" w:rsidRDefault="007961CD" w:rsidP="007961CD">
      <w:pPr>
        <w:tabs>
          <w:tab w:val="clear" w:pos="794"/>
          <w:tab w:val="clear" w:pos="1191"/>
          <w:tab w:val="left" w:pos="426"/>
        </w:tabs>
      </w:pPr>
      <w:r w:rsidRPr="00BE1744">
        <w:t>11</w:t>
      </w:r>
      <w:r w:rsidRPr="00FE6126">
        <w:tab/>
      </w:r>
      <w:proofErr w:type="spellStart"/>
      <w:r w:rsidRPr="00BE1744">
        <w:t>Closure</w:t>
      </w:r>
      <w:proofErr w:type="spellEnd"/>
      <w:r w:rsidRPr="00BE1744">
        <w:t xml:space="preserve"> of the meeting</w:t>
      </w:r>
    </w:p>
    <w:p w14:paraId="59764D6C" w14:textId="77777777" w:rsidR="007961CD" w:rsidRDefault="007961CD">
      <w:pPr>
        <w:jc w:val="center"/>
      </w:pPr>
      <w:r>
        <w:t>______________</w:t>
      </w:r>
    </w:p>
    <w:sectPr w:rsidR="007961CD" w:rsidSect="002545AA">
      <w:headerReference w:type="even" r:id="rId32"/>
      <w:headerReference w:type="default" r:id="rId33"/>
      <w:footerReference w:type="first" r:id="rId34"/>
      <w:pgSz w:w="11907" w:h="16840" w:code="9"/>
      <w:pgMar w:top="1134" w:right="1134" w:bottom="1134" w:left="1134" w:header="567" w:footer="567" w:gutter="0"/>
      <w:paperSrc w:first="261" w:other="26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C00BA5" w14:textId="77777777" w:rsidR="00141CB4" w:rsidRDefault="00141CB4">
      <w:r>
        <w:separator/>
      </w:r>
    </w:p>
  </w:endnote>
  <w:endnote w:type="continuationSeparator" w:id="0">
    <w:p w14:paraId="5BF76172" w14:textId="77777777" w:rsidR="00141CB4" w:rsidRDefault="00141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4CB48E" w14:textId="77777777" w:rsidR="005E67CA" w:rsidRPr="00F834B9" w:rsidRDefault="005E67CA" w:rsidP="005E67CA">
    <w:pPr>
      <w:pStyle w:val="FirstFooter"/>
      <w:ind w:left="-397" w:right="-397"/>
      <w:jc w:val="center"/>
      <w:rPr>
        <w:color w:val="0070C0"/>
        <w:szCs w:val="18"/>
        <w:lang w:val="es-ES"/>
      </w:rPr>
    </w:pPr>
    <w:r w:rsidRPr="00F834B9">
      <w:rPr>
        <w:color w:val="0070C0"/>
        <w:szCs w:val="18"/>
        <w:lang w:val="es-ES"/>
      </w:rPr>
      <w:t xml:space="preserve">Unión Internacional de Telecomunicaciones • Place des </w:t>
    </w:r>
    <w:proofErr w:type="spellStart"/>
    <w:r w:rsidRPr="00F834B9">
      <w:rPr>
        <w:color w:val="0070C0"/>
        <w:szCs w:val="18"/>
        <w:lang w:val="es-ES"/>
      </w:rPr>
      <w:t>Nations</w:t>
    </w:r>
    <w:proofErr w:type="spellEnd"/>
    <w:r w:rsidRPr="00F834B9">
      <w:rPr>
        <w:color w:val="0070C0"/>
        <w:szCs w:val="18"/>
        <w:lang w:val="es-ES"/>
      </w:rPr>
      <w:t>, CH</w:t>
    </w:r>
    <w:r w:rsidRPr="00F834B9">
      <w:rPr>
        <w:color w:val="0070C0"/>
        <w:szCs w:val="18"/>
        <w:lang w:val="es-ES"/>
      </w:rPr>
      <w:noBreakHyphen/>
      <w:t xml:space="preserve">1211 Ginebra 20, Suiza </w:t>
    </w:r>
    <w:r w:rsidRPr="00F834B9">
      <w:rPr>
        <w:color w:val="0070C0"/>
        <w:szCs w:val="18"/>
        <w:lang w:val="es-ES"/>
      </w:rPr>
      <w:br/>
      <w:t xml:space="preserve">Tel: +41 22 730 5111 • Fax: +41 22 733 7256 • Correo-e: </w:t>
    </w:r>
    <w:hyperlink r:id="rId1" w:history="1">
      <w:r w:rsidRPr="00F834B9">
        <w:rPr>
          <w:rStyle w:val="Hyperlink"/>
          <w:color w:val="0070C0"/>
          <w:lang w:val="es-ES"/>
        </w:rPr>
        <w:t>itumail@itu.int</w:t>
      </w:r>
    </w:hyperlink>
    <w:r w:rsidRPr="00F834B9">
      <w:rPr>
        <w:color w:val="0070C0"/>
        <w:szCs w:val="18"/>
        <w:lang w:val="es-ES"/>
      </w:rPr>
      <w:t xml:space="preserve"> • </w:t>
    </w:r>
    <w:hyperlink r:id="rId2" w:history="1">
      <w:r w:rsidRPr="00F834B9">
        <w:rPr>
          <w:rStyle w:val="Hyperlink"/>
          <w:color w:val="0070C0"/>
          <w:lang w:val="es-ES"/>
        </w:rPr>
        <w:t>www.itu.int</w:t>
      </w:r>
    </w:hyperlink>
    <w:r w:rsidRPr="00F834B9">
      <w:rPr>
        <w:color w:val="0070C0"/>
        <w:szCs w:val="18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E2FCA3" w14:textId="77777777" w:rsidR="00141CB4" w:rsidRDefault="00141CB4">
      <w:r>
        <w:t>____________________</w:t>
      </w:r>
    </w:p>
  </w:footnote>
  <w:footnote w:type="continuationSeparator" w:id="0">
    <w:p w14:paraId="6AACE5AC" w14:textId="77777777" w:rsidR="00141CB4" w:rsidRDefault="00141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84290009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14:paraId="22281329" w14:textId="77788A18" w:rsidR="00141CB4" w:rsidRPr="00BC1FB8" w:rsidRDefault="00BC1FB8" w:rsidP="00BC1FB8">
        <w:pPr>
          <w:pStyle w:val="Header"/>
          <w:spacing w:after="240"/>
          <w:rPr>
            <w:noProof/>
            <w:sz w:val="18"/>
            <w:szCs w:val="18"/>
          </w:rPr>
        </w:pPr>
        <w:r w:rsidRPr="00DF4D66">
          <w:rPr>
            <w:sz w:val="18"/>
            <w:szCs w:val="16"/>
          </w:rPr>
          <w:t xml:space="preserve">- </w:t>
        </w:r>
        <w:r w:rsidRPr="00F55157">
          <w:rPr>
            <w:sz w:val="18"/>
            <w:szCs w:val="18"/>
          </w:rPr>
          <w:fldChar w:fldCharType="begin"/>
        </w:r>
        <w:r w:rsidRPr="00F55157">
          <w:rPr>
            <w:sz w:val="18"/>
            <w:szCs w:val="18"/>
          </w:rPr>
          <w:instrText xml:space="preserve"> PAGE   \* MERGEFORMAT </w:instrText>
        </w:r>
        <w:r w:rsidRPr="00F55157">
          <w:rPr>
            <w:sz w:val="18"/>
            <w:szCs w:val="18"/>
          </w:rPr>
          <w:fldChar w:fldCharType="separate"/>
        </w:r>
        <w:r w:rsidR="005E67CA">
          <w:rPr>
            <w:noProof/>
            <w:sz w:val="18"/>
            <w:szCs w:val="18"/>
          </w:rPr>
          <w:t>2</w:t>
        </w:r>
        <w:r w:rsidRPr="00F55157">
          <w:rPr>
            <w:noProof/>
            <w:sz w:val="18"/>
            <w:szCs w:val="18"/>
          </w:rPr>
          <w:fldChar w:fldCharType="end"/>
        </w:r>
        <w:r>
          <w:rPr>
            <w:noProof/>
            <w:sz w:val="18"/>
            <w:szCs w:val="18"/>
          </w:rPr>
          <w:t xml:space="preserve"> -</w:t>
        </w:r>
        <w:r>
          <w:rPr>
            <w:noProof/>
            <w:sz w:val="18"/>
            <w:szCs w:val="18"/>
          </w:rPr>
          <w:br/>
        </w:r>
        <w:r w:rsidRPr="001A50AB">
          <w:rPr>
            <w:bCs/>
            <w:sz w:val="18"/>
            <w:szCs w:val="18"/>
          </w:rPr>
          <w:t xml:space="preserve">Carta Colectiva </w:t>
        </w:r>
        <w:r w:rsidR="00DF1813">
          <w:rPr>
            <w:bCs/>
            <w:sz w:val="18"/>
            <w:szCs w:val="18"/>
          </w:rPr>
          <w:t>2</w:t>
        </w:r>
        <w:r w:rsidRPr="001A50AB">
          <w:rPr>
            <w:bCs/>
            <w:sz w:val="18"/>
            <w:szCs w:val="18"/>
          </w:rPr>
          <w:t>/</w:t>
        </w:r>
        <w:r w:rsidR="00DF1813">
          <w:rPr>
            <w:bCs/>
            <w:sz w:val="18"/>
            <w:szCs w:val="18"/>
          </w:rPr>
          <w:t>13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99141411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14:paraId="539DD8DF" w14:textId="6DE40F10" w:rsidR="00BC1FB8" w:rsidRPr="00BC1FB8" w:rsidRDefault="00BC1FB8" w:rsidP="00BC1FB8">
        <w:pPr>
          <w:pStyle w:val="Header"/>
          <w:spacing w:after="240"/>
          <w:rPr>
            <w:noProof/>
            <w:sz w:val="18"/>
            <w:szCs w:val="18"/>
          </w:rPr>
        </w:pPr>
        <w:r w:rsidRPr="00DF4D66">
          <w:rPr>
            <w:sz w:val="18"/>
            <w:szCs w:val="16"/>
          </w:rPr>
          <w:t xml:space="preserve">- </w:t>
        </w:r>
        <w:r w:rsidRPr="00F55157">
          <w:rPr>
            <w:sz w:val="18"/>
            <w:szCs w:val="18"/>
          </w:rPr>
          <w:fldChar w:fldCharType="begin"/>
        </w:r>
        <w:r w:rsidRPr="00F55157">
          <w:rPr>
            <w:sz w:val="18"/>
            <w:szCs w:val="18"/>
          </w:rPr>
          <w:instrText xml:space="preserve"> PAGE   \* MERGEFORMAT </w:instrText>
        </w:r>
        <w:r w:rsidRPr="00F55157">
          <w:rPr>
            <w:sz w:val="18"/>
            <w:szCs w:val="18"/>
          </w:rPr>
          <w:fldChar w:fldCharType="separate"/>
        </w:r>
        <w:r w:rsidR="005E67CA">
          <w:rPr>
            <w:noProof/>
            <w:sz w:val="18"/>
            <w:szCs w:val="18"/>
          </w:rPr>
          <w:t>3</w:t>
        </w:r>
        <w:r w:rsidRPr="00F55157">
          <w:rPr>
            <w:noProof/>
            <w:sz w:val="18"/>
            <w:szCs w:val="18"/>
          </w:rPr>
          <w:fldChar w:fldCharType="end"/>
        </w:r>
        <w:r>
          <w:rPr>
            <w:noProof/>
            <w:sz w:val="18"/>
            <w:szCs w:val="18"/>
          </w:rPr>
          <w:t xml:space="preserve"> -</w:t>
        </w:r>
        <w:r>
          <w:rPr>
            <w:noProof/>
            <w:sz w:val="18"/>
            <w:szCs w:val="18"/>
          </w:rPr>
          <w:br/>
        </w:r>
        <w:r w:rsidRPr="001A50AB">
          <w:rPr>
            <w:bCs/>
            <w:sz w:val="18"/>
            <w:szCs w:val="18"/>
          </w:rPr>
          <w:t xml:space="preserve">Carta Colectiva </w:t>
        </w:r>
        <w:r w:rsidR="009A28B2">
          <w:rPr>
            <w:bCs/>
            <w:sz w:val="18"/>
            <w:szCs w:val="18"/>
          </w:rPr>
          <w:t>2</w:t>
        </w:r>
        <w:r w:rsidRPr="001A50AB">
          <w:rPr>
            <w:bCs/>
            <w:sz w:val="18"/>
            <w:szCs w:val="18"/>
          </w:rPr>
          <w:t>/</w:t>
        </w:r>
        <w:r w:rsidR="009A28B2">
          <w:rPr>
            <w:bCs/>
            <w:sz w:val="18"/>
            <w:szCs w:val="18"/>
          </w:rPr>
          <w:t>13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8014EF"/>
    <w:multiLevelType w:val="hybridMultilevel"/>
    <w:tmpl w:val="5D3E9E12"/>
    <w:lvl w:ilvl="0" w:tplc="04090001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530F3BD4"/>
    <w:multiLevelType w:val="hybridMultilevel"/>
    <w:tmpl w:val="0C9CFDBA"/>
    <w:lvl w:ilvl="0" w:tplc="9BD247BA">
      <w:numFmt w:val="bullet"/>
      <w:lvlText w:val="-"/>
      <w:lvlJc w:val="left"/>
      <w:pPr>
        <w:ind w:left="2345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3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 w15:restartNumberingAfterBreak="0">
    <w:nsid w:val="5AAB1857"/>
    <w:multiLevelType w:val="hybridMultilevel"/>
    <w:tmpl w:val="1BD4DB70"/>
    <w:lvl w:ilvl="0" w:tplc="62B2D03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8F7012"/>
    <w:multiLevelType w:val="multilevel"/>
    <w:tmpl w:val="5CC6ABCA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  <w:rPr>
        <w:rFonts w:asciiTheme="minorHAnsi" w:hAnsiTheme="minorHAnsi" w:cs="Times New Roman" w:hint="default"/>
        <w:b w:val="0"/>
        <w:bCs w:val="0"/>
        <w:sz w:val="24"/>
        <w:szCs w:val="24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5670" w:hanging="708"/>
      </w:pPr>
      <w:rPr>
        <w:rFonts w:cs="Times New Roman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6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 w16cid:durableId="1444111890">
    <w:abstractNumId w:val="1"/>
  </w:num>
  <w:num w:numId="2" w16cid:durableId="2019042747">
    <w:abstractNumId w:val="7"/>
  </w:num>
  <w:num w:numId="3" w16cid:durableId="719399487">
    <w:abstractNumId w:val="6"/>
  </w:num>
  <w:num w:numId="4" w16cid:durableId="104009228">
    <w:abstractNumId w:val="3"/>
  </w:num>
  <w:num w:numId="5" w16cid:durableId="734862130">
    <w:abstractNumId w:val="4"/>
  </w:num>
  <w:num w:numId="6" w16cid:durableId="1144541770">
    <w:abstractNumId w:val="5"/>
  </w:num>
  <w:num w:numId="7" w16cid:durableId="438335943">
    <w:abstractNumId w:val="2"/>
  </w:num>
  <w:num w:numId="8" w16cid:durableId="1983535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772"/>
    <w:rsid w:val="00002529"/>
    <w:rsid w:val="00002634"/>
    <w:rsid w:val="00043D90"/>
    <w:rsid w:val="000678BB"/>
    <w:rsid w:val="00080F6C"/>
    <w:rsid w:val="000C375D"/>
    <w:rsid w:val="000C382F"/>
    <w:rsid w:val="000F67AE"/>
    <w:rsid w:val="00114963"/>
    <w:rsid w:val="001173CC"/>
    <w:rsid w:val="00126D02"/>
    <w:rsid w:val="001344C2"/>
    <w:rsid w:val="00136FC2"/>
    <w:rsid w:val="00141CB4"/>
    <w:rsid w:val="001671BC"/>
    <w:rsid w:val="001A2905"/>
    <w:rsid w:val="001A54CC"/>
    <w:rsid w:val="001C2FAD"/>
    <w:rsid w:val="001D1BA9"/>
    <w:rsid w:val="001F0D48"/>
    <w:rsid w:val="002021BB"/>
    <w:rsid w:val="00212668"/>
    <w:rsid w:val="00221C83"/>
    <w:rsid w:val="002545AA"/>
    <w:rsid w:val="00257FB4"/>
    <w:rsid w:val="00271D3E"/>
    <w:rsid w:val="0027571F"/>
    <w:rsid w:val="002C1570"/>
    <w:rsid w:val="00303D62"/>
    <w:rsid w:val="00313DBB"/>
    <w:rsid w:val="00324783"/>
    <w:rsid w:val="00327BC9"/>
    <w:rsid w:val="00335367"/>
    <w:rsid w:val="0033768F"/>
    <w:rsid w:val="00370C2D"/>
    <w:rsid w:val="003B60AA"/>
    <w:rsid w:val="003C00D3"/>
    <w:rsid w:val="003C2ECD"/>
    <w:rsid w:val="003D1E8D"/>
    <w:rsid w:val="003D4DFE"/>
    <w:rsid w:val="003D673B"/>
    <w:rsid w:val="003F0402"/>
    <w:rsid w:val="003F073D"/>
    <w:rsid w:val="003F2855"/>
    <w:rsid w:val="00401C20"/>
    <w:rsid w:val="00402B00"/>
    <w:rsid w:val="00421116"/>
    <w:rsid w:val="00427EA6"/>
    <w:rsid w:val="00450C73"/>
    <w:rsid w:val="00485DDF"/>
    <w:rsid w:val="004C1AD1"/>
    <w:rsid w:val="004C4144"/>
    <w:rsid w:val="004E26E4"/>
    <w:rsid w:val="004F0A81"/>
    <w:rsid w:val="004F5584"/>
    <w:rsid w:val="00505119"/>
    <w:rsid w:val="00523425"/>
    <w:rsid w:val="005267F7"/>
    <w:rsid w:val="00535F99"/>
    <w:rsid w:val="00545669"/>
    <w:rsid w:val="00555E45"/>
    <w:rsid w:val="00560EDA"/>
    <w:rsid w:val="00567B54"/>
    <w:rsid w:val="0057186B"/>
    <w:rsid w:val="005827E3"/>
    <w:rsid w:val="00586B1D"/>
    <w:rsid w:val="005B4854"/>
    <w:rsid w:val="005B6711"/>
    <w:rsid w:val="005E67CA"/>
    <w:rsid w:val="00607393"/>
    <w:rsid w:val="00622CE3"/>
    <w:rsid w:val="00635FA2"/>
    <w:rsid w:val="0064235A"/>
    <w:rsid w:val="00647213"/>
    <w:rsid w:val="00653A0E"/>
    <w:rsid w:val="00653B29"/>
    <w:rsid w:val="0067009C"/>
    <w:rsid w:val="006760CF"/>
    <w:rsid w:val="006969B4"/>
    <w:rsid w:val="006A0C05"/>
    <w:rsid w:val="006A335A"/>
    <w:rsid w:val="006B5061"/>
    <w:rsid w:val="006E24F0"/>
    <w:rsid w:val="006F6581"/>
    <w:rsid w:val="007128A1"/>
    <w:rsid w:val="00715D93"/>
    <w:rsid w:val="00720BA2"/>
    <w:rsid w:val="00781E2A"/>
    <w:rsid w:val="007961CD"/>
    <w:rsid w:val="007A6373"/>
    <w:rsid w:val="007B34FB"/>
    <w:rsid w:val="008134A7"/>
    <w:rsid w:val="00823E22"/>
    <w:rsid w:val="008258C2"/>
    <w:rsid w:val="00833CCA"/>
    <w:rsid w:val="00846D89"/>
    <w:rsid w:val="008505BD"/>
    <w:rsid w:val="00850C78"/>
    <w:rsid w:val="00855B98"/>
    <w:rsid w:val="008C17AD"/>
    <w:rsid w:val="008D02CD"/>
    <w:rsid w:val="008F29BD"/>
    <w:rsid w:val="0091255A"/>
    <w:rsid w:val="00915B8D"/>
    <w:rsid w:val="00934054"/>
    <w:rsid w:val="0095172A"/>
    <w:rsid w:val="00963CD8"/>
    <w:rsid w:val="00975A06"/>
    <w:rsid w:val="0098036A"/>
    <w:rsid w:val="009900B7"/>
    <w:rsid w:val="009A28B2"/>
    <w:rsid w:val="009D3E5C"/>
    <w:rsid w:val="009D4C42"/>
    <w:rsid w:val="009F0942"/>
    <w:rsid w:val="00A119A2"/>
    <w:rsid w:val="00A41330"/>
    <w:rsid w:val="00A42718"/>
    <w:rsid w:val="00A54E47"/>
    <w:rsid w:val="00A6120F"/>
    <w:rsid w:val="00A85283"/>
    <w:rsid w:val="00A9210B"/>
    <w:rsid w:val="00AA30D4"/>
    <w:rsid w:val="00AD1512"/>
    <w:rsid w:val="00AE7093"/>
    <w:rsid w:val="00AF276D"/>
    <w:rsid w:val="00AF27E3"/>
    <w:rsid w:val="00B00CEC"/>
    <w:rsid w:val="00B07A99"/>
    <w:rsid w:val="00B17920"/>
    <w:rsid w:val="00B321C3"/>
    <w:rsid w:val="00B422BC"/>
    <w:rsid w:val="00B43F77"/>
    <w:rsid w:val="00B44D9D"/>
    <w:rsid w:val="00B616C2"/>
    <w:rsid w:val="00B95F0A"/>
    <w:rsid w:val="00B96180"/>
    <w:rsid w:val="00BC172A"/>
    <w:rsid w:val="00BC1FB8"/>
    <w:rsid w:val="00C0097C"/>
    <w:rsid w:val="00C05882"/>
    <w:rsid w:val="00C17AC0"/>
    <w:rsid w:val="00C24BFC"/>
    <w:rsid w:val="00C31ED4"/>
    <w:rsid w:val="00C34772"/>
    <w:rsid w:val="00C36657"/>
    <w:rsid w:val="00C44C79"/>
    <w:rsid w:val="00C50A2D"/>
    <w:rsid w:val="00C71699"/>
    <w:rsid w:val="00C717E3"/>
    <w:rsid w:val="00CB3300"/>
    <w:rsid w:val="00CC1DE4"/>
    <w:rsid w:val="00CD4AE3"/>
    <w:rsid w:val="00D027A3"/>
    <w:rsid w:val="00D119EC"/>
    <w:rsid w:val="00D128F8"/>
    <w:rsid w:val="00DA16FC"/>
    <w:rsid w:val="00DA7E46"/>
    <w:rsid w:val="00DD77C9"/>
    <w:rsid w:val="00DD7900"/>
    <w:rsid w:val="00DF1813"/>
    <w:rsid w:val="00DF4D66"/>
    <w:rsid w:val="00DF5926"/>
    <w:rsid w:val="00DF61F3"/>
    <w:rsid w:val="00E25441"/>
    <w:rsid w:val="00E5040E"/>
    <w:rsid w:val="00E764E2"/>
    <w:rsid w:val="00E81A56"/>
    <w:rsid w:val="00E839B0"/>
    <w:rsid w:val="00E85734"/>
    <w:rsid w:val="00E92C09"/>
    <w:rsid w:val="00EA3374"/>
    <w:rsid w:val="00EB4E19"/>
    <w:rsid w:val="00EF4FA4"/>
    <w:rsid w:val="00F40F4E"/>
    <w:rsid w:val="00F453C5"/>
    <w:rsid w:val="00F55157"/>
    <w:rsid w:val="00F6461F"/>
    <w:rsid w:val="00F65D0D"/>
    <w:rsid w:val="00F81188"/>
    <w:rsid w:val="00F834B9"/>
    <w:rsid w:val="00F8524F"/>
    <w:rsid w:val="00F85832"/>
    <w:rsid w:val="00F904D8"/>
    <w:rsid w:val="00FA4A45"/>
    <w:rsid w:val="00FB1841"/>
    <w:rsid w:val="00FD2B2D"/>
    <w:rsid w:val="00FD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."/>
  <w:listSeparator w:val=","/>
  <w14:docId w14:val="5DEFE9AD"/>
  <w15:docId w15:val="{E80F4606-20FD-4547-8ADB-03D9C0C7E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54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table" w:customStyle="1" w:styleId="TableGrid1">
    <w:name w:val="Table Grid1"/>
    <w:basedOn w:val="TableNormal"/>
    <w:next w:val="TableGrid"/>
    <w:rsid w:val="00DF1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</w:rPr>
  </w:style>
  <w:style w:type="paragraph" w:customStyle="1" w:styleId="meeting">
    <w:name w:val="meeting"/>
    <w:basedOn w:val="Normal"/>
    <w:next w:val="Normal"/>
    <w:rsid w:val="00DF1813"/>
    <w:pPr>
      <w:tabs>
        <w:tab w:val="clear" w:pos="794"/>
        <w:tab w:val="clear" w:pos="1191"/>
        <w:tab w:val="clear" w:pos="1588"/>
        <w:tab w:val="clear" w:pos="1985"/>
        <w:tab w:val="left" w:pos="6663"/>
        <w:tab w:val="left" w:pos="7371"/>
      </w:tabs>
      <w:spacing w:before="0"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Annextitle0">
    <w:name w:val="Annex_title"/>
    <w:basedOn w:val="Normal"/>
    <w:next w:val="Normal"/>
    <w:rsid w:val="007961CD"/>
    <w:pPr>
      <w:keepNext/>
      <w:keepLines/>
      <w:spacing w:before="240" w:after="280"/>
      <w:jc w:val="center"/>
    </w:pPr>
    <w:rPr>
      <w:b/>
      <w:sz w:val="28"/>
      <w:lang w:val="en-GB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,CEO_Hyperlink,超?级链,Style 58,超????,超链接1,하이퍼링크2,하이퍼링크21,超??级链Ú,fL????,fL?级,超??级链,超?级链Ú,’´?级链,’´????,’´??级链Ú,’´??级,超?级链ïÈ,õ±?级链,õ±链ïÈ1,õ±???"/>
    <w:basedOn w:val="DefaultParagraphFont"/>
    <w:uiPriority w:val="99"/>
    <w:qFormat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rsid w:val="0091255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1255A"/>
    <w:rPr>
      <w:rFonts w:ascii="Tahoma" w:hAnsi="Tahoma" w:cs="Tahoma"/>
      <w:sz w:val="16"/>
      <w:szCs w:val="16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F8524F"/>
    <w:pPr>
      <w:ind w:left="720"/>
      <w:contextualSpacing/>
    </w:pPr>
  </w:style>
  <w:style w:type="paragraph" w:customStyle="1" w:styleId="AnnexNo">
    <w:name w:val="Annex_No"/>
    <w:basedOn w:val="Normal"/>
    <w:next w:val="Normal"/>
    <w:rsid w:val="005B4854"/>
    <w:pPr>
      <w:keepNext/>
      <w:keepLines/>
      <w:spacing w:before="480" w:after="80"/>
      <w:jc w:val="center"/>
      <w:textAlignment w:val="auto"/>
    </w:pPr>
    <w:rPr>
      <w:caps/>
      <w:sz w:val="28"/>
      <w:lang w:val="fr-FR"/>
    </w:rPr>
  </w:style>
  <w:style w:type="table" w:styleId="TableGrid">
    <w:name w:val="Table Grid"/>
    <w:basedOn w:val="TableNormal"/>
    <w:rsid w:val="002545A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asons">
    <w:name w:val="Reasons"/>
    <w:basedOn w:val="Normal"/>
    <w:qFormat/>
    <w:rsid w:val="002545A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85D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84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en/ITU-T/studygroups/2025-2028/13/Pages/default.aspx" TargetMode="External"/><Relationship Id="rId18" Type="http://schemas.openxmlformats.org/officeDocument/2006/relationships/hyperlink" Target="https://www.itu.int/net/ITU-T/ddp/Default.aspx?groupid=T25-SG13" TargetMode="External"/><Relationship Id="rId26" Type="http://schemas.openxmlformats.org/officeDocument/2006/relationships/hyperlink" Target="mailto:servicedesk@itu.int" TargetMode="External"/><Relationship Id="rId3" Type="http://schemas.openxmlformats.org/officeDocument/2006/relationships/styles" Target="styles.xml"/><Relationship Id="rId21" Type="http://schemas.openxmlformats.org/officeDocument/2006/relationships/hyperlink" Target="http://itu.int/net/ITU-T/ddp/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handle.itu.int/11.1002/apps/meeting-rooms" TargetMode="External"/><Relationship Id="rId17" Type="http://schemas.openxmlformats.org/officeDocument/2006/relationships/hyperlink" Target="https://www.itu.int/en/ITU-T/studygroups/2025-2028/13/Pages/default.aspx" TargetMode="External"/><Relationship Id="rId25" Type="http://schemas.openxmlformats.org/officeDocument/2006/relationships/hyperlink" Target="https://www.itu.int/en/about/Documents/itu-plan.pdf" TargetMode="External"/><Relationship Id="rId33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www.itu.int/net/ITU-T/ddp/Default.aspx?groupid=T25-SG13" TargetMode="External"/><Relationship Id="rId20" Type="http://schemas.openxmlformats.org/officeDocument/2006/relationships/image" Target="media/image3.png"/><Relationship Id="rId29" Type="http://schemas.openxmlformats.org/officeDocument/2006/relationships/hyperlink" Target="mailto:travel@itu.in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about/Documents/itu-plan.pdf" TargetMode="External"/><Relationship Id="rId24" Type="http://schemas.openxmlformats.org/officeDocument/2006/relationships/hyperlink" Target="https://www.itu.int/en/general-secretariat/ICT-Services/Pages/default.aspx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en/ITU-T/jca/ml/Pages/default.aspx" TargetMode="External"/><Relationship Id="rId23" Type="http://schemas.openxmlformats.org/officeDocument/2006/relationships/hyperlink" Target="http://www.itu.int/TIES/" TargetMode="External"/><Relationship Id="rId28" Type="http://schemas.openxmlformats.org/officeDocument/2006/relationships/hyperlink" Target="https://www.itu.int/md/T25-TSB-CIR-0001/es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itu.int/go/tsg13" TargetMode="External"/><Relationship Id="rId19" Type="http://schemas.openxmlformats.org/officeDocument/2006/relationships/image" Target="media/image2.png"/><Relationship Id="rId31" Type="http://schemas.openxmlformats.org/officeDocument/2006/relationships/hyperlink" Target="https://itu.int/trave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3@itu.int" TargetMode="External"/><Relationship Id="rId14" Type="http://schemas.openxmlformats.org/officeDocument/2006/relationships/hyperlink" Target="https://www.itu.int/en/ITU-T/jca/imt2020/Pages/default.aspx" TargetMode="External"/><Relationship Id="rId22" Type="http://schemas.openxmlformats.org/officeDocument/2006/relationships/hyperlink" Target="https://www.itu.int/en/ITU-T/studygroups/Pages/templates.aspx" TargetMode="External"/><Relationship Id="rId27" Type="http://schemas.openxmlformats.org/officeDocument/2006/relationships/hyperlink" Target="https://remote.itu.int/" TargetMode="External"/><Relationship Id="rId30" Type="http://schemas.openxmlformats.org/officeDocument/2006/relationships/hyperlink" Target="https://itu.int/en/delegates-corner" TargetMode="External"/><Relationship Id="rId35" Type="http://schemas.openxmlformats.org/officeDocument/2006/relationships/fontTable" Target="fontTable.xml"/><Relationship Id="rId8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ral\AppData\Roaming\Microsoft\Templates\PS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58446-A7FA-4DB2-81C2-D7DAF5BBA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PS_TSBCIRC1.dotm</Template>
  <TotalTime>30</TotalTime>
  <Pages>6</Pages>
  <Words>2320</Words>
  <Characters>13229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15518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tello</dc:creator>
  <cp:lastModifiedBy>Braud, Olivia</cp:lastModifiedBy>
  <cp:revision>5</cp:revision>
  <cp:lastPrinted>2025-05-22T11:50:00Z</cp:lastPrinted>
  <dcterms:created xsi:type="dcterms:W3CDTF">2025-05-14T10:24:00Z</dcterms:created>
  <dcterms:modified xsi:type="dcterms:W3CDTF">2025-05-22T11:51:00Z</dcterms:modified>
</cp:coreProperties>
</file>