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260"/>
        <w:gridCol w:w="6537"/>
        <w:gridCol w:w="1984"/>
      </w:tblGrid>
      <w:tr w:rsidR="00427EA6" w:rsidRPr="007C5F49" w14:paraId="5FCB831A" w14:textId="77777777" w:rsidTr="00BC6A4C">
        <w:trPr>
          <w:cantSplit/>
        </w:trPr>
        <w:tc>
          <w:tcPr>
            <w:tcW w:w="1260" w:type="dxa"/>
            <w:vAlign w:val="center"/>
          </w:tcPr>
          <w:p w14:paraId="7D2F8655" w14:textId="77777777" w:rsidR="00427EA6" w:rsidRPr="007C5F49" w:rsidRDefault="00CD4AE3" w:rsidP="00427EA6">
            <w:pPr>
              <w:tabs>
                <w:tab w:val="right" w:pos="8732"/>
              </w:tabs>
              <w:spacing w:before="0"/>
              <w:rPr>
                <w:b/>
                <w:bCs/>
                <w:iCs/>
                <w:color w:val="FFFFFF"/>
                <w:sz w:val="30"/>
                <w:szCs w:val="30"/>
              </w:rPr>
            </w:pPr>
            <w:r w:rsidRPr="007C5F49">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37" w:type="dxa"/>
            <w:vAlign w:val="center"/>
          </w:tcPr>
          <w:p w14:paraId="23416829" w14:textId="77777777" w:rsidR="00427EA6" w:rsidRPr="007C5F49" w:rsidRDefault="00427EA6" w:rsidP="00427EA6">
            <w:pPr>
              <w:spacing w:before="0"/>
              <w:rPr>
                <w:rFonts w:cs="Times New Roman Bold"/>
                <w:b/>
                <w:bCs/>
                <w:smallCaps/>
                <w:sz w:val="26"/>
                <w:szCs w:val="26"/>
              </w:rPr>
            </w:pPr>
            <w:r w:rsidRPr="007C5F49">
              <w:rPr>
                <w:rFonts w:cs="Times New Roman Bold"/>
                <w:b/>
                <w:bCs/>
                <w:smallCaps/>
                <w:sz w:val="36"/>
                <w:szCs w:val="36"/>
              </w:rPr>
              <w:t>Unión Internacional de Telecomunicaciones</w:t>
            </w:r>
          </w:p>
          <w:p w14:paraId="1F45BB59" w14:textId="77777777" w:rsidR="00427EA6" w:rsidRPr="007C5F49" w:rsidRDefault="00427EA6" w:rsidP="00427EA6">
            <w:pPr>
              <w:tabs>
                <w:tab w:val="right" w:pos="8732"/>
              </w:tabs>
              <w:spacing w:before="0"/>
              <w:rPr>
                <w:b/>
                <w:bCs/>
                <w:iCs/>
                <w:color w:val="FFFFFF"/>
                <w:sz w:val="30"/>
                <w:szCs w:val="30"/>
              </w:rPr>
            </w:pPr>
            <w:r w:rsidRPr="007C5F49">
              <w:rPr>
                <w:rFonts w:cs="Times New Roman Bold"/>
                <w:b/>
                <w:bCs/>
                <w:iCs/>
                <w:smallCaps/>
                <w:sz w:val="28"/>
                <w:szCs w:val="28"/>
              </w:rPr>
              <w:t>Oficina de Normalización de las Telecomunicaciones</w:t>
            </w:r>
          </w:p>
        </w:tc>
        <w:tc>
          <w:tcPr>
            <w:tcW w:w="1984" w:type="dxa"/>
            <w:vAlign w:val="center"/>
          </w:tcPr>
          <w:p w14:paraId="5130FFA0" w14:textId="77777777" w:rsidR="00427EA6" w:rsidRPr="007C5F49" w:rsidRDefault="00427EA6" w:rsidP="00427EA6">
            <w:pPr>
              <w:spacing w:before="0"/>
              <w:jc w:val="right"/>
              <w:rPr>
                <w:color w:val="FFFFFF"/>
                <w:sz w:val="26"/>
                <w:szCs w:val="26"/>
              </w:rPr>
            </w:pPr>
          </w:p>
        </w:tc>
      </w:tr>
    </w:tbl>
    <w:p w14:paraId="1D715E74" w14:textId="77777777" w:rsidR="002545AA" w:rsidRPr="00BC6A4C" w:rsidRDefault="002545AA" w:rsidP="00BC6A4C">
      <w:pPr>
        <w:spacing w:before="0"/>
        <w:rPr>
          <w:sz w:val="4"/>
          <w:szCs w:val="2"/>
        </w:rPr>
      </w:pPr>
    </w:p>
    <w:tbl>
      <w:tblPr>
        <w:tblW w:w="9639" w:type="dxa"/>
        <w:tblInd w:w="8" w:type="dxa"/>
        <w:tblLayout w:type="fixed"/>
        <w:tblCellMar>
          <w:left w:w="0" w:type="dxa"/>
          <w:right w:w="0" w:type="dxa"/>
        </w:tblCellMar>
        <w:tblLook w:val="0000" w:firstRow="0" w:lastRow="0" w:firstColumn="0" w:lastColumn="0" w:noHBand="0" w:noVBand="0"/>
      </w:tblPr>
      <w:tblGrid>
        <w:gridCol w:w="1252"/>
        <w:gridCol w:w="3625"/>
        <w:gridCol w:w="4762"/>
      </w:tblGrid>
      <w:tr w:rsidR="002545AA" w:rsidRPr="007C5F49" w14:paraId="5BAED284" w14:textId="77777777" w:rsidTr="00BC6A4C">
        <w:trPr>
          <w:cantSplit/>
          <w:trHeight w:val="649"/>
        </w:trPr>
        <w:tc>
          <w:tcPr>
            <w:tcW w:w="1252" w:type="dxa"/>
          </w:tcPr>
          <w:p w14:paraId="21415219" w14:textId="77777777" w:rsidR="002545AA" w:rsidRPr="007C5F49" w:rsidRDefault="002545AA" w:rsidP="002C58A4">
            <w:pPr>
              <w:tabs>
                <w:tab w:val="left" w:pos="4111"/>
              </w:tabs>
              <w:spacing w:before="10"/>
              <w:ind w:left="57"/>
              <w:rPr>
                <w:szCs w:val="24"/>
              </w:rPr>
            </w:pPr>
          </w:p>
        </w:tc>
        <w:tc>
          <w:tcPr>
            <w:tcW w:w="3625" w:type="dxa"/>
          </w:tcPr>
          <w:p w14:paraId="61F74745" w14:textId="77777777" w:rsidR="002545AA" w:rsidRPr="007C5F49" w:rsidRDefault="002545AA" w:rsidP="002C58A4">
            <w:pPr>
              <w:tabs>
                <w:tab w:val="left" w:pos="4111"/>
              </w:tabs>
              <w:spacing w:before="10"/>
              <w:ind w:left="57"/>
              <w:rPr>
                <w:b/>
              </w:rPr>
            </w:pPr>
          </w:p>
        </w:tc>
        <w:tc>
          <w:tcPr>
            <w:tcW w:w="4762" w:type="dxa"/>
          </w:tcPr>
          <w:p w14:paraId="66761920" w14:textId="7A32EFB6" w:rsidR="002545AA" w:rsidRPr="007C5F49" w:rsidRDefault="002545AA" w:rsidP="002C58A4">
            <w:pPr>
              <w:pStyle w:val="Tabletext0"/>
              <w:tabs>
                <w:tab w:val="clear" w:pos="1134"/>
                <w:tab w:val="clear" w:pos="2268"/>
                <w:tab w:val="left" w:pos="794"/>
                <w:tab w:val="left" w:pos="1191"/>
                <w:tab w:val="left" w:pos="1588"/>
              </w:tabs>
              <w:spacing w:before="240" w:after="120"/>
              <w:rPr>
                <w:bCs/>
              </w:rPr>
            </w:pPr>
            <w:r w:rsidRPr="007C5F49">
              <w:t xml:space="preserve">Ginebra, </w:t>
            </w:r>
            <w:r w:rsidR="008E3DFD" w:rsidRPr="007C5F49">
              <w:t>1</w:t>
            </w:r>
            <w:r w:rsidR="007B1970">
              <w:t>9</w:t>
            </w:r>
            <w:r w:rsidR="008E3DFD" w:rsidRPr="007C5F49">
              <w:t xml:space="preserve"> de junio de 2025</w:t>
            </w:r>
          </w:p>
        </w:tc>
      </w:tr>
      <w:tr w:rsidR="002545AA" w:rsidRPr="007C5F49" w14:paraId="031E6D64" w14:textId="77777777" w:rsidTr="00BC6A4C">
        <w:trPr>
          <w:cantSplit/>
          <w:trHeight w:val="649"/>
        </w:trPr>
        <w:tc>
          <w:tcPr>
            <w:tcW w:w="1252" w:type="dxa"/>
          </w:tcPr>
          <w:p w14:paraId="5CCEEF63" w14:textId="77777777" w:rsidR="002545AA" w:rsidRPr="007C5F49" w:rsidRDefault="002545AA" w:rsidP="00BC6A4C">
            <w:pPr>
              <w:tabs>
                <w:tab w:val="left" w:pos="4111"/>
              </w:tabs>
              <w:spacing w:before="40" w:after="40"/>
              <w:ind w:left="-10"/>
              <w:rPr>
                <w:szCs w:val="24"/>
              </w:rPr>
            </w:pPr>
            <w:r w:rsidRPr="00BC6A4C">
              <w:rPr>
                <w:b/>
                <w:bCs/>
                <w:szCs w:val="24"/>
              </w:rPr>
              <w:t>Ref</w:t>
            </w:r>
            <w:r w:rsidRPr="007C5F49">
              <w:rPr>
                <w:szCs w:val="24"/>
              </w:rPr>
              <w:t>.:</w:t>
            </w:r>
          </w:p>
        </w:tc>
        <w:tc>
          <w:tcPr>
            <w:tcW w:w="3625" w:type="dxa"/>
          </w:tcPr>
          <w:p w14:paraId="09C29637" w14:textId="244AF23C" w:rsidR="002545AA" w:rsidRPr="007C5F49" w:rsidRDefault="002545AA" w:rsidP="002C58A4">
            <w:pPr>
              <w:tabs>
                <w:tab w:val="left" w:pos="4111"/>
              </w:tabs>
              <w:spacing w:before="40" w:after="40"/>
              <w:ind w:left="57"/>
              <w:rPr>
                <w:b/>
                <w:szCs w:val="24"/>
              </w:rPr>
            </w:pPr>
            <w:r w:rsidRPr="007C5F49">
              <w:rPr>
                <w:b/>
              </w:rPr>
              <w:t xml:space="preserve">Carta Colectiva TSB </w:t>
            </w:r>
            <w:r w:rsidR="008E3DFD" w:rsidRPr="007C5F49">
              <w:rPr>
                <w:b/>
                <w:szCs w:val="24"/>
              </w:rPr>
              <w:t>2</w:t>
            </w:r>
            <w:r w:rsidRPr="007C5F49">
              <w:rPr>
                <w:b/>
                <w:szCs w:val="24"/>
              </w:rPr>
              <w:t>/</w:t>
            </w:r>
            <w:r w:rsidR="007B1970" w:rsidRPr="007B1970">
              <w:rPr>
                <w:b/>
                <w:szCs w:val="24"/>
                <w:lang w:val="es-ES"/>
              </w:rPr>
              <w:t>SG2RG-AMR</w:t>
            </w:r>
          </w:p>
          <w:p w14:paraId="09096904" w14:textId="690982B9" w:rsidR="002545AA" w:rsidRPr="007C5F49" w:rsidRDefault="008E3DFD" w:rsidP="002C58A4">
            <w:pPr>
              <w:tabs>
                <w:tab w:val="left" w:pos="4111"/>
              </w:tabs>
              <w:spacing w:before="0" w:after="40"/>
              <w:ind w:left="57"/>
              <w:rPr>
                <w:u w:val="single"/>
              </w:rPr>
            </w:pPr>
            <w:bookmarkStart w:id="0" w:name="lt_pId018"/>
            <w:r w:rsidRPr="007C5F49">
              <w:t>SG</w:t>
            </w:r>
            <w:r w:rsidR="002545AA" w:rsidRPr="007C5F49">
              <w:t> </w:t>
            </w:r>
            <w:r w:rsidR="007B1970">
              <w:t>2</w:t>
            </w:r>
            <w:r w:rsidR="002545AA" w:rsidRPr="007C5F49">
              <w:t>/</w:t>
            </w:r>
            <w:bookmarkEnd w:id="0"/>
            <w:r w:rsidR="007B1970">
              <w:t>MCB</w:t>
            </w:r>
          </w:p>
        </w:tc>
        <w:tc>
          <w:tcPr>
            <w:tcW w:w="4762" w:type="dxa"/>
            <w:vMerge w:val="restart"/>
          </w:tcPr>
          <w:p w14:paraId="490E784C" w14:textId="77777777" w:rsidR="002545AA" w:rsidRPr="007C5F49" w:rsidRDefault="002545AA" w:rsidP="002C58A4">
            <w:pPr>
              <w:tabs>
                <w:tab w:val="left" w:pos="4111"/>
              </w:tabs>
              <w:spacing w:before="40" w:after="40"/>
              <w:ind w:left="57"/>
              <w:rPr>
                <w:bCs/>
              </w:rPr>
            </w:pPr>
            <w:r w:rsidRPr="007C5F49">
              <w:rPr>
                <w:bCs/>
              </w:rPr>
              <w:t>A:</w:t>
            </w:r>
          </w:p>
          <w:p w14:paraId="1CE3AC11" w14:textId="31D970EA" w:rsidR="008E3DFD" w:rsidRPr="007C5F49" w:rsidRDefault="008E3DFD" w:rsidP="008E3DFD">
            <w:pPr>
              <w:pStyle w:val="Tabletext0"/>
              <w:tabs>
                <w:tab w:val="clear" w:pos="284"/>
                <w:tab w:val="left" w:pos="354"/>
              </w:tabs>
              <w:ind w:left="340" w:hanging="283"/>
              <w:rPr>
                <w:rFonts w:cstheme="minorHAnsi"/>
                <w:szCs w:val="22"/>
              </w:rPr>
            </w:pPr>
            <w:r w:rsidRPr="007C5F49">
              <w:t>–</w:t>
            </w:r>
            <w:r w:rsidRPr="007C5F49">
              <w:rPr>
                <w:rFonts w:cstheme="minorHAnsi"/>
                <w:szCs w:val="22"/>
              </w:rPr>
              <w:tab/>
            </w:r>
            <w:r w:rsidR="007B1970">
              <w:rPr>
                <w:rFonts w:cstheme="minorHAnsi"/>
                <w:szCs w:val="22"/>
                <w:lang w:val="es-ES"/>
              </w:rPr>
              <w:t>L</w:t>
            </w:r>
            <w:r w:rsidR="007B1970" w:rsidRPr="007B1970">
              <w:rPr>
                <w:rFonts w:cstheme="minorHAnsi"/>
                <w:szCs w:val="22"/>
                <w:lang w:val="es-ES"/>
              </w:rPr>
              <w:t>as Administraciones que participan en el GRCE2</w:t>
            </w:r>
            <w:r w:rsidR="000B0D87">
              <w:rPr>
                <w:rFonts w:cstheme="minorHAnsi"/>
                <w:szCs w:val="22"/>
                <w:lang w:val="es-ES"/>
              </w:rPr>
              <w:noBreakHyphen/>
            </w:r>
            <w:r w:rsidR="007B1970" w:rsidRPr="007B1970">
              <w:rPr>
                <w:rFonts w:cstheme="minorHAnsi"/>
                <w:szCs w:val="22"/>
                <w:lang w:val="es-ES"/>
              </w:rPr>
              <w:t>AMR</w:t>
            </w:r>
          </w:p>
          <w:p w14:paraId="654CC7B7" w14:textId="6D1D559B" w:rsidR="008E3DFD" w:rsidRPr="007C5F49" w:rsidRDefault="008E3DFD" w:rsidP="008E3DFD">
            <w:pPr>
              <w:pStyle w:val="Tabletext0"/>
              <w:tabs>
                <w:tab w:val="clear" w:pos="284"/>
                <w:tab w:val="left" w:pos="354"/>
              </w:tabs>
              <w:ind w:left="340" w:hanging="283"/>
              <w:rPr>
                <w:rFonts w:cstheme="minorHAnsi"/>
                <w:szCs w:val="22"/>
              </w:rPr>
            </w:pPr>
            <w:r w:rsidRPr="007C5F49">
              <w:t>–</w:t>
            </w:r>
            <w:r w:rsidRPr="007C5F49">
              <w:rPr>
                <w:rFonts w:cstheme="minorHAnsi"/>
                <w:szCs w:val="22"/>
              </w:rPr>
              <w:tab/>
            </w:r>
            <w:r w:rsidR="000B0D87">
              <w:rPr>
                <w:rFonts w:cstheme="minorHAnsi"/>
                <w:szCs w:val="22"/>
                <w:lang w:val="es-ES"/>
              </w:rPr>
              <w:t>L</w:t>
            </w:r>
            <w:r w:rsidR="000B0D87" w:rsidRPr="000B0D87">
              <w:rPr>
                <w:rFonts w:cstheme="minorHAnsi"/>
                <w:szCs w:val="22"/>
                <w:lang w:val="es-ES"/>
              </w:rPr>
              <w:t>os Miembros de Sector del UIT-T que participan en el GRCE2-AMR;</w:t>
            </w:r>
          </w:p>
          <w:p w14:paraId="4D969285" w14:textId="41F6F749" w:rsidR="008E3DFD" w:rsidRPr="007C5F49" w:rsidRDefault="008E3DFD" w:rsidP="008E3DFD">
            <w:pPr>
              <w:pStyle w:val="Tabletext0"/>
              <w:tabs>
                <w:tab w:val="clear" w:pos="284"/>
                <w:tab w:val="left" w:pos="354"/>
              </w:tabs>
              <w:ind w:left="340" w:hanging="283"/>
              <w:rPr>
                <w:rFonts w:cstheme="minorHAnsi"/>
                <w:szCs w:val="22"/>
              </w:rPr>
            </w:pPr>
            <w:r w:rsidRPr="007C5F49">
              <w:t>–</w:t>
            </w:r>
            <w:r w:rsidRPr="007C5F49">
              <w:rPr>
                <w:rFonts w:cstheme="minorHAnsi"/>
                <w:szCs w:val="22"/>
              </w:rPr>
              <w:tab/>
            </w:r>
            <w:r w:rsidR="000B0D87">
              <w:rPr>
                <w:color w:val="000000"/>
                <w:lang w:val="es-ES"/>
              </w:rPr>
              <w:t>L</w:t>
            </w:r>
            <w:r w:rsidR="000B0D87" w:rsidRPr="00EE6887">
              <w:rPr>
                <w:color w:val="000000"/>
                <w:lang w:val="es-ES"/>
              </w:rPr>
              <w:t>os Asociados del UIT-T que participan en el GRCE2-AMR;</w:t>
            </w:r>
          </w:p>
          <w:p w14:paraId="247FC665" w14:textId="033AF7F1" w:rsidR="008E3DFD" w:rsidRPr="007C5F49" w:rsidRDefault="008E3DFD" w:rsidP="008E3DFD">
            <w:pPr>
              <w:pStyle w:val="Tabletext0"/>
              <w:tabs>
                <w:tab w:val="clear" w:pos="284"/>
                <w:tab w:val="left" w:pos="354"/>
              </w:tabs>
              <w:ind w:left="340" w:hanging="283"/>
              <w:rPr>
                <w:rFonts w:cstheme="minorHAnsi"/>
                <w:szCs w:val="22"/>
              </w:rPr>
            </w:pPr>
            <w:r w:rsidRPr="007C5F49">
              <w:t>–</w:t>
            </w:r>
            <w:r w:rsidRPr="007C5F49">
              <w:rPr>
                <w:rFonts w:cstheme="minorHAnsi"/>
                <w:szCs w:val="22"/>
              </w:rPr>
              <w:tab/>
            </w:r>
            <w:r w:rsidR="000B0D87">
              <w:rPr>
                <w:rFonts w:cstheme="minorHAnsi"/>
                <w:szCs w:val="22"/>
              </w:rPr>
              <w:t>L</w:t>
            </w:r>
            <w:r w:rsidR="000B0D87" w:rsidRPr="000B0D87">
              <w:rPr>
                <w:rFonts w:cstheme="minorHAnsi"/>
                <w:szCs w:val="22"/>
                <w:lang w:val="es-ES"/>
              </w:rPr>
              <w:t>as Instituciones Académicas de la UIT que participan en el GRCE2-AMR</w:t>
            </w:r>
            <w:r w:rsidRPr="007C5F49">
              <w:rPr>
                <w:rFonts w:cstheme="minorHAnsi"/>
                <w:szCs w:val="22"/>
              </w:rPr>
              <w:t>;</w:t>
            </w:r>
          </w:p>
          <w:p w14:paraId="4D1D965E" w14:textId="53A6B79D" w:rsidR="002545AA" w:rsidRPr="007C5F49" w:rsidRDefault="008E3DFD" w:rsidP="008E3DFD">
            <w:pPr>
              <w:pStyle w:val="Tabletext0"/>
              <w:tabs>
                <w:tab w:val="clear" w:pos="284"/>
                <w:tab w:val="left" w:pos="354"/>
              </w:tabs>
              <w:ind w:left="340" w:hanging="283"/>
              <w:rPr>
                <w:bCs/>
              </w:rPr>
            </w:pPr>
            <w:r w:rsidRPr="007C5F49">
              <w:t>–</w:t>
            </w:r>
            <w:r w:rsidRPr="007C5F49">
              <w:rPr>
                <w:rFonts w:cstheme="minorHAnsi"/>
                <w:szCs w:val="22"/>
              </w:rPr>
              <w:tab/>
            </w:r>
            <w:r w:rsidR="000B0D87">
              <w:rPr>
                <w:rFonts w:cstheme="minorHAnsi"/>
                <w:szCs w:val="22"/>
                <w:lang w:val="es-ES"/>
              </w:rPr>
              <w:t>La</w:t>
            </w:r>
            <w:r w:rsidR="000B0D87" w:rsidRPr="000B0D87">
              <w:rPr>
                <w:rFonts w:cstheme="minorHAnsi"/>
                <w:szCs w:val="22"/>
                <w:lang w:val="es-ES"/>
              </w:rPr>
              <w:t xml:space="preserve"> Oficina Regional de la UIT para las Américas (Brasilia, Brasil)</w:t>
            </w:r>
          </w:p>
        </w:tc>
      </w:tr>
      <w:tr w:rsidR="002545AA" w:rsidRPr="007C5F49" w14:paraId="2EF8A298" w14:textId="77777777" w:rsidTr="00BC6A4C">
        <w:trPr>
          <w:cantSplit/>
          <w:trHeight w:val="390"/>
        </w:trPr>
        <w:tc>
          <w:tcPr>
            <w:tcW w:w="1252" w:type="dxa"/>
          </w:tcPr>
          <w:p w14:paraId="4157559E" w14:textId="77777777" w:rsidR="002545AA" w:rsidRPr="007C5F49" w:rsidRDefault="002545AA" w:rsidP="00BC6A4C">
            <w:pPr>
              <w:tabs>
                <w:tab w:val="left" w:pos="4111"/>
              </w:tabs>
              <w:spacing w:before="40" w:after="40"/>
              <w:ind w:left="-10"/>
              <w:rPr>
                <w:szCs w:val="24"/>
              </w:rPr>
            </w:pPr>
            <w:r w:rsidRPr="007C5F49">
              <w:rPr>
                <w:szCs w:val="24"/>
              </w:rPr>
              <w:t>Tel.:</w:t>
            </w:r>
          </w:p>
        </w:tc>
        <w:tc>
          <w:tcPr>
            <w:tcW w:w="3625" w:type="dxa"/>
          </w:tcPr>
          <w:p w14:paraId="4E7C6265" w14:textId="66190AB2" w:rsidR="002545AA" w:rsidRPr="007C5F49" w:rsidRDefault="007B1970" w:rsidP="002C58A4">
            <w:pPr>
              <w:tabs>
                <w:tab w:val="left" w:pos="4111"/>
              </w:tabs>
              <w:spacing w:before="40" w:after="40"/>
              <w:ind w:left="57"/>
            </w:pPr>
            <w:r w:rsidRPr="007B1970">
              <w:rPr>
                <w:lang w:val="es-ES"/>
              </w:rPr>
              <w:t>+41 22 730 5901</w:t>
            </w:r>
          </w:p>
        </w:tc>
        <w:tc>
          <w:tcPr>
            <w:tcW w:w="4762" w:type="dxa"/>
            <w:vMerge/>
          </w:tcPr>
          <w:p w14:paraId="14D79EED" w14:textId="77777777" w:rsidR="002545AA" w:rsidRPr="007C5F49" w:rsidRDefault="002545AA" w:rsidP="002C58A4">
            <w:pPr>
              <w:tabs>
                <w:tab w:val="left" w:pos="4111"/>
              </w:tabs>
              <w:spacing w:beforeLines="40" w:before="96" w:after="40"/>
              <w:ind w:left="57"/>
              <w:rPr>
                <w:bCs/>
              </w:rPr>
            </w:pPr>
          </w:p>
        </w:tc>
      </w:tr>
      <w:tr w:rsidR="002545AA" w:rsidRPr="007C5F49" w14:paraId="00AB7670" w14:textId="77777777" w:rsidTr="00BC6A4C">
        <w:trPr>
          <w:cantSplit/>
          <w:trHeight w:val="431"/>
        </w:trPr>
        <w:tc>
          <w:tcPr>
            <w:tcW w:w="1252" w:type="dxa"/>
          </w:tcPr>
          <w:p w14:paraId="1382796A" w14:textId="77777777" w:rsidR="002545AA" w:rsidRPr="007C5F49" w:rsidRDefault="002545AA" w:rsidP="00BC6A4C">
            <w:pPr>
              <w:tabs>
                <w:tab w:val="left" w:pos="4111"/>
              </w:tabs>
              <w:spacing w:before="40" w:after="40"/>
              <w:ind w:left="-10"/>
              <w:rPr>
                <w:szCs w:val="24"/>
              </w:rPr>
            </w:pPr>
            <w:r w:rsidRPr="007C5F49">
              <w:rPr>
                <w:szCs w:val="24"/>
              </w:rPr>
              <w:t>Fax:</w:t>
            </w:r>
          </w:p>
        </w:tc>
        <w:tc>
          <w:tcPr>
            <w:tcW w:w="3625" w:type="dxa"/>
          </w:tcPr>
          <w:p w14:paraId="0F7882F8" w14:textId="48DF7B7F" w:rsidR="002545AA" w:rsidRPr="007C5F49" w:rsidRDefault="007B1970" w:rsidP="002C58A4">
            <w:pPr>
              <w:tabs>
                <w:tab w:val="left" w:pos="4111"/>
              </w:tabs>
              <w:spacing w:before="40" w:after="40"/>
              <w:ind w:left="57"/>
            </w:pPr>
            <w:r w:rsidRPr="007B1970">
              <w:rPr>
                <w:lang w:val="es-ES"/>
              </w:rPr>
              <w:t>+41 22 730 5853</w:t>
            </w:r>
          </w:p>
        </w:tc>
        <w:tc>
          <w:tcPr>
            <w:tcW w:w="4762" w:type="dxa"/>
            <w:vMerge/>
          </w:tcPr>
          <w:p w14:paraId="1D45250F" w14:textId="77777777" w:rsidR="002545AA" w:rsidRPr="007C5F49" w:rsidRDefault="002545AA" w:rsidP="002C58A4">
            <w:pPr>
              <w:tabs>
                <w:tab w:val="left" w:pos="4111"/>
              </w:tabs>
              <w:spacing w:beforeLines="40" w:before="96" w:after="40"/>
              <w:ind w:left="57"/>
              <w:rPr>
                <w:bCs/>
              </w:rPr>
            </w:pPr>
          </w:p>
        </w:tc>
      </w:tr>
      <w:tr w:rsidR="002545AA" w:rsidRPr="007C5F49" w14:paraId="347CD68B" w14:textId="77777777" w:rsidTr="00BC6A4C">
        <w:trPr>
          <w:cantSplit/>
        </w:trPr>
        <w:tc>
          <w:tcPr>
            <w:tcW w:w="1252" w:type="dxa"/>
          </w:tcPr>
          <w:p w14:paraId="4CEB4CD3" w14:textId="77777777" w:rsidR="002545AA" w:rsidRPr="007C5F49" w:rsidRDefault="002545AA" w:rsidP="00BC6A4C">
            <w:pPr>
              <w:tabs>
                <w:tab w:val="left" w:pos="4111"/>
              </w:tabs>
              <w:spacing w:before="40" w:after="40"/>
              <w:ind w:left="-10"/>
              <w:rPr>
                <w:szCs w:val="24"/>
              </w:rPr>
            </w:pPr>
            <w:r w:rsidRPr="007C5F49">
              <w:rPr>
                <w:szCs w:val="24"/>
              </w:rPr>
              <w:t>Correo-e:</w:t>
            </w:r>
          </w:p>
        </w:tc>
        <w:tc>
          <w:tcPr>
            <w:tcW w:w="3625" w:type="dxa"/>
          </w:tcPr>
          <w:p w14:paraId="79EF25F3" w14:textId="324815F2" w:rsidR="002545AA" w:rsidRPr="007C5F49" w:rsidRDefault="007B1970" w:rsidP="002C58A4">
            <w:pPr>
              <w:tabs>
                <w:tab w:val="left" w:pos="4111"/>
              </w:tabs>
              <w:spacing w:before="40" w:after="40"/>
              <w:ind w:left="57"/>
            </w:pPr>
            <w:hyperlink r:id="rId12" w:history="1">
              <w:r w:rsidRPr="00F93925">
                <w:rPr>
                  <w:rStyle w:val="Hyperlink"/>
                  <w:szCs w:val="24"/>
                </w:rPr>
                <w:t>tsbsg2@itu.int</w:t>
              </w:r>
            </w:hyperlink>
          </w:p>
        </w:tc>
        <w:tc>
          <w:tcPr>
            <w:tcW w:w="4762" w:type="dxa"/>
            <w:vMerge/>
          </w:tcPr>
          <w:p w14:paraId="668FC4C6" w14:textId="77777777" w:rsidR="002545AA" w:rsidRPr="007C5F49" w:rsidRDefault="002545AA" w:rsidP="002C58A4">
            <w:pPr>
              <w:tabs>
                <w:tab w:val="left" w:pos="4111"/>
              </w:tabs>
              <w:spacing w:beforeLines="40" w:before="96" w:after="40"/>
              <w:ind w:left="57"/>
            </w:pPr>
          </w:p>
        </w:tc>
      </w:tr>
      <w:tr w:rsidR="002545AA" w:rsidRPr="007B1970" w14:paraId="2D49493A" w14:textId="77777777" w:rsidTr="00BC6A4C">
        <w:trPr>
          <w:cantSplit/>
        </w:trPr>
        <w:tc>
          <w:tcPr>
            <w:tcW w:w="1252" w:type="dxa"/>
          </w:tcPr>
          <w:p w14:paraId="343F5A94" w14:textId="77777777" w:rsidR="002545AA" w:rsidRPr="007C5F49" w:rsidRDefault="002545AA" w:rsidP="00BC6A4C">
            <w:pPr>
              <w:tabs>
                <w:tab w:val="left" w:pos="4111"/>
              </w:tabs>
              <w:spacing w:before="40" w:after="40"/>
              <w:ind w:left="-10"/>
              <w:rPr>
                <w:szCs w:val="24"/>
              </w:rPr>
            </w:pPr>
            <w:r w:rsidRPr="007C5F49">
              <w:rPr>
                <w:szCs w:val="24"/>
              </w:rPr>
              <w:t>Web:</w:t>
            </w:r>
          </w:p>
        </w:tc>
        <w:tc>
          <w:tcPr>
            <w:tcW w:w="3625" w:type="dxa"/>
          </w:tcPr>
          <w:p w14:paraId="7D82AF90" w14:textId="48E1C8E0" w:rsidR="002545AA" w:rsidRPr="007B1970" w:rsidRDefault="007B1970" w:rsidP="002C58A4">
            <w:pPr>
              <w:tabs>
                <w:tab w:val="left" w:pos="4111"/>
              </w:tabs>
              <w:spacing w:before="40" w:after="40"/>
              <w:ind w:left="57"/>
              <w:rPr>
                <w:lang w:val="fr-FR"/>
              </w:rPr>
            </w:pPr>
            <w:hyperlink r:id="rId13" w:history="1">
              <w:r w:rsidRPr="007B1970">
                <w:rPr>
                  <w:rStyle w:val="Hyperlink"/>
                  <w:lang w:val="fr-FR"/>
                </w:rPr>
                <w:t>itu.int/en/ITU-T/</w:t>
              </w:r>
              <w:proofErr w:type="spellStart"/>
              <w:r w:rsidRPr="007B1970">
                <w:rPr>
                  <w:rStyle w:val="Hyperlink"/>
                  <w:lang w:val="fr-FR"/>
                </w:rPr>
                <w:t>re</w:t>
              </w:r>
              <w:r w:rsidRPr="007B1970">
                <w:rPr>
                  <w:rStyle w:val="Hyperlink"/>
                  <w:lang w:val="fr-FR"/>
                </w:rPr>
                <w:t>g</w:t>
              </w:r>
              <w:r w:rsidRPr="007B1970">
                <w:rPr>
                  <w:rStyle w:val="Hyperlink"/>
                  <w:lang w:val="fr-FR"/>
                </w:rPr>
                <w:t>ionalgroups</w:t>
              </w:r>
              <w:proofErr w:type="spellEnd"/>
              <w:r w:rsidRPr="007B1970">
                <w:rPr>
                  <w:rStyle w:val="Hyperlink"/>
                  <w:lang w:val="fr-FR"/>
                </w:rPr>
                <w:t>/sg2-amr</w:t>
              </w:r>
            </w:hyperlink>
          </w:p>
        </w:tc>
        <w:tc>
          <w:tcPr>
            <w:tcW w:w="4762" w:type="dxa"/>
            <w:vMerge/>
          </w:tcPr>
          <w:p w14:paraId="19961250" w14:textId="77777777" w:rsidR="002545AA" w:rsidRPr="007B1970" w:rsidRDefault="002545AA" w:rsidP="002C58A4">
            <w:pPr>
              <w:tabs>
                <w:tab w:val="left" w:pos="4111"/>
              </w:tabs>
              <w:spacing w:beforeLines="40" w:before="96" w:after="40"/>
              <w:ind w:left="57"/>
              <w:rPr>
                <w:lang w:val="fr-FR"/>
              </w:rPr>
            </w:pPr>
          </w:p>
        </w:tc>
      </w:tr>
      <w:tr w:rsidR="002545AA" w:rsidRPr="007C5F49" w14:paraId="2C82981D" w14:textId="77777777" w:rsidTr="00BC6A4C">
        <w:trPr>
          <w:cantSplit/>
          <w:trHeight w:val="680"/>
        </w:trPr>
        <w:tc>
          <w:tcPr>
            <w:tcW w:w="1252" w:type="dxa"/>
          </w:tcPr>
          <w:p w14:paraId="6F8AF874" w14:textId="77777777" w:rsidR="002545AA" w:rsidRPr="007C5F49" w:rsidRDefault="002545AA" w:rsidP="00BC6A4C">
            <w:pPr>
              <w:tabs>
                <w:tab w:val="left" w:pos="4111"/>
              </w:tabs>
              <w:spacing w:before="40" w:after="40"/>
              <w:ind w:left="-10"/>
              <w:rPr>
                <w:szCs w:val="24"/>
              </w:rPr>
            </w:pPr>
            <w:r w:rsidRPr="00BC6A4C">
              <w:rPr>
                <w:b/>
                <w:bCs/>
                <w:szCs w:val="24"/>
              </w:rPr>
              <w:t>Asunto</w:t>
            </w:r>
            <w:r w:rsidRPr="007C5F49">
              <w:rPr>
                <w:szCs w:val="24"/>
              </w:rPr>
              <w:t>:</w:t>
            </w:r>
          </w:p>
        </w:tc>
        <w:tc>
          <w:tcPr>
            <w:tcW w:w="8387" w:type="dxa"/>
            <w:gridSpan w:val="2"/>
          </w:tcPr>
          <w:p w14:paraId="416A77CC" w14:textId="384C8DE9" w:rsidR="002545AA" w:rsidRPr="007C5F49" w:rsidRDefault="007B1970" w:rsidP="002C58A4">
            <w:pPr>
              <w:tabs>
                <w:tab w:val="left" w:pos="4111"/>
              </w:tabs>
              <w:spacing w:before="40" w:after="40"/>
              <w:ind w:left="57"/>
              <w:rPr>
                <w:b/>
                <w:bCs/>
              </w:rPr>
            </w:pPr>
            <w:r w:rsidRPr="007B1970">
              <w:rPr>
                <w:b/>
                <w:bCs/>
                <w:szCs w:val="24"/>
                <w:lang w:val="es-ES"/>
              </w:rPr>
              <w:t>Reunión del Grupo Regional de la Comisión de Estudio 2 del UIT-T para las Américas (GRCE2</w:t>
            </w:r>
            <w:r>
              <w:rPr>
                <w:b/>
                <w:bCs/>
                <w:szCs w:val="24"/>
                <w:lang w:val="es-ES"/>
              </w:rPr>
              <w:noBreakHyphen/>
            </w:r>
            <w:r w:rsidRPr="007B1970">
              <w:rPr>
                <w:b/>
                <w:bCs/>
                <w:szCs w:val="24"/>
                <w:lang w:val="es-ES"/>
              </w:rPr>
              <w:t>AMR), Montevideo (Uruguay), 10 de octubre de 2025</w:t>
            </w:r>
          </w:p>
        </w:tc>
      </w:tr>
    </w:tbl>
    <w:p w14:paraId="48BFC877" w14:textId="31E301C8" w:rsidR="006F18F8" w:rsidRPr="006F18F8" w:rsidRDefault="006F18F8" w:rsidP="00BC6A4C">
      <w:pPr>
        <w:pStyle w:val="Normalaftertitle0"/>
        <w:spacing w:before="120"/>
        <w:rPr>
          <w:lang w:val="es-ES"/>
        </w:rPr>
      </w:pPr>
      <w:bookmarkStart w:id="1" w:name="ditulogo"/>
      <w:bookmarkEnd w:id="1"/>
      <w:r w:rsidRPr="006F18F8">
        <w:rPr>
          <w:lang w:val="es-ES"/>
        </w:rPr>
        <w:t>Muy Señora mía/Muy Señor mío</w:t>
      </w:r>
      <w:r w:rsidR="00BC6A4C">
        <w:rPr>
          <w:lang w:val="es-ES"/>
        </w:rPr>
        <w:t>,</w:t>
      </w:r>
    </w:p>
    <w:p w14:paraId="007A4803" w14:textId="77777777" w:rsidR="006F18F8" w:rsidRPr="006F18F8" w:rsidRDefault="006F18F8" w:rsidP="006F18F8">
      <w:pPr>
        <w:rPr>
          <w:lang w:val="es-ES"/>
        </w:rPr>
      </w:pPr>
      <w:r w:rsidRPr="006F18F8">
        <w:rPr>
          <w:lang w:val="es-ES"/>
        </w:rPr>
        <w:t>Nos complace informarle que, por amable invitación del Gobierno de Uruguay a través de la Dirección Nacional de Telecomunicaciones (</w:t>
      </w:r>
      <w:proofErr w:type="spellStart"/>
      <w:r w:rsidRPr="006F18F8">
        <w:rPr>
          <w:lang w:val="es-ES"/>
        </w:rPr>
        <w:t>Dinatel</w:t>
      </w:r>
      <w:proofErr w:type="spellEnd"/>
      <w:r w:rsidRPr="006F18F8">
        <w:rPr>
          <w:lang w:val="es-ES"/>
        </w:rPr>
        <w:t xml:space="preserve">), el </w:t>
      </w:r>
      <w:r w:rsidRPr="006F18F8">
        <w:rPr>
          <w:b/>
          <w:bCs/>
          <w:lang w:val="es-ES"/>
        </w:rPr>
        <w:t>Grupo Regional de la Comisión de Estudio 2 del UIT-T para las Américas</w:t>
      </w:r>
      <w:r w:rsidRPr="006F18F8">
        <w:rPr>
          <w:lang w:val="es-ES"/>
        </w:rPr>
        <w:t xml:space="preserve"> (GRCE2-AMR) se reunirá en </w:t>
      </w:r>
      <w:r w:rsidRPr="006F18F8">
        <w:rPr>
          <w:b/>
          <w:bCs/>
          <w:lang w:val="es-ES"/>
        </w:rPr>
        <w:t>Montevideo (Uruguay) el 10 de octubre de 2025</w:t>
      </w:r>
      <w:r w:rsidRPr="006F18F8">
        <w:rPr>
          <w:lang w:val="es-ES"/>
        </w:rPr>
        <w:t>, en el marco del Coloquio de Política y Economía de la UIT de 2025 (IPEC-25). Por consiguiente, esta reunión se organiza conjuntamente con los siguientes eventos de la UIT, que tendrán lugar en el mismo lugar:</w:t>
      </w:r>
    </w:p>
    <w:p w14:paraId="6E295934" w14:textId="2F6682E1" w:rsidR="006F18F8" w:rsidRPr="006F18F8" w:rsidRDefault="006F18F8" w:rsidP="0048241B">
      <w:pPr>
        <w:pStyle w:val="enumlev1"/>
        <w:rPr>
          <w:lang w:val="es-ES"/>
        </w:rPr>
      </w:pPr>
      <w:r w:rsidRPr="006F18F8">
        <w:rPr>
          <w:lang w:val="es-ES"/>
        </w:rPr>
        <w:t>–</w:t>
      </w:r>
      <w:r w:rsidRPr="006F18F8">
        <w:rPr>
          <w:lang w:val="es-ES"/>
        </w:rPr>
        <w:tab/>
        <w:t>6 y 7 de octubre: Diálogo Económico Regional del UIT-D (incluida una sesión dedicada a la Cuestión</w:t>
      </w:r>
      <w:r w:rsidR="0048241B">
        <w:rPr>
          <w:lang w:val="es-ES"/>
        </w:rPr>
        <w:t> </w:t>
      </w:r>
      <w:r w:rsidRPr="006F18F8">
        <w:rPr>
          <w:lang w:val="es-ES"/>
        </w:rPr>
        <w:t xml:space="preserve">4/1, Aspectos económicos de las telecomunicaciones/TIC nacionales) </w:t>
      </w:r>
      <w:r w:rsidRPr="007C5F49">
        <w:t>–</w:t>
      </w:r>
      <w:r w:rsidRPr="006F18F8">
        <w:rPr>
          <w:lang w:val="es-ES"/>
        </w:rPr>
        <w:t xml:space="preserve"> </w:t>
      </w:r>
      <w:hyperlink r:id="rId14" w:history="1">
        <w:r w:rsidRPr="006F18F8">
          <w:rPr>
            <w:rStyle w:val="Hyperlink"/>
            <w:lang w:val="es-ES"/>
          </w:rPr>
          <w:t>enlace a la pági</w:t>
        </w:r>
        <w:r w:rsidRPr="006F18F8">
          <w:rPr>
            <w:rStyle w:val="Hyperlink"/>
            <w:lang w:val="es-ES"/>
          </w:rPr>
          <w:t>n</w:t>
        </w:r>
        <w:r w:rsidRPr="006F18F8">
          <w:rPr>
            <w:rStyle w:val="Hyperlink"/>
            <w:lang w:val="es-ES"/>
          </w:rPr>
          <w:t>a</w:t>
        </w:r>
        <w:r w:rsidR="0048241B">
          <w:rPr>
            <w:rStyle w:val="Hyperlink"/>
            <w:lang w:val="es-ES"/>
          </w:rPr>
          <w:t> </w:t>
        </w:r>
        <w:r w:rsidRPr="006F18F8">
          <w:rPr>
            <w:rStyle w:val="Hyperlink"/>
            <w:lang w:val="es-ES"/>
          </w:rPr>
          <w:t>web</w:t>
        </w:r>
      </w:hyperlink>
      <w:r w:rsidRPr="006F18F8">
        <w:rPr>
          <w:lang w:val="es-ES"/>
        </w:rPr>
        <w:t>.</w:t>
      </w:r>
    </w:p>
    <w:p w14:paraId="43500FFC" w14:textId="435FE80F" w:rsidR="006F18F8" w:rsidRPr="006F18F8" w:rsidRDefault="006F18F8" w:rsidP="0048241B">
      <w:pPr>
        <w:pStyle w:val="enumlev1"/>
        <w:rPr>
          <w:lang w:val="es-ES"/>
        </w:rPr>
      </w:pPr>
      <w:r w:rsidRPr="006F18F8">
        <w:rPr>
          <w:lang w:val="es-ES"/>
        </w:rPr>
        <w:t>–</w:t>
      </w:r>
      <w:r w:rsidRPr="006F18F8">
        <w:rPr>
          <w:lang w:val="es-ES"/>
        </w:rPr>
        <w:tab/>
        <w:t xml:space="preserve">8 (mañana) de octubre: Taller de la BDT sobre tecnologías emergentes para soluciones de conectividad innovadoras: aspectos políticos, económicos y técnicos </w:t>
      </w:r>
      <w:r w:rsidRPr="007C5F49">
        <w:t>–</w:t>
      </w:r>
      <w:r w:rsidRPr="006F18F8">
        <w:rPr>
          <w:lang w:val="es-ES"/>
        </w:rPr>
        <w:t xml:space="preserve"> </w:t>
      </w:r>
      <w:hyperlink r:id="rId15" w:history="1">
        <w:r w:rsidRPr="006F18F8">
          <w:rPr>
            <w:rStyle w:val="Hyperlink"/>
            <w:lang w:val="es-ES"/>
          </w:rPr>
          <w:t>enlace a la página web</w:t>
        </w:r>
      </w:hyperlink>
      <w:r w:rsidRPr="006F18F8">
        <w:rPr>
          <w:lang w:val="es-ES"/>
        </w:rPr>
        <w:t>.</w:t>
      </w:r>
    </w:p>
    <w:p w14:paraId="718211BB" w14:textId="7FD4D91E" w:rsidR="006F18F8" w:rsidRPr="006F18F8" w:rsidRDefault="006F18F8" w:rsidP="0048241B">
      <w:pPr>
        <w:pStyle w:val="enumlev1"/>
        <w:rPr>
          <w:lang w:val="es-ES"/>
        </w:rPr>
      </w:pPr>
      <w:r w:rsidRPr="006F18F8">
        <w:rPr>
          <w:lang w:val="es-ES"/>
        </w:rPr>
        <w:t>–</w:t>
      </w:r>
      <w:r w:rsidRPr="006F18F8">
        <w:rPr>
          <w:lang w:val="es-ES"/>
        </w:rPr>
        <w:tab/>
        <w:t>8 (tarde) y 9 de octubre: Reunión del Grupo Regional de la CE 3 del UIT-T para América Latina y el</w:t>
      </w:r>
      <w:r w:rsidR="0048241B">
        <w:rPr>
          <w:lang w:val="es-ES"/>
        </w:rPr>
        <w:t> </w:t>
      </w:r>
      <w:r w:rsidRPr="006F18F8">
        <w:rPr>
          <w:lang w:val="es-ES"/>
        </w:rPr>
        <w:t xml:space="preserve">Caribe (GRCE3-LAC) </w:t>
      </w:r>
      <w:r w:rsidRPr="007C5F49">
        <w:t>–</w:t>
      </w:r>
      <w:r w:rsidRPr="006F18F8">
        <w:rPr>
          <w:lang w:val="es-ES"/>
        </w:rPr>
        <w:t xml:space="preserve"> </w:t>
      </w:r>
      <w:hyperlink r:id="rId16" w:history="1">
        <w:r w:rsidRPr="006F18F8">
          <w:rPr>
            <w:rStyle w:val="Hyperlink"/>
            <w:lang w:val="es-ES"/>
          </w:rPr>
          <w:t>enlace a la p</w:t>
        </w:r>
        <w:r w:rsidRPr="006F18F8">
          <w:rPr>
            <w:rStyle w:val="Hyperlink"/>
            <w:lang w:val="es-ES"/>
          </w:rPr>
          <w:t>á</w:t>
        </w:r>
        <w:r w:rsidRPr="006F18F8">
          <w:rPr>
            <w:rStyle w:val="Hyperlink"/>
            <w:lang w:val="es-ES"/>
          </w:rPr>
          <w:t>gina web</w:t>
        </w:r>
      </w:hyperlink>
      <w:r w:rsidRPr="006F18F8">
        <w:rPr>
          <w:lang w:val="es-ES"/>
        </w:rPr>
        <w:t>.</w:t>
      </w:r>
    </w:p>
    <w:p w14:paraId="25EF3550" w14:textId="2AF2BE09" w:rsidR="006F18F8" w:rsidRPr="006F18F8" w:rsidRDefault="006F18F8" w:rsidP="0048241B">
      <w:pPr>
        <w:pStyle w:val="enumlev1"/>
        <w:rPr>
          <w:lang w:val="es-ES"/>
        </w:rPr>
      </w:pPr>
      <w:r w:rsidRPr="006F18F8">
        <w:rPr>
          <w:lang w:val="es-ES"/>
        </w:rPr>
        <w:t>–</w:t>
      </w:r>
      <w:r w:rsidRPr="006F18F8">
        <w:rPr>
          <w:lang w:val="es-ES"/>
        </w:rPr>
        <w:tab/>
      </w:r>
      <w:r w:rsidRPr="006F18F8">
        <w:rPr>
          <w:b/>
          <w:bCs/>
          <w:lang w:val="es-ES"/>
        </w:rPr>
        <w:t>10 de octubre: Reunión del Grupo Regional de la CE 2 del UIT-T para las Américas</w:t>
      </w:r>
      <w:r w:rsidR="00A01AA4">
        <w:rPr>
          <w:b/>
          <w:bCs/>
          <w:lang w:val="es-ES"/>
        </w:rPr>
        <w:t xml:space="preserve"> </w:t>
      </w:r>
      <w:r w:rsidRPr="006F18F8">
        <w:rPr>
          <w:b/>
          <w:bCs/>
          <w:lang w:val="es-ES"/>
        </w:rPr>
        <w:t>(GRCE2</w:t>
      </w:r>
      <w:r w:rsidR="0048241B">
        <w:rPr>
          <w:b/>
          <w:bCs/>
          <w:lang w:val="es-ES"/>
        </w:rPr>
        <w:noBreakHyphen/>
      </w:r>
      <w:r w:rsidRPr="006F18F8">
        <w:rPr>
          <w:b/>
          <w:bCs/>
          <w:lang w:val="es-ES"/>
        </w:rPr>
        <w:t>AMR)</w:t>
      </w:r>
      <w:r w:rsidR="0048241B">
        <w:rPr>
          <w:lang w:val="es-ES"/>
        </w:rPr>
        <w:t xml:space="preserve"> </w:t>
      </w:r>
      <w:r w:rsidRPr="007C5F49">
        <w:t>–</w:t>
      </w:r>
      <w:r w:rsidRPr="006F18F8">
        <w:rPr>
          <w:lang w:val="es-ES"/>
        </w:rPr>
        <w:t xml:space="preserve"> </w:t>
      </w:r>
      <w:hyperlink r:id="rId17" w:history="1">
        <w:r w:rsidRPr="006F18F8">
          <w:rPr>
            <w:rStyle w:val="Hyperlink"/>
            <w:lang w:val="es-ES"/>
          </w:rPr>
          <w:t>enlace a la página web</w:t>
        </w:r>
      </w:hyperlink>
      <w:r w:rsidRPr="006F18F8">
        <w:rPr>
          <w:lang w:val="es-ES"/>
        </w:rPr>
        <w:t>.</w:t>
      </w:r>
    </w:p>
    <w:p w14:paraId="64DCF3A2" w14:textId="749044A2" w:rsidR="006F18F8" w:rsidRPr="006F18F8" w:rsidRDefault="006F18F8" w:rsidP="006F18F8">
      <w:pPr>
        <w:rPr>
          <w:lang w:val="es-ES"/>
        </w:rPr>
      </w:pPr>
      <w:r w:rsidRPr="006F18F8">
        <w:rPr>
          <w:lang w:val="es-ES"/>
        </w:rPr>
        <w:t xml:space="preserve">La reunión del GRCE2-LAC comenzará a las 09.00 horas, hora local, el 10 de octubre de 2025. En el </w:t>
      </w:r>
      <w:r w:rsidRPr="006F18F8">
        <w:rPr>
          <w:b/>
          <w:bCs/>
          <w:lang w:val="es-ES"/>
        </w:rPr>
        <w:t xml:space="preserve">Anexo A </w:t>
      </w:r>
      <w:r w:rsidRPr="006F18F8">
        <w:rPr>
          <w:lang w:val="es-ES"/>
        </w:rPr>
        <w:t xml:space="preserve">se facilita información adicional, y en el </w:t>
      </w:r>
      <w:r w:rsidRPr="006F18F8">
        <w:rPr>
          <w:b/>
          <w:bCs/>
          <w:lang w:val="es-ES"/>
        </w:rPr>
        <w:t xml:space="preserve">Anexo B </w:t>
      </w:r>
      <w:r w:rsidRPr="006F18F8">
        <w:rPr>
          <w:lang w:val="es-ES"/>
        </w:rPr>
        <w:t>figura un proyecto de orden del día preparado por el</w:t>
      </w:r>
      <w:r w:rsidR="0048241B">
        <w:rPr>
          <w:lang w:val="es-ES"/>
        </w:rPr>
        <w:t> </w:t>
      </w:r>
      <w:r w:rsidRPr="006F18F8">
        <w:rPr>
          <w:lang w:val="es-ES"/>
        </w:rPr>
        <w:t xml:space="preserve">Presidente del GRCE2-AMR, Sr. Fernando Hernández Sánchez (Uruguay). La información práctica sobre la reunión se publicará en la </w:t>
      </w:r>
      <w:hyperlink r:id="rId18" w:history="1">
        <w:r w:rsidRPr="006F18F8">
          <w:rPr>
            <w:rStyle w:val="Hyperlink"/>
            <w:lang w:val="es-ES"/>
          </w:rPr>
          <w:t>página web del GRCE2-AMR</w:t>
        </w:r>
      </w:hyperlink>
      <w:r w:rsidRPr="006F18F8">
        <w:rPr>
          <w:lang w:val="es-ES"/>
        </w:rPr>
        <w:t>.</w:t>
      </w:r>
    </w:p>
    <w:p w14:paraId="43B90735" w14:textId="3A868F0E" w:rsidR="00546E00" w:rsidRPr="007C5F49" w:rsidRDefault="006F18F8" w:rsidP="006F18F8">
      <w:pPr>
        <w:rPr>
          <w:rFonts w:cstheme="minorHAnsi"/>
          <w:szCs w:val="22"/>
        </w:rPr>
      </w:pPr>
      <w:r w:rsidRPr="006F18F8">
        <w:rPr>
          <w:lang w:val="es-ES"/>
        </w:rPr>
        <w:t xml:space="preserve">Los representantes de los Estados Miembros, Miembros de Sector e Instituciones Académicas de la región, así como los Asociados que pertenecen a la Comisión de Estudio responsable y a la región afectada, pueden participar en la reunión del GRCE2-AMR, junto con los participantes invitados por el Grupo Regional, según lo dispuesto en la </w:t>
      </w:r>
      <w:hyperlink r:id="rId19" w:history="1">
        <w:r w:rsidRPr="006F18F8">
          <w:rPr>
            <w:rStyle w:val="Hyperlink"/>
            <w:lang w:val="es-ES"/>
          </w:rPr>
          <w:t>Resolución 54 (Rev. Nueva Delhi, 2024) de la AMNT</w:t>
        </w:r>
      </w:hyperlink>
      <w:r w:rsidRPr="006F18F8">
        <w:rPr>
          <w:lang w:val="es-ES"/>
        </w:rPr>
        <w:t xml:space="preserve"> (</w:t>
      </w:r>
      <w:r w:rsidRPr="006F18F8">
        <w:rPr>
          <w:i/>
          <w:iCs/>
          <w:lang w:val="es-ES"/>
        </w:rPr>
        <w:t>resuelve</w:t>
      </w:r>
      <w:r w:rsidRPr="006F18F8">
        <w:rPr>
          <w:lang w:val="es-ES"/>
        </w:rPr>
        <w:t xml:space="preserve"> 4 a 6). Téngase en cuenta que la continuidad en la representación resultaría de utilidad para los trabajos del Grupo.</w:t>
      </w:r>
    </w:p>
    <w:p w14:paraId="28BBD98C" w14:textId="77777777" w:rsidR="006F18F8" w:rsidRPr="007C5F49" w:rsidRDefault="006F18F8" w:rsidP="006F18F8">
      <w:pPr>
        <w:keepNext/>
        <w:keepLines/>
        <w:spacing w:after="120"/>
        <w:rPr>
          <w:b/>
          <w:bCs/>
        </w:rPr>
      </w:pPr>
      <w:r w:rsidRPr="007C5F49">
        <w:rPr>
          <w:b/>
          <w:bCs/>
        </w:rPr>
        <w:t>PLAZOS CLAVE:</w:t>
      </w:r>
    </w:p>
    <w:tbl>
      <w:tblPr>
        <w:tblStyle w:val="TableGrid"/>
        <w:tblW w:w="9634" w:type="dxa"/>
        <w:tblLook w:val="04A0" w:firstRow="1" w:lastRow="0" w:firstColumn="1" w:lastColumn="0" w:noHBand="0" w:noVBand="1"/>
      </w:tblPr>
      <w:tblGrid>
        <w:gridCol w:w="2418"/>
        <w:gridCol w:w="7216"/>
      </w:tblGrid>
      <w:tr w:rsidR="006F18F8" w:rsidRPr="007C5F49" w14:paraId="6179E81A" w14:textId="77777777" w:rsidTr="00224D3B">
        <w:tc>
          <w:tcPr>
            <w:tcW w:w="2418" w:type="dxa"/>
          </w:tcPr>
          <w:p w14:paraId="4995AA99" w14:textId="77777777" w:rsidR="006F18F8" w:rsidRPr="007C5F49" w:rsidRDefault="006F18F8" w:rsidP="00224D3B">
            <w:pPr>
              <w:spacing w:before="40" w:after="40"/>
              <w:rPr>
                <w:b/>
                <w:bCs/>
              </w:rPr>
            </w:pPr>
            <w:r w:rsidRPr="006F18F8">
              <w:rPr>
                <w:rFonts w:cstheme="minorHAnsi"/>
                <w:szCs w:val="22"/>
                <w:lang w:val="es-ES" w:eastAsia="zh-CN"/>
              </w:rPr>
              <w:t>25 de agosto</w:t>
            </w:r>
          </w:p>
        </w:tc>
        <w:tc>
          <w:tcPr>
            <w:tcW w:w="7216" w:type="dxa"/>
          </w:tcPr>
          <w:p w14:paraId="0DBE8827" w14:textId="65A911CE" w:rsidR="006F18F8" w:rsidRPr="007C5F49" w:rsidRDefault="006F18F8" w:rsidP="00224D3B">
            <w:pPr>
              <w:pStyle w:val="enumlev1"/>
              <w:tabs>
                <w:tab w:val="clear" w:pos="794"/>
                <w:tab w:val="left" w:pos="318"/>
              </w:tabs>
              <w:spacing w:before="40" w:after="40"/>
              <w:ind w:left="318" w:hanging="318"/>
              <w:rPr>
                <w:b/>
                <w:bCs/>
              </w:rPr>
            </w:pPr>
            <w:r w:rsidRPr="007C5F49">
              <w:t>–</w:t>
            </w:r>
            <w:r w:rsidRPr="007C5F49">
              <w:tab/>
            </w:r>
            <w:r w:rsidRPr="00EE6887">
              <w:rPr>
                <w:color w:val="000000"/>
                <w:lang w:val="es-ES"/>
              </w:rPr>
              <w:t xml:space="preserve">Presentación de solicitudes de becas (mediante los formularios en línea que figuran en la </w:t>
            </w:r>
            <w:hyperlink r:id="rId20" w:history="1">
              <w:r w:rsidRPr="00EE6887">
                <w:rPr>
                  <w:rStyle w:val="Hyperlink"/>
                  <w:lang w:val="es-ES"/>
                </w:rPr>
                <w:t>página web del GRCE2-AMR</w:t>
              </w:r>
            </w:hyperlink>
            <w:r w:rsidRPr="00EE6887">
              <w:rPr>
                <w:color w:val="000000"/>
                <w:lang w:val="es-ES"/>
              </w:rPr>
              <w:t>); véanse los detalles en el</w:t>
            </w:r>
            <w:r>
              <w:rPr>
                <w:color w:val="000000"/>
                <w:lang w:val="es-ES"/>
              </w:rPr>
              <w:t> </w:t>
            </w:r>
            <w:r w:rsidRPr="00EE6887">
              <w:rPr>
                <w:color w:val="000000"/>
                <w:lang w:val="es-ES"/>
              </w:rPr>
              <w:t>Anexo A)</w:t>
            </w:r>
          </w:p>
        </w:tc>
      </w:tr>
      <w:tr w:rsidR="006F18F8" w:rsidRPr="007C5F49" w14:paraId="14FEA69A" w14:textId="77777777" w:rsidTr="00224D3B">
        <w:tc>
          <w:tcPr>
            <w:tcW w:w="2418" w:type="dxa"/>
          </w:tcPr>
          <w:p w14:paraId="1CCA2688" w14:textId="77777777" w:rsidR="006F18F8" w:rsidRPr="007C5F49" w:rsidRDefault="006F18F8" w:rsidP="00224D3B">
            <w:pPr>
              <w:spacing w:before="40" w:after="40"/>
            </w:pPr>
            <w:r w:rsidRPr="006F18F8">
              <w:rPr>
                <w:rFonts w:cstheme="minorHAnsi"/>
                <w:szCs w:val="22"/>
                <w:lang w:val="es-ES" w:eastAsia="zh-CN"/>
              </w:rPr>
              <w:lastRenderedPageBreak/>
              <w:t>10 de septiembre</w:t>
            </w:r>
          </w:p>
        </w:tc>
        <w:tc>
          <w:tcPr>
            <w:tcW w:w="7216" w:type="dxa"/>
          </w:tcPr>
          <w:p w14:paraId="26D7B205" w14:textId="242B021E" w:rsidR="006F18F8" w:rsidRPr="00EE6887" w:rsidRDefault="006F18F8" w:rsidP="006F18F8">
            <w:pPr>
              <w:pStyle w:val="TableText"/>
              <w:ind w:left="284" w:hanging="284"/>
              <w:rPr>
                <w:rFonts w:cstheme="minorHAnsi"/>
                <w:szCs w:val="22"/>
                <w:lang w:val="es-ES"/>
              </w:rPr>
            </w:pPr>
            <w:r w:rsidRPr="007C5F49">
              <w:t>–</w:t>
            </w:r>
            <w:r w:rsidRPr="007C5F49">
              <w:tab/>
            </w:r>
            <w:r w:rsidRPr="00EE6887">
              <w:rPr>
                <w:color w:val="000000"/>
                <w:lang w:val="es-ES"/>
              </w:rPr>
              <w:t xml:space="preserve">Presentación de solicitudes de cartas de apoyo para la obtención de visados al país anfitrión (véase la </w:t>
            </w:r>
            <w:r w:rsidRPr="00EE6887">
              <w:rPr>
                <w:i/>
                <w:iCs/>
                <w:color w:val="000000"/>
                <w:lang w:val="es-ES"/>
              </w:rPr>
              <w:t xml:space="preserve">Información práctica </w:t>
            </w:r>
            <w:r w:rsidRPr="00EE6887">
              <w:rPr>
                <w:color w:val="000000"/>
                <w:lang w:val="es-ES"/>
              </w:rPr>
              <w:t xml:space="preserve">en la </w:t>
            </w:r>
            <w:hyperlink r:id="rId21" w:history="1">
              <w:r w:rsidRPr="00EE6887">
                <w:rPr>
                  <w:rStyle w:val="Hyperlink"/>
                  <w:lang w:val="es-ES"/>
                </w:rPr>
                <w:t>página web del</w:t>
              </w:r>
              <w:r w:rsidR="0048241B">
                <w:rPr>
                  <w:rStyle w:val="Hyperlink"/>
                  <w:lang w:val="es-ES"/>
                </w:rPr>
                <w:t> </w:t>
              </w:r>
              <w:r w:rsidRPr="00EE6887">
                <w:rPr>
                  <w:rStyle w:val="Hyperlink"/>
                  <w:lang w:val="es-ES"/>
                </w:rPr>
                <w:t>GRCE2-AMR</w:t>
              </w:r>
            </w:hyperlink>
            <w:r w:rsidRPr="00EE6887">
              <w:rPr>
                <w:color w:val="000000"/>
                <w:lang w:val="es-ES"/>
              </w:rPr>
              <w:t>, a su debido tiempo)</w:t>
            </w:r>
          </w:p>
          <w:p w14:paraId="1234F744" w14:textId="37053CAD" w:rsidR="006F18F8" w:rsidRPr="007C5F49" w:rsidRDefault="006F18F8" w:rsidP="006F18F8">
            <w:pPr>
              <w:pStyle w:val="enumlev1"/>
              <w:tabs>
                <w:tab w:val="clear" w:pos="794"/>
                <w:tab w:val="left" w:pos="318"/>
              </w:tabs>
              <w:spacing w:before="40" w:after="40"/>
              <w:ind w:left="318" w:hanging="318"/>
            </w:pPr>
            <w:r w:rsidRPr="007C5F49">
              <w:t>–</w:t>
            </w:r>
            <w:r w:rsidRPr="007C5F49">
              <w:tab/>
            </w:r>
            <w:r w:rsidRPr="00EE6887">
              <w:rPr>
                <w:color w:val="000000"/>
                <w:lang w:val="es-ES"/>
              </w:rPr>
              <w:t>Preinscripción (en línea a través de la página web del GRCE2-AMR)</w:t>
            </w:r>
          </w:p>
        </w:tc>
      </w:tr>
      <w:tr w:rsidR="006F18F8" w:rsidRPr="007C5F49" w14:paraId="4CEF4B92" w14:textId="77777777" w:rsidTr="00224D3B">
        <w:tc>
          <w:tcPr>
            <w:tcW w:w="2418" w:type="dxa"/>
          </w:tcPr>
          <w:p w14:paraId="084A0C95" w14:textId="77777777" w:rsidR="006F18F8" w:rsidRPr="006F18F8" w:rsidRDefault="006F18F8" w:rsidP="00224D3B">
            <w:pPr>
              <w:spacing w:before="40" w:after="40"/>
              <w:rPr>
                <w:rFonts w:cstheme="minorHAnsi"/>
                <w:szCs w:val="22"/>
                <w:lang w:val="es-ES" w:eastAsia="zh-CN"/>
              </w:rPr>
            </w:pPr>
            <w:r w:rsidRPr="00EE6887">
              <w:rPr>
                <w:color w:val="000000"/>
                <w:lang w:val="es-ES"/>
              </w:rPr>
              <w:t>27 de septiembre</w:t>
            </w:r>
          </w:p>
        </w:tc>
        <w:tc>
          <w:tcPr>
            <w:tcW w:w="7216" w:type="dxa"/>
          </w:tcPr>
          <w:p w14:paraId="1BD1712B" w14:textId="77777777" w:rsidR="006F18F8" w:rsidRPr="007C5F49" w:rsidRDefault="006F18F8" w:rsidP="00224D3B">
            <w:pPr>
              <w:pStyle w:val="enumlev1"/>
              <w:tabs>
                <w:tab w:val="clear" w:pos="794"/>
                <w:tab w:val="left" w:pos="318"/>
              </w:tabs>
              <w:spacing w:before="40" w:after="40"/>
              <w:ind w:left="318" w:hanging="318"/>
            </w:pPr>
            <w:r w:rsidRPr="007C5F49">
              <w:t>–</w:t>
            </w:r>
            <w:r w:rsidRPr="007C5F49">
              <w:tab/>
            </w:r>
            <w:r w:rsidRPr="00EE6887">
              <w:rPr>
                <w:color w:val="000000"/>
                <w:lang w:val="es-ES"/>
              </w:rPr>
              <w:t>Presentación de las contribuciones de los Miembros del UIT-T (por correo</w:t>
            </w:r>
            <w:r>
              <w:rPr>
                <w:color w:val="000000"/>
                <w:lang w:val="es-ES"/>
              </w:rPr>
              <w:noBreakHyphen/>
            </w:r>
            <w:r w:rsidRPr="00EE6887">
              <w:rPr>
                <w:color w:val="000000"/>
                <w:lang w:val="es-ES"/>
              </w:rPr>
              <w:t xml:space="preserve">e a </w:t>
            </w:r>
            <w:hyperlink r:id="rId22" w:history="1">
              <w:r w:rsidRPr="00F93925">
                <w:rPr>
                  <w:rStyle w:val="Hyperlink"/>
                  <w:lang w:val="es-ES"/>
                </w:rPr>
                <w:t>tsbsg2@itu.int</w:t>
              </w:r>
            </w:hyperlink>
            <w:r w:rsidRPr="00EE6887">
              <w:rPr>
                <w:color w:val="000000"/>
                <w:lang w:val="es-ES"/>
              </w:rPr>
              <w:t>)</w:t>
            </w:r>
          </w:p>
        </w:tc>
      </w:tr>
    </w:tbl>
    <w:p w14:paraId="774CE699" w14:textId="7C49C51F" w:rsidR="002545AA" w:rsidRPr="007C5F49" w:rsidRDefault="00546E00" w:rsidP="00F30AE3">
      <w:pPr>
        <w:spacing w:after="120"/>
      </w:pPr>
      <w:r w:rsidRPr="007C5F49">
        <w:rPr>
          <w:rFonts w:cstheme="minorHAnsi"/>
          <w:szCs w:val="22"/>
        </w:rPr>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3694"/>
      </w:tblGrid>
      <w:tr w:rsidR="002545AA" w:rsidRPr="007C5F49" w14:paraId="25D07492" w14:textId="77777777" w:rsidTr="00BC6A4C">
        <w:tc>
          <w:tcPr>
            <w:tcW w:w="5935" w:type="dxa"/>
          </w:tcPr>
          <w:p w14:paraId="5C377AE2" w14:textId="7FF9A99C" w:rsidR="002545AA" w:rsidRPr="007C5F49" w:rsidRDefault="00565F98" w:rsidP="00BC6A4C">
            <w:pPr>
              <w:spacing w:after="360"/>
              <w:ind w:left="-110"/>
              <w:rPr>
                <w:bCs/>
              </w:rPr>
            </w:pPr>
            <w:r>
              <w:rPr>
                <w:bCs/>
                <w:noProof/>
              </w:rPr>
              <w:drawing>
                <wp:anchor distT="0" distB="0" distL="114300" distR="114300" simplePos="0" relativeHeight="251658240" behindDoc="1" locked="0" layoutInCell="1" allowOverlap="1" wp14:anchorId="27ECD0AA" wp14:editId="408D8224">
                  <wp:simplePos x="0" y="0"/>
                  <wp:positionH relativeFrom="column">
                    <wp:posOffset>-121920</wp:posOffset>
                  </wp:positionH>
                  <wp:positionV relativeFrom="paragraph">
                    <wp:posOffset>237490</wp:posOffset>
                  </wp:positionV>
                  <wp:extent cx="825542" cy="330217"/>
                  <wp:effectExtent l="0" t="0" r="0" b="0"/>
                  <wp:wrapNone/>
                  <wp:docPr id="255894209"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94209" name="Picture 2" descr="A black text on a white background&#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2545AA" w:rsidRPr="007C5F49">
              <w:rPr>
                <w:bCs/>
              </w:rPr>
              <w:t>Atentamente,</w:t>
            </w:r>
          </w:p>
          <w:p w14:paraId="57722151" w14:textId="160EC02B" w:rsidR="002545AA" w:rsidRPr="007C5F49" w:rsidRDefault="00A9210B" w:rsidP="00BC6A4C">
            <w:pPr>
              <w:spacing w:before="480"/>
              <w:ind w:left="-110" w:right="91"/>
            </w:pPr>
            <w:r w:rsidRPr="007C5F49">
              <w:rPr>
                <w:rFonts w:cstheme="minorHAnsi"/>
                <w:szCs w:val="22"/>
              </w:rPr>
              <w:t>Seizo Onoe</w:t>
            </w:r>
            <w:r w:rsidR="002545AA" w:rsidRPr="007C5F49">
              <w:br/>
            </w:r>
            <w:proofErr w:type="gramStart"/>
            <w:r w:rsidR="002545AA" w:rsidRPr="007C5F49">
              <w:t>Director</w:t>
            </w:r>
            <w:proofErr w:type="gramEnd"/>
            <w:r w:rsidR="002545AA" w:rsidRPr="007C5F49">
              <w:t xml:space="preserve"> de la Oficina de Normalización</w:t>
            </w:r>
            <w:r w:rsidR="002545AA" w:rsidRPr="007C5F49">
              <w:br/>
              <w:t>de las Telecomunicaciones</w:t>
            </w:r>
          </w:p>
        </w:tc>
        <w:tc>
          <w:tcPr>
            <w:tcW w:w="3694" w:type="dxa"/>
          </w:tcPr>
          <w:p w14:paraId="237FCDB5" w14:textId="77777777" w:rsidR="00F30AE3" w:rsidRPr="007C5F49" w:rsidRDefault="00546E00" w:rsidP="00F30AE3">
            <w:pPr>
              <w:pStyle w:val="Figure0"/>
              <w:spacing w:before="360" w:after="240"/>
              <w:rPr>
                <w:bCs/>
              </w:rPr>
            </w:pPr>
            <w:r w:rsidRPr="007C5F49">
              <w:rPr>
                <w:noProof/>
              </w:rPr>
              <w:drawing>
                <wp:inline distT="0" distB="0" distL="0" distR="0" wp14:anchorId="3F1A5993" wp14:editId="68AAC3F4">
                  <wp:extent cx="897499" cy="88903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897499" cy="889033"/>
                          </a:xfrm>
                          <a:prstGeom prst="rect">
                            <a:avLst/>
                          </a:prstGeom>
                          <a:noFill/>
                          <a:ln>
                            <a:noFill/>
                          </a:ln>
                        </pic:spPr>
                      </pic:pic>
                    </a:graphicData>
                  </a:graphic>
                </wp:inline>
              </w:drawing>
            </w:r>
          </w:p>
          <w:p w14:paraId="355555FC" w14:textId="6D52FB4E" w:rsidR="002545AA" w:rsidRPr="007C5F49" w:rsidRDefault="002545AA" w:rsidP="00F30AE3">
            <w:pPr>
              <w:pStyle w:val="Figure0"/>
              <w:spacing w:before="120" w:after="240"/>
              <w:rPr>
                <w:bCs/>
              </w:rPr>
            </w:pPr>
            <w:r w:rsidRPr="007C5F49">
              <w:rPr>
                <w:bCs/>
              </w:rPr>
              <w:t>Última información sobre la reunión</w:t>
            </w:r>
          </w:p>
        </w:tc>
      </w:tr>
    </w:tbl>
    <w:p w14:paraId="4914DE94" w14:textId="748CEC1F" w:rsidR="002545AA" w:rsidRPr="007C5F49" w:rsidRDefault="00F30AE3" w:rsidP="002545AA">
      <w:pPr>
        <w:rPr>
          <w:bCs/>
        </w:rPr>
      </w:pPr>
      <w:r w:rsidRPr="007C5F49">
        <w:rPr>
          <w:b/>
        </w:rPr>
        <w:t>Anexos</w:t>
      </w:r>
      <w:r w:rsidRPr="007C5F49">
        <w:rPr>
          <w:bCs/>
        </w:rPr>
        <w:t>: 2</w:t>
      </w:r>
    </w:p>
    <w:p w14:paraId="40ABAFED" w14:textId="77777777" w:rsidR="002545AA" w:rsidRPr="007C5F49" w:rsidRDefault="002545AA" w:rsidP="002545AA">
      <w:pPr>
        <w:ind w:right="91"/>
        <w:rPr>
          <w:bCs/>
        </w:rPr>
      </w:pPr>
      <w:r w:rsidRPr="007C5F49">
        <w:rPr>
          <w:bCs/>
        </w:rPr>
        <w:br w:type="page"/>
      </w:r>
    </w:p>
    <w:p w14:paraId="49B85FBD" w14:textId="1F7325CF" w:rsidR="006F18F8" w:rsidRDefault="006F18F8" w:rsidP="002F1BEC">
      <w:pPr>
        <w:pStyle w:val="AnnexNotitle"/>
      </w:pPr>
      <w:r w:rsidRPr="006F18F8">
        <w:lastRenderedPageBreak/>
        <w:t xml:space="preserve">ANEXO A </w:t>
      </w:r>
      <w:r w:rsidRPr="006F18F8">
        <w:br/>
        <w:t>Información adicional</w:t>
      </w:r>
    </w:p>
    <w:p w14:paraId="4160442A" w14:textId="798DA323" w:rsidR="00F30AE3" w:rsidRPr="007C5F49" w:rsidRDefault="00F30AE3" w:rsidP="00E54ABE">
      <w:pPr>
        <w:pStyle w:val="Headingb0"/>
        <w:jc w:val="center"/>
        <w:rPr>
          <w:bCs/>
        </w:rPr>
      </w:pPr>
      <w:r w:rsidRPr="007C5F49">
        <w:t>M</w:t>
      </w:r>
      <w:r w:rsidR="007C5F49" w:rsidRPr="007C5F49">
        <w:t>É</w:t>
      </w:r>
      <w:r w:rsidRPr="007C5F49">
        <w:t>TODOS</w:t>
      </w:r>
      <w:r w:rsidRPr="007C5F49">
        <w:rPr>
          <w:bCs/>
        </w:rPr>
        <w:t xml:space="preserve"> DE TRABAJO E INSTALACIONES</w:t>
      </w:r>
    </w:p>
    <w:p w14:paraId="6A87C8A5" w14:textId="77777777" w:rsidR="006F18F8" w:rsidRPr="006F18F8" w:rsidRDefault="006F18F8" w:rsidP="006F18F8">
      <w:pPr>
        <w:rPr>
          <w:bCs/>
          <w:lang w:val="es-ES"/>
        </w:rPr>
      </w:pPr>
      <w:r w:rsidRPr="006F18F8">
        <w:rPr>
          <w:b/>
          <w:bCs/>
          <w:lang w:val="es-ES"/>
        </w:rPr>
        <w:t>PRESENTACIÓN Y ACCESO A LOS DOCUMENTOS</w:t>
      </w:r>
      <w:r w:rsidRPr="006F18F8">
        <w:rPr>
          <w:lang w:val="es-ES"/>
        </w:rPr>
        <w:t xml:space="preserve">: En la reunión no se utilizará documentación impresa. Las contribuciones y los proyectos de DT de los miembros deben remitirse al correo-e tsbsg2@itu.int utilizando la </w:t>
      </w:r>
      <w:hyperlink r:id="rId25" w:history="1">
        <w:r w:rsidRPr="006F18F8">
          <w:rPr>
            <w:rStyle w:val="Hyperlink"/>
            <w:lang w:val="es-ES"/>
          </w:rPr>
          <w:t>plantilla correspondiente</w:t>
        </w:r>
      </w:hyperlink>
      <w:r w:rsidRPr="006F18F8">
        <w:rPr>
          <w:lang w:val="es-ES"/>
        </w:rPr>
        <w:t xml:space="preserve">. El acceso a los documentos de la reunión se facilita a partir de la página principal de la Comisión de Estudio y está restringido a los Miembros del UIT-T que disponen de una </w:t>
      </w:r>
      <w:hyperlink r:id="rId26" w:history="1">
        <w:r w:rsidRPr="006F18F8">
          <w:rPr>
            <w:rStyle w:val="Hyperlink"/>
            <w:lang w:val="es-ES"/>
          </w:rPr>
          <w:t>cuenta de la UIT</w:t>
        </w:r>
      </w:hyperlink>
      <w:r w:rsidRPr="006F18F8">
        <w:rPr>
          <w:lang w:val="es-ES"/>
        </w:rPr>
        <w:t xml:space="preserve"> con acceso TIES.</w:t>
      </w:r>
    </w:p>
    <w:p w14:paraId="76295E3F" w14:textId="77777777" w:rsidR="006F18F8" w:rsidRPr="006F18F8" w:rsidRDefault="006F18F8" w:rsidP="006F18F8">
      <w:pPr>
        <w:rPr>
          <w:lang w:val="es-ES"/>
        </w:rPr>
      </w:pPr>
      <w:r w:rsidRPr="006F18F8">
        <w:rPr>
          <w:b/>
          <w:bCs/>
          <w:lang w:val="es-ES"/>
        </w:rPr>
        <w:t>IDIOMAS DE TRABAJO:</w:t>
      </w:r>
      <w:r w:rsidRPr="006F18F8">
        <w:rPr>
          <w:lang w:val="es-ES"/>
        </w:rPr>
        <w:t xml:space="preserve"> De acuerdo con el Presidente del Grupo, los idiomas de trabajo de la reunión serán el inglés y el español. No se facilitará servicio de interpretación durante la reunión.</w:t>
      </w:r>
    </w:p>
    <w:p w14:paraId="2C117DD7" w14:textId="77777777" w:rsidR="006F18F8" w:rsidRPr="006F18F8" w:rsidRDefault="006F18F8" w:rsidP="006F18F8">
      <w:pPr>
        <w:rPr>
          <w:lang w:val="es-ES"/>
        </w:rPr>
      </w:pPr>
      <w:r w:rsidRPr="006F18F8">
        <w:rPr>
          <w:b/>
          <w:bCs/>
          <w:lang w:val="es-ES"/>
        </w:rPr>
        <w:t>TRADUCCIÓN:</w:t>
      </w:r>
      <w:r w:rsidRPr="006F18F8">
        <w:rPr>
          <w:lang w:val="es-ES"/>
        </w:rPr>
        <w:t xml:space="preserve"> Los documentos de esta reunión estarán disponibles en inglés únicamente. Se puede utilizar el servicio de traducción automática disponible en </w:t>
      </w:r>
      <w:hyperlink r:id="rId27" w:anchor="/Home" w:history="1">
        <w:proofErr w:type="spellStart"/>
        <w:r w:rsidRPr="006F18F8">
          <w:rPr>
            <w:rStyle w:val="Hyperlink"/>
            <w:lang w:val="es-ES"/>
          </w:rPr>
          <w:t>MyWorkspace</w:t>
        </w:r>
        <w:proofErr w:type="spellEnd"/>
      </w:hyperlink>
      <w:r w:rsidRPr="006F18F8">
        <w:rPr>
          <w:lang w:val="es-ES"/>
        </w:rPr>
        <w:t>.</w:t>
      </w:r>
    </w:p>
    <w:p w14:paraId="36156AC3" w14:textId="77777777" w:rsidR="006F18F8" w:rsidRPr="006F18F8" w:rsidRDefault="006F18F8" w:rsidP="006F18F8">
      <w:pPr>
        <w:rPr>
          <w:lang w:val="es-ES"/>
        </w:rPr>
      </w:pPr>
      <w:r w:rsidRPr="006F18F8">
        <w:rPr>
          <w:b/>
          <w:bCs/>
          <w:lang w:val="es-ES"/>
        </w:rPr>
        <w:t>LAN INALÁMBRICA:</w:t>
      </w:r>
      <w:r w:rsidRPr="006F18F8">
        <w:rPr>
          <w:lang w:val="es-ES"/>
        </w:rPr>
        <w:t xml:space="preserve"> El lugar de celebración del evento dispondrá de capacidades de área local inalámbrica y de acceso a Internet.</w:t>
      </w:r>
    </w:p>
    <w:p w14:paraId="6EAD8385" w14:textId="77777777" w:rsidR="006F18F8" w:rsidRPr="006F18F8" w:rsidRDefault="006F18F8" w:rsidP="002F1BEC">
      <w:pPr>
        <w:pStyle w:val="Headingb0"/>
        <w:jc w:val="center"/>
        <w:rPr>
          <w:bCs/>
          <w:lang w:val="es-ES"/>
        </w:rPr>
      </w:pPr>
      <w:r w:rsidRPr="006F18F8">
        <w:rPr>
          <w:bCs/>
        </w:rPr>
        <w:t>PREINSCRIPCIÓN</w:t>
      </w:r>
      <w:r w:rsidRPr="006F18F8">
        <w:rPr>
          <w:bCs/>
          <w:lang w:val="es-ES"/>
        </w:rPr>
        <w:t>, BECAS Y APOYO PARA LA OBTENCIÓN DE VISADOS</w:t>
      </w:r>
    </w:p>
    <w:p w14:paraId="119B6680" w14:textId="22B72888" w:rsidR="006F18F8" w:rsidRPr="006F18F8" w:rsidRDefault="006F18F8" w:rsidP="006F18F8">
      <w:pPr>
        <w:rPr>
          <w:bCs/>
          <w:lang w:val="es-ES"/>
        </w:rPr>
      </w:pPr>
      <w:r w:rsidRPr="006F18F8">
        <w:rPr>
          <w:b/>
          <w:bCs/>
          <w:lang w:val="es-ES"/>
        </w:rPr>
        <w:t>PREINSCRIPCIÓN</w:t>
      </w:r>
      <w:r w:rsidRPr="006F18F8">
        <w:rPr>
          <w:lang w:val="es-ES"/>
        </w:rPr>
        <w:t>:</w:t>
      </w:r>
      <w:r w:rsidRPr="006F18F8">
        <w:rPr>
          <w:b/>
          <w:bCs/>
          <w:lang w:val="es-ES"/>
        </w:rPr>
        <w:t xml:space="preserve"> </w:t>
      </w:r>
      <w:r w:rsidRPr="006F18F8">
        <w:rPr>
          <w:lang w:val="es-ES"/>
        </w:rPr>
        <w:t xml:space="preserve">La preinscripción es obligatoria y ha de efectuarse en línea a través de la </w:t>
      </w:r>
      <w:hyperlink r:id="rId28" w:history="1">
        <w:r w:rsidRPr="006F18F8">
          <w:rPr>
            <w:rStyle w:val="Hyperlink"/>
            <w:lang w:val="es-ES"/>
          </w:rPr>
          <w:t>página web del</w:t>
        </w:r>
        <w:r w:rsidR="0048241B">
          <w:rPr>
            <w:rStyle w:val="Hyperlink"/>
            <w:lang w:val="es-ES"/>
          </w:rPr>
          <w:t> </w:t>
        </w:r>
        <w:r w:rsidRPr="006F18F8">
          <w:rPr>
            <w:rStyle w:val="Hyperlink"/>
            <w:lang w:val="es-ES"/>
          </w:rPr>
          <w:t>GRCE2-AMR</w:t>
        </w:r>
      </w:hyperlink>
      <w:r w:rsidRPr="006F18F8">
        <w:rPr>
          <w:lang w:val="es-ES"/>
        </w:rPr>
        <w:t xml:space="preserve"> </w:t>
      </w:r>
      <w:r w:rsidRPr="006F18F8">
        <w:rPr>
          <w:b/>
          <w:bCs/>
          <w:lang w:val="es-ES"/>
        </w:rPr>
        <w:t>no más tarde del 10 de septiembre de 2025</w:t>
      </w:r>
      <w:r w:rsidRPr="006F18F8">
        <w:rPr>
          <w:lang w:val="es-ES"/>
        </w:rPr>
        <w:t xml:space="preserve">. El sistema de inscripción requiere que el coordinador apruebe las solicitudes de inscripción. Se alienta a los Estados Miembros </w:t>
      </w:r>
      <w:proofErr w:type="gramStart"/>
      <w:r w:rsidRPr="006F18F8">
        <w:rPr>
          <w:lang w:val="es-ES"/>
        </w:rPr>
        <w:t>a</w:t>
      </w:r>
      <w:proofErr w:type="gramEnd"/>
      <w:r w:rsidRPr="006F18F8">
        <w:rPr>
          <w:lang w:val="es-ES"/>
        </w:rPr>
        <w:t xml:space="preserve"> tener en cuenta, en la medida de lo posible, el equilibrio entre hombres y mujeres y la inclusión de delegados con discapacidad y con necesidades especiales.</w:t>
      </w:r>
    </w:p>
    <w:p w14:paraId="11B8069B" w14:textId="77777777" w:rsidR="006F18F8" w:rsidRPr="006F18F8" w:rsidRDefault="006F18F8" w:rsidP="006F18F8">
      <w:pPr>
        <w:rPr>
          <w:lang w:val="es-ES"/>
        </w:rPr>
      </w:pPr>
      <w:r w:rsidRPr="006F18F8">
        <w:rPr>
          <w:b/>
          <w:bCs/>
          <w:lang w:val="es-ES"/>
        </w:rPr>
        <w:t>BECAS</w:t>
      </w:r>
      <w:r w:rsidRPr="006F18F8">
        <w:rPr>
          <w:lang w:val="es-ES"/>
        </w:rPr>
        <w:t>:</w:t>
      </w:r>
      <w:r w:rsidRPr="006F18F8">
        <w:rPr>
          <w:b/>
          <w:bCs/>
          <w:lang w:val="es-ES"/>
        </w:rPr>
        <w:t xml:space="preserve"> </w:t>
      </w:r>
      <w:r w:rsidRPr="006F18F8">
        <w:rPr>
          <w:lang w:val="es-ES"/>
        </w:rPr>
        <w:t xml:space="preserve">Para facilitar la participación de los </w:t>
      </w:r>
      <w:hyperlink r:id="rId29" w:history="1">
        <w:r w:rsidRPr="006F18F8">
          <w:rPr>
            <w:rStyle w:val="Hyperlink"/>
            <w:lang w:val="es-ES"/>
          </w:rPr>
          <w:t>países que reúnan las condiciones necesarias</w:t>
        </w:r>
      </w:hyperlink>
      <w:r w:rsidRPr="006F18F8">
        <w:rPr>
          <w:lang w:val="es-ES"/>
        </w:rPr>
        <w:t xml:space="preserve">, podrán concederse hasta dos becas presenciales por país, sujetas a la disponibilidad de financiación, </w:t>
      </w:r>
      <w:r w:rsidRPr="006F18F8">
        <w:rPr>
          <w:b/>
          <w:bCs/>
          <w:lang w:val="es-ES"/>
        </w:rPr>
        <w:t>únicamente en la región de las Américas</w:t>
      </w:r>
      <w:r w:rsidRPr="006F18F8">
        <w:rPr>
          <w:lang w:val="es-ES"/>
        </w:rPr>
        <w:t xml:space="preserve">. Una beca parcial cubrirá las </w:t>
      </w:r>
      <w:r w:rsidRPr="006F18F8">
        <w:rPr>
          <w:b/>
          <w:bCs/>
          <w:lang w:val="es-ES"/>
        </w:rPr>
        <w:t xml:space="preserve">dietas </w:t>
      </w:r>
      <w:r w:rsidRPr="006F18F8">
        <w:rPr>
          <w:lang w:val="es-ES"/>
        </w:rPr>
        <w:t xml:space="preserve">adecuadas (para sufragar el alojamiento, la comida y otros gastos). La organización del solicitante asumirá el resto del coste de la participación. </w:t>
      </w:r>
    </w:p>
    <w:p w14:paraId="5BE2346F" w14:textId="77777777" w:rsidR="006F18F8" w:rsidRPr="006F18F8" w:rsidRDefault="006F18F8" w:rsidP="006F18F8">
      <w:pPr>
        <w:rPr>
          <w:lang w:val="es-ES"/>
        </w:rPr>
      </w:pPr>
      <w:r w:rsidRPr="006F18F8">
        <w:rPr>
          <w:lang w:val="es-ES"/>
        </w:rPr>
        <w:t xml:space="preserve">De conformidad con la Resolución 213 (Dubái, 2018) de la Conferencia de Plenipotenciarios, se alienta a que la concesión de becas tenga en cuenta el equilibrio de género y la inclusión de las personas con discapacidad y con necesidades especiales. Entre los criterios aplicados para la concesión de becas figuran: el presupuesto disponible de la UIT; la participación activa, en particular la presentación de contribuciones pertinentes por escrito; la distribución equitativa entre países y regiones; las solicitudes presentadas por personas con discapacidad o con necesidades especiales; y el equilibrio de género. </w:t>
      </w:r>
    </w:p>
    <w:p w14:paraId="10027525" w14:textId="77777777" w:rsidR="006F18F8" w:rsidRPr="006F18F8" w:rsidRDefault="006F18F8" w:rsidP="006F18F8">
      <w:pPr>
        <w:rPr>
          <w:lang w:val="es-ES"/>
        </w:rPr>
      </w:pPr>
      <w:r w:rsidRPr="006F18F8">
        <w:rPr>
          <w:lang w:val="es-ES"/>
        </w:rPr>
        <w:t xml:space="preserve">Los formularios de solicitud están disponibles en la </w:t>
      </w:r>
      <w:hyperlink r:id="rId30" w:history="1">
        <w:r w:rsidRPr="006F18F8">
          <w:rPr>
            <w:rStyle w:val="Hyperlink"/>
            <w:lang w:val="es-ES"/>
          </w:rPr>
          <w:t>página web del GRCE2-AMR</w:t>
        </w:r>
      </w:hyperlink>
      <w:r w:rsidRPr="006F18F8">
        <w:rPr>
          <w:lang w:val="es-ES"/>
        </w:rPr>
        <w:t xml:space="preserve">. </w:t>
      </w:r>
      <w:r w:rsidRPr="006F18F8">
        <w:rPr>
          <w:b/>
          <w:bCs/>
          <w:lang w:val="es-ES"/>
        </w:rPr>
        <w:t>Las solicitudes de beca deben recibirse a más tardar el 25 de agosto de 2025.</w:t>
      </w:r>
      <w:r w:rsidRPr="006F18F8">
        <w:rPr>
          <w:lang w:val="es-ES"/>
        </w:rPr>
        <w:t xml:space="preserve"> Deberán enviarse por correo electrónico a fellowships@itu.int o por fax al +41 22 730 57 78. </w:t>
      </w:r>
      <w:r w:rsidRPr="006F18F8">
        <w:rPr>
          <w:b/>
          <w:bCs/>
          <w:lang w:val="es-ES"/>
        </w:rPr>
        <w:t>Es necesario inscribirse (con la aprobación del coordinador) antes de presentar una solicitud de beca.</w:t>
      </w:r>
      <w:r w:rsidRPr="006F18F8">
        <w:rPr>
          <w:lang w:val="es-ES"/>
        </w:rPr>
        <w:t xml:space="preserve"> Se recomienda encarecidamente a los interesados que se inscriban en el evento e inicien el proceso de solicitud al menos siete semanas antes de la reunión.</w:t>
      </w:r>
    </w:p>
    <w:p w14:paraId="4954D8B8" w14:textId="4D9CCA64" w:rsidR="006F18F8" w:rsidRPr="006F18F8" w:rsidRDefault="006F18F8" w:rsidP="006F18F8">
      <w:pPr>
        <w:rPr>
          <w:bCs/>
          <w:lang w:val="es-ES"/>
        </w:rPr>
      </w:pPr>
      <w:r w:rsidRPr="006F18F8">
        <w:rPr>
          <w:b/>
          <w:bCs/>
          <w:lang w:val="es-ES"/>
        </w:rPr>
        <w:t>AYUDA PARA EL VISADO</w:t>
      </w:r>
      <w:r w:rsidRPr="006F18F8">
        <w:rPr>
          <w:lang w:val="es-ES"/>
        </w:rPr>
        <w:t xml:space="preserve">: Es importante que los participantes consideren con antelación suficiente a su viaje los </w:t>
      </w:r>
      <w:hyperlink r:id="rId31" w:history="1">
        <w:r w:rsidRPr="006F18F8">
          <w:rPr>
            <w:rStyle w:val="Hyperlink"/>
            <w:lang w:val="es-ES"/>
          </w:rPr>
          <w:t>requisitos de visado</w:t>
        </w:r>
      </w:hyperlink>
      <w:r w:rsidRPr="006F18F8">
        <w:rPr>
          <w:lang w:val="es-ES"/>
        </w:rPr>
        <w:t xml:space="preserve"> para entrar en Uruguay. Dado que esta reunión se organiza fuera de Suiza, las solicitudes de asistencia para la obtención del visado deben dirigirse directamente al anfitrión de la reunión. Podrá encontrar instrucciones al respecto en el apartado "Información práctica" de la </w:t>
      </w:r>
      <w:hyperlink r:id="rId32" w:history="1">
        <w:r w:rsidRPr="006F18F8">
          <w:rPr>
            <w:rStyle w:val="Hyperlink"/>
            <w:lang w:val="es-ES"/>
          </w:rPr>
          <w:t>página web del GRCE2-AMR</w:t>
        </w:r>
      </w:hyperlink>
      <w:r w:rsidRPr="006F18F8">
        <w:rPr>
          <w:lang w:val="es-ES"/>
        </w:rPr>
        <w:t>.</w:t>
      </w:r>
    </w:p>
    <w:p w14:paraId="0614E452" w14:textId="2AA4328A" w:rsidR="006F18F8" w:rsidRPr="006F18F8" w:rsidRDefault="006F18F8" w:rsidP="00F30AE3">
      <w:pPr>
        <w:rPr>
          <w:bCs/>
          <w:lang w:val="es-ES"/>
        </w:rPr>
      </w:pPr>
      <w:r w:rsidRPr="006F18F8">
        <w:rPr>
          <w:b/>
          <w:bCs/>
          <w:lang w:val="es-ES"/>
        </w:rPr>
        <w:t>INFORMACIÓN PRÁCTICA</w:t>
      </w:r>
      <w:r w:rsidRPr="006F18F8">
        <w:rPr>
          <w:lang w:val="es-ES"/>
        </w:rPr>
        <w:t xml:space="preserve">: La información práctica para los participantes en la reunión se publicará en la </w:t>
      </w:r>
      <w:hyperlink r:id="rId33" w:history="1">
        <w:r w:rsidRPr="006F18F8">
          <w:rPr>
            <w:rStyle w:val="Hyperlink"/>
            <w:lang w:val="es-ES"/>
          </w:rPr>
          <w:t>página web del GRCE2-AMR</w:t>
        </w:r>
      </w:hyperlink>
      <w:r w:rsidRPr="006F18F8">
        <w:rPr>
          <w:lang w:val="es-ES"/>
        </w:rPr>
        <w:t xml:space="preserve"> a su debido tiempo.</w:t>
      </w:r>
    </w:p>
    <w:p w14:paraId="34026DF5" w14:textId="4FFBB328" w:rsidR="00F30AE3" w:rsidRPr="00F30AE3" w:rsidRDefault="00F30AE3" w:rsidP="00F30AE3">
      <w:pPr>
        <w:rPr>
          <w:b/>
          <w:bCs/>
        </w:rPr>
      </w:pPr>
      <w:r w:rsidRPr="00F30AE3">
        <w:rPr>
          <w:b/>
          <w:bCs/>
        </w:rPr>
        <w:br w:type="page"/>
      </w:r>
    </w:p>
    <w:p w14:paraId="2555BBB3" w14:textId="77777777" w:rsidR="002F1BEC" w:rsidRPr="002F1BEC" w:rsidRDefault="002F1BEC" w:rsidP="002F1BEC">
      <w:pPr>
        <w:pStyle w:val="AnnexNotitle"/>
        <w:rPr>
          <w:rFonts w:cstheme="minorHAnsi"/>
          <w:b w:val="0"/>
          <w:iCs/>
          <w:sz w:val="22"/>
          <w:szCs w:val="22"/>
          <w:lang w:val="en-US"/>
        </w:rPr>
      </w:pPr>
      <w:r w:rsidRPr="002F1BEC">
        <w:rPr>
          <w:lang w:val="en-US"/>
        </w:rPr>
        <w:lastRenderedPageBreak/>
        <w:t>ANNEX B</w:t>
      </w:r>
      <w:r w:rsidRPr="002F1BEC">
        <w:rPr>
          <w:rFonts w:cstheme="minorHAnsi"/>
          <w:bCs/>
          <w:sz w:val="22"/>
          <w:szCs w:val="22"/>
          <w:lang w:val="en-US"/>
        </w:rPr>
        <w:br/>
      </w:r>
      <w:r w:rsidRPr="002F1BEC">
        <w:rPr>
          <w:lang w:val="en-US"/>
        </w:rPr>
        <w:t>Draft Agenda</w:t>
      </w:r>
      <w:r w:rsidRPr="002F1BEC">
        <w:rPr>
          <w:rFonts w:cstheme="minorHAnsi"/>
          <w:iCs/>
          <w:sz w:val="22"/>
          <w:szCs w:val="22"/>
          <w:lang w:val="en-US"/>
        </w:rPr>
        <w:t xml:space="preserve"> </w:t>
      </w:r>
    </w:p>
    <w:p w14:paraId="650E7640" w14:textId="77777777" w:rsidR="002F1BEC" w:rsidRPr="002F1BEC" w:rsidRDefault="002F1BEC" w:rsidP="002F1BEC">
      <w:pPr>
        <w:pStyle w:val="Headingb0"/>
        <w:spacing w:after="240"/>
        <w:jc w:val="center"/>
        <w:rPr>
          <w:rFonts w:cstheme="minorHAnsi"/>
          <w:b w:val="0"/>
          <w:iCs/>
          <w:szCs w:val="24"/>
          <w:lang w:val="en-US"/>
        </w:rPr>
      </w:pPr>
      <w:r w:rsidRPr="002F1BEC">
        <w:rPr>
          <w:rFonts w:cstheme="minorHAnsi"/>
          <w:iCs/>
          <w:szCs w:val="24"/>
          <w:lang w:val="en-US"/>
        </w:rPr>
        <w:t>Meeting of ITU-T Study Group 2 Regional Group for the Americas (SG2RG-AMR)</w:t>
      </w:r>
      <w:r w:rsidRPr="002F1BEC">
        <w:rPr>
          <w:rFonts w:cstheme="minorHAnsi"/>
          <w:iCs/>
          <w:szCs w:val="24"/>
          <w:lang w:val="en-US"/>
        </w:rPr>
        <w:br/>
        <w:t xml:space="preserve">Montevideo, </w:t>
      </w:r>
      <w:r w:rsidRPr="002F1BEC">
        <w:rPr>
          <w:bCs/>
        </w:rPr>
        <w:t>Uruguay</w:t>
      </w:r>
      <w:r w:rsidRPr="002F1BEC">
        <w:rPr>
          <w:rFonts w:cstheme="minorHAnsi"/>
          <w:iCs/>
          <w:szCs w:val="24"/>
          <w:lang w:val="en-US"/>
        </w:rPr>
        <w:t>, 10 October 2025</w:t>
      </w:r>
    </w:p>
    <w:tbl>
      <w:tblPr>
        <w:tblStyle w:val="TableGrid0"/>
        <w:tblW w:w="9516" w:type="dxa"/>
        <w:tblInd w:w="5" w:type="dxa"/>
        <w:tblCellMar>
          <w:top w:w="108" w:type="dxa"/>
          <w:left w:w="110" w:type="dxa"/>
          <w:right w:w="94" w:type="dxa"/>
        </w:tblCellMar>
        <w:tblLook w:val="04A0" w:firstRow="1" w:lastRow="0" w:firstColumn="1" w:lastColumn="0" w:noHBand="0" w:noVBand="1"/>
      </w:tblPr>
      <w:tblGrid>
        <w:gridCol w:w="643"/>
        <w:gridCol w:w="8873"/>
      </w:tblGrid>
      <w:tr w:rsidR="002F1BEC" w:rsidRPr="005613B8" w14:paraId="21907139"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6923C" w:themeFill="accent3" w:themeFillShade="BF"/>
            <w:vAlign w:val="center"/>
          </w:tcPr>
          <w:p w14:paraId="76DB663D" w14:textId="77777777" w:rsidR="002F1BEC" w:rsidRPr="002F1BEC" w:rsidRDefault="002F1BEC" w:rsidP="00224D3B">
            <w:pPr>
              <w:keepNext/>
              <w:spacing w:after="120"/>
              <w:rPr>
                <w:rFonts w:cstheme="minorHAnsi"/>
                <w:color w:val="FFFFFF" w:themeColor="background1"/>
                <w:lang w:val="en-US"/>
              </w:rPr>
            </w:pP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6923C" w:themeFill="accent3" w:themeFillShade="BF"/>
            <w:vAlign w:val="center"/>
          </w:tcPr>
          <w:p w14:paraId="59EE2F10" w14:textId="77777777" w:rsidR="002F1BEC" w:rsidRPr="00803663" w:rsidRDefault="002F1BEC" w:rsidP="00224D3B">
            <w:pPr>
              <w:keepNext/>
              <w:spacing w:after="120"/>
              <w:rPr>
                <w:rFonts w:cstheme="minorHAnsi"/>
                <w:color w:val="FFFFFF" w:themeColor="background1"/>
                <w:lang w:val="es-GT"/>
              </w:rPr>
            </w:pPr>
            <w:r w:rsidRPr="00803663">
              <w:rPr>
                <w:rFonts w:cstheme="minorHAnsi"/>
                <w:b/>
                <w:color w:val="FFFFFF" w:themeColor="background1"/>
                <w:lang w:val="es-GT"/>
              </w:rPr>
              <w:t xml:space="preserve">Agenda </w:t>
            </w:r>
            <w:proofErr w:type="spellStart"/>
            <w:r w:rsidRPr="00803663">
              <w:rPr>
                <w:rFonts w:cstheme="minorHAnsi"/>
                <w:b/>
                <w:color w:val="FFFFFF" w:themeColor="background1"/>
                <w:lang w:val="es-GT"/>
              </w:rPr>
              <w:t>item</w:t>
            </w:r>
            <w:proofErr w:type="spellEnd"/>
            <w:r w:rsidRPr="00803663">
              <w:rPr>
                <w:rFonts w:cstheme="minorHAnsi"/>
                <w:b/>
                <w:color w:val="FFFFFF" w:themeColor="background1"/>
                <w:lang w:val="es-GT"/>
              </w:rPr>
              <w:t xml:space="preserve"> / </w:t>
            </w:r>
            <w:r w:rsidRPr="00803663">
              <w:rPr>
                <w:rFonts w:cstheme="minorHAnsi"/>
                <w:b/>
                <w:i/>
                <w:color w:val="FFFFFF" w:themeColor="background1"/>
                <w:lang w:val="es-GT"/>
              </w:rPr>
              <w:t>Punto del orden del día</w:t>
            </w:r>
            <w:r w:rsidRPr="00803663">
              <w:rPr>
                <w:rFonts w:cstheme="minorHAnsi"/>
                <w:b/>
                <w:color w:val="FFFFFF" w:themeColor="background1"/>
                <w:lang w:val="es-GT"/>
              </w:rPr>
              <w:t xml:space="preserve"> </w:t>
            </w:r>
          </w:p>
        </w:tc>
      </w:tr>
      <w:tr w:rsidR="002F1BEC" w:rsidRPr="00A723DA" w14:paraId="73D62396"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46D93" w14:textId="77777777" w:rsidR="002F1BEC" w:rsidRPr="003608CB" w:rsidRDefault="002F1BEC" w:rsidP="00224D3B">
            <w:pPr>
              <w:keepNext/>
              <w:spacing w:before="60" w:after="60"/>
              <w:ind w:right="10"/>
              <w:rPr>
                <w:rFonts w:cstheme="minorHAnsi"/>
              </w:rPr>
            </w:pPr>
            <w:r>
              <w:rPr>
                <w:rFonts w:cstheme="minorHAnsi"/>
              </w:rPr>
              <w:t>1</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C8062" w14:textId="77777777" w:rsidR="002F1BEC" w:rsidRPr="003608CB" w:rsidRDefault="002F1BEC" w:rsidP="00224D3B">
            <w:pPr>
              <w:keepNext/>
              <w:spacing w:before="60" w:after="60"/>
              <w:rPr>
                <w:rFonts w:cstheme="minorHAnsi"/>
              </w:rPr>
            </w:pPr>
            <w:proofErr w:type="spellStart"/>
            <w:r w:rsidRPr="003608CB">
              <w:rPr>
                <w:rFonts w:cstheme="minorHAnsi"/>
                <w:lang w:val="es-ES"/>
              </w:rPr>
              <w:t>Opening</w:t>
            </w:r>
            <w:proofErr w:type="spellEnd"/>
            <w:r w:rsidRPr="003608CB">
              <w:rPr>
                <w:rFonts w:cstheme="minorHAnsi"/>
                <w:lang w:val="es-ES"/>
              </w:rPr>
              <w:t xml:space="preserve"> of the meeting / </w:t>
            </w:r>
            <w:r w:rsidRPr="003608CB">
              <w:rPr>
                <w:rFonts w:cstheme="minorHAnsi"/>
                <w:i/>
                <w:iCs/>
                <w:lang w:val="es-ES"/>
              </w:rPr>
              <w:t>Apertura de la reunión</w:t>
            </w:r>
          </w:p>
        </w:tc>
      </w:tr>
      <w:tr w:rsidR="002F1BEC" w:rsidRPr="005613B8" w14:paraId="63EAE984"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203896" w14:textId="77777777" w:rsidR="002F1BEC" w:rsidRPr="00DC5C75" w:rsidRDefault="002F1BEC" w:rsidP="00224D3B">
            <w:pPr>
              <w:spacing w:before="60" w:after="60"/>
              <w:ind w:right="10"/>
              <w:rPr>
                <w:rFonts w:cstheme="minorHAnsi"/>
              </w:rPr>
            </w:pPr>
            <w:r w:rsidRPr="00DC5C75">
              <w:rPr>
                <w:rFonts w:cstheme="minorHAnsi"/>
              </w:rPr>
              <w:t>2</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7BF83" w14:textId="77777777" w:rsidR="002F1BEC" w:rsidRPr="00DC5C75" w:rsidRDefault="002F1BEC" w:rsidP="00224D3B">
            <w:pPr>
              <w:spacing w:before="60" w:after="60"/>
              <w:rPr>
                <w:rFonts w:cstheme="minorHAnsi"/>
                <w:lang w:val="es-GT"/>
              </w:rPr>
            </w:pPr>
            <w:proofErr w:type="spellStart"/>
            <w:r w:rsidRPr="00DC5C75">
              <w:rPr>
                <w:rFonts w:cstheme="minorHAnsi"/>
                <w:lang w:val="es-GT"/>
              </w:rPr>
              <w:t>Adoption</w:t>
            </w:r>
            <w:proofErr w:type="spellEnd"/>
            <w:r w:rsidRPr="00DC5C75">
              <w:rPr>
                <w:rFonts w:cstheme="minorHAnsi"/>
                <w:lang w:val="es-GT"/>
              </w:rPr>
              <w:t xml:space="preserve"> of the agenda / </w:t>
            </w:r>
            <w:r w:rsidRPr="00DC5C75">
              <w:rPr>
                <w:rFonts w:cstheme="minorHAnsi"/>
                <w:i/>
                <w:iCs/>
                <w:lang w:val="es-GT"/>
              </w:rPr>
              <w:t>Adopción del orden del día</w:t>
            </w:r>
          </w:p>
        </w:tc>
      </w:tr>
      <w:tr w:rsidR="002F1BEC" w:rsidRPr="005613B8" w14:paraId="2C51E1C2"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D607E" w14:textId="77777777" w:rsidR="002F1BEC" w:rsidRPr="00DC5C75" w:rsidRDefault="002F1BEC" w:rsidP="00224D3B">
            <w:pPr>
              <w:spacing w:before="60" w:after="60"/>
              <w:ind w:right="10"/>
              <w:rPr>
                <w:rFonts w:cstheme="minorHAnsi"/>
                <w:lang w:val="es-ES"/>
              </w:rPr>
            </w:pPr>
            <w:r w:rsidRPr="00DC5C75">
              <w:rPr>
                <w:rFonts w:cstheme="minorHAnsi"/>
                <w:lang w:val="es-ES"/>
              </w:rPr>
              <w:t>3</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B9F10" w14:textId="77777777" w:rsidR="002F1BEC" w:rsidRPr="00DC5C75" w:rsidRDefault="002F1BEC" w:rsidP="00224D3B">
            <w:pPr>
              <w:spacing w:before="60" w:after="60"/>
              <w:rPr>
                <w:rFonts w:cstheme="minorHAnsi"/>
                <w:i/>
                <w:iCs/>
                <w:lang w:val="es-ES"/>
              </w:rPr>
            </w:pPr>
            <w:proofErr w:type="spellStart"/>
            <w:r w:rsidRPr="00DC5C75">
              <w:rPr>
                <w:rFonts w:cstheme="minorHAnsi"/>
                <w:lang w:val="es-ES"/>
              </w:rPr>
              <w:t>Overview</w:t>
            </w:r>
            <w:proofErr w:type="spellEnd"/>
            <w:r w:rsidRPr="00DC5C75">
              <w:rPr>
                <w:rFonts w:cstheme="minorHAnsi"/>
                <w:lang w:val="es-ES"/>
              </w:rPr>
              <w:t xml:space="preserve"> of ITU-T </w:t>
            </w:r>
            <w:proofErr w:type="spellStart"/>
            <w:r w:rsidRPr="00DC5C75">
              <w:rPr>
                <w:rFonts w:cstheme="minorHAnsi"/>
                <w:lang w:val="es-ES"/>
              </w:rPr>
              <w:t>Study</w:t>
            </w:r>
            <w:proofErr w:type="spellEnd"/>
            <w:r w:rsidRPr="00DC5C75">
              <w:rPr>
                <w:rFonts w:cstheme="minorHAnsi"/>
                <w:lang w:val="es-ES"/>
              </w:rPr>
              <w:t xml:space="preserve"> Group 2 </w:t>
            </w:r>
            <w:proofErr w:type="spellStart"/>
            <w:r w:rsidRPr="00DC5C75">
              <w:rPr>
                <w:rFonts w:cstheme="minorHAnsi"/>
                <w:lang w:val="es-ES"/>
              </w:rPr>
              <w:t>leadership</w:t>
            </w:r>
            <w:proofErr w:type="spellEnd"/>
            <w:r w:rsidRPr="00DC5C75">
              <w:rPr>
                <w:rFonts w:cstheme="minorHAnsi"/>
                <w:lang w:val="es-ES"/>
              </w:rPr>
              <w:t xml:space="preserve">, </w:t>
            </w:r>
            <w:proofErr w:type="spellStart"/>
            <w:r w:rsidRPr="00DC5C75">
              <w:rPr>
                <w:rFonts w:cstheme="minorHAnsi"/>
                <w:lang w:val="es-ES"/>
              </w:rPr>
              <w:t>working</w:t>
            </w:r>
            <w:proofErr w:type="spellEnd"/>
            <w:r w:rsidRPr="00DC5C75">
              <w:rPr>
                <w:rFonts w:cstheme="minorHAnsi"/>
                <w:lang w:val="es-ES"/>
              </w:rPr>
              <w:t xml:space="preserve"> </w:t>
            </w:r>
            <w:proofErr w:type="spellStart"/>
            <w:r w:rsidRPr="00DC5C75">
              <w:rPr>
                <w:rFonts w:cstheme="minorHAnsi"/>
                <w:lang w:val="es-ES"/>
              </w:rPr>
              <w:t>methods</w:t>
            </w:r>
            <w:proofErr w:type="spellEnd"/>
            <w:r w:rsidRPr="00DC5C75">
              <w:rPr>
                <w:rFonts w:cstheme="minorHAnsi"/>
                <w:lang w:val="es-ES"/>
              </w:rPr>
              <w:t xml:space="preserve"> and </w:t>
            </w:r>
            <w:proofErr w:type="spellStart"/>
            <w:r w:rsidRPr="00DC5C75">
              <w:rPr>
                <w:rFonts w:cstheme="minorHAnsi"/>
                <w:lang w:val="es-ES"/>
              </w:rPr>
              <w:t>work</w:t>
            </w:r>
            <w:proofErr w:type="spellEnd"/>
            <w:r w:rsidRPr="00DC5C75">
              <w:rPr>
                <w:rFonts w:cstheme="minorHAnsi"/>
                <w:lang w:val="es-ES"/>
              </w:rPr>
              <w:t xml:space="preserve"> </w:t>
            </w:r>
            <w:proofErr w:type="spellStart"/>
            <w:r w:rsidRPr="00DC5C75">
              <w:rPr>
                <w:rFonts w:cstheme="minorHAnsi"/>
                <w:lang w:val="es-ES"/>
              </w:rPr>
              <w:t>programme</w:t>
            </w:r>
            <w:proofErr w:type="spellEnd"/>
            <w:r w:rsidRPr="00DC5C75">
              <w:rPr>
                <w:rFonts w:cstheme="minorHAnsi"/>
                <w:lang w:val="es-ES"/>
              </w:rPr>
              <w:t xml:space="preserve"> / </w:t>
            </w:r>
            <w:r w:rsidRPr="00DC5C75">
              <w:rPr>
                <w:rFonts w:cstheme="minorHAnsi"/>
                <w:i/>
                <w:iCs/>
                <w:lang w:val="es-ES"/>
              </w:rPr>
              <w:t>Resumen del equipo directive, los métodos de trabajo y el programa de trabajo de la Comisión de Estudio 2 del UIT-T</w:t>
            </w:r>
          </w:p>
        </w:tc>
      </w:tr>
      <w:tr w:rsidR="002F1BEC" w:rsidRPr="005613B8" w14:paraId="21A137D9"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EAB1D" w14:textId="77777777" w:rsidR="002F1BEC" w:rsidRPr="00DC5C75" w:rsidRDefault="002F1BEC" w:rsidP="00224D3B">
            <w:pPr>
              <w:spacing w:before="60" w:after="60"/>
              <w:ind w:right="10"/>
              <w:rPr>
                <w:rFonts w:cstheme="minorHAnsi"/>
                <w:lang w:val="es-ES"/>
              </w:rPr>
            </w:pPr>
            <w:r w:rsidRPr="00DC5C75">
              <w:rPr>
                <w:rFonts w:cstheme="minorHAnsi"/>
              </w:rPr>
              <w:t>4</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756FE" w14:textId="77777777" w:rsidR="002F1BEC" w:rsidRPr="00DC5C75" w:rsidRDefault="002F1BEC" w:rsidP="00224D3B">
            <w:pPr>
              <w:spacing w:before="60" w:after="60"/>
              <w:rPr>
                <w:rFonts w:cstheme="minorHAnsi"/>
                <w:i/>
                <w:iCs/>
                <w:lang w:val="es-ES"/>
              </w:rPr>
            </w:pPr>
            <w:proofErr w:type="spellStart"/>
            <w:r w:rsidRPr="00DC5C75">
              <w:rPr>
                <w:rFonts w:cstheme="minorHAnsi"/>
                <w:lang w:val="es-ES"/>
              </w:rPr>
              <w:t>Overview</w:t>
            </w:r>
            <w:proofErr w:type="spellEnd"/>
            <w:r w:rsidRPr="00DC5C75">
              <w:rPr>
                <w:rFonts w:cstheme="minorHAnsi"/>
                <w:lang w:val="es-ES"/>
              </w:rPr>
              <w:t xml:space="preserve"> of </w:t>
            </w:r>
            <w:proofErr w:type="spellStart"/>
            <w:r w:rsidRPr="00DC5C75">
              <w:rPr>
                <w:rFonts w:cstheme="minorHAnsi"/>
                <w:lang w:val="es-ES"/>
              </w:rPr>
              <w:t>outcomes</w:t>
            </w:r>
            <w:proofErr w:type="spellEnd"/>
            <w:r w:rsidRPr="00DC5C75">
              <w:rPr>
                <w:rFonts w:cstheme="minorHAnsi"/>
                <w:lang w:val="es-ES"/>
              </w:rPr>
              <w:t xml:space="preserve"> of </w:t>
            </w:r>
            <w:proofErr w:type="spellStart"/>
            <w:r w:rsidRPr="00DC5C75">
              <w:rPr>
                <w:rFonts w:cstheme="minorHAnsi"/>
                <w:lang w:val="es-ES"/>
              </w:rPr>
              <w:t>previous</w:t>
            </w:r>
            <w:proofErr w:type="spellEnd"/>
            <w:r w:rsidRPr="00DC5C75">
              <w:rPr>
                <w:rFonts w:cstheme="minorHAnsi"/>
                <w:lang w:val="es-ES"/>
              </w:rPr>
              <w:t xml:space="preserve"> ITU-T SG2 meeting / </w:t>
            </w:r>
            <w:r w:rsidRPr="00DC5C75">
              <w:rPr>
                <w:rFonts w:cstheme="minorHAnsi"/>
                <w:i/>
                <w:iCs/>
                <w:lang w:val="es-ES"/>
              </w:rPr>
              <w:t>Resumen de los resultados de la anterior reunión de la Comisión de Estudio 2 del UIT-T</w:t>
            </w:r>
          </w:p>
        </w:tc>
      </w:tr>
      <w:tr w:rsidR="002F1BEC" w:rsidRPr="00A723DA" w14:paraId="062A76C0"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8570D" w14:textId="77777777" w:rsidR="002F1BEC" w:rsidRPr="00DC5C75" w:rsidRDefault="002F1BEC" w:rsidP="00224D3B">
            <w:pPr>
              <w:spacing w:before="60" w:after="60"/>
              <w:ind w:right="10"/>
              <w:rPr>
                <w:rFonts w:cstheme="minorHAnsi"/>
                <w:lang w:val="es-ES"/>
              </w:rPr>
            </w:pPr>
            <w:r w:rsidRPr="00DC5C75">
              <w:rPr>
                <w:rFonts w:cstheme="minorHAnsi"/>
              </w:rPr>
              <w:t>5</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051AF" w14:textId="77777777" w:rsidR="002F1BEC" w:rsidRPr="00DC5C75" w:rsidRDefault="002F1BEC" w:rsidP="00224D3B">
            <w:pPr>
              <w:spacing w:before="60" w:after="60"/>
              <w:rPr>
                <w:rFonts w:cstheme="minorHAnsi"/>
                <w:lang w:val="es-GT"/>
              </w:rPr>
            </w:pPr>
            <w:proofErr w:type="spellStart"/>
            <w:r w:rsidRPr="00DC5C75">
              <w:rPr>
                <w:rFonts w:cstheme="minorHAnsi"/>
                <w:lang w:val="es-GT"/>
              </w:rPr>
              <w:t>Report</w:t>
            </w:r>
            <w:proofErr w:type="spellEnd"/>
            <w:r w:rsidRPr="00DC5C75">
              <w:rPr>
                <w:rFonts w:cstheme="minorHAnsi"/>
                <w:lang w:val="es-GT"/>
              </w:rPr>
              <w:t xml:space="preserve"> of the </w:t>
            </w:r>
            <w:proofErr w:type="spellStart"/>
            <w:r w:rsidRPr="00DC5C75">
              <w:rPr>
                <w:rFonts w:cstheme="minorHAnsi"/>
                <w:lang w:val="es-GT"/>
              </w:rPr>
              <w:t>last</w:t>
            </w:r>
            <w:proofErr w:type="spellEnd"/>
            <w:r w:rsidRPr="00DC5C75">
              <w:rPr>
                <w:rFonts w:cstheme="minorHAnsi"/>
                <w:lang w:val="es-GT"/>
              </w:rPr>
              <w:t xml:space="preserve"> SG2RG-AMR meeting / </w:t>
            </w:r>
            <w:r w:rsidRPr="00DC5C75">
              <w:rPr>
                <w:rFonts w:cstheme="minorHAnsi"/>
                <w:i/>
                <w:iCs/>
                <w:lang w:val="es-GT"/>
              </w:rPr>
              <w:t>Informe de la última reunión del SG2RG-AMR</w:t>
            </w:r>
          </w:p>
        </w:tc>
      </w:tr>
      <w:tr w:rsidR="002F1BEC" w:rsidRPr="00A723DA" w14:paraId="4F3E2383"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1A64DD" w14:textId="77777777" w:rsidR="002F1BEC" w:rsidRPr="00DC5C75" w:rsidRDefault="002F1BEC" w:rsidP="00224D3B">
            <w:pPr>
              <w:spacing w:before="60" w:after="60"/>
              <w:ind w:right="10"/>
              <w:rPr>
                <w:rFonts w:cstheme="minorHAnsi"/>
              </w:rPr>
            </w:pPr>
            <w:r w:rsidRPr="00DC5C75">
              <w:rPr>
                <w:rFonts w:cstheme="minorHAnsi"/>
                <w:lang w:val="es-ES"/>
              </w:rPr>
              <w:t>6</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C4634" w14:textId="77777777" w:rsidR="002F1BEC" w:rsidRPr="00DC5C75" w:rsidRDefault="002F1BEC" w:rsidP="00224D3B">
            <w:pPr>
              <w:spacing w:before="60" w:after="60"/>
              <w:rPr>
                <w:rFonts w:cstheme="minorHAnsi"/>
                <w:lang w:val="es-GT"/>
              </w:rPr>
            </w:pPr>
            <w:proofErr w:type="spellStart"/>
            <w:r w:rsidRPr="00DC5C75">
              <w:rPr>
                <w:rFonts w:cstheme="minorHAnsi"/>
                <w:lang w:val="es-ES"/>
              </w:rPr>
              <w:t>Discussion</w:t>
            </w:r>
            <w:proofErr w:type="spellEnd"/>
            <w:r w:rsidRPr="00DC5C75">
              <w:rPr>
                <w:rFonts w:cstheme="minorHAnsi"/>
                <w:lang w:val="es-ES"/>
              </w:rPr>
              <w:t xml:space="preserve"> on </w:t>
            </w:r>
            <w:proofErr w:type="spellStart"/>
            <w:r w:rsidRPr="00DC5C75">
              <w:rPr>
                <w:rFonts w:cstheme="minorHAnsi"/>
                <w:lang w:val="es-ES"/>
              </w:rPr>
              <w:t>received</w:t>
            </w:r>
            <w:proofErr w:type="spellEnd"/>
            <w:r w:rsidRPr="00DC5C75">
              <w:rPr>
                <w:rFonts w:cstheme="minorHAnsi"/>
                <w:lang w:val="es-ES"/>
              </w:rPr>
              <w:t xml:space="preserve"> </w:t>
            </w:r>
            <w:proofErr w:type="spellStart"/>
            <w:r w:rsidRPr="00DC5C75">
              <w:rPr>
                <w:rFonts w:cstheme="minorHAnsi"/>
                <w:lang w:val="es-ES"/>
              </w:rPr>
              <w:t>Contributions</w:t>
            </w:r>
            <w:proofErr w:type="spellEnd"/>
            <w:r w:rsidRPr="00DC5C75">
              <w:rPr>
                <w:rFonts w:cstheme="minorHAnsi"/>
                <w:lang w:val="es-ES"/>
              </w:rPr>
              <w:t xml:space="preserve"> / </w:t>
            </w:r>
            <w:r w:rsidRPr="00DC5C75">
              <w:rPr>
                <w:rFonts w:cstheme="minorHAnsi"/>
                <w:bCs/>
                <w:i/>
                <w:iCs/>
                <w:lang w:val="es-GT"/>
              </w:rPr>
              <w:t xml:space="preserve">Debate sobre las contribuciones recibidas </w:t>
            </w:r>
          </w:p>
        </w:tc>
      </w:tr>
      <w:tr w:rsidR="002F1BEC" w:rsidRPr="005613B8" w14:paraId="77ECDEAB"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544A4" w14:textId="77777777" w:rsidR="002F1BEC" w:rsidRPr="00DC5C75" w:rsidRDefault="002F1BEC" w:rsidP="00224D3B">
            <w:pPr>
              <w:spacing w:before="60" w:after="60"/>
              <w:ind w:right="10"/>
              <w:rPr>
                <w:rFonts w:cstheme="minorHAnsi"/>
              </w:rPr>
            </w:pPr>
            <w:r w:rsidRPr="00DC5C75">
              <w:rPr>
                <w:rFonts w:cstheme="minorHAnsi"/>
              </w:rPr>
              <w:t>7</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6F834" w14:textId="77777777" w:rsidR="002F1BEC" w:rsidRPr="00DC5C75" w:rsidRDefault="002F1BEC" w:rsidP="00224D3B">
            <w:pPr>
              <w:spacing w:before="60" w:after="60"/>
              <w:rPr>
                <w:rFonts w:cstheme="minorHAnsi"/>
                <w:lang w:val="es-GT"/>
              </w:rPr>
            </w:pPr>
            <w:proofErr w:type="spellStart"/>
            <w:r w:rsidRPr="00DC5C75">
              <w:rPr>
                <w:rFonts w:cstheme="minorHAnsi"/>
                <w:lang w:val="es-GT"/>
              </w:rPr>
              <w:t>Seek</w:t>
            </w:r>
            <w:proofErr w:type="spellEnd"/>
            <w:r w:rsidRPr="00DC5C75">
              <w:rPr>
                <w:rFonts w:cstheme="minorHAnsi"/>
                <w:lang w:val="es-GT"/>
              </w:rPr>
              <w:t xml:space="preserve"> SG2RG-AMR </w:t>
            </w:r>
            <w:proofErr w:type="spellStart"/>
            <w:r w:rsidRPr="00DC5C75">
              <w:rPr>
                <w:rFonts w:cstheme="minorHAnsi"/>
                <w:lang w:val="es-GT"/>
              </w:rPr>
              <w:t>members</w:t>
            </w:r>
            <w:proofErr w:type="spellEnd"/>
            <w:r w:rsidRPr="00DC5C75">
              <w:rPr>
                <w:rFonts w:cstheme="minorHAnsi"/>
                <w:lang w:val="es-GT"/>
              </w:rPr>
              <w:t xml:space="preserve">’ </w:t>
            </w:r>
            <w:proofErr w:type="spellStart"/>
            <w:r w:rsidRPr="00DC5C75">
              <w:rPr>
                <w:rFonts w:cstheme="minorHAnsi"/>
                <w:lang w:val="es-GT"/>
              </w:rPr>
              <w:t>contributions</w:t>
            </w:r>
            <w:proofErr w:type="spellEnd"/>
            <w:r w:rsidRPr="00DC5C75">
              <w:rPr>
                <w:rFonts w:cstheme="minorHAnsi"/>
                <w:lang w:val="es-GT"/>
              </w:rPr>
              <w:t xml:space="preserve"> to ITU-T </w:t>
            </w:r>
            <w:proofErr w:type="spellStart"/>
            <w:r w:rsidRPr="00DC5C75">
              <w:rPr>
                <w:rFonts w:cstheme="minorHAnsi"/>
                <w:lang w:val="es-GT"/>
              </w:rPr>
              <w:t>Study</w:t>
            </w:r>
            <w:proofErr w:type="spellEnd"/>
            <w:r w:rsidRPr="00DC5C75">
              <w:rPr>
                <w:rFonts w:cstheme="minorHAnsi"/>
                <w:lang w:val="es-GT"/>
              </w:rPr>
              <w:t xml:space="preserve"> Group 2 / </w:t>
            </w:r>
            <w:r w:rsidRPr="00DC5C75">
              <w:rPr>
                <w:rFonts w:cstheme="minorHAnsi"/>
                <w:bCs/>
                <w:i/>
                <w:iCs/>
                <w:lang w:val="es-GT"/>
              </w:rPr>
              <w:t>Solicitar contribuciones de los miembros del SG2RG-AMR a la Comisión de Estudio 2 del UIT-T</w:t>
            </w:r>
          </w:p>
        </w:tc>
      </w:tr>
      <w:tr w:rsidR="002F1BEC" w:rsidRPr="00A723DA" w14:paraId="496CCEFA"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74905" w14:textId="77777777" w:rsidR="002F1BEC" w:rsidRPr="00DC5C75" w:rsidRDefault="002F1BEC" w:rsidP="00224D3B">
            <w:pPr>
              <w:spacing w:before="60" w:after="60"/>
              <w:ind w:right="10"/>
              <w:rPr>
                <w:rFonts w:cstheme="minorHAnsi"/>
                <w:lang w:val="es-ES"/>
              </w:rPr>
            </w:pPr>
            <w:r w:rsidRPr="00DC5C75">
              <w:rPr>
                <w:rFonts w:cstheme="minorHAnsi"/>
                <w:lang w:val="es-ES"/>
              </w:rPr>
              <w:t>8</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292B3E" w14:textId="77777777" w:rsidR="002F1BEC" w:rsidRPr="00DC5C75" w:rsidRDefault="002F1BEC" w:rsidP="00224D3B">
            <w:pPr>
              <w:spacing w:before="60" w:after="60"/>
              <w:rPr>
                <w:rFonts w:cstheme="minorHAnsi"/>
                <w:lang w:val="es-GT"/>
              </w:rPr>
            </w:pPr>
            <w:proofErr w:type="spellStart"/>
            <w:r w:rsidRPr="00DC5C75">
              <w:rPr>
                <w:rFonts w:cstheme="minorHAnsi"/>
              </w:rPr>
              <w:t>Discussion</w:t>
            </w:r>
            <w:proofErr w:type="spellEnd"/>
            <w:r w:rsidRPr="00DC5C75">
              <w:rPr>
                <w:rFonts w:cstheme="minorHAnsi"/>
              </w:rPr>
              <w:t xml:space="preserve"> on ITU-T SG2RG-AMR </w:t>
            </w:r>
            <w:proofErr w:type="spellStart"/>
            <w:r w:rsidRPr="00DC5C75">
              <w:rPr>
                <w:rFonts w:cstheme="minorHAnsi"/>
              </w:rPr>
              <w:t>priorities</w:t>
            </w:r>
            <w:proofErr w:type="spellEnd"/>
            <w:r w:rsidRPr="00DC5C75">
              <w:rPr>
                <w:rFonts w:cstheme="minorHAnsi"/>
              </w:rPr>
              <w:t xml:space="preserve"> </w:t>
            </w:r>
            <w:r w:rsidRPr="00DC5C75">
              <w:rPr>
                <w:rFonts w:eastAsia="SimSun" w:cstheme="minorHAnsi"/>
                <w:bCs/>
                <w:lang w:val="es-GT"/>
              </w:rPr>
              <w:t xml:space="preserve">/ </w:t>
            </w:r>
            <w:r w:rsidRPr="00DC5C75">
              <w:rPr>
                <w:rFonts w:eastAsia="SimSun" w:cstheme="minorHAnsi"/>
                <w:bCs/>
                <w:i/>
                <w:iCs/>
                <w:lang w:val="es-GT"/>
              </w:rPr>
              <w:t>Debate sobre las prioridades del SG2RG-AMR del UIT-T</w:t>
            </w:r>
          </w:p>
        </w:tc>
      </w:tr>
      <w:tr w:rsidR="002F1BEC" w:rsidRPr="005613B8" w14:paraId="1EC943D9"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D2469" w14:textId="77777777" w:rsidR="002F1BEC" w:rsidRPr="00DC5C75" w:rsidRDefault="002F1BEC" w:rsidP="00224D3B">
            <w:pPr>
              <w:spacing w:before="60" w:after="60"/>
              <w:ind w:right="10"/>
              <w:rPr>
                <w:rFonts w:cstheme="minorHAnsi"/>
              </w:rPr>
            </w:pPr>
            <w:r w:rsidRPr="00DC5C75">
              <w:rPr>
                <w:rFonts w:cstheme="minorHAnsi"/>
              </w:rPr>
              <w:t>9</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AB6F3" w14:textId="77777777" w:rsidR="002F1BEC" w:rsidRPr="00DC5C75" w:rsidRDefault="002F1BEC" w:rsidP="00224D3B">
            <w:pPr>
              <w:spacing w:before="60" w:after="60"/>
              <w:rPr>
                <w:rFonts w:cstheme="minorHAnsi"/>
                <w:i/>
                <w:iCs/>
                <w:lang w:val="es-ES"/>
              </w:rPr>
            </w:pPr>
            <w:r w:rsidRPr="00DC5C75">
              <w:rPr>
                <w:rFonts w:cstheme="minorHAnsi"/>
                <w:lang w:val="es-ES"/>
              </w:rPr>
              <w:t xml:space="preserve">SG2RG-AMR </w:t>
            </w:r>
            <w:proofErr w:type="spellStart"/>
            <w:r w:rsidRPr="00DC5C75">
              <w:rPr>
                <w:rFonts w:cstheme="minorHAnsi"/>
                <w:lang w:val="es-ES"/>
              </w:rPr>
              <w:t>management</w:t>
            </w:r>
            <w:proofErr w:type="spellEnd"/>
            <w:r w:rsidRPr="00DC5C75">
              <w:rPr>
                <w:rFonts w:cstheme="minorHAnsi"/>
                <w:lang w:val="es-ES"/>
              </w:rPr>
              <w:t xml:space="preserve"> </w:t>
            </w:r>
            <w:proofErr w:type="spellStart"/>
            <w:r w:rsidRPr="00DC5C75">
              <w:rPr>
                <w:rFonts w:cstheme="minorHAnsi"/>
                <w:lang w:val="es-ES"/>
              </w:rPr>
              <w:t>team</w:t>
            </w:r>
            <w:proofErr w:type="spellEnd"/>
            <w:r w:rsidRPr="00DC5C75">
              <w:rPr>
                <w:rFonts w:cstheme="minorHAnsi"/>
                <w:lang w:val="es-ES"/>
              </w:rPr>
              <w:t xml:space="preserve"> / </w:t>
            </w:r>
            <w:r w:rsidRPr="00DC5C75">
              <w:rPr>
                <w:rFonts w:cstheme="minorHAnsi"/>
                <w:i/>
                <w:iCs/>
                <w:lang w:val="es-ES"/>
              </w:rPr>
              <w:t>Equipo de Dirección del SG2RG-AMR</w:t>
            </w:r>
          </w:p>
        </w:tc>
      </w:tr>
      <w:tr w:rsidR="002F1BEC" w:rsidRPr="005613B8" w14:paraId="570F0444"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C9ED2" w14:textId="77777777" w:rsidR="002F1BEC" w:rsidRPr="00DC5C75" w:rsidRDefault="002F1BEC" w:rsidP="00224D3B">
            <w:pPr>
              <w:spacing w:before="60" w:after="60"/>
              <w:ind w:right="10"/>
              <w:rPr>
                <w:rFonts w:cstheme="minorHAnsi"/>
              </w:rPr>
            </w:pPr>
            <w:r w:rsidRPr="00DC5C75">
              <w:rPr>
                <w:rFonts w:cstheme="minorHAnsi"/>
                <w:lang w:val="es-ES"/>
              </w:rPr>
              <w:t>10</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5A099" w14:textId="77777777" w:rsidR="002F1BEC" w:rsidRPr="00DC5C75" w:rsidRDefault="002F1BEC" w:rsidP="00224D3B">
            <w:pPr>
              <w:spacing w:before="60" w:after="60"/>
              <w:rPr>
                <w:rFonts w:cstheme="minorHAnsi"/>
                <w:lang w:val="es-GT"/>
              </w:rPr>
            </w:pPr>
            <w:proofErr w:type="spellStart"/>
            <w:r w:rsidRPr="00DC5C75">
              <w:rPr>
                <w:rFonts w:cstheme="minorHAnsi"/>
                <w:lang w:val="es-GT"/>
              </w:rPr>
              <w:t>Other</w:t>
            </w:r>
            <w:proofErr w:type="spellEnd"/>
            <w:r w:rsidRPr="00DC5C75">
              <w:rPr>
                <w:rFonts w:cstheme="minorHAnsi"/>
                <w:lang w:val="es-GT"/>
              </w:rPr>
              <w:t xml:space="preserve"> </w:t>
            </w:r>
            <w:proofErr w:type="spellStart"/>
            <w:r w:rsidRPr="00DC5C75">
              <w:rPr>
                <w:rFonts w:cstheme="minorHAnsi"/>
                <w:lang w:val="es-GT"/>
              </w:rPr>
              <w:t>issues</w:t>
            </w:r>
            <w:proofErr w:type="spellEnd"/>
            <w:r w:rsidRPr="00DC5C75">
              <w:rPr>
                <w:rFonts w:cstheme="minorHAnsi"/>
                <w:lang w:val="es-GT"/>
              </w:rPr>
              <w:t xml:space="preserve"> for </w:t>
            </w:r>
            <w:proofErr w:type="spellStart"/>
            <w:r w:rsidRPr="00DC5C75">
              <w:rPr>
                <w:rFonts w:cstheme="minorHAnsi"/>
                <w:lang w:val="es-GT"/>
              </w:rPr>
              <w:t>this</w:t>
            </w:r>
            <w:proofErr w:type="spellEnd"/>
            <w:r w:rsidRPr="00DC5C75">
              <w:rPr>
                <w:rFonts w:cstheme="minorHAnsi"/>
                <w:lang w:val="es-GT"/>
              </w:rPr>
              <w:t xml:space="preserve"> meeting / </w:t>
            </w:r>
            <w:r w:rsidRPr="00DC5C75">
              <w:rPr>
                <w:rFonts w:cstheme="minorHAnsi"/>
                <w:i/>
                <w:iCs/>
                <w:lang w:val="es-ES"/>
              </w:rPr>
              <w:t>Otros asuntos para esta reunión</w:t>
            </w:r>
          </w:p>
        </w:tc>
      </w:tr>
      <w:tr w:rsidR="002F1BEC" w:rsidRPr="002F1BEC" w14:paraId="720CBEEC"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39A1D" w14:textId="77777777" w:rsidR="002F1BEC" w:rsidRPr="00DC5C75" w:rsidRDefault="002F1BEC" w:rsidP="00224D3B">
            <w:pPr>
              <w:spacing w:before="60" w:after="60"/>
              <w:ind w:right="10"/>
              <w:rPr>
                <w:rFonts w:cstheme="minorHAnsi"/>
                <w:lang w:val="es-ES"/>
              </w:rPr>
            </w:pPr>
            <w:r w:rsidRPr="00DC5C75">
              <w:rPr>
                <w:rFonts w:cstheme="minorHAnsi"/>
              </w:rPr>
              <w:t>11</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C3C93" w14:textId="77777777" w:rsidR="002F1BEC" w:rsidRPr="002F1BEC" w:rsidRDefault="002F1BEC" w:rsidP="00224D3B">
            <w:pPr>
              <w:spacing w:before="60" w:after="60"/>
              <w:rPr>
                <w:rFonts w:cstheme="minorHAnsi"/>
                <w:lang w:val="en-US"/>
              </w:rPr>
            </w:pPr>
            <w:r w:rsidRPr="002F1BEC">
              <w:rPr>
                <w:rFonts w:cstheme="minorHAnsi"/>
                <w:lang w:val="en-US"/>
              </w:rPr>
              <w:t xml:space="preserve">Preparation of the draft Report of the SG2RG-AMR / </w:t>
            </w:r>
            <w:proofErr w:type="spellStart"/>
            <w:r w:rsidRPr="002F1BEC">
              <w:rPr>
                <w:rFonts w:cstheme="minorHAnsi"/>
                <w:i/>
                <w:iCs/>
                <w:lang w:val="en-US"/>
              </w:rPr>
              <w:t>Preparación</w:t>
            </w:r>
            <w:proofErr w:type="spellEnd"/>
            <w:r w:rsidRPr="002F1BEC">
              <w:rPr>
                <w:rFonts w:cstheme="minorHAnsi"/>
                <w:i/>
                <w:iCs/>
                <w:lang w:val="en-US"/>
              </w:rPr>
              <w:t xml:space="preserve"> del </w:t>
            </w:r>
            <w:proofErr w:type="spellStart"/>
            <w:r w:rsidRPr="002F1BEC">
              <w:rPr>
                <w:rFonts w:cstheme="minorHAnsi"/>
                <w:i/>
                <w:iCs/>
                <w:lang w:val="en-US"/>
              </w:rPr>
              <w:t>borrador</w:t>
            </w:r>
            <w:proofErr w:type="spellEnd"/>
            <w:r w:rsidRPr="002F1BEC">
              <w:rPr>
                <w:rFonts w:cstheme="minorHAnsi"/>
                <w:i/>
                <w:iCs/>
                <w:lang w:val="en-US"/>
              </w:rPr>
              <w:t xml:space="preserve"> del </w:t>
            </w:r>
            <w:proofErr w:type="spellStart"/>
            <w:r w:rsidRPr="002F1BEC">
              <w:rPr>
                <w:rFonts w:cstheme="minorHAnsi"/>
                <w:i/>
                <w:iCs/>
                <w:lang w:val="en-US"/>
              </w:rPr>
              <w:t>informe</w:t>
            </w:r>
            <w:proofErr w:type="spellEnd"/>
            <w:r w:rsidRPr="002F1BEC">
              <w:rPr>
                <w:rFonts w:cstheme="minorHAnsi"/>
                <w:i/>
                <w:iCs/>
                <w:lang w:val="en-US"/>
              </w:rPr>
              <w:t xml:space="preserve"> del SG2RG-AMR</w:t>
            </w:r>
          </w:p>
        </w:tc>
      </w:tr>
      <w:tr w:rsidR="002F1BEC" w:rsidRPr="005613B8" w14:paraId="343EBD7B"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556AC" w14:textId="77777777" w:rsidR="002F1BEC" w:rsidRPr="003608CB" w:rsidRDefault="002F1BEC" w:rsidP="00224D3B">
            <w:pPr>
              <w:spacing w:before="60" w:after="60"/>
              <w:ind w:right="10"/>
              <w:rPr>
                <w:rFonts w:cstheme="minorHAnsi"/>
              </w:rPr>
            </w:pPr>
            <w:r>
              <w:rPr>
                <w:rFonts w:cstheme="minorHAnsi"/>
              </w:rPr>
              <w:t>12</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AF6E6" w14:textId="77777777" w:rsidR="002F1BEC" w:rsidRPr="003608CB" w:rsidRDefault="002F1BEC" w:rsidP="00224D3B">
            <w:pPr>
              <w:spacing w:before="60" w:after="60"/>
              <w:rPr>
                <w:rFonts w:cstheme="minorHAnsi"/>
                <w:lang w:val="es-ES"/>
              </w:rPr>
            </w:pPr>
            <w:proofErr w:type="spellStart"/>
            <w:r w:rsidRPr="003608CB">
              <w:rPr>
                <w:rFonts w:cstheme="minorHAnsi"/>
                <w:lang w:val="es-GT"/>
              </w:rPr>
              <w:t>Venue</w:t>
            </w:r>
            <w:proofErr w:type="spellEnd"/>
            <w:r w:rsidRPr="003608CB">
              <w:rPr>
                <w:rFonts w:cstheme="minorHAnsi"/>
                <w:lang w:val="es-GT"/>
              </w:rPr>
              <w:t xml:space="preserve"> and date of next SG2RG-AMR meeting / </w:t>
            </w:r>
            <w:r w:rsidRPr="003608CB">
              <w:rPr>
                <w:rFonts w:cstheme="minorHAnsi"/>
                <w:i/>
                <w:iCs/>
                <w:lang w:val="es-GT"/>
              </w:rPr>
              <w:t>Lugar y fecha de la próxima reunión del SG2RG-AMR</w:t>
            </w:r>
          </w:p>
        </w:tc>
      </w:tr>
      <w:tr w:rsidR="002F1BEC" w:rsidRPr="002F1BEC" w14:paraId="0CB776B2"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7EF0C" w14:textId="77777777" w:rsidR="002F1BEC" w:rsidRPr="003608CB" w:rsidRDefault="002F1BEC" w:rsidP="00224D3B">
            <w:pPr>
              <w:spacing w:before="60" w:after="60"/>
              <w:ind w:right="10"/>
              <w:rPr>
                <w:rFonts w:cstheme="minorHAnsi"/>
                <w:lang w:val="es-ES"/>
              </w:rPr>
            </w:pPr>
            <w:r>
              <w:rPr>
                <w:rFonts w:cstheme="minorHAnsi"/>
                <w:lang w:val="es-ES"/>
              </w:rPr>
              <w:t>13</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9A979E" w14:textId="77777777" w:rsidR="002F1BEC" w:rsidRPr="002F1BEC" w:rsidRDefault="002F1BEC" w:rsidP="00224D3B">
            <w:pPr>
              <w:spacing w:before="60" w:after="60"/>
              <w:rPr>
                <w:rFonts w:cstheme="minorHAnsi"/>
                <w:lang w:val="en-US"/>
              </w:rPr>
            </w:pPr>
            <w:r w:rsidRPr="002F1BEC">
              <w:rPr>
                <w:rFonts w:cstheme="minorHAnsi"/>
                <w:lang w:val="en-US"/>
              </w:rPr>
              <w:t xml:space="preserve">Any other business / </w:t>
            </w:r>
            <w:proofErr w:type="spellStart"/>
            <w:r w:rsidRPr="002F1BEC">
              <w:rPr>
                <w:rFonts w:cstheme="minorHAnsi"/>
                <w:i/>
                <w:iCs/>
                <w:lang w:val="en-US"/>
              </w:rPr>
              <w:t>Otros</w:t>
            </w:r>
            <w:proofErr w:type="spellEnd"/>
            <w:r w:rsidRPr="002F1BEC">
              <w:rPr>
                <w:rFonts w:cstheme="minorHAnsi"/>
                <w:i/>
                <w:iCs/>
                <w:lang w:val="en-US"/>
              </w:rPr>
              <w:t xml:space="preserve"> </w:t>
            </w:r>
            <w:proofErr w:type="spellStart"/>
            <w:r w:rsidRPr="002F1BEC">
              <w:rPr>
                <w:rFonts w:cstheme="minorHAnsi"/>
                <w:i/>
                <w:iCs/>
                <w:lang w:val="en-US"/>
              </w:rPr>
              <w:t>asuntos</w:t>
            </w:r>
            <w:proofErr w:type="spellEnd"/>
          </w:p>
        </w:tc>
      </w:tr>
      <w:tr w:rsidR="002F1BEC" w:rsidRPr="00A723DA" w14:paraId="332A564C" w14:textId="77777777" w:rsidTr="00224D3B">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14C86" w14:textId="77777777" w:rsidR="002F1BEC" w:rsidRPr="003608CB" w:rsidRDefault="002F1BEC" w:rsidP="00224D3B">
            <w:pPr>
              <w:spacing w:before="60" w:after="60"/>
              <w:ind w:right="10"/>
              <w:rPr>
                <w:rFonts w:cstheme="minorHAnsi"/>
              </w:rPr>
            </w:pPr>
            <w:r>
              <w:rPr>
                <w:rFonts w:cstheme="minorHAnsi"/>
              </w:rPr>
              <w:t>14</w:t>
            </w:r>
          </w:p>
        </w:tc>
        <w:tc>
          <w:tcPr>
            <w:tcW w:w="8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1A3EB" w14:textId="77777777" w:rsidR="002F1BEC" w:rsidRPr="003608CB" w:rsidRDefault="002F1BEC" w:rsidP="00224D3B">
            <w:pPr>
              <w:spacing w:before="60" w:after="60"/>
              <w:rPr>
                <w:rFonts w:cstheme="minorHAnsi"/>
                <w:lang w:val="es-GT"/>
              </w:rPr>
            </w:pPr>
            <w:proofErr w:type="spellStart"/>
            <w:r w:rsidRPr="003608CB">
              <w:rPr>
                <w:rFonts w:cstheme="minorHAnsi"/>
              </w:rPr>
              <w:t>Closure</w:t>
            </w:r>
            <w:proofErr w:type="spellEnd"/>
            <w:r w:rsidRPr="003608CB">
              <w:rPr>
                <w:rFonts w:cstheme="minorHAnsi"/>
              </w:rPr>
              <w:t xml:space="preserve"> of the meeting / </w:t>
            </w:r>
            <w:r w:rsidRPr="003608CB">
              <w:rPr>
                <w:rFonts w:cstheme="minorHAnsi"/>
                <w:i/>
                <w:iCs/>
              </w:rPr>
              <w:t>Clausura de la reunión</w:t>
            </w:r>
          </w:p>
        </w:tc>
      </w:tr>
    </w:tbl>
    <w:p w14:paraId="7A3D78F9" w14:textId="77777777" w:rsidR="002F1BEC" w:rsidRDefault="002F1BEC" w:rsidP="002F1BEC">
      <w:pPr>
        <w:tabs>
          <w:tab w:val="clear" w:pos="794"/>
          <w:tab w:val="clear" w:pos="1191"/>
          <w:tab w:val="clear" w:pos="1588"/>
          <w:tab w:val="clear" w:pos="1985"/>
        </w:tabs>
        <w:spacing w:before="0"/>
        <w:rPr>
          <w:u w:val="single"/>
        </w:rPr>
      </w:pPr>
    </w:p>
    <w:p w14:paraId="7CE38AD3" w14:textId="77777777" w:rsidR="002545AA" w:rsidRPr="007C5F49" w:rsidRDefault="002545AA" w:rsidP="002545AA">
      <w:pPr>
        <w:jc w:val="center"/>
      </w:pPr>
      <w:r w:rsidRPr="007C5F49">
        <w:t>______________</w:t>
      </w:r>
    </w:p>
    <w:p w14:paraId="4051B564" w14:textId="77777777" w:rsidR="00C34772" w:rsidRPr="007C5F49" w:rsidRDefault="00C34772" w:rsidP="002545AA">
      <w:pPr>
        <w:tabs>
          <w:tab w:val="clear" w:pos="794"/>
          <w:tab w:val="clear" w:pos="1191"/>
          <w:tab w:val="clear" w:pos="1588"/>
          <w:tab w:val="clear" w:pos="1985"/>
          <w:tab w:val="left" w:pos="4962"/>
        </w:tabs>
        <w:rPr>
          <w:sz w:val="4"/>
          <w:szCs w:val="4"/>
        </w:rPr>
      </w:pPr>
    </w:p>
    <w:sectPr w:rsidR="00C34772" w:rsidRPr="007C5F49" w:rsidSect="002545AA">
      <w:headerReference w:type="even" r:id="rId34"/>
      <w:headerReference w:type="default" r:id="rId35"/>
      <w:footerReference w:type="even" r:id="rId36"/>
      <w:footerReference w:type="default" r:id="rId37"/>
      <w:footerReference w:type="first" r:id="rId38"/>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F3B37" w14:textId="77777777" w:rsidR="00154E68" w:rsidRDefault="00154E68">
      <w:r>
        <w:separator/>
      </w:r>
    </w:p>
  </w:endnote>
  <w:endnote w:type="continuationSeparator" w:id="0">
    <w:p w14:paraId="23D7C00A" w14:textId="77777777" w:rsidR="00154E68" w:rsidRDefault="0015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D652" w14:textId="155A566F" w:rsidR="00141CB4" w:rsidRPr="006B5061" w:rsidRDefault="00141CB4" w:rsidP="006B5061">
    <w:pPr>
      <w:pStyle w:val="Footer"/>
      <w:tabs>
        <w:tab w:val="center" w:pos="5387"/>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A6C5" w14:textId="3E37C4CF" w:rsidR="00141CB4" w:rsidRPr="006B5061" w:rsidRDefault="00141CB4" w:rsidP="006B5061">
    <w:pPr>
      <w:pStyle w:val="Footer"/>
      <w:tabs>
        <w:tab w:val="center" w:pos="5387"/>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B48E"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46EF1" w14:textId="77777777" w:rsidR="00154E68" w:rsidRDefault="00154E68">
      <w:r>
        <w:t>____________________</w:t>
      </w:r>
    </w:p>
  </w:footnote>
  <w:footnote w:type="continuationSeparator" w:id="0">
    <w:p w14:paraId="57827C27" w14:textId="77777777" w:rsidR="00154E68" w:rsidRDefault="00154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Cs/>
        <w:sz w:val="18"/>
        <w:szCs w:val="18"/>
      </w:rPr>
      <w:id w:val="-2084290009"/>
      <w:docPartObj>
        <w:docPartGallery w:val="Page Numbers (Top of Page)"/>
        <w:docPartUnique/>
      </w:docPartObj>
    </w:sdtPr>
    <w:sdtEndPr/>
    <w:sdtContent>
      <w:p w14:paraId="22281329" w14:textId="5DF25169" w:rsidR="00141CB4" w:rsidRPr="007B1662" w:rsidRDefault="00BC1FB8" w:rsidP="00BC1FB8">
        <w:pPr>
          <w:pStyle w:val="Header"/>
          <w:spacing w:after="240"/>
          <w:rPr>
            <w:bCs/>
            <w:sz w:val="18"/>
            <w:szCs w:val="18"/>
          </w:rPr>
        </w:pPr>
        <w:r w:rsidRPr="007B1662">
          <w:rPr>
            <w:bCs/>
            <w:sz w:val="18"/>
            <w:szCs w:val="18"/>
          </w:rPr>
          <w:t xml:space="preserve">- </w:t>
        </w:r>
        <w:r w:rsidRPr="007B1662">
          <w:rPr>
            <w:bCs/>
            <w:sz w:val="18"/>
            <w:szCs w:val="18"/>
          </w:rPr>
          <w:fldChar w:fldCharType="begin"/>
        </w:r>
        <w:r w:rsidRPr="007B1662">
          <w:rPr>
            <w:bCs/>
            <w:sz w:val="18"/>
            <w:szCs w:val="18"/>
          </w:rPr>
          <w:instrText xml:space="preserve"> PAGE   \* MERGEFORMAT </w:instrText>
        </w:r>
        <w:r w:rsidRPr="007B1662">
          <w:rPr>
            <w:bCs/>
            <w:sz w:val="18"/>
            <w:szCs w:val="18"/>
          </w:rPr>
          <w:fldChar w:fldCharType="separate"/>
        </w:r>
        <w:r w:rsidR="005E67CA" w:rsidRPr="007B1662">
          <w:rPr>
            <w:bCs/>
            <w:sz w:val="18"/>
            <w:szCs w:val="18"/>
          </w:rPr>
          <w:t>2</w:t>
        </w:r>
        <w:r w:rsidRPr="007B1662">
          <w:rPr>
            <w:bCs/>
            <w:sz w:val="18"/>
            <w:szCs w:val="18"/>
          </w:rPr>
          <w:fldChar w:fldCharType="end"/>
        </w:r>
        <w:r w:rsidRPr="007B1662">
          <w:rPr>
            <w:bCs/>
            <w:sz w:val="18"/>
            <w:szCs w:val="18"/>
          </w:rPr>
          <w:t xml:space="preserve"> -</w:t>
        </w:r>
        <w:r w:rsidRPr="007B1662">
          <w:rPr>
            <w:bCs/>
            <w:sz w:val="18"/>
            <w:szCs w:val="18"/>
          </w:rPr>
          <w:br/>
        </w:r>
        <w:r w:rsidRPr="001A50AB">
          <w:rPr>
            <w:bCs/>
            <w:sz w:val="18"/>
            <w:szCs w:val="18"/>
          </w:rPr>
          <w:t xml:space="preserve">Carta Colectiva </w:t>
        </w:r>
        <w:r w:rsidR="007B1662" w:rsidRPr="007B1662">
          <w:rPr>
            <w:bCs/>
            <w:sz w:val="18"/>
            <w:szCs w:val="18"/>
          </w:rPr>
          <w:t>TSB 2/SG2RG-AMR</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141411"/>
      <w:docPartObj>
        <w:docPartGallery w:val="Page Numbers (Top of Page)"/>
        <w:docPartUnique/>
      </w:docPartObj>
    </w:sdtPr>
    <w:sdtEndPr>
      <w:rPr>
        <w:noProof/>
        <w:sz w:val="18"/>
        <w:szCs w:val="18"/>
      </w:rPr>
    </w:sdtEndPr>
    <w:sdtContent>
      <w:p w14:paraId="539DD8DF" w14:textId="6DE6BCB5"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007B1662" w:rsidRPr="001A50AB">
          <w:rPr>
            <w:bCs/>
            <w:sz w:val="18"/>
            <w:szCs w:val="18"/>
          </w:rPr>
          <w:t xml:space="preserve">Carta Colectiva </w:t>
        </w:r>
        <w:r w:rsidR="007B1662" w:rsidRPr="007B1662">
          <w:rPr>
            <w:bCs/>
            <w:sz w:val="18"/>
            <w:szCs w:val="18"/>
          </w:rPr>
          <w:t>TSB 2/SG2RG-AMR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B0E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BAE5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B0D2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3042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88C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709E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84B6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00A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65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C4CA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2F139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444111890">
    <w:abstractNumId w:val="10"/>
  </w:num>
  <w:num w:numId="2" w16cid:durableId="2019042747">
    <w:abstractNumId w:val="17"/>
  </w:num>
  <w:num w:numId="3" w16cid:durableId="719399487">
    <w:abstractNumId w:val="16"/>
  </w:num>
  <w:num w:numId="4" w16cid:durableId="104009228">
    <w:abstractNumId w:val="13"/>
  </w:num>
  <w:num w:numId="5" w16cid:durableId="734862130">
    <w:abstractNumId w:val="14"/>
  </w:num>
  <w:num w:numId="6" w16cid:durableId="1144541770">
    <w:abstractNumId w:val="15"/>
  </w:num>
  <w:num w:numId="7" w16cid:durableId="438335943">
    <w:abstractNumId w:val="12"/>
  </w:num>
  <w:num w:numId="8" w16cid:durableId="36854404">
    <w:abstractNumId w:val="11"/>
  </w:num>
  <w:num w:numId="9" w16cid:durableId="1896811244">
    <w:abstractNumId w:val="9"/>
  </w:num>
  <w:num w:numId="10" w16cid:durableId="1804812450">
    <w:abstractNumId w:val="7"/>
  </w:num>
  <w:num w:numId="11" w16cid:durableId="250479329">
    <w:abstractNumId w:val="6"/>
  </w:num>
  <w:num w:numId="12" w16cid:durableId="231163681">
    <w:abstractNumId w:val="5"/>
  </w:num>
  <w:num w:numId="13" w16cid:durableId="570652172">
    <w:abstractNumId w:val="4"/>
  </w:num>
  <w:num w:numId="14" w16cid:durableId="532691259">
    <w:abstractNumId w:val="8"/>
  </w:num>
  <w:num w:numId="15" w16cid:durableId="1932540936">
    <w:abstractNumId w:val="3"/>
  </w:num>
  <w:num w:numId="16" w16cid:durableId="1191605026">
    <w:abstractNumId w:val="2"/>
  </w:num>
  <w:num w:numId="17" w16cid:durableId="654337250">
    <w:abstractNumId w:val="1"/>
  </w:num>
  <w:num w:numId="18" w16cid:durableId="329872077">
    <w:abstractNumId w:val="0"/>
  </w:num>
  <w:num w:numId="19" w16cid:durableId="973604605">
    <w:abstractNumId w:val="8"/>
  </w:num>
  <w:num w:numId="20" w16cid:durableId="1194461189">
    <w:abstractNumId w:val="3"/>
  </w:num>
  <w:num w:numId="21" w16cid:durableId="1791439158">
    <w:abstractNumId w:val="2"/>
  </w:num>
  <w:num w:numId="22" w16cid:durableId="1508516677">
    <w:abstractNumId w:val="1"/>
  </w:num>
  <w:num w:numId="23" w16cid:durableId="73539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B0D87"/>
    <w:rsid w:val="000C375D"/>
    <w:rsid w:val="000C382F"/>
    <w:rsid w:val="000F67AE"/>
    <w:rsid w:val="00114963"/>
    <w:rsid w:val="001173CC"/>
    <w:rsid w:val="00126D02"/>
    <w:rsid w:val="001344C2"/>
    <w:rsid w:val="00136FC2"/>
    <w:rsid w:val="00141CB4"/>
    <w:rsid w:val="00154E68"/>
    <w:rsid w:val="001572B5"/>
    <w:rsid w:val="001671BC"/>
    <w:rsid w:val="001A2905"/>
    <w:rsid w:val="001A54CC"/>
    <w:rsid w:val="001C2FAD"/>
    <w:rsid w:val="001D1BA9"/>
    <w:rsid w:val="001F0D48"/>
    <w:rsid w:val="002021BB"/>
    <w:rsid w:val="00212668"/>
    <w:rsid w:val="00221C83"/>
    <w:rsid w:val="002545AA"/>
    <w:rsid w:val="00257FB4"/>
    <w:rsid w:val="00271D3E"/>
    <w:rsid w:val="0027571F"/>
    <w:rsid w:val="002C1570"/>
    <w:rsid w:val="002F1BEC"/>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02C25"/>
    <w:rsid w:val="00421116"/>
    <w:rsid w:val="00427EA6"/>
    <w:rsid w:val="00434968"/>
    <w:rsid w:val="00450C73"/>
    <w:rsid w:val="0048241B"/>
    <w:rsid w:val="004C1AD1"/>
    <w:rsid w:val="004C4144"/>
    <w:rsid w:val="004E26E4"/>
    <w:rsid w:val="004F0A81"/>
    <w:rsid w:val="004F5584"/>
    <w:rsid w:val="00505119"/>
    <w:rsid w:val="005267F7"/>
    <w:rsid w:val="00535F99"/>
    <w:rsid w:val="00545669"/>
    <w:rsid w:val="00546E00"/>
    <w:rsid w:val="00555E45"/>
    <w:rsid w:val="00560EDA"/>
    <w:rsid w:val="00565F98"/>
    <w:rsid w:val="00567B54"/>
    <w:rsid w:val="0057186B"/>
    <w:rsid w:val="0057338E"/>
    <w:rsid w:val="005827E3"/>
    <w:rsid w:val="00586B1D"/>
    <w:rsid w:val="005961BF"/>
    <w:rsid w:val="005B4854"/>
    <w:rsid w:val="005B6711"/>
    <w:rsid w:val="005E67CA"/>
    <w:rsid w:val="00607302"/>
    <w:rsid w:val="00607393"/>
    <w:rsid w:val="00617595"/>
    <w:rsid w:val="0062060E"/>
    <w:rsid w:val="00622CE3"/>
    <w:rsid w:val="00635FA2"/>
    <w:rsid w:val="0064235A"/>
    <w:rsid w:val="00647213"/>
    <w:rsid w:val="00653A0E"/>
    <w:rsid w:val="00653B29"/>
    <w:rsid w:val="0067009C"/>
    <w:rsid w:val="006760CF"/>
    <w:rsid w:val="006969B4"/>
    <w:rsid w:val="006A0C05"/>
    <w:rsid w:val="006A335A"/>
    <w:rsid w:val="006B5061"/>
    <w:rsid w:val="006E24F0"/>
    <w:rsid w:val="006F18F8"/>
    <w:rsid w:val="006F6185"/>
    <w:rsid w:val="006F6581"/>
    <w:rsid w:val="007128A1"/>
    <w:rsid w:val="00715D93"/>
    <w:rsid w:val="00720BA2"/>
    <w:rsid w:val="00781E2A"/>
    <w:rsid w:val="007A6373"/>
    <w:rsid w:val="007B1662"/>
    <w:rsid w:val="007B1970"/>
    <w:rsid w:val="007B34FB"/>
    <w:rsid w:val="007C5F49"/>
    <w:rsid w:val="008134A7"/>
    <w:rsid w:val="00823E22"/>
    <w:rsid w:val="008258C2"/>
    <w:rsid w:val="00833CCA"/>
    <w:rsid w:val="00846D89"/>
    <w:rsid w:val="008505BD"/>
    <w:rsid w:val="00850C78"/>
    <w:rsid w:val="00855B98"/>
    <w:rsid w:val="00856FEC"/>
    <w:rsid w:val="008C17AD"/>
    <w:rsid w:val="008D02CD"/>
    <w:rsid w:val="008E3DFD"/>
    <w:rsid w:val="008F29BD"/>
    <w:rsid w:val="008F4D9A"/>
    <w:rsid w:val="0091255A"/>
    <w:rsid w:val="00934054"/>
    <w:rsid w:val="0095172A"/>
    <w:rsid w:val="00963CD8"/>
    <w:rsid w:val="00975A06"/>
    <w:rsid w:val="009900B7"/>
    <w:rsid w:val="009D3E5C"/>
    <w:rsid w:val="009D4C42"/>
    <w:rsid w:val="009F0942"/>
    <w:rsid w:val="00A01AA4"/>
    <w:rsid w:val="00A119A2"/>
    <w:rsid w:val="00A41330"/>
    <w:rsid w:val="00A42718"/>
    <w:rsid w:val="00A54E47"/>
    <w:rsid w:val="00A6120F"/>
    <w:rsid w:val="00A85283"/>
    <w:rsid w:val="00A9210B"/>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BC6A4C"/>
    <w:rsid w:val="00BE373C"/>
    <w:rsid w:val="00C0097C"/>
    <w:rsid w:val="00C05882"/>
    <w:rsid w:val="00C17AC0"/>
    <w:rsid w:val="00C24BFC"/>
    <w:rsid w:val="00C31ED4"/>
    <w:rsid w:val="00C34772"/>
    <w:rsid w:val="00C36657"/>
    <w:rsid w:val="00C44C79"/>
    <w:rsid w:val="00C50A2D"/>
    <w:rsid w:val="00C71699"/>
    <w:rsid w:val="00C717E3"/>
    <w:rsid w:val="00CB3300"/>
    <w:rsid w:val="00CC1DE4"/>
    <w:rsid w:val="00CD4AE3"/>
    <w:rsid w:val="00CE245E"/>
    <w:rsid w:val="00D027A3"/>
    <w:rsid w:val="00D119EC"/>
    <w:rsid w:val="00D9076E"/>
    <w:rsid w:val="00DA16FC"/>
    <w:rsid w:val="00DA7E46"/>
    <w:rsid w:val="00DD77C9"/>
    <w:rsid w:val="00DD7900"/>
    <w:rsid w:val="00DF4D66"/>
    <w:rsid w:val="00DF5926"/>
    <w:rsid w:val="00DF61F3"/>
    <w:rsid w:val="00E25441"/>
    <w:rsid w:val="00E5040E"/>
    <w:rsid w:val="00E54ABE"/>
    <w:rsid w:val="00E764E2"/>
    <w:rsid w:val="00E81A56"/>
    <w:rsid w:val="00E839B0"/>
    <w:rsid w:val="00E85734"/>
    <w:rsid w:val="00E904F6"/>
    <w:rsid w:val="00E92C09"/>
    <w:rsid w:val="00E95B36"/>
    <w:rsid w:val="00EA3374"/>
    <w:rsid w:val="00EB4E19"/>
    <w:rsid w:val="00EF4FA4"/>
    <w:rsid w:val="00F30AE3"/>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8E3DFD"/>
    <w:rPr>
      <w:color w:val="605E5C"/>
      <w:shd w:val="clear" w:color="auto" w:fill="E1DFDD"/>
    </w:rPr>
  </w:style>
  <w:style w:type="paragraph" w:customStyle="1" w:styleId="Annextitle0">
    <w:name w:val="Annex_title"/>
    <w:basedOn w:val="Normal"/>
    <w:next w:val="Normal"/>
    <w:rsid w:val="00F30AE3"/>
    <w:pPr>
      <w:keepNext/>
      <w:keepLines/>
      <w:spacing w:before="240" w:after="280"/>
      <w:jc w:val="center"/>
    </w:pPr>
    <w:rPr>
      <w:b/>
      <w:sz w:val="28"/>
      <w:lang w:val="en-GB"/>
    </w:rPr>
  </w:style>
  <w:style w:type="table" w:customStyle="1" w:styleId="TableGrid0">
    <w:name w:val="TableGrid"/>
    <w:rsid w:val="002F1BEC"/>
    <w:rPr>
      <w:rFonts w:asciiTheme="minorHAnsi" w:eastAsiaTheme="minorEastAsia" w:hAnsiTheme="minorHAnsi" w:cstheme="minorBidi"/>
      <w:kern w:val="2"/>
      <w:sz w:val="22"/>
      <w:szCs w:val="22"/>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sharepoint.com/sites/SG2/Shared%20Documents/SG2RG-AMR/02_10Oct2025_Montevideo/Collective/itu.int/en/ITU-T/regionalgroups/sg2-amr" TargetMode="External"/><Relationship Id="rId18" Type="http://schemas.openxmlformats.org/officeDocument/2006/relationships/hyperlink" Target="https://www.itu.int/en/ITU-T/regionalgroups/sg02-amr/Pages/default.aspx" TargetMode="External"/><Relationship Id="rId26" Type="http://schemas.openxmlformats.org/officeDocument/2006/relationships/hyperlink" Target="https://www.itu.int/en/ties-services" TargetMode="External"/><Relationship Id="rId39" Type="http://schemas.openxmlformats.org/officeDocument/2006/relationships/fontTable" Target="fontTable.xml"/><Relationship Id="rId21" Type="http://schemas.openxmlformats.org/officeDocument/2006/relationships/hyperlink" Target="https://www.itu.int/en/ITU-T/regionalgroups/sg02-amr/Pages/default.asp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sbsg2@itu.int" TargetMode="External"/><Relationship Id="rId17" Type="http://schemas.openxmlformats.org/officeDocument/2006/relationships/hyperlink" Target="https://www.itu.int/en/ITU-T/regionalgroups/sg02-amr/Pages/default.aspx"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en/ITU-T/regionalgroups/sg02-amr/Pages/default.aspx"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en/ITU-T/regionalgroups/sg03-lac/Pages/default.aspx" TargetMode="External"/><Relationship Id="rId20" Type="http://schemas.openxmlformats.org/officeDocument/2006/relationships/hyperlink" Target="https://www.itu.int/en/ITU-T/regionalgroups/sg02-amr/Pages/default.aspx" TargetMode="External"/><Relationship Id="rId29" Type="http://schemas.openxmlformats.org/officeDocument/2006/relationships/hyperlink" Target="https://itu.int/go/fellowships/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www.itu.int/en/ITU-T/regionalgroups/sg02-amr/Pages/default.aspx"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D/Regional-Presence/Americas/Pages/EVENTS/2025/IPEC-2025.aspx" TargetMode="External"/><Relationship Id="rId23" Type="http://schemas.openxmlformats.org/officeDocument/2006/relationships/image" Target="media/image2.png"/><Relationship Id="rId28" Type="http://schemas.openxmlformats.org/officeDocument/2006/relationships/hyperlink" Target="https://www.itu.int/en/ITU-T/regionalgroups/sg02-amr/Pages/default.asp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pub/T-RES-T.54-2024/es" TargetMode="External"/><Relationship Id="rId31" Type="http://schemas.openxmlformats.org/officeDocument/2006/relationships/hyperlink" Target="https://www.gub.uy/ministerio-interior/comunicacion/publicaciones/regimen-visas-adm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Americas/Pages/EVENTS/2025/IPEC-2025.aspx" TargetMode="External"/><Relationship Id="rId22" Type="http://schemas.openxmlformats.org/officeDocument/2006/relationships/hyperlink" Target="mailto:tsbsg2@itu.int" TargetMode="External"/><Relationship Id="rId27" Type="http://schemas.openxmlformats.org/officeDocument/2006/relationships/hyperlink" Target="https://www.itu.int/myworkspace/" TargetMode="External"/><Relationship Id="rId30" Type="http://schemas.openxmlformats.org/officeDocument/2006/relationships/hyperlink" Target="https://www.itu.int/en/ITU-T/regionalgroups/sg02-amr/Pages/default.aspx"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4704B5C4-8AAE-4EDD-B8C4-AA3A968503F0}">
  <ds:schemaRefs>
    <ds:schemaRef ds:uri="http://schemas.microsoft.com/sharepoint/v3/contenttype/forms"/>
  </ds:schemaRefs>
</ds:datastoreItem>
</file>

<file path=customXml/itemProps2.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customXml/itemProps3.xml><?xml version="1.0" encoding="utf-8"?>
<ds:datastoreItem xmlns:ds="http://schemas.openxmlformats.org/officeDocument/2006/customXml" ds:itemID="{C7F6E41E-335F-4F59-A494-3D25C4638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C2EB0-095F-4CE7-AC1E-72F0128FF934}">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PS_TSBCIRC1.dotm</Template>
  <TotalTime>139</TotalTime>
  <Pages>4</Pages>
  <Words>1381</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10299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11</cp:revision>
  <cp:lastPrinted>2025-06-20T09:26:00Z</cp:lastPrinted>
  <dcterms:created xsi:type="dcterms:W3CDTF">2025-06-18T15:41:00Z</dcterms:created>
  <dcterms:modified xsi:type="dcterms:W3CDTF">2025-06-20T09:26:00Z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MediaServiceImageTags">
    <vt:lpwstr/>
  </property>
</Properties>
</file>