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2F2427" w14:paraId="08493344" w14:textId="77777777" w:rsidTr="00F71ACC">
        <w:trPr>
          <w:cantSplit/>
        </w:trPr>
        <w:tc>
          <w:tcPr>
            <w:tcW w:w="1418" w:type="dxa"/>
            <w:gridSpan w:val="3"/>
            <w:vAlign w:val="center"/>
          </w:tcPr>
          <w:p w14:paraId="70F4BCF9" w14:textId="77777777" w:rsidR="003E5F3C" w:rsidRPr="002F2427" w:rsidRDefault="0010404C" w:rsidP="00CB634F">
            <w:pPr>
              <w:tabs>
                <w:tab w:val="right" w:pos="8732"/>
              </w:tabs>
              <w:spacing w:before="0"/>
              <w:rPr>
                <w:rFonts w:asciiTheme="minorHAnsi" w:hAnsiTheme="minorHAnsi"/>
                <w:b/>
                <w:bCs/>
                <w:iCs/>
                <w:color w:val="FFFFFF"/>
                <w:sz w:val="30"/>
                <w:szCs w:val="30"/>
              </w:rPr>
            </w:pPr>
            <w:r w:rsidRPr="002F2427">
              <w:rPr>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2F2427" w:rsidRDefault="003E5F3C" w:rsidP="00CB634F">
            <w:pPr>
              <w:spacing w:before="0"/>
              <w:rPr>
                <w:rFonts w:asciiTheme="minorHAnsi" w:hAnsiTheme="minorHAnsi" w:cs="Times New Roman Bold"/>
                <w:b/>
                <w:bCs/>
                <w:iCs/>
                <w:smallCaps/>
                <w:sz w:val="34"/>
                <w:szCs w:val="34"/>
              </w:rPr>
            </w:pPr>
            <w:r w:rsidRPr="002F2427">
              <w:rPr>
                <w:rFonts w:asciiTheme="minorHAnsi" w:hAnsiTheme="minorHAnsi" w:cs="Times New Roman Bold"/>
                <w:b/>
                <w:bCs/>
                <w:iCs/>
                <w:smallCaps/>
                <w:sz w:val="34"/>
                <w:szCs w:val="34"/>
              </w:rPr>
              <w:t>Union internationale des télécommunications</w:t>
            </w:r>
          </w:p>
          <w:p w14:paraId="13303FF6" w14:textId="77777777" w:rsidR="003E5F3C" w:rsidRPr="002F2427" w:rsidRDefault="003E5F3C" w:rsidP="00CB634F">
            <w:pPr>
              <w:tabs>
                <w:tab w:val="right" w:pos="8732"/>
              </w:tabs>
              <w:spacing w:before="0"/>
              <w:rPr>
                <w:rFonts w:asciiTheme="minorHAnsi" w:hAnsiTheme="minorHAnsi"/>
                <w:b/>
                <w:bCs/>
                <w:iCs/>
                <w:color w:val="FFFFFF"/>
                <w:sz w:val="30"/>
                <w:szCs w:val="30"/>
              </w:rPr>
            </w:pPr>
            <w:r w:rsidRPr="002F2427">
              <w:rPr>
                <w:rFonts w:asciiTheme="minorHAnsi" w:hAnsiTheme="minorHAnsi" w:cs="Times New Roman Bold"/>
                <w:b/>
                <w:bCs/>
                <w:iCs/>
                <w:smallCaps/>
                <w:sz w:val="28"/>
                <w:szCs w:val="28"/>
              </w:rPr>
              <w:t>B</w:t>
            </w:r>
            <w:r w:rsidRPr="002F2427">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2F2427" w:rsidRDefault="003E5F3C" w:rsidP="00CB634F">
            <w:pPr>
              <w:spacing w:before="0"/>
              <w:jc w:val="right"/>
              <w:rPr>
                <w:rFonts w:asciiTheme="minorHAnsi" w:hAnsiTheme="minorHAnsi"/>
                <w:color w:val="FFFFFF"/>
                <w:sz w:val="26"/>
                <w:szCs w:val="26"/>
              </w:rPr>
            </w:pPr>
          </w:p>
        </w:tc>
      </w:tr>
      <w:tr w:rsidR="00F71ACC" w:rsidRPr="002F2427" w14:paraId="05556AFD" w14:textId="77777777" w:rsidTr="00132B0F">
        <w:trPr>
          <w:gridBefore w:val="1"/>
          <w:wBefore w:w="8" w:type="dxa"/>
          <w:cantSplit/>
          <w:trHeight w:val="74"/>
        </w:trPr>
        <w:tc>
          <w:tcPr>
            <w:tcW w:w="985" w:type="dxa"/>
          </w:tcPr>
          <w:p w14:paraId="7B40622F" w14:textId="77777777" w:rsidR="00F71ACC" w:rsidRPr="002F2427"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2F2427" w:rsidRDefault="00F71ACC" w:rsidP="00C17596">
            <w:pPr>
              <w:tabs>
                <w:tab w:val="left" w:pos="4111"/>
              </w:tabs>
              <w:spacing w:before="0"/>
              <w:ind w:left="57"/>
              <w:rPr>
                <w:rFonts w:asciiTheme="minorHAnsi" w:hAnsiTheme="minorHAnsi"/>
                <w:b/>
              </w:rPr>
            </w:pPr>
          </w:p>
        </w:tc>
        <w:tc>
          <w:tcPr>
            <w:tcW w:w="4896" w:type="dxa"/>
            <w:gridSpan w:val="2"/>
          </w:tcPr>
          <w:p w14:paraId="56DA0743" w14:textId="5E0D8789" w:rsidR="00F71ACC" w:rsidRPr="002F2427" w:rsidRDefault="00F71ACC" w:rsidP="002A591E">
            <w:pPr>
              <w:tabs>
                <w:tab w:val="clear" w:pos="794"/>
                <w:tab w:val="clear" w:pos="1191"/>
                <w:tab w:val="clear" w:pos="1588"/>
                <w:tab w:val="clear" w:pos="1985"/>
              </w:tabs>
              <w:spacing w:after="120"/>
              <w:ind w:left="57"/>
              <w:rPr>
                <w:rFonts w:asciiTheme="minorHAnsi" w:hAnsiTheme="minorHAnsi"/>
                <w:b/>
              </w:rPr>
            </w:pPr>
            <w:r w:rsidRPr="002F2427">
              <w:rPr>
                <w:rFonts w:asciiTheme="minorHAnsi" w:hAnsiTheme="minorHAnsi"/>
              </w:rPr>
              <w:t>Genève, le</w:t>
            </w:r>
            <w:r w:rsidR="00F57BBD" w:rsidRPr="002F2427">
              <w:rPr>
                <w:rFonts w:asciiTheme="minorHAnsi" w:hAnsiTheme="minorHAnsi"/>
              </w:rPr>
              <w:t xml:space="preserve"> 18 novembre 2024</w:t>
            </w:r>
          </w:p>
        </w:tc>
      </w:tr>
      <w:tr w:rsidR="00F71ACC" w:rsidRPr="002F2427" w14:paraId="43431B8C" w14:textId="77777777" w:rsidTr="00295B1F">
        <w:trPr>
          <w:gridBefore w:val="1"/>
          <w:wBefore w:w="8" w:type="dxa"/>
          <w:cantSplit/>
          <w:trHeight w:val="340"/>
        </w:trPr>
        <w:tc>
          <w:tcPr>
            <w:tcW w:w="985" w:type="dxa"/>
          </w:tcPr>
          <w:p w14:paraId="38F610A0" w14:textId="77777777" w:rsidR="00F71ACC" w:rsidRPr="002F2427" w:rsidRDefault="00F71ACC" w:rsidP="00F71ACC">
            <w:pPr>
              <w:tabs>
                <w:tab w:val="left" w:pos="4111"/>
              </w:tabs>
              <w:spacing w:before="40" w:after="40"/>
              <w:ind w:left="57"/>
              <w:rPr>
                <w:rFonts w:asciiTheme="minorHAnsi" w:hAnsiTheme="minorHAnsi"/>
              </w:rPr>
            </w:pPr>
            <w:r w:rsidRPr="002F2427">
              <w:rPr>
                <w:rFonts w:asciiTheme="minorHAnsi" w:hAnsiTheme="minorHAnsi"/>
              </w:rPr>
              <w:t>Réf.:</w:t>
            </w:r>
          </w:p>
        </w:tc>
        <w:tc>
          <w:tcPr>
            <w:tcW w:w="3892" w:type="dxa"/>
            <w:gridSpan w:val="2"/>
          </w:tcPr>
          <w:p w14:paraId="52E8A41D" w14:textId="2EDCA229" w:rsidR="00F71ACC" w:rsidRPr="002F2427" w:rsidRDefault="00F71ACC" w:rsidP="00F71ACC">
            <w:pPr>
              <w:tabs>
                <w:tab w:val="left" w:pos="4111"/>
              </w:tabs>
              <w:spacing w:before="40" w:after="40"/>
              <w:ind w:left="227" w:hanging="170"/>
              <w:rPr>
                <w:rFonts w:asciiTheme="minorHAnsi" w:hAnsiTheme="minorHAnsi"/>
                <w:b/>
              </w:rPr>
            </w:pPr>
            <w:r w:rsidRPr="002F2427">
              <w:rPr>
                <w:rFonts w:asciiTheme="minorHAnsi" w:hAnsiTheme="minorHAnsi"/>
                <w:b/>
              </w:rPr>
              <w:t xml:space="preserve">Lettre collective TSB </w:t>
            </w:r>
            <w:r w:rsidR="00F57BBD" w:rsidRPr="002F2427">
              <w:rPr>
                <w:rFonts w:asciiTheme="minorHAnsi" w:hAnsiTheme="minorHAnsi"/>
                <w:b/>
              </w:rPr>
              <w:t>1/SG2RG-AFR</w:t>
            </w:r>
          </w:p>
          <w:p w14:paraId="4B00CADD" w14:textId="34A291A9" w:rsidR="00F57BBD" w:rsidRPr="002F2427" w:rsidRDefault="00F57BBD" w:rsidP="00F71ACC">
            <w:pPr>
              <w:tabs>
                <w:tab w:val="left" w:pos="4111"/>
              </w:tabs>
              <w:spacing w:before="40" w:after="40"/>
              <w:ind w:left="227" w:hanging="170"/>
              <w:rPr>
                <w:rFonts w:asciiTheme="minorHAnsi" w:hAnsiTheme="minorHAnsi"/>
                <w:b/>
              </w:rPr>
            </w:pPr>
            <w:r w:rsidRPr="002F2427">
              <w:rPr>
                <w:rFonts w:asciiTheme="minorHAnsi" w:hAnsiTheme="minorHAnsi"/>
                <w:b/>
              </w:rPr>
              <w:t>Lettre collective TSB</w:t>
            </w:r>
            <w:r w:rsidR="00DF07A3" w:rsidRPr="002F2427">
              <w:rPr>
                <w:rFonts w:asciiTheme="minorHAnsi" w:hAnsiTheme="minorHAnsi"/>
                <w:b/>
              </w:rPr>
              <w:t xml:space="preserve"> </w:t>
            </w:r>
            <w:r w:rsidRPr="002F2427">
              <w:rPr>
                <w:rFonts w:asciiTheme="minorHAnsi" w:hAnsiTheme="minorHAnsi"/>
                <w:b/>
              </w:rPr>
              <w:t>1/SG2RG-ARB</w:t>
            </w:r>
          </w:p>
          <w:p w14:paraId="41ECCC25" w14:textId="5BD368C5" w:rsidR="00F71ACC" w:rsidRPr="002F2427" w:rsidRDefault="00F57BBD" w:rsidP="00F57BBD">
            <w:pPr>
              <w:tabs>
                <w:tab w:val="left" w:pos="4111"/>
              </w:tabs>
              <w:spacing w:before="0"/>
              <w:ind w:left="57"/>
              <w:rPr>
                <w:rFonts w:asciiTheme="minorHAnsi" w:hAnsiTheme="minorHAnsi"/>
                <w:b/>
              </w:rPr>
            </w:pPr>
            <w:r w:rsidRPr="002F2427">
              <w:rPr>
                <w:rFonts w:asciiTheme="minorHAnsi" w:hAnsiTheme="minorHAnsi"/>
                <w:b/>
              </w:rPr>
              <w:t>SG2/MCB</w:t>
            </w:r>
          </w:p>
        </w:tc>
        <w:tc>
          <w:tcPr>
            <w:tcW w:w="4896" w:type="dxa"/>
            <w:gridSpan w:val="2"/>
            <w:vMerge w:val="restart"/>
          </w:tcPr>
          <w:p w14:paraId="34607897" w14:textId="6329DE00" w:rsidR="00F71ACC" w:rsidRPr="002F2427" w:rsidRDefault="00F71ACC" w:rsidP="00B45362">
            <w:pPr>
              <w:tabs>
                <w:tab w:val="clear" w:pos="794"/>
                <w:tab w:val="clear" w:pos="1191"/>
                <w:tab w:val="clear" w:pos="1588"/>
                <w:tab w:val="clear" w:pos="1985"/>
              </w:tabs>
              <w:spacing w:before="40" w:after="40"/>
              <w:ind w:left="504" w:right="8" w:hanging="447"/>
              <w:rPr>
                <w:rFonts w:asciiTheme="minorHAnsi" w:hAnsiTheme="minorHAnsi"/>
              </w:rPr>
            </w:pPr>
            <w:r w:rsidRPr="002F2427">
              <w:rPr>
                <w:rFonts w:asciiTheme="minorHAnsi" w:hAnsiTheme="minorHAnsi"/>
              </w:rPr>
              <w:t>–</w:t>
            </w:r>
            <w:r w:rsidRPr="002F2427">
              <w:rPr>
                <w:rFonts w:asciiTheme="minorHAnsi" w:hAnsiTheme="minorHAnsi"/>
              </w:rPr>
              <w:tab/>
            </w:r>
            <w:r w:rsidR="00F57BBD" w:rsidRPr="002F2427">
              <w:rPr>
                <w:rFonts w:asciiTheme="minorHAnsi" w:hAnsiTheme="minorHAnsi"/>
              </w:rPr>
              <w:t>Aux Administrations participant aux travaux des Groupes SG2RG-AFR et SG2RG-ARB;</w:t>
            </w:r>
          </w:p>
          <w:p w14:paraId="73FF07D4" w14:textId="0820554D" w:rsidR="00F71ACC" w:rsidRPr="002F2427" w:rsidRDefault="00F71ACC"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r>
            <w:r w:rsidR="00F57BBD" w:rsidRPr="002F2427">
              <w:rPr>
                <w:rFonts w:asciiTheme="minorHAnsi" w:hAnsiTheme="minorHAnsi"/>
                <w:szCs w:val="22"/>
              </w:rPr>
              <w:t>Aux Membres du Secteur UIT-T participant aux travaux des Groupes SG2RG-AFR et SG2RG-ARB;</w:t>
            </w:r>
          </w:p>
          <w:p w14:paraId="57AF8C28" w14:textId="4B721FBD" w:rsidR="00F57BBD" w:rsidRPr="002F2427" w:rsidRDefault="00F71ACC"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r>
            <w:r w:rsidR="00F57BBD" w:rsidRPr="002F2427">
              <w:rPr>
                <w:rFonts w:asciiTheme="minorHAnsi" w:hAnsiTheme="minorHAnsi"/>
              </w:rPr>
              <w:t>Aux Associés de l'UIT-T participant aux travaux des Groupes SG2RG-AFR et SG2RG-ARB;</w:t>
            </w:r>
          </w:p>
          <w:p w14:paraId="04A0B5CC" w14:textId="34C38760" w:rsidR="00F57BBD" w:rsidRPr="002F2427" w:rsidRDefault="00F57BBD"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t>Aux établissements universitaires participant aux travaux des Groupes SG2RG-AFR et SG2RG-ARB;</w:t>
            </w:r>
          </w:p>
          <w:p w14:paraId="246B0FBA" w14:textId="3554AAFB" w:rsidR="00F57BBD" w:rsidRPr="002F2427" w:rsidRDefault="00F57BBD"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t>À l'Union africaine des télécommunications;</w:t>
            </w:r>
          </w:p>
          <w:p w14:paraId="3A472A63" w14:textId="06CA119C" w:rsidR="00F57BBD" w:rsidRPr="002F2427" w:rsidRDefault="00F57BBD"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t xml:space="preserve">A la Ligue des </w:t>
            </w:r>
            <w:r w:rsidR="00371448" w:rsidRPr="002F2427">
              <w:rPr>
                <w:rFonts w:asciiTheme="minorHAnsi" w:hAnsiTheme="minorHAnsi"/>
              </w:rPr>
              <w:t>États</w:t>
            </w:r>
            <w:r w:rsidRPr="002F2427">
              <w:rPr>
                <w:rFonts w:asciiTheme="minorHAnsi" w:hAnsiTheme="minorHAnsi"/>
              </w:rPr>
              <w:t xml:space="preserve"> arabes;</w:t>
            </w:r>
          </w:p>
          <w:p w14:paraId="5731ED4F" w14:textId="1A267A1F" w:rsidR="00F57BBD" w:rsidRPr="002F2427" w:rsidRDefault="00F57BBD"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t>Au Bureau régional de l'UIT pour l'Afrique;</w:t>
            </w:r>
          </w:p>
          <w:p w14:paraId="3169C545" w14:textId="6324D7A1" w:rsidR="00F57BBD" w:rsidRPr="002F2427" w:rsidRDefault="00F57BBD" w:rsidP="00B45362">
            <w:pPr>
              <w:tabs>
                <w:tab w:val="left" w:pos="4111"/>
              </w:tabs>
              <w:spacing w:before="0"/>
              <w:ind w:left="497" w:right="8" w:hanging="440"/>
              <w:rPr>
                <w:rFonts w:asciiTheme="minorHAnsi" w:hAnsiTheme="minorHAnsi"/>
              </w:rPr>
            </w:pPr>
            <w:r w:rsidRPr="002F2427">
              <w:rPr>
                <w:rFonts w:asciiTheme="minorHAnsi" w:hAnsiTheme="minorHAnsi"/>
              </w:rPr>
              <w:t>–</w:t>
            </w:r>
            <w:r w:rsidRPr="002F2427">
              <w:rPr>
                <w:rFonts w:asciiTheme="minorHAnsi" w:hAnsiTheme="minorHAnsi"/>
              </w:rPr>
              <w:tab/>
              <w:t>Au Bureau de zone de l'UIT pour l'Afrique australe;</w:t>
            </w:r>
          </w:p>
          <w:p w14:paraId="30D3AA90" w14:textId="18151283" w:rsidR="00F71ACC" w:rsidRPr="002F2427" w:rsidRDefault="00F57BBD" w:rsidP="00B45362">
            <w:pPr>
              <w:spacing w:before="0"/>
              <w:ind w:left="497" w:right="8" w:hanging="440"/>
              <w:rPr>
                <w:rFonts w:asciiTheme="minorHAnsi" w:hAnsiTheme="minorHAnsi"/>
                <w:b/>
              </w:rPr>
            </w:pPr>
            <w:r w:rsidRPr="002F2427">
              <w:rPr>
                <w:rFonts w:asciiTheme="minorHAnsi" w:hAnsiTheme="minorHAnsi"/>
              </w:rPr>
              <w:t>–</w:t>
            </w:r>
            <w:r w:rsidRPr="002F2427">
              <w:rPr>
                <w:rFonts w:asciiTheme="minorHAnsi" w:hAnsiTheme="minorHAnsi"/>
              </w:rPr>
              <w:tab/>
              <w:t>Au Bureau régional de l'UIT pour les États arabes</w:t>
            </w:r>
          </w:p>
        </w:tc>
      </w:tr>
      <w:tr w:rsidR="00F71ACC" w:rsidRPr="002F2427" w14:paraId="342700AE" w14:textId="77777777" w:rsidTr="00295B1F">
        <w:trPr>
          <w:gridBefore w:val="1"/>
          <w:wBefore w:w="8" w:type="dxa"/>
          <w:cantSplit/>
        </w:trPr>
        <w:tc>
          <w:tcPr>
            <w:tcW w:w="985" w:type="dxa"/>
          </w:tcPr>
          <w:p w14:paraId="00849D69" w14:textId="77777777" w:rsidR="00F71ACC" w:rsidRPr="002F2427" w:rsidRDefault="00F71ACC" w:rsidP="00F71ACC">
            <w:pPr>
              <w:tabs>
                <w:tab w:val="left" w:pos="4111"/>
              </w:tabs>
              <w:spacing w:before="40" w:after="40"/>
              <w:ind w:left="57"/>
              <w:rPr>
                <w:rFonts w:asciiTheme="minorHAnsi" w:hAnsiTheme="minorHAnsi"/>
              </w:rPr>
            </w:pPr>
            <w:r w:rsidRPr="002F2427">
              <w:rPr>
                <w:rFonts w:asciiTheme="minorHAnsi" w:hAnsiTheme="minorHAnsi"/>
              </w:rPr>
              <w:t>Tél.:</w:t>
            </w:r>
          </w:p>
        </w:tc>
        <w:tc>
          <w:tcPr>
            <w:tcW w:w="3892" w:type="dxa"/>
            <w:gridSpan w:val="2"/>
          </w:tcPr>
          <w:p w14:paraId="7A97668F" w14:textId="3E1A1087" w:rsidR="00F71ACC" w:rsidRPr="002F2427" w:rsidRDefault="00F71ACC" w:rsidP="00F71ACC">
            <w:pPr>
              <w:tabs>
                <w:tab w:val="left" w:pos="4111"/>
              </w:tabs>
              <w:spacing w:before="40" w:after="40"/>
              <w:ind w:left="227" w:hanging="170"/>
              <w:rPr>
                <w:rFonts w:asciiTheme="minorHAnsi" w:hAnsiTheme="minorHAnsi"/>
                <w:szCs w:val="22"/>
              </w:rPr>
            </w:pPr>
            <w:r w:rsidRPr="002F2427">
              <w:rPr>
                <w:rFonts w:asciiTheme="minorHAnsi" w:hAnsiTheme="minorHAnsi"/>
                <w:szCs w:val="22"/>
              </w:rPr>
              <w:t xml:space="preserve">+41 22 730 </w:t>
            </w:r>
            <w:r w:rsidR="00F57BBD" w:rsidRPr="002F2427">
              <w:rPr>
                <w:rFonts w:asciiTheme="minorHAnsi" w:hAnsiTheme="minorHAnsi"/>
                <w:szCs w:val="22"/>
              </w:rPr>
              <w:t>5415</w:t>
            </w:r>
          </w:p>
        </w:tc>
        <w:tc>
          <w:tcPr>
            <w:tcW w:w="4896" w:type="dxa"/>
            <w:gridSpan w:val="2"/>
            <w:vMerge/>
          </w:tcPr>
          <w:p w14:paraId="1D467C9B" w14:textId="77777777" w:rsidR="00F71ACC" w:rsidRPr="002F2427" w:rsidRDefault="00F71ACC" w:rsidP="00C17596">
            <w:pPr>
              <w:spacing w:before="0"/>
              <w:ind w:left="226" w:hanging="169"/>
              <w:rPr>
                <w:rFonts w:asciiTheme="minorHAnsi" w:hAnsiTheme="minorHAnsi"/>
              </w:rPr>
            </w:pPr>
          </w:p>
        </w:tc>
      </w:tr>
      <w:tr w:rsidR="00F71ACC" w:rsidRPr="002F2427" w14:paraId="3A1380BE" w14:textId="77777777" w:rsidTr="00295B1F">
        <w:trPr>
          <w:gridBefore w:val="1"/>
          <w:wBefore w:w="8" w:type="dxa"/>
          <w:cantSplit/>
        </w:trPr>
        <w:tc>
          <w:tcPr>
            <w:tcW w:w="985" w:type="dxa"/>
          </w:tcPr>
          <w:p w14:paraId="5751D9CB" w14:textId="77777777" w:rsidR="00F71ACC" w:rsidRPr="002F2427" w:rsidRDefault="00295B1F" w:rsidP="00F71ACC">
            <w:pPr>
              <w:tabs>
                <w:tab w:val="left" w:pos="4111"/>
              </w:tabs>
              <w:spacing w:before="40" w:after="40"/>
              <w:ind w:left="57"/>
              <w:rPr>
                <w:rFonts w:asciiTheme="minorHAnsi" w:hAnsiTheme="minorHAnsi"/>
              </w:rPr>
            </w:pPr>
            <w:r w:rsidRPr="002F2427">
              <w:rPr>
                <w:rFonts w:asciiTheme="minorHAnsi" w:hAnsiTheme="minorHAnsi"/>
              </w:rPr>
              <w:t>Télécopie</w:t>
            </w:r>
            <w:r w:rsidR="00F71ACC" w:rsidRPr="002F2427">
              <w:rPr>
                <w:rFonts w:asciiTheme="minorHAnsi" w:hAnsiTheme="minorHAnsi"/>
              </w:rPr>
              <w:t>:</w:t>
            </w:r>
          </w:p>
        </w:tc>
        <w:tc>
          <w:tcPr>
            <w:tcW w:w="3892" w:type="dxa"/>
            <w:gridSpan w:val="2"/>
          </w:tcPr>
          <w:p w14:paraId="7A1D1EA1" w14:textId="77777777" w:rsidR="00F71ACC" w:rsidRPr="002F2427" w:rsidRDefault="00F71ACC" w:rsidP="00F71ACC">
            <w:pPr>
              <w:tabs>
                <w:tab w:val="left" w:pos="4111"/>
              </w:tabs>
              <w:spacing w:before="40" w:after="40"/>
              <w:ind w:left="227" w:hanging="170"/>
              <w:rPr>
                <w:rFonts w:asciiTheme="minorHAnsi" w:hAnsiTheme="minorHAnsi"/>
              </w:rPr>
            </w:pPr>
            <w:r w:rsidRPr="002F2427">
              <w:rPr>
                <w:rFonts w:asciiTheme="minorHAnsi" w:hAnsiTheme="minorHAnsi"/>
              </w:rPr>
              <w:t>+41 22 730 5853</w:t>
            </w:r>
          </w:p>
        </w:tc>
        <w:tc>
          <w:tcPr>
            <w:tcW w:w="4896" w:type="dxa"/>
            <w:gridSpan w:val="2"/>
            <w:vMerge/>
          </w:tcPr>
          <w:p w14:paraId="4A2CF72E" w14:textId="77777777" w:rsidR="00F71ACC" w:rsidRPr="002F242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2F2427" w14:paraId="0C93093D" w14:textId="77777777" w:rsidTr="00295B1F">
        <w:trPr>
          <w:gridBefore w:val="1"/>
          <w:wBefore w:w="8" w:type="dxa"/>
          <w:cantSplit/>
        </w:trPr>
        <w:tc>
          <w:tcPr>
            <w:tcW w:w="985" w:type="dxa"/>
          </w:tcPr>
          <w:p w14:paraId="193EDB7B" w14:textId="77777777" w:rsidR="00F71ACC" w:rsidRPr="002F2427" w:rsidRDefault="00295B1F" w:rsidP="00F71ACC">
            <w:pPr>
              <w:tabs>
                <w:tab w:val="left" w:pos="4111"/>
              </w:tabs>
              <w:spacing w:before="40" w:after="40"/>
              <w:ind w:left="57"/>
              <w:rPr>
                <w:rFonts w:asciiTheme="minorHAnsi" w:hAnsiTheme="minorHAnsi"/>
              </w:rPr>
            </w:pPr>
            <w:r w:rsidRPr="002F2427">
              <w:rPr>
                <w:rFonts w:asciiTheme="minorHAnsi" w:hAnsiTheme="minorHAnsi"/>
              </w:rPr>
              <w:t>Courriel</w:t>
            </w:r>
            <w:r w:rsidR="00F71ACC" w:rsidRPr="002F2427">
              <w:rPr>
                <w:rFonts w:asciiTheme="minorHAnsi" w:hAnsiTheme="minorHAnsi"/>
              </w:rPr>
              <w:t>:</w:t>
            </w:r>
          </w:p>
        </w:tc>
        <w:tc>
          <w:tcPr>
            <w:tcW w:w="3892" w:type="dxa"/>
            <w:gridSpan w:val="2"/>
          </w:tcPr>
          <w:p w14:paraId="1B76CB16" w14:textId="15F709A9" w:rsidR="00F71ACC" w:rsidRPr="002F2427" w:rsidRDefault="00C81431" w:rsidP="00F71ACC">
            <w:pPr>
              <w:tabs>
                <w:tab w:val="left" w:pos="4111"/>
              </w:tabs>
              <w:spacing w:before="40" w:after="40"/>
              <w:ind w:left="227" w:hanging="170"/>
            </w:pPr>
            <w:hyperlink r:id="rId9" w:history="1">
              <w:r w:rsidR="00F57BBD" w:rsidRPr="002F2427">
                <w:rPr>
                  <w:rStyle w:val="Hyperlink"/>
                  <w:rFonts w:asciiTheme="minorHAnsi" w:hAnsiTheme="minorHAnsi"/>
                </w:rPr>
                <w:t>tsbsg2@itu.int</w:t>
              </w:r>
            </w:hyperlink>
          </w:p>
        </w:tc>
        <w:tc>
          <w:tcPr>
            <w:tcW w:w="4896" w:type="dxa"/>
            <w:gridSpan w:val="2"/>
            <w:vMerge/>
          </w:tcPr>
          <w:p w14:paraId="3759D6D2" w14:textId="77777777" w:rsidR="00F71ACC" w:rsidRPr="002F242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2F2427" w14:paraId="5AB73A90" w14:textId="77777777" w:rsidTr="00295B1F">
        <w:trPr>
          <w:gridBefore w:val="1"/>
          <w:wBefore w:w="8" w:type="dxa"/>
          <w:cantSplit/>
        </w:trPr>
        <w:tc>
          <w:tcPr>
            <w:tcW w:w="985" w:type="dxa"/>
          </w:tcPr>
          <w:p w14:paraId="7FD61F8E" w14:textId="326D9904" w:rsidR="00F71ACC" w:rsidRPr="002F2427" w:rsidRDefault="00F57BBD" w:rsidP="00F71ACC">
            <w:pPr>
              <w:tabs>
                <w:tab w:val="left" w:pos="4111"/>
              </w:tabs>
              <w:spacing w:before="40" w:after="40"/>
              <w:ind w:left="57"/>
              <w:rPr>
                <w:rFonts w:asciiTheme="minorHAnsi" w:hAnsiTheme="minorHAnsi"/>
              </w:rPr>
            </w:pPr>
            <w:r w:rsidRPr="002F2427">
              <w:rPr>
                <w:rFonts w:asciiTheme="minorHAnsi" w:hAnsiTheme="minorHAnsi"/>
              </w:rPr>
              <w:t xml:space="preserve">Site </w:t>
            </w:r>
            <w:r w:rsidR="00F71ACC" w:rsidRPr="002F2427">
              <w:rPr>
                <w:rFonts w:asciiTheme="minorHAnsi" w:hAnsiTheme="minorHAnsi"/>
              </w:rPr>
              <w:t>Web:</w:t>
            </w:r>
          </w:p>
        </w:tc>
        <w:tc>
          <w:tcPr>
            <w:tcW w:w="3892" w:type="dxa"/>
            <w:gridSpan w:val="2"/>
          </w:tcPr>
          <w:p w14:paraId="13FCF2AC" w14:textId="6F7D3797" w:rsidR="00F71ACC" w:rsidRPr="002F2427" w:rsidRDefault="00C81431" w:rsidP="00F71ACC">
            <w:pPr>
              <w:tabs>
                <w:tab w:val="left" w:pos="4111"/>
              </w:tabs>
              <w:spacing w:before="40" w:after="40"/>
              <w:ind w:left="227" w:hanging="170"/>
              <w:rPr>
                <w:rFonts w:asciiTheme="minorHAnsi" w:hAnsiTheme="minorHAnsi"/>
              </w:rPr>
            </w:pPr>
            <w:hyperlink r:id="rId10" w:history="1">
              <w:r w:rsidR="00F57BBD" w:rsidRPr="002F2427">
                <w:rPr>
                  <w:rStyle w:val="Hyperlink"/>
                  <w:rFonts w:asciiTheme="minorHAnsi" w:hAnsiTheme="minorHAnsi"/>
                </w:rPr>
                <w:t>itu.int/en/ITU-T/re</w:t>
              </w:r>
              <w:r w:rsidR="00F57BBD" w:rsidRPr="002F2427">
                <w:rPr>
                  <w:rStyle w:val="Hyperlink"/>
                  <w:rFonts w:asciiTheme="minorHAnsi" w:hAnsiTheme="minorHAnsi"/>
                </w:rPr>
                <w:t>g</w:t>
              </w:r>
              <w:r w:rsidR="00F57BBD" w:rsidRPr="002F2427">
                <w:rPr>
                  <w:rStyle w:val="Hyperlink"/>
                  <w:rFonts w:asciiTheme="minorHAnsi" w:hAnsiTheme="minorHAnsi"/>
                </w:rPr>
                <w:t>ionalgroups/sg</w:t>
              </w:r>
              <w:r w:rsidR="00B45362" w:rsidRPr="002F2427">
                <w:rPr>
                  <w:rStyle w:val="Hyperlink"/>
                  <w:rFonts w:asciiTheme="minorHAnsi" w:hAnsiTheme="minorHAnsi"/>
                </w:rPr>
                <w:t>02</w:t>
              </w:r>
              <w:r w:rsidR="00F57BBD" w:rsidRPr="002F2427">
                <w:rPr>
                  <w:rStyle w:val="Hyperlink"/>
                  <w:rFonts w:asciiTheme="minorHAnsi" w:hAnsiTheme="minorHAnsi"/>
                </w:rPr>
                <w:t>-afr</w:t>
              </w:r>
            </w:hyperlink>
          </w:p>
          <w:p w14:paraId="548585D8" w14:textId="6C9AEA35" w:rsidR="00F57BBD" w:rsidRPr="002F2427" w:rsidRDefault="00C81431" w:rsidP="00F71ACC">
            <w:pPr>
              <w:tabs>
                <w:tab w:val="left" w:pos="4111"/>
              </w:tabs>
              <w:spacing w:before="40" w:after="40"/>
              <w:ind w:left="227" w:hanging="170"/>
              <w:rPr>
                <w:rFonts w:asciiTheme="minorHAnsi" w:hAnsiTheme="minorHAnsi"/>
              </w:rPr>
            </w:pPr>
            <w:hyperlink r:id="rId11" w:history="1">
              <w:r w:rsidR="00F57BBD" w:rsidRPr="002F2427">
                <w:rPr>
                  <w:rStyle w:val="Hyperlink"/>
                  <w:rFonts w:asciiTheme="minorHAnsi" w:hAnsiTheme="minorHAnsi"/>
                </w:rPr>
                <w:t>itu.int/en/ITU-T/regionalgro</w:t>
              </w:r>
              <w:r w:rsidR="00F57BBD" w:rsidRPr="002F2427">
                <w:rPr>
                  <w:rStyle w:val="Hyperlink"/>
                  <w:rFonts w:asciiTheme="minorHAnsi" w:hAnsiTheme="minorHAnsi"/>
                </w:rPr>
                <w:t>u</w:t>
              </w:r>
              <w:r w:rsidR="00F57BBD" w:rsidRPr="002F2427">
                <w:rPr>
                  <w:rStyle w:val="Hyperlink"/>
                  <w:rFonts w:asciiTheme="minorHAnsi" w:hAnsiTheme="minorHAnsi"/>
                </w:rPr>
                <w:t>ps/sg02-arb</w:t>
              </w:r>
            </w:hyperlink>
          </w:p>
        </w:tc>
        <w:tc>
          <w:tcPr>
            <w:tcW w:w="4896" w:type="dxa"/>
            <w:gridSpan w:val="2"/>
            <w:vMerge/>
          </w:tcPr>
          <w:p w14:paraId="216C81AB" w14:textId="77777777" w:rsidR="00F71ACC" w:rsidRPr="002F242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2F2427" w14:paraId="2A79618F" w14:textId="77777777" w:rsidTr="00295B1F">
        <w:trPr>
          <w:gridBefore w:val="1"/>
          <w:wBefore w:w="8" w:type="dxa"/>
          <w:cantSplit/>
        </w:trPr>
        <w:tc>
          <w:tcPr>
            <w:tcW w:w="985" w:type="dxa"/>
          </w:tcPr>
          <w:p w14:paraId="424E7E0E" w14:textId="77777777" w:rsidR="00AC5975" w:rsidRPr="002F2427" w:rsidRDefault="00AC5975" w:rsidP="00344821">
            <w:pPr>
              <w:tabs>
                <w:tab w:val="left" w:pos="4111"/>
              </w:tabs>
              <w:spacing w:after="40"/>
              <w:ind w:left="57"/>
              <w:rPr>
                <w:rFonts w:asciiTheme="minorHAnsi" w:hAnsiTheme="minorHAnsi"/>
                <w:sz w:val="20"/>
              </w:rPr>
            </w:pPr>
            <w:r w:rsidRPr="002F2427">
              <w:rPr>
                <w:rFonts w:asciiTheme="minorHAnsi" w:hAnsiTheme="minorHAnsi"/>
              </w:rPr>
              <w:t>Objet:</w:t>
            </w:r>
          </w:p>
        </w:tc>
        <w:tc>
          <w:tcPr>
            <w:tcW w:w="8788" w:type="dxa"/>
            <w:gridSpan w:val="4"/>
          </w:tcPr>
          <w:p w14:paraId="5846AD76" w14:textId="41A6DD9F" w:rsidR="00AC5975" w:rsidRPr="002F2427" w:rsidRDefault="00F57BBD" w:rsidP="00344821">
            <w:pPr>
              <w:tabs>
                <w:tab w:val="left" w:pos="4111"/>
              </w:tabs>
              <w:spacing w:after="40"/>
              <w:ind w:left="57"/>
              <w:rPr>
                <w:rFonts w:asciiTheme="minorHAnsi" w:hAnsiTheme="minorHAnsi"/>
              </w:rPr>
            </w:pPr>
            <w:r w:rsidRPr="002F2427">
              <w:rPr>
                <w:rFonts w:asciiTheme="minorHAnsi" w:hAnsiTheme="minorHAnsi"/>
                <w:b/>
                <w:bCs/>
              </w:rPr>
              <w:t>Réunion conjointe du Groupe régional de la Commission d'études 2 de l'UIT-T pour l'Afrique</w:t>
            </w:r>
            <w:r w:rsidR="00B45362" w:rsidRPr="002F2427">
              <w:rPr>
                <w:rFonts w:asciiTheme="minorHAnsi" w:hAnsiTheme="minorHAnsi"/>
                <w:b/>
                <w:bCs/>
              </w:rPr>
              <w:t xml:space="preserve"> </w:t>
            </w:r>
            <w:r w:rsidRPr="002F2427">
              <w:rPr>
                <w:rFonts w:asciiTheme="minorHAnsi" w:hAnsiTheme="minorHAnsi"/>
                <w:b/>
                <w:bCs/>
              </w:rPr>
              <w:t>(SG2RG-AFR) et du Groupe régional de la Commission d'études 2 de l'UIT-T</w:t>
            </w:r>
            <w:r w:rsidR="00B45362" w:rsidRPr="002F2427">
              <w:rPr>
                <w:rFonts w:asciiTheme="minorHAnsi" w:hAnsiTheme="minorHAnsi"/>
                <w:b/>
                <w:bCs/>
              </w:rPr>
              <w:t xml:space="preserve"> </w:t>
            </w:r>
            <w:r w:rsidRPr="002F2427">
              <w:rPr>
                <w:rFonts w:asciiTheme="minorHAnsi" w:hAnsiTheme="minorHAnsi"/>
                <w:b/>
                <w:bCs/>
              </w:rPr>
              <w:t>pour les États</w:t>
            </w:r>
            <w:r w:rsidR="00B45362" w:rsidRPr="002F2427">
              <w:rPr>
                <w:rFonts w:asciiTheme="minorHAnsi" w:hAnsiTheme="minorHAnsi"/>
                <w:b/>
                <w:bCs/>
              </w:rPr>
              <w:t> </w:t>
            </w:r>
            <w:r w:rsidRPr="002F2427">
              <w:rPr>
                <w:rFonts w:asciiTheme="minorHAnsi" w:hAnsiTheme="minorHAnsi"/>
                <w:b/>
                <w:bCs/>
              </w:rPr>
              <w:t>arabes (SG2RG-ARB) (17 décembre 2024).</w:t>
            </w:r>
          </w:p>
        </w:tc>
      </w:tr>
    </w:tbl>
    <w:p w14:paraId="0DA06EB0" w14:textId="77777777" w:rsidR="00AC5975" w:rsidRPr="002F2427" w:rsidRDefault="00AC5975" w:rsidP="00B45362">
      <w:pPr>
        <w:pStyle w:val="Normalaftertitle"/>
      </w:pPr>
      <w:r w:rsidRPr="002F2427">
        <w:t>Madame, Monsieur,</w:t>
      </w:r>
    </w:p>
    <w:p w14:paraId="6801801F" w14:textId="7446B76C" w:rsidR="009460CB" w:rsidRPr="002F2427" w:rsidRDefault="009460CB" w:rsidP="009460CB">
      <w:pPr>
        <w:rPr>
          <w:b/>
          <w:bCs/>
        </w:rPr>
      </w:pPr>
      <w:bookmarkStart w:id="0" w:name="suitetext"/>
      <w:bookmarkEnd w:id="0"/>
      <w:r w:rsidRPr="002F2427">
        <w:t xml:space="preserve">J'ai l'honneur de vous inviter à participer à une réunion conjointe du </w:t>
      </w:r>
      <w:r w:rsidRPr="002F2427">
        <w:rPr>
          <w:b/>
          <w:bCs/>
        </w:rPr>
        <w:t xml:space="preserve">Groupe régional de la Commission d'études 2 de l'UIT-T pour l'Afrique </w:t>
      </w:r>
      <w:r w:rsidRPr="002F2427">
        <w:t>(</w:t>
      </w:r>
      <w:hyperlink r:id="rId12" w:history="1">
        <w:r w:rsidRPr="002F2427">
          <w:rPr>
            <w:rStyle w:val="Hyperlink"/>
          </w:rPr>
          <w:t>SG2RG-A</w:t>
        </w:r>
        <w:r w:rsidRPr="002F2427">
          <w:rPr>
            <w:rStyle w:val="Hyperlink"/>
          </w:rPr>
          <w:t>F</w:t>
        </w:r>
        <w:r w:rsidRPr="002F2427">
          <w:rPr>
            <w:rStyle w:val="Hyperlink"/>
          </w:rPr>
          <w:t>R</w:t>
        </w:r>
      </w:hyperlink>
      <w:r w:rsidRPr="002F2427">
        <w:t xml:space="preserve">) et du </w:t>
      </w:r>
      <w:r w:rsidRPr="002F2427">
        <w:rPr>
          <w:b/>
          <w:bCs/>
        </w:rPr>
        <w:t xml:space="preserve">Groupe régional de la Commission d'études 2 de l'UIT-T pour les États arabes </w:t>
      </w:r>
      <w:r w:rsidRPr="002F2427">
        <w:t>(</w:t>
      </w:r>
      <w:hyperlink r:id="rId13" w:history="1">
        <w:r w:rsidRPr="002F2427">
          <w:rPr>
            <w:rStyle w:val="Hyperlink"/>
          </w:rPr>
          <w:t>SG2RG</w:t>
        </w:r>
        <w:r w:rsidRPr="002F2427">
          <w:rPr>
            <w:rStyle w:val="Hyperlink"/>
          </w:rPr>
          <w:t>-</w:t>
        </w:r>
        <w:r w:rsidRPr="002F2427">
          <w:rPr>
            <w:rStyle w:val="Hyperlink"/>
          </w:rPr>
          <w:t>ARB</w:t>
        </w:r>
      </w:hyperlink>
      <w:r w:rsidRPr="002F2427">
        <w:t>), qui se tiendra de manière entièrement virtuelle le</w:t>
      </w:r>
      <w:r w:rsidR="00B45362" w:rsidRPr="002F2427">
        <w:t xml:space="preserve"> </w:t>
      </w:r>
      <w:r w:rsidRPr="002F2427">
        <w:t>17 décembre</w:t>
      </w:r>
      <w:r w:rsidR="00B45362" w:rsidRPr="002F2427">
        <w:t> </w:t>
      </w:r>
      <w:r w:rsidRPr="002F2427">
        <w:t>2024. La réunion se déroulera intégralement et uniquement en anglais, sans interprétation.</w:t>
      </w:r>
    </w:p>
    <w:p w14:paraId="1C9D174E" w14:textId="4F4D4ABB" w:rsidR="009460CB" w:rsidRPr="002F2427" w:rsidRDefault="009460CB" w:rsidP="009460CB">
      <w:r w:rsidRPr="002F2427">
        <w:t>La réunion conjointe des Groupes SG2RG-AFR et SG2RG-ARB débutera à 10 heures, heure de Genève, le 17 décembre 2024. Des renseignements complémentaires sont donnés dans l'</w:t>
      </w:r>
      <w:r w:rsidRPr="002F2427">
        <w:rPr>
          <w:b/>
          <w:bCs/>
        </w:rPr>
        <w:t xml:space="preserve">Annexe A </w:t>
      </w:r>
      <w:r w:rsidRPr="002F2427">
        <w:t>et un projet d'ordre du jour, établi par les Présidents des Groupes SG2RG-AFR et SG2RG-ARB, Mme</w:t>
      </w:r>
      <w:r w:rsidR="00D0627B" w:rsidRPr="002F2427">
        <w:t> </w:t>
      </w:r>
      <w:r w:rsidRPr="002F2427">
        <w:t>Susan</w:t>
      </w:r>
      <w:r w:rsidR="00D0627B" w:rsidRPr="002F2427">
        <w:t> </w:t>
      </w:r>
      <w:r w:rsidRPr="002F2427">
        <w:t>Nakanwagi</w:t>
      </w:r>
      <w:r w:rsidR="00B45362" w:rsidRPr="002F2427">
        <w:t xml:space="preserve"> </w:t>
      </w:r>
      <w:r w:rsidRPr="002F2427">
        <w:t>(Ouganda) et M. Saif Ghelaita (</w:t>
      </w:r>
      <w:r w:rsidR="00371448" w:rsidRPr="002F2427">
        <w:t>Émirats</w:t>
      </w:r>
      <w:r w:rsidRPr="002F2427">
        <w:t xml:space="preserve"> arabes unis) figure dans l'</w:t>
      </w:r>
      <w:r w:rsidRPr="002F2427">
        <w:rPr>
          <w:b/>
          <w:bCs/>
        </w:rPr>
        <w:t>Annexe B</w:t>
      </w:r>
      <w:r w:rsidRPr="002F2427">
        <w:t>.</w:t>
      </w:r>
    </w:p>
    <w:p w14:paraId="5193D058" w14:textId="20CB8EE3" w:rsidR="009460CB" w:rsidRPr="002F2427" w:rsidRDefault="009460CB" w:rsidP="009460CB">
      <w:r w:rsidRPr="002F2427">
        <w:t>Toutes les informations détaillées, y compris en ce qui concerne la participation à distance, sont disponibles sur les pages d</w:t>
      </w:r>
      <w:r w:rsidR="00371448" w:rsidRPr="002F2427">
        <w:t>'</w:t>
      </w:r>
      <w:r w:rsidRPr="002F2427">
        <w:t>accueil des différents groupes:</w:t>
      </w:r>
    </w:p>
    <w:p w14:paraId="2EACA4F9" w14:textId="3E4FEFEF" w:rsidR="009460CB" w:rsidRPr="002F2427" w:rsidRDefault="009460CB" w:rsidP="009460CB">
      <w:pPr>
        <w:pStyle w:val="enumlev1"/>
      </w:pPr>
      <w:r w:rsidRPr="002F2427">
        <w:t>–</w:t>
      </w:r>
      <w:r w:rsidRPr="002F2427">
        <w:tab/>
      </w:r>
      <w:hyperlink r:id="rId14" w:history="1">
        <w:r w:rsidRPr="002F2427">
          <w:rPr>
            <w:rStyle w:val="Hyperlink"/>
          </w:rPr>
          <w:t>itu.int/en/ITU-T/re</w:t>
        </w:r>
        <w:r w:rsidRPr="002F2427">
          <w:rPr>
            <w:rStyle w:val="Hyperlink"/>
          </w:rPr>
          <w:t>g</w:t>
        </w:r>
        <w:r w:rsidRPr="002F2427">
          <w:rPr>
            <w:rStyle w:val="Hyperlink"/>
          </w:rPr>
          <w:t>ionalgroups/sg02-afr</w:t>
        </w:r>
      </w:hyperlink>
    </w:p>
    <w:p w14:paraId="3AFEAE34" w14:textId="6B152720" w:rsidR="009460CB" w:rsidRPr="002F2427" w:rsidRDefault="009460CB" w:rsidP="009460CB">
      <w:pPr>
        <w:pStyle w:val="enumlev1"/>
      </w:pPr>
      <w:r w:rsidRPr="002F2427">
        <w:t>–</w:t>
      </w:r>
      <w:r w:rsidRPr="002F2427">
        <w:tab/>
      </w:r>
      <w:hyperlink r:id="rId15" w:history="1">
        <w:r w:rsidRPr="002F2427">
          <w:rPr>
            <w:rStyle w:val="Hyperlink"/>
          </w:rPr>
          <w:t>itu.int/en/ITU-T/regionalgroups/sg0</w:t>
        </w:r>
        <w:r w:rsidRPr="002F2427">
          <w:rPr>
            <w:rStyle w:val="Hyperlink"/>
          </w:rPr>
          <w:t>2</w:t>
        </w:r>
        <w:r w:rsidRPr="002F2427">
          <w:rPr>
            <w:rStyle w:val="Hyperlink"/>
          </w:rPr>
          <w:t>-arb</w:t>
        </w:r>
      </w:hyperlink>
    </w:p>
    <w:p w14:paraId="3A0002B7" w14:textId="1EDFCC58" w:rsidR="009460CB" w:rsidRPr="002F2427" w:rsidRDefault="009460CB" w:rsidP="009460CB">
      <w:r w:rsidRPr="002F2427">
        <w:t xml:space="preserve">Les représentants des États Membres, des Membres de Secteur et des établissements universitaires des deux régions, ainsi que les Associés de la commission d'études de rattachement et des régions concernées, peuvent participer à la réunion des Groupes SG2RG-AFR et SG2RG-ARB, en plus des participants invités par les groupes régionaux, comme indiqué dans la </w:t>
      </w:r>
      <w:hyperlink r:id="rId16" w:history="1">
        <w:r w:rsidRPr="002F2427">
          <w:rPr>
            <w:rStyle w:val="Hyperlink"/>
          </w:rPr>
          <w:t>Résolution 54 (Rév. New Delhi, 2024)</w:t>
        </w:r>
        <w:r w:rsidRPr="002F2427">
          <w:rPr>
            <w:rStyle w:val="Hyperlink"/>
          </w:rPr>
          <w:t xml:space="preserve"> </w:t>
        </w:r>
        <w:r w:rsidRPr="002F2427">
          <w:rPr>
            <w:rStyle w:val="Hyperlink"/>
          </w:rPr>
          <w:t>de l'AMNT</w:t>
        </w:r>
      </w:hyperlink>
      <w:r w:rsidRPr="002F2427">
        <w:t xml:space="preserve"> (points 4 à 6 du </w:t>
      </w:r>
      <w:r w:rsidRPr="002F2427">
        <w:rPr>
          <w:i/>
          <w:iCs/>
        </w:rPr>
        <w:t>décide</w:t>
      </w:r>
      <w:r w:rsidRPr="002F2427">
        <w:t>). Veuillez noter que la participation suivie des délégués serait utile aux travaux des groupes.</w:t>
      </w:r>
    </w:p>
    <w:p w14:paraId="2D74F75E" w14:textId="77777777" w:rsidR="009460CB" w:rsidRPr="002F2427" w:rsidRDefault="009460CB" w:rsidP="009460CB">
      <w:r w:rsidRPr="002F2427">
        <w:t>Cette réunion est organisée conjointement avec la manifestation suivante de l'Union internationale des télécommunications (UIT), qui aura lieu au même endroit:</w:t>
      </w:r>
    </w:p>
    <w:p w14:paraId="7B429AE0" w14:textId="3E8E458E" w:rsidR="009460CB" w:rsidRPr="002F2427" w:rsidRDefault="009460CB" w:rsidP="009460CB">
      <w:pPr>
        <w:pStyle w:val="enumlev1"/>
      </w:pPr>
      <w:r w:rsidRPr="002F2427">
        <w:t>–</w:t>
      </w:r>
      <w:r w:rsidRPr="002F2427">
        <w:tab/>
        <w:t xml:space="preserve">16 décembre 2024: </w:t>
      </w:r>
      <w:r w:rsidR="00B45362" w:rsidRPr="002F2427">
        <w:t>A</w:t>
      </w:r>
      <w:r w:rsidRPr="002F2427">
        <w:t>telier régional de l</w:t>
      </w:r>
      <w:r w:rsidR="00371448" w:rsidRPr="002F2427">
        <w:t>'</w:t>
      </w:r>
      <w:r w:rsidRPr="002F2427">
        <w:t>UIT sur les données d</w:t>
      </w:r>
      <w:r w:rsidR="00371448" w:rsidRPr="002F2427">
        <w:t>'</w:t>
      </w:r>
      <w:r w:rsidRPr="002F2427">
        <w:t>expérience et les difficultés liées à la taxation des numéros de télécommunication.</w:t>
      </w:r>
    </w:p>
    <w:p w14:paraId="6C0E90DD" w14:textId="4B895CEB" w:rsidR="009460CB" w:rsidRPr="002F2427" w:rsidRDefault="009460CB" w:rsidP="00B45362">
      <w:r w:rsidRPr="002F2427">
        <w:lastRenderedPageBreak/>
        <w:t>La participation à l</w:t>
      </w:r>
      <w:r w:rsidR="00371448" w:rsidRPr="002F2427">
        <w:t>'</w:t>
      </w:r>
      <w:r w:rsidRPr="002F2427">
        <w:t>atelier est gratuite et ouverte à tous les participants qui partagent un intérêt pour le thème de l</w:t>
      </w:r>
      <w:r w:rsidR="00371448" w:rsidRPr="002F2427">
        <w:t>'</w:t>
      </w:r>
      <w:r w:rsidRPr="002F2427">
        <w:t xml:space="preserve">atelier </w:t>
      </w:r>
      <w:r w:rsidR="00D0627B" w:rsidRPr="002F2427">
        <w:t>"</w:t>
      </w:r>
      <w:r w:rsidRPr="002F2427">
        <w:t>Données d'expérience et difficultés liées à la taxation des numéros de télécommunication</w:t>
      </w:r>
      <w:r w:rsidR="00D0627B" w:rsidRPr="002F2427">
        <w:t>"</w:t>
      </w:r>
      <w:r w:rsidRPr="002F2427">
        <w:t>. Une autre lettre circulaire sera publiée afin de fournir des informations sur l</w:t>
      </w:r>
      <w:r w:rsidR="00371448" w:rsidRPr="002F2427">
        <w:t>'</w:t>
      </w:r>
      <w:r w:rsidRPr="002F2427">
        <w:t>atelier, pour lequel l</w:t>
      </w:r>
      <w:r w:rsidR="00371448" w:rsidRPr="002F2427">
        <w:t>'</w:t>
      </w:r>
      <w:r w:rsidRPr="002F2427">
        <w:t>inscription sera distincte de celle de la réunion conjointe des groupes régionaux.</w:t>
      </w:r>
    </w:p>
    <w:p w14:paraId="20B5CFD6" w14:textId="2D2D395F" w:rsidR="00815A6F" w:rsidRPr="002F2427" w:rsidRDefault="00815A6F" w:rsidP="00B45362">
      <w:pPr>
        <w:pStyle w:val="headingb"/>
        <w:spacing w:after="120"/>
      </w:pPr>
      <w:r w:rsidRPr="002F2427">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815A6F" w:rsidRPr="002F2427" w14:paraId="445173F0" w14:textId="77777777" w:rsidTr="00B45362">
        <w:tc>
          <w:tcPr>
            <w:tcW w:w="1838" w:type="dxa"/>
            <w:shd w:val="clear" w:color="auto" w:fill="auto"/>
            <w:vAlign w:val="center"/>
          </w:tcPr>
          <w:p w14:paraId="79F3027B" w14:textId="67EC6BF5" w:rsidR="00815A6F" w:rsidRPr="002F2427" w:rsidRDefault="009460CB" w:rsidP="00B45362">
            <w:pPr>
              <w:pStyle w:val="TableText"/>
              <w:jc w:val="center"/>
            </w:pPr>
            <w:r w:rsidRPr="002F2427">
              <w:t>2 décembre 2024</w:t>
            </w:r>
          </w:p>
        </w:tc>
        <w:tc>
          <w:tcPr>
            <w:tcW w:w="7791" w:type="dxa"/>
            <w:shd w:val="clear" w:color="auto" w:fill="auto"/>
            <w:vAlign w:val="center"/>
          </w:tcPr>
          <w:p w14:paraId="7AB31C4B" w14:textId="1C339A9A" w:rsidR="00815A6F" w:rsidRPr="002F2427" w:rsidRDefault="00815A6F" w:rsidP="00344821">
            <w:pPr>
              <w:pStyle w:val="TableText"/>
              <w:tabs>
                <w:tab w:val="clear" w:pos="284"/>
              </w:tabs>
              <w:ind w:left="458" w:hanging="458"/>
              <w:rPr>
                <w:rFonts w:asciiTheme="minorHAnsi" w:hAnsiTheme="minorHAnsi"/>
              </w:rPr>
            </w:pPr>
            <w:r w:rsidRPr="002F2427">
              <w:rPr>
                <w:rFonts w:asciiTheme="minorHAnsi" w:hAnsiTheme="minorHAnsi"/>
              </w:rPr>
              <w:t>–</w:t>
            </w:r>
            <w:r w:rsidRPr="002F2427">
              <w:rPr>
                <w:rFonts w:asciiTheme="minorHAnsi" w:hAnsiTheme="minorHAnsi"/>
              </w:rPr>
              <w:tab/>
            </w:r>
            <w:r w:rsidR="009460CB" w:rsidRPr="002F2427">
              <w:t xml:space="preserve">Inscription (en ligne depuis la page d'accueil des groupes </w:t>
            </w:r>
            <w:hyperlink r:id="rId17" w:history="1">
              <w:r w:rsidR="009460CB" w:rsidRPr="002F2427">
                <w:rPr>
                  <w:rStyle w:val="Hyperlink"/>
                </w:rPr>
                <w:t>SG2RG</w:t>
              </w:r>
              <w:r w:rsidR="009460CB" w:rsidRPr="002F2427">
                <w:rPr>
                  <w:rStyle w:val="Hyperlink"/>
                </w:rPr>
                <w:t>-</w:t>
              </w:r>
              <w:r w:rsidR="009460CB" w:rsidRPr="002F2427">
                <w:rPr>
                  <w:rStyle w:val="Hyperlink"/>
                </w:rPr>
                <w:t>AFR</w:t>
              </w:r>
            </w:hyperlink>
            <w:r w:rsidR="009460CB" w:rsidRPr="002F2427">
              <w:t xml:space="preserve"> et</w:t>
            </w:r>
            <w:r w:rsidR="00B45362" w:rsidRPr="002F2427">
              <w:t> </w:t>
            </w:r>
            <w:hyperlink r:id="rId18" w:history="1">
              <w:r w:rsidR="009460CB" w:rsidRPr="002F2427">
                <w:rPr>
                  <w:rStyle w:val="Hyperlink"/>
                </w:rPr>
                <w:t>SG2RG</w:t>
              </w:r>
              <w:r w:rsidR="00FF3B5B" w:rsidRPr="002F2427">
                <w:rPr>
                  <w:rStyle w:val="Hyperlink"/>
                </w:rPr>
                <w:noBreakHyphen/>
              </w:r>
              <w:r w:rsidR="009460CB" w:rsidRPr="002F2427">
                <w:rPr>
                  <w:rStyle w:val="Hyperlink"/>
                </w:rPr>
                <w:t>AR</w:t>
              </w:r>
              <w:r w:rsidR="009460CB" w:rsidRPr="002F2427">
                <w:rPr>
                  <w:rStyle w:val="Hyperlink"/>
                </w:rPr>
                <w:t>B</w:t>
              </w:r>
            </w:hyperlink>
            <w:r w:rsidR="009460CB" w:rsidRPr="002F2427">
              <w:t>)</w:t>
            </w:r>
          </w:p>
        </w:tc>
      </w:tr>
      <w:tr w:rsidR="00815A6F" w:rsidRPr="002F2427" w14:paraId="7B5AC272" w14:textId="77777777" w:rsidTr="00B45362">
        <w:tc>
          <w:tcPr>
            <w:tcW w:w="1838" w:type="dxa"/>
            <w:shd w:val="clear" w:color="auto" w:fill="auto"/>
            <w:vAlign w:val="center"/>
          </w:tcPr>
          <w:p w14:paraId="03D9A06C" w14:textId="3CF203FD" w:rsidR="00815A6F" w:rsidRPr="002F2427" w:rsidRDefault="009460CB" w:rsidP="00B45362">
            <w:pPr>
              <w:pStyle w:val="TableText"/>
              <w:jc w:val="center"/>
            </w:pPr>
            <w:r w:rsidRPr="002F2427">
              <w:t>4 décembre 2024</w:t>
            </w:r>
          </w:p>
        </w:tc>
        <w:tc>
          <w:tcPr>
            <w:tcW w:w="7791" w:type="dxa"/>
            <w:shd w:val="clear" w:color="auto" w:fill="auto"/>
            <w:vAlign w:val="center"/>
          </w:tcPr>
          <w:p w14:paraId="4FF16920" w14:textId="543AC010" w:rsidR="00815A6F" w:rsidRPr="002F2427" w:rsidRDefault="00815A6F" w:rsidP="00344821">
            <w:pPr>
              <w:pStyle w:val="TableText"/>
              <w:tabs>
                <w:tab w:val="clear" w:pos="284"/>
              </w:tabs>
              <w:ind w:left="458" w:hanging="458"/>
              <w:rPr>
                <w:rFonts w:asciiTheme="minorHAnsi" w:hAnsiTheme="minorHAnsi"/>
              </w:rPr>
            </w:pPr>
            <w:r w:rsidRPr="002F2427">
              <w:rPr>
                <w:rFonts w:asciiTheme="minorHAnsi" w:hAnsiTheme="minorHAnsi"/>
              </w:rPr>
              <w:t>–</w:t>
            </w:r>
            <w:r w:rsidRPr="002F2427">
              <w:rPr>
                <w:rFonts w:asciiTheme="minorHAnsi" w:hAnsiTheme="minorHAnsi"/>
              </w:rPr>
              <w:tab/>
            </w:r>
            <w:r w:rsidR="009460CB" w:rsidRPr="002F2427">
              <w:rPr>
                <w:rFonts w:asciiTheme="minorHAnsi" w:hAnsiTheme="minorHAnsi"/>
              </w:rPr>
              <w:t xml:space="preserve">Soumission des contributions des Membres de l'UIT-T (par courrier électronique à l'adresse </w:t>
            </w:r>
            <w:hyperlink r:id="rId19" w:history="1">
              <w:r w:rsidR="00FF3B5B" w:rsidRPr="002F2427">
                <w:rPr>
                  <w:rStyle w:val="Hyperlink"/>
                  <w:rFonts w:asciiTheme="minorHAnsi" w:hAnsiTheme="minorHAnsi"/>
                </w:rPr>
                <w:t>tsbsg2@itu.int</w:t>
              </w:r>
            </w:hyperlink>
            <w:r w:rsidR="009460CB" w:rsidRPr="002F2427">
              <w:rPr>
                <w:rFonts w:asciiTheme="minorHAnsi" w:hAnsiTheme="minorHAnsi"/>
              </w:rPr>
              <w:t>)</w:t>
            </w:r>
          </w:p>
        </w:tc>
      </w:tr>
    </w:tbl>
    <w:p w14:paraId="1A572FED" w14:textId="547C2CEA" w:rsidR="00D0627B" w:rsidRPr="002F2427" w:rsidRDefault="00D0627B" w:rsidP="00B45362">
      <w:r w:rsidRPr="002F2427">
        <w:t>Je vous souhaite une réunion productive et agréable</w:t>
      </w:r>
      <w:r w:rsidR="00371448" w:rsidRPr="002F2427">
        <w:t>.</w:t>
      </w:r>
    </w:p>
    <w:p w14:paraId="7340390F" w14:textId="5F389FCC" w:rsidR="00815A6F" w:rsidRPr="002F2427" w:rsidRDefault="00815A6F" w:rsidP="00B45362">
      <w:r w:rsidRPr="002F2427">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FF3B5B" w:rsidRPr="002F2427" w14:paraId="18A51258" w14:textId="77777777" w:rsidTr="002F2427">
        <w:trPr>
          <w:cantSplit/>
          <w:trHeight w:val="1997"/>
        </w:trPr>
        <w:tc>
          <w:tcPr>
            <w:tcW w:w="6615" w:type="dxa"/>
            <w:vMerge w:val="restart"/>
            <w:tcBorders>
              <w:right w:val="single" w:sz="4" w:space="0" w:color="auto"/>
            </w:tcBorders>
          </w:tcPr>
          <w:p w14:paraId="2CEBEBD7" w14:textId="4E1B8692" w:rsidR="00FF3B5B" w:rsidRPr="002F2427" w:rsidRDefault="00FF3B5B" w:rsidP="00B45362">
            <w:pPr>
              <w:spacing w:before="480" w:after="480"/>
              <w:ind w:left="-107"/>
            </w:pPr>
            <w:r w:rsidRPr="002F2427">
              <w:t>(</w:t>
            </w:r>
            <w:r w:rsidRPr="002F2427">
              <w:rPr>
                <w:i/>
                <w:iCs/>
              </w:rPr>
              <w:t>signé</w:t>
            </w:r>
            <w:r w:rsidRPr="002F2427">
              <w:t>)</w:t>
            </w:r>
          </w:p>
          <w:p w14:paraId="01D9FA80" w14:textId="1B714305" w:rsidR="00FF3B5B" w:rsidRPr="002F2427" w:rsidRDefault="00FF3B5B" w:rsidP="00DF07A3">
            <w:pPr>
              <w:spacing w:before="0"/>
              <w:ind w:left="-113"/>
              <w:rPr>
                <w:rFonts w:asciiTheme="minorHAnsi" w:hAnsiTheme="minorHAnsi"/>
              </w:rPr>
            </w:pPr>
            <w:r w:rsidRPr="002F2427">
              <w:rPr>
                <w:rFonts w:cstheme="minorHAnsi"/>
                <w:szCs w:val="22"/>
              </w:rPr>
              <w:t>Seizo Onoe</w:t>
            </w:r>
            <w:r w:rsidRPr="002F2427">
              <w:rPr>
                <w:rFonts w:asciiTheme="minorHAnsi" w:hAnsiTheme="minorHAnsi"/>
              </w:rPr>
              <w:br/>
              <w:t>Directeur du Bureau de la normalisation</w:t>
            </w:r>
            <w:r w:rsidRPr="002F2427">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2D9D1A68" w:rsidR="00FF3B5B" w:rsidRPr="002F2427" w:rsidRDefault="002F2427" w:rsidP="002C58A4">
            <w:pPr>
              <w:spacing w:before="0"/>
              <w:ind w:left="113" w:right="113"/>
              <w:jc w:val="center"/>
              <w:rPr>
                <w:rFonts w:asciiTheme="minorHAnsi" w:hAnsiTheme="minorHAnsi"/>
                <w:szCs w:val="22"/>
              </w:rPr>
            </w:pPr>
            <w:r w:rsidRPr="002F2427">
              <w:rPr>
                <w:rFonts w:asciiTheme="minorHAnsi" w:hAnsiTheme="minorHAnsi" w:cstheme="minorHAnsi"/>
                <w:szCs w:val="22"/>
              </w:rPr>
              <w:object w:dxaOrig="3540" w:dyaOrig="3585" w14:anchorId="37AB8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4pt;height:80.15pt" o:ole="">
                  <v:imagedata r:id="rId20" o:title=""/>
                </v:shape>
                <o:OLEObject Type="Embed" ProgID="PBrush" ShapeID="_x0000_i1059" DrawAspect="Content" ObjectID="_1793683508" r:id="rId21"/>
              </w:object>
            </w:r>
            <w:r w:rsidR="00FF3B5B" w:rsidRPr="002F2427">
              <w:rPr>
                <w:rFonts w:asciiTheme="minorHAnsi" w:hAnsiTheme="minorHAnsi" w:cstheme="minorHAnsi"/>
                <w:szCs w:val="22"/>
              </w:rPr>
              <w:t>Groupe SG2RG-AFR de l'UIT-T</w:t>
            </w:r>
          </w:p>
        </w:tc>
      </w:tr>
      <w:tr w:rsidR="00FF3B5B" w:rsidRPr="002F2427" w14:paraId="7A2870FA" w14:textId="77777777" w:rsidTr="002F2427">
        <w:trPr>
          <w:cantSplit/>
          <w:trHeight w:val="2124"/>
        </w:trPr>
        <w:tc>
          <w:tcPr>
            <w:tcW w:w="6615" w:type="dxa"/>
            <w:vMerge/>
            <w:tcBorders>
              <w:right w:val="single" w:sz="4" w:space="0" w:color="auto"/>
            </w:tcBorders>
          </w:tcPr>
          <w:p w14:paraId="7CBBC03B" w14:textId="77777777" w:rsidR="00FF3B5B" w:rsidRPr="002F2427" w:rsidRDefault="00FF3B5B" w:rsidP="00FF3B5B">
            <w:pPr>
              <w:spacing w:before="480" w:after="480"/>
              <w:rPr>
                <w:rFonts w:cstheme="minorHAnsi"/>
                <w:szCs w:val="22"/>
              </w:rPr>
            </w:pPr>
          </w:p>
        </w:tc>
        <w:tc>
          <w:tcPr>
            <w:tcW w:w="3109" w:type="dxa"/>
            <w:tcBorders>
              <w:top w:val="single" w:sz="4" w:space="0" w:color="auto"/>
              <w:left w:val="single" w:sz="4" w:space="0" w:color="auto"/>
              <w:right w:val="single" w:sz="4" w:space="0" w:color="auto"/>
            </w:tcBorders>
            <w:textDirection w:val="btLr"/>
            <w:vAlign w:val="center"/>
          </w:tcPr>
          <w:p w14:paraId="49CA8A4C" w14:textId="29CC91C7" w:rsidR="00FF3B5B" w:rsidRPr="002F2427" w:rsidRDefault="002F2427" w:rsidP="002C58A4">
            <w:pPr>
              <w:spacing w:before="0"/>
              <w:ind w:left="113" w:right="113"/>
              <w:jc w:val="center"/>
              <w:rPr>
                <w:rFonts w:asciiTheme="minorHAnsi" w:hAnsiTheme="minorHAnsi"/>
                <w:szCs w:val="22"/>
              </w:rPr>
            </w:pPr>
            <w:r w:rsidRPr="002F2427">
              <w:rPr>
                <w:rFonts w:asciiTheme="minorHAnsi" w:hAnsiTheme="minorHAnsi" w:cstheme="minorHAnsi"/>
                <w:szCs w:val="22"/>
              </w:rPr>
              <w:object w:dxaOrig="3600" w:dyaOrig="3630" w14:anchorId="69CEFFFE">
                <v:shape id="_x0000_i1072" type="#_x0000_t75" style="width:82.2pt;height:80.15pt" o:ole="">
                  <v:imagedata r:id="rId22" o:title=""/>
                </v:shape>
                <o:OLEObject Type="Embed" ProgID="PBrush" ShapeID="_x0000_i1072" DrawAspect="Content" ObjectID="_1793683509" r:id="rId23"/>
              </w:object>
            </w:r>
            <w:r w:rsidR="00FF3B5B" w:rsidRPr="002F2427">
              <w:rPr>
                <w:rFonts w:asciiTheme="minorHAnsi" w:hAnsiTheme="minorHAnsi"/>
                <w:szCs w:val="22"/>
              </w:rPr>
              <w:t>Groupe SG2RG-ARB de l'UIT-T</w:t>
            </w:r>
          </w:p>
        </w:tc>
      </w:tr>
      <w:tr w:rsidR="00FF3B5B" w:rsidRPr="002F2427" w14:paraId="288A4E1E" w14:textId="77777777" w:rsidTr="002C58A4">
        <w:trPr>
          <w:cantSplit/>
          <w:trHeight w:val="227"/>
        </w:trPr>
        <w:tc>
          <w:tcPr>
            <w:tcW w:w="6615" w:type="dxa"/>
            <w:vMerge/>
            <w:tcBorders>
              <w:right w:val="single" w:sz="4" w:space="0" w:color="auto"/>
            </w:tcBorders>
          </w:tcPr>
          <w:p w14:paraId="0FBD6B93" w14:textId="77777777" w:rsidR="00FF3B5B" w:rsidRPr="002F2427" w:rsidRDefault="00FF3B5B"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65FB90EF" w:rsidR="00FF3B5B" w:rsidRPr="002F2427" w:rsidRDefault="00FF3B5B" w:rsidP="002C58A4">
            <w:pPr>
              <w:spacing w:before="0"/>
              <w:jc w:val="center"/>
              <w:rPr>
                <w:rFonts w:asciiTheme="minorHAnsi" w:eastAsia="SimSun" w:hAnsiTheme="minorHAnsi" w:cs="Arial"/>
                <w:sz w:val="16"/>
                <w:szCs w:val="16"/>
                <w:lang w:eastAsia="zh-CN"/>
              </w:rPr>
            </w:pPr>
            <w:r w:rsidRPr="002F2427">
              <w:rPr>
                <w:rFonts w:asciiTheme="minorHAnsi" w:hAnsiTheme="minorHAnsi"/>
              </w:rPr>
              <w:t>Informations les plus récentes concernant la</w:t>
            </w:r>
            <w:r w:rsidR="00021183" w:rsidRPr="002F2427">
              <w:rPr>
                <w:rFonts w:asciiTheme="minorHAnsi" w:hAnsiTheme="minorHAnsi"/>
              </w:rPr>
              <w:t xml:space="preserve"> </w:t>
            </w:r>
            <w:r w:rsidRPr="002F2427">
              <w:rPr>
                <w:rFonts w:asciiTheme="minorHAnsi" w:hAnsiTheme="minorHAnsi"/>
              </w:rPr>
              <w:t>réunion</w:t>
            </w:r>
          </w:p>
        </w:tc>
      </w:tr>
    </w:tbl>
    <w:p w14:paraId="5CE399C2" w14:textId="624036D9" w:rsidR="00251CB1" w:rsidRPr="002F2427" w:rsidRDefault="00251CB1" w:rsidP="00815A6F">
      <w:pPr>
        <w:spacing w:before="840"/>
        <w:rPr>
          <w:rFonts w:asciiTheme="minorHAnsi" w:hAnsiTheme="minorHAnsi"/>
        </w:rPr>
      </w:pPr>
      <w:r w:rsidRPr="002F2427">
        <w:rPr>
          <w:rFonts w:asciiTheme="minorHAnsi" w:hAnsiTheme="minorHAnsi"/>
          <w:b/>
          <w:bCs/>
        </w:rPr>
        <w:t>Annexes</w:t>
      </w:r>
      <w:r w:rsidRPr="002F2427">
        <w:rPr>
          <w:rFonts w:asciiTheme="minorHAnsi" w:hAnsiTheme="minorHAnsi"/>
          <w:bCs/>
        </w:rPr>
        <w:t xml:space="preserve">: </w:t>
      </w:r>
      <w:r w:rsidR="00FF3B5B" w:rsidRPr="002F2427">
        <w:rPr>
          <w:rFonts w:asciiTheme="minorHAnsi" w:hAnsiTheme="minorHAnsi"/>
          <w:bCs/>
        </w:rPr>
        <w:t>2</w:t>
      </w:r>
    </w:p>
    <w:p w14:paraId="228E7E8C" w14:textId="77777777" w:rsidR="00815A6F" w:rsidRPr="002F242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2F2427">
        <w:rPr>
          <w:rFonts w:asciiTheme="minorHAnsi" w:hAnsiTheme="minorHAnsi"/>
          <w:b/>
          <w:bCs/>
          <w:caps/>
        </w:rPr>
        <w:br w:type="page"/>
      </w:r>
    </w:p>
    <w:p w14:paraId="4F9976E2" w14:textId="570CE718" w:rsidR="00850C7D" w:rsidRPr="002F2427" w:rsidRDefault="00815A6F" w:rsidP="002F2427">
      <w:pPr>
        <w:pStyle w:val="AnnexNo"/>
        <w:rPr>
          <w:b/>
          <w:bCs/>
        </w:rPr>
      </w:pPr>
      <w:r w:rsidRPr="002F2427">
        <w:rPr>
          <w:b/>
          <w:bCs/>
        </w:rPr>
        <w:lastRenderedPageBreak/>
        <w:t>Annexe A</w:t>
      </w:r>
      <w:r w:rsidR="002F2427" w:rsidRPr="002F2427">
        <w:rPr>
          <w:b/>
          <w:bCs/>
        </w:rPr>
        <w:br/>
      </w:r>
      <w:r w:rsidR="002F2427" w:rsidRPr="002F2427">
        <w:rPr>
          <w:b/>
          <w:bCs/>
          <w:caps w:val="0"/>
        </w:rPr>
        <w:t>Informations supplémentaires</w:t>
      </w:r>
    </w:p>
    <w:p w14:paraId="4D729484" w14:textId="77777777" w:rsidR="00815A6F" w:rsidRPr="002F2427" w:rsidRDefault="00815A6F" w:rsidP="00C81431">
      <w:pPr>
        <w:spacing w:before="240" w:after="280"/>
        <w:jc w:val="center"/>
        <w:rPr>
          <w:b/>
          <w:bCs/>
          <w:sz w:val="28"/>
          <w:szCs w:val="22"/>
        </w:rPr>
      </w:pPr>
      <w:bookmarkStart w:id="1" w:name="Duties"/>
      <w:bookmarkEnd w:id="1"/>
      <w:r w:rsidRPr="002F2427">
        <w:rPr>
          <w:b/>
          <w:bCs/>
        </w:rPr>
        <w:t>MÉTHODES DE TRAVAIL ET INSTALLATIONS</w:t>
      </w:r>
    </w:p>
    <w:p w14:paraId="58F14606" w14:textId="7114FB3A" w:rsidR="00566EDA" w:rsidRPr="002F2427" w:rsidRDefault="00566EDA" w:rsidP="002F2427">
      <w:pPr>
        <w:spacing w:before="320"/>
        <w:rPr>
          <w:rFonts w:eastAsia="SimSun"/>
          <w:lang w:eastAsia="zh-CN"/>
        </w:rPr>
      </w:pPr>
      <w:r w:rsidRPr="002F2427">
        <w:rPr>
          <w:rFonts w:eastAsia="SimSun"/>
          <w:b/>
          <w:bCs/>
          <w:lang w:eastAsia="zh-CN"/>
        </w:rPr>
        <w:t>SOUMISSION DES DOCUMENTS ET ACCÈS</w:t>
      </w:r>
      <w:r w:rsidRPr="002F2427">
        <w:rPr>
          <w:rFonts w:eastAsia="SimSun"/>
          <w:lang w:eastAsia="zh-CN"/>
        </w:rPr>
        <w:t xml:space="preserve">: </w:t>
      </w:r>
      <w:r w:rsidR="00021183" w:rsidRPr="002F2427">
        <w:rPr>
          <w:rFonts w:eastAsia="SimSun"/>
          <w:lang w:eastAsia="zh-CN"/>
        </w:rPr>
        <w:t>l</w:t>
      </w:r>
      <w:r w:rsidRPr="002F2427">
        <w:rPr>
          <w:rFonts w:eastAsia="SimSun"/>
          <w:lang w:eastAsia="zh-CN"/>
        </w:rPr>
        <w:t xml:space="preserve">es contributions et les projets de document temporaire (TD) des Membres doivent être soumis par courrier électronique à l'adresse </w:t>
      </w:r>
      <w:hyperlink r:id="rId24" w:history="1">
        <w:r w:rsidRPr="002F2427">
          <w:rPr>
            <w:rStyle w:val="Hyperlink"/>
            <w:rFonts w:eastAsia="SimSun"/>
            <w:lang w:eastAsia="zh-CN"/>
          </w:rPr>
          <w:t>tsbsg2@itu.int</w:t>
        </w:r>
      </w:hyperlink>
      <w:r w:rsidRPr="002F2427">
        <w:rPr>
          <w:rFonts w:eastAsia="SimSun"/>
          <w:lang w:eastAsia="zh-CN"/>
        </w:rPr>
        <w:t xml:space="preserve"> en utilisant le </w:t>
      </w:r>
      <w:hyperlink r:id="rId25" w:history="1">
        <w:r w:rsidRPr="002F2427">
          <w:rPr>
            <w:rStyle w:val="Hyperlink"/>
            <w:rFonts w:eastAsia="SimSun"/>
            <w:lang w:eastAsia="zh-CN"/>
          </w:rPr>
          <w:t>gabarit</w:t>
        </w:r>
        <w:r w:rsidR="00371448" w:rsidRPr="002F2427">
          <w:rPr>
            <w:rStyle w:val="Hyperlink"/>
            <w:rFonts w:eastAsia="SimSun"/>
            <w:lang w:eastAsia="zh-CN"/>
          </w:rPr>
          <w:t> </w:t>
        </w:r>
        <w:r w:rsidRPr="002F2427">
          <w:rPr>
            <w:rStyle w:val="Hyperlink"/>
            <w:rFonts w:eastAsia="SimSun"/>
            <w:lang w:eastAsia="zh-CN"/>
          </w:rPr>
          <w:t>ap</w:t>
        </w:r>
        <w:r w:rsidRPr="002F2427">
          <w:rPr>
            <w:rStyle w:val="Hyperlink"/>
            <w:rFonts w:eastAsia="SimSun"/>
            <w:lang w:eastAsia="zh-CN"/>
          </w:rPr>
          <w:t>p</w:t>
        </w:r>
        <w:r w:rsidRPr="002F2427">
          <w:rPr>
            <w:rStyle w:val="Hyperlink"/>
            <w:rFonts w:eastAsia="SimSun"/>
            <w:lang w:eastAsia="zh-CN"/>
          </w:rPr>
          <w:t>roprié</w:t>
        </w:r>
      </w:hyperlink>
      <w:r w:rsidRPr="002F2427">
        <w:rPr>
          <w:rFonts w:eastAsia="SimSun"/>
          <w:lang w:eastAsia="zh-CN"/>
        </w:rPr>
        <w:t xml:space="preserve">. Les documents de réunion sont accessibles depuis la page d'accueil des groupes régionaux, et l'accès est réservé aux Membres de l'UIT-T titulaires d'un </w:t>
      </w:r>
      <w:hyperlink r:id="rId26" w:history="1">
        <w:r w:rsidRPr="002F2427">
          <w:rPr>
            <w:rStyle w:val="Hyperlink"/>
            <w:rFonts w:eastAsia="SimSun"/>
            <w:lang w:eastAsia="zh-CN"/>
          </w:rPr>
          <w:t>compte UIT</w:t>
        </w:r>
      </w:hyperlink>
      <w:r w:rsidRPr="002F2427">
        <w:rPr>
          <w:rFonts w:eastAsia="SimSun"/>
          <w:lang w:eastAsia="zh-CN"/>
        </w:rPr>
        <w:t xml:space="preserve"> avec accès TIES.</w:t>
      </w:r>
    </w:p>
    <w:p w14:paraId="3B1841CD" w14:textId="5B3907E4" w:rsidR="00566EDA" w:rsidRPr="002F2427" w:rsidRDefault="00566EDA" w:rsidP="00566EDA">
      <w:pPr>
        <w:rPr>
          <w:rFonts w:eastAsia="SimSun"/>
          <w:lang w:eastAsia="zh-CN"/>
        </w:rPr>
      </w:pPr>
      <w:r w:rsidRPr="002F2427">
        <w:rPr>
          <w:rFonts w:eastAsia="SimSun"/>
          <w:b/>
          <w:bCs/>
          <w:lang w:eastAsia="zh-CN"/>
        </w:rPr>
        <w:t>LANGUES DE TRAVAIL</w:t>
      </w:r>
      <w:r w:rsidRPr="002F2427">
        <w:rPr>
          <w:rFonts w:eastAsia="SimSun"/>
          <w:lang w:eastAsia="zh-CN"/>
        </w:rPr>
        <w:t xml:space="preserve">: </w:t>
      </w:r>
      <w:r w:rsidR="00021183" w:rsidRPr="002F2427">
        <w:rPr>
          <w:rFonts w:eastAsia="SimSun"/>
          <w:lang w:eastAsia="zh-CN"/>
        </w:rPr>
        <w:t>c</w:t>
      </w:r>
      <w:r w:rsidRPr="002F2427">
        <w:rPr>
          <w:rFonts w:eastAsia="SimSun"/>
          <w:lang w:eastAsia="zh-CN"/>
        </w:rPr>
        <w:t>omme convenu avec les Présidents des groupes régionaux, la langue de travail de la réunion sera l'anglais uniquement.</w:t>
      </w:r>
    </w:p>
    <w:p w14:paraId="2CA12559" w14:textId="685FC951" w:rsidR="00566EDA" w:rsidRPr="002F2427" w:rsidRDefault="00566EDA" w:rsidP="00566EDA">
      <w:pPr>
        <w:rPr>
          <w:rFonts w:eastAsia="SimSun"/>
          <w:lang w:eastAsia="zh-CN"/>
        </w:rPr>
      </w:pPr>
      <w:r w:rsidRPr="002F2427">
        <w:rPr>
          <w:rFonts w:eastAsia="SimSun"/>
          <w:b/>
          <w:bCs/>
          <w:lang w:eastAsia="zh-CN"/>
        </w:rPr>
        <w:t>TRADUCTION</w:t>
      </w:r>
      <w:r w:rsidRPr="002F2427">
        <w:rPr>
          <w:rFonts w:eastAsia="SimSun"/>
          <w:lang w:eastAsia="zh-CN"/>
        </w:rPr>
        <w:t xml:space="preserve">: </w:t>
      </w:r>
      <w:r w:rsidR="00021183" w:rsidRPr="002F2427">
        <w:rPr>
          <w:rFonts w:eastAsia="SimSun"/>
          <w:lang w:eastAsia="zh-CN"/>
        </w:rPr>
        <w:t>l</w:t>
      </w:r>
      <w:r w:rsidRPr="002F2427">
        <w:rPr>
          <w:rFonts w:eastAsia="SimSun"/>
          <w:lang w:eastAsia="zh-CN"/>
        </w:rPr>
        <w:t>es documents destinés à cette réunion seront disponibles uniquement en anglais.</w:t>
      </w:r>
    </w:p>
    <w:p w14:paraId="3D2292EF" w14:textId="4E9FAAD8" w:rsidR="00566EDA" w:rsidRPr="002F2427" w:rsidRDefault="00566EDA" w:rsidP="00566EDA">
      <w:pPr>
        <w:rPr>
          <w:rFonts w:eastAsia="SimSun"/>
          <w:lang w:eastAsia="zh-CN"/>
        </w:rPr>
      </w:pPr>
      <w:r w:rsidRPr="002F2427">
        <w:rPr>
          <w:rFonts w:eastAsia="SimSun"/>
          <w:b/>
          <w:bCs/>
          <w:lang w:eastAsia="zh-CN"/>
        </w:rPr>
        <w:t>PARTICIPATION À DISTANCE</w:t>
      </w:r>
      <w:r w:rsidRPr="002F2427">
        <w:rPr>
          <w:rFonts w:eastAsia="SimSun"/>
          <w:lang w:eastAsia="zh-CN"/>
        </w:rPr>
        <w:t xml:space="preserve">: </w:t>
      </w:r>
      <w:r w:rsidR="00021183" w:rsidRPr="002F2427">
        <w:rPr>
          <w:rFonts w:eastAsia="SimSun"/>
          <w:lang w:eastAsia="zh-CN"/>
        </w:rPr>
        <w:t>d</w:t>
      </w:r>
      <w:r w:rsidRPr="002F2427">
        <w:rPr>
          <w:rFonts w:eastAsia="SimSun"/>
          <w:lang w:eastAsia="zh-CN"/>
        </w:rPr>
        <w:t>es instructions pour se connecter seront fournies lors de l</w:t>
      </w:r>
      <w:r w:rsidR="00371448" w:rsidRPr="002F2427">
        <w:rPr>
          <w:rFonts w:eastAsia="SimSun"/>
          <w:lang w:eastAsia="zh-CN"/>
        </w:rPr>
        <w:t>'</w:t>
      </w:r>
      <w:r w:rsidRPr="002F2427">
        <w:rPr>
          <w:rFonts w:eastAsia="SimSun"/>
          <w:lang w:eastAsia="zh-CN"/>
        </w:rPr>
        <w:t>inscription.</w:t>
      </w:r>
    </w:p>
    <w:p w14:paraId="726BBF3A" w14:textId="77777777" w:rsidR="00566EDA" w:rsidRPr="002F2427" w:rsidRDefault="00566EDA" w:rsidP="00C81431">
      <w:pPr>
        <w:spacing w:before="240" w:after="280"/>
        <w:jc w:val="center"/>
        <w:rPr>
          <w:rFonts w:eastAsia="SimSun"/>
          <w:lang w:eastAsia="zh-CN"/>
        </w:rPr>
      </w:pPr>
      <w:r w:rsidRPr="002F2427">
        <w:rPr>
          <w:rFonts w:eastAsia="SimSun"/>
          <w:b/>
          <w:bCs/>
          <w:lang w:eastAsia="zh-CN"/>
        </w:rPr>
        <w:t>INSCRIPTION</w:t>
      </w:r>
    </w:p>
    <w:p w14:paraId="71A265A5" w14:textId="21D16497" w:rsidR="00566EDA" w:rsidRPr="002F2427" w:rsidRDefault="00566EDA" w:rsidP="002F2427">
      <w:pPr>
        <w:spacing w:before="320"/>
        <w:rPr>
          <w:rFonts w:eastAsia="SimSun"/>
          <w:lang w:eastAsia="zh-CN"/>
        </w:rPr>
      </w:pPr>
      <w:r w:rsidRPr="002F2427">
        <w:rPr>
          <w:rFonts w:eastAsia="SimSun"/>
          <w:b/>
          <w:bCs/>
          <w:lang w:eastAsia="zh-CN"/>
        </w:rPr>
        <w:t>INSCRIPTION</w:t>
      </w:r>
      <w:r w:rsidRPr="002F2427">
        <w:rPr>
          <w:rFonts w:eastAsia="SimSun"/>
          <w:lang w:eastAsia="zh-CN"/>
        </w:rPr>
        <w:t xml:space="preserve">: </w:t>
      </w:r>
      <w:r w:rsidR="00021183" w:rsidRPr="002F2427">
        <w:rPr>
          <w:rFonts w:eastAsia="SimSun"/>
          <w:lang w:eastAsia="zh-CN"/>
        </w:rPr>
        <w:t>l</w:t>
      </w:r>
      <w:r w:rsidRPr="002F2427">
        <w:rPr>
          <w:rFonts w:eastAsia="SimSun"/>
          <w:lang w:eastAsia="zh-CN"/>
        </w:rPr>
        <w:t xml:space="preserve">'inscription est obligatoire et doit se faire en ligne depuis la page d'accueil du groupe régional </w:t>
      </w:r>
      <w:r w:rsidRPr="002F2427">
        <w:rPr>
          <w:rFonts w:eastAsia="SimSun"/>
          <w:b/>
          <w:bCs/>
          <w:lang w:eastAsia="zh-CN"/>
        </w:rPr>
        <w:t>au moins deux semaines avant le début de la réunion</w:t>
      </w:r>
      <w:r w:rsidRPr="002F2427">
        <w:rPr>
          <w:rFonts w:eastAsia="SimSun"/>
          <w:lang w:eastAsia="zh-CN"/>
        </w:rPr>
        <w:t xml:space="preserve">. Comme indiqué dans la </w:t>
      </w:r>
      <w:hyperlink r:id="rId27" w:history="1">
        <w:r w:rsidRPr="002F2427">
          <w:rPr>
            <w:rStyle w:val="Hyperlink"/>
            <w:rFonts w:eastAsia="SimSun"/>
            <w:lang w:eastAsia="zh-CN"/>
          </w:rPr>
          <w:t>Circulaire</w:t>
        </w:r>
        <w:r w:rsidRPr="002F2427">
          <w:rPr>
            <w:rStyle w:val="Hyperlink"/>
            <w:rFonts w:eastAsia="SimSun"/>
            <w:lang w:eastAsia="zh-CN"/>
          </w:rPr>
          <w:t xml:space="preserve"> </w:t>
        </w:r>
        <w:r w:rsidRPr="002F2427">
          <w:rPr>
            <w:rStyle w:val="Hyperlink"/>
            <w:rFonts w:eastAsia="SimSun"/>
            <w:lang w:eastAsia="zh-CN"/>
          </w:rPr>
          <w:t>TSB 68</w:t>
        </w:r>
      </w:hyperlink>
      <w:r w:rsidRPr="002F2427">
        <w:rPr>
          <w:rFonts w:eastAsia="SimSun"/>
          <w:lang w:eastAsia="zh-CN"/>
        </w:rPr>
        <w:t xml:space="preserve">, dans le cadre du système d'inscription de l'UIT-T, le coordonnateur responsable doit approuver les demandes d'inscription. La </w:t>
      </w:r>
      <w:hyperlink r:id="rId28" w:history="1">
        <w:r w:rsidRPr="002F2427">
          <w:rPr>
            <w:rStyle w:val="Hyperlink"/>
            <w:rFonts w:eastAsia="SimSun"/>
            <w:lang w:eastAsia="zh-CN"/>
          </w:rPr>
          <w:t>Circulaire TSB</w:t>
        </w:r>
        <w:r w:rsidRPr="002F2427">
          <w:rPr>
            <w:rStyle w:val="Hyperlink"/>
            <w:rFonts w:eastAsia="SimSun"/>
            <w:lang w:eastAsia="zh-CN"/>
          </w:rPr>
          <w:t xml:space="preserve"> </w:t>
        </w:r>
        <w:r w:rsidRPr="002F2427">
          <w:rPr>
            <w:rStyle w:val="Hyperlink"/>
            <w:rFonts w:eastAsia="SimSun"/>
            <w:lang w:eastAsia="zh-CN"/>
          </w:rPr>
          <w:t>118</w:t>
        </w:r>
      </w:hyperlink>
      <w:r w:rsidRPr="002F2427">
        <w:rPr>
          <w:rFonts w:eastAsia="SimSun"/>
          <w:lang w:eastAsia="zh-CN"/>
        </w:rPr>
        <w:t xml:space="preserve"> indique comment procéder à l'approbation automatique de ces demandes. Les États Membres sont invités à tenir compte de l'équilibre entre les hommes et les femmes et à inclure des délégués handicapés ainsi que des délégués ayant des besoins particuliers chaque fois que cela est possible.</w:t>
      </w:r>
    </w:p>
    <w:p w14:paraId="30332057" w14:textId="40DCCC9C" w:rsidR="00815A6F" w:rsidRPr="002F2427" w:rsidRDefault="00815A6F" w:rsidP="00566EDA">
      <w:r w:rsidRPr="002F2427">
        <w:br w:type="page"/>
      </w:r>
    </w:p>
    <w:p w14:paraId="346C6B9E" w14:textId="41C6E8CB" w:rsidR="00815A6F" w:rsidRPr="002F2427" w:rsidRDefault="005C4197" w:rsidP="005C4197">
      <w:pPr>
        <w:pStyle w:val="AnnexNo"/>
        <w:rPr>
          <w:b/>
          <w:bCs/>
          <w:caps w:val="0"/>
        </w:rPr>
      </w:pPr>
      <w:r w:rsidRPr="002F2427">
        <w:rPr>
          <w:rFonts w:asciiTheme="minorHAnsi" w:hAnsiTheme="minorHAnsi"/>
          <w:b/>
          <w:bCs/>
          <w:caps w:val="0"/>
        </w:rPr>
        <w:lastRenderedPageBreak/>
        <w:t xml:space="preserve">ANNEXE </w:t>
      </w:r>
      <w:r w:rsidR="00815A6F" w:rsidRPr="002F2427">
        <w:rPr>
          <w:rFonts w:asciiTheme="minorHAnsi" w:hAnsiTheme="minorHAnsi"/>
          <w:b/>
          <w:bCs/>
        </w:rPr>
        <w:t>B</w:t>
      </w:r>
      <w:r w:rsidRPr="002F2427">
        <w:rPr>
          <w:rFonts w:asciiTheme="minorHAnsi" w:hAnsiTheme="minorHAnsi"/>
          <w:b/>
          <w:bCs/>
        </w:rPr>
        <w:br/>
      </w:r>
      <w:r w:rsidRPr="002F2427">
        <w:rPr>
          <w:b/>
          <w:bCs/>
          <w:caps w:val="0"/>
        </w:rPr>
        <w:t>Projet d'ordre du jour</w:t>
      </w:r>
    </w:p>
    <w:p w14:paraId="7B76B1B5" w14:textId="42B8AAF5" w:rsidR="00566EDA" w:rsidRPr="002F2427" w:rsidRDefault="00566EDA" w:rsidP="002F2427">
      <w:pPr>
        <w:pStyle w:val="Annextitle0"/>
        <w:rPr>
          <w:lang w:val="fr-FR"/>
        </w:rPr>
      </w:pPr>
      <w:r w:rsidRPr="002F2427">
        <w:rPr>
          <w:sz w:val="24"/>
          <w:szCs w:val="18"/>
          <w:lang w:val="fr-FR"/>
        </w:rPr>
        <w:t>Réunion conjointe des Groupes régionaux de la Commission d'études 2 de l'UIT-T pour</w:t>
      </w:r>
      <w:r w:rsidR="002F2427" w:rsidRPr="002F2427">
        <w:rPr>
          <w:sz w:val="24"/>
          <w:szCs w:val="18"/>
          <w:lang w:val="fr-FR"/>
        </w:rPr>
        <w:br/>
      </w:r>
      <w:r w:rsidRPr="002F2427">
        <w:rPr>
          <w:sz w:val="24"/>
          <w:szCs w:val="18"/>
          <w:lang w:val="fr-FR"/>
        </w:rPr>
        <w:t>la</w:t>
      </w:r>
      <w:r w:rsidR="002F2427" w:rsidRPr="002F2427">
        <w:rPr>
          <w:sz w:val="24"/>
          <w:szCs w:val="18"/>
          <w:lang w:val="fr-FR"/>
        </w:rPr>
        <w:t xml:space="preserve"> </w:t>
      </w:r>
      <w:r w:rsidRPr="002F2427">
        <w:rPr>
          <w:sz w:val="24"/>
          <w:szCs w:val="18"/>
          <w:lang w:val="fr-FR"/>
        </w:rPr>
        <w:t>région Afrique et la région des États arabes (SG2RG-AFR et SG2RG-ARB),</w:t>
      </w:r>
      <w:r w:rsidR="00BF61FF" w:rsidRPr="002F2427">
        <w:rPr>
          <w:sz w:val="24"/>
          <w:szCs w:val="18"/>
          <w:lang w:val="fr-FR"/>
        </w:rPr>
        <w:br/>
      </w:r>
      <w:r w:rsidRPr="002F2427">
        <w:rPr>
          <w:sz w:val="24"/>
          <w:szCs w:val="18"/>
          <w:lang w:val="fr-FR"/>
        </w:rPr>
        <w:t>réunion virtuelle, 17 décembre 2024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9072"/>
      </w:tblGrid>
      <w:tr w:rsidR="00BF61FF" w:rsidRPr="002F2427" w14:paraId="567194AF"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01A26" w14:textId="77777777" w:rsidR="00BF61FF" w:rsidRPr="002F2427" w:rsidRDefault="00BF61FF" w:rsidP="002F2427">
            <w:pPr>
              <w:pStyle w:val="TableHead"/>
              <w:rPr>
                <w:rFonts w:eastAsia="SimSun"/>
                <w:b w:val="0"/>
                <w:bCs/>
                <w:lang w:eastAsia="ja-JP"/>
              </w:rPr>
            </w:pP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7EB10" w14:textId="77777777" w:rsidR="00BF61FF" w:rsidRPr="002F2427" w:rsidRDefault="00BF61FF" w:rsidP="00371448">
            <w:pPr>
              <w:pStyle w:val="TableHead"/>
              <w:jc w:val="left"/>
              <w:rPr>
                <w:rFonts w:eastAsia="SimSun"/>
                <w:b w:val="0"/>
                <w:bCs/>
                <w:i/>
              </w:rPr>
            </w:pPr>
            <w:r w:rsidRPr="002F2427">
              <w:rPr>
                <w:b w:val="0"/>
                <w:bCs/>
                <w:i/>
                <w:iCs/>
              </w:rPr>
              <w:t>Point de l'ordre du jour</w:t>
            </w:r>
          </w:p>
        </w:tc>
      </w:tr>
      <w:tr w:rsidR="00BF61FF" w:rsidRPr="002F2427" w14:paraId="2B5721E5"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1EF8A" w14:textId="10B5EC58"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2F6589" w14:textId="77777777" w:rsidR="00BF61FF" w:rsidRPr="002F2427" w:rsidRDefault="00BF61FF" w:rsidP="00BF61FF">
            <w:pPr>
              <w:pStyle w:val="TableText"/>
              <w:rPr>
                <w:rFonts w:eastAsia="SimSun"/>
              </w:rPr>
            </w:pPr>
            <w:r w:rsidRPr="002F2427">
              <w:t>Ouverture de la réunion</w:t>
            </w:r>
          </w:p>
        </w:tc>
      </w:tr>
      <w:tr w:rsidR="00BF61FF" w:rsidRPr="002F2427" w14:paraId="6B14CBE6"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C2209" w14:textId="2E38A30B"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2</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296EC" w14:textId="77777777" w:rsidR="00BF61FF" w:rsidRPr="002F2427" w:rsidRDefault="00BF61FF" w:rsidP="00BF61FF">
            <w:pPr>
              <w:pStyle w:val="TableText"/>
              <w:rPr>
                <w:rFonts w:eastAsia="SimSun"/>
              </w:rPr>
            </w:pPr>
            <w:r w:rsidRPr="002F2427">
              <w:t>Adoption de l'ordre du jour</w:t>
            </w:r>
          </w:p>
        </w:tc>
      </w:tr>
      <w:tr w:rsidR="00BF61FF" w:rsidRPr="002F2427" w14:paraId="6CB745A8"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F339D" w14:textId="4DD3A3E1"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3</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BC7A7" w14:textId="77777777" w:rsidR="00BF61FF" w:rsidRPr="002F2427" w:rsidRDefault="00BF61FF" w:rsidP="00BF61FF">
            <w:pPr>
              <w:pStyle w:val="TableText"/>
            </w:pPr>
            <w:r w:rsidRPr="002F2427">
              <w:t>Structure et équipe de direction de la commission d'études</w:t>
            </w:r>
          </w:p>
        </w:tc>
      </w:tr>
      <w:tr w:rsidR="00BF61FF" w:rsidRPr="002F2427" w14:paraId="02F0DBC8"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1EC3" w14:textId="4B42C222"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4</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10BDC" w14:textId="77777777" w:rsidR="00BF61FF" w:rsidRPr="002F2427" w:rsidRDefault="00BF61FF" w:rsidP="00BF61FF">
            <w:pPr>
              <w:pStyle w:val="TableText"/>
              <w:rPr>
                <w:rFonts w:eastAsia="SimSun"/>
              </w:rPr>
            </w:pPr>
            <w:r w:rsidRPr="002F2427">
              <w:t>Présentation générale de la Commission d'études 2 de l'UIT-T et méthodes de travail</w:t>
            </w:r>
          </w:p>
        </w:tc>
      </w:tr>
      <w:tr w:rsidR="00BF61FF" w:rsidRPr="002F2427" w14:paraId="2184CC4C"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C2780" w14:textId="5B1E728F"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5</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F43AE9" w14:textId="77777777" w:rsidR="00BF61FF" w:rsidRPr="002F2427" w:rsidRDefault="00BF61FF" w:rsidP="00BF61FF">
            <w:pPr>
              <w:pStyle w:val="TableText"/>
              <w:rPr>
                <w:rFonts w:eastAsia="SimSun"/>
              </w:rPr>
            </w:pPr>
            <w:r w:rsidRPr="002F2427">
              <w:t>Vue d'ensemble des résultats des réunions précédentes de la CE 2 de l'UIT-T</w:t>
            </w:r>
          </w:p>
        </w:tc>
      </w:tr>
      <w:tr w:rsidR="00BF61FF" w:rsidRPr="002F2427" w14:paraId="1CFFB086"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E364E" w14:textId="3A1DBA7B"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6</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63F1B" w14:textId="77777777" w:rsidR="00BF61FF" w:rsidRPr="002F2427" w:rsidRDefault="00BF61FF" w:rsidP="00BF61FF">
            <w:pPr>
              <w:pStyle w:val="TableText"/>
              <w:rPr>
                <w:rFonts w:eastAsia="SimSun"/>
              </w:rPr>
            </w:pPr>
            <w:r w:rsidRPr="002F2427">
              <w:t>Rapport de la dernière réunion des Groupes SG2RG-AFR/SG2RG-ARB</w:t>
            </w:r>
          </w:p>
        </w:tc>
      </w:tr>
      <w:tr w:rsidR="00BF61FF" w:rsidRPr="002F2427" w14:paraId="3EC2F58D"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3C39F" w14:textId="2187D50E"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7</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4746B" w14:textId="49AA8A8F" w:rsidR="00BF61FF" w:rsidRPr="002F2427" w:rsidRDefault="00BF61FF" w:rsidP="00BF61FF">
            <w:pPr>
              <w:pStyle w:val="TableText"/>
              <w:rPr>
                <w:rFonts w:eastAsia="SimSun"/>
              </w:rPr>
            </w:pPr>
            <w:r w:rsidRPr="002F2427">
              <w:t>Rapport de la dernière réunion ad hoc sur les activités concernant les pays en développement, y</w:t>
            </w:r>
            <w:r w:rsidR="002F2427" w:rsidRPr="002F2427">
              <w:t> </w:t>
            </w:r>
            <w:r w:rsidRPr="002F2427">
              <w:t>compris les rapports des groupes régionaux</w:t>
            </w:r>
          </w:p>
        </w:tc>
      </w:tr>
      <w:tr w:rsidR="00BF61FF" w:rsidRPr="002F2427" w14:paraId="09F8CEBA"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30367" w14:textId="730541CA"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8</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676D0" w14:textId="02769CFD" w:rsidR="00BF61FF" w:rsidRPr="002F2427" w:rsidRDefault="00BF61FF" w:rsidP="00BF61FF">
            <w:pPr>
              <w:pStyle w:val="TableText"/>
            </w:pPr>
            <w:r w:rsidRPr="002F2427">
              <w:t>Rapports d</w:t>
            </w:r>
            <w:r w:rsidR="00371448" w:rsidRPr="002F2427">
              <w:t>'</w:t>
            </w:r>
            <w:r w:rsidRPr="002F2427">
              <w:t>autres réunions, y compris les faits marquants de l</w:t>
            </w:r>
            <w:r w:rsidR="00371448" w:rsidRPr="002F2427">
              <w:t>'</w:t>
            </w:r>
            <w:r w:rsidRPr="002F2427">
              <w:t>AMNT-24</w:t>
            </w:r>
          </w:p>
        </w:tc>
      </w:tr>
      <w:tr w:rsidR="00BF61FF" w:rsidRPr="002F2427" w14:paraId="2D50ACA6"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5BC9" w14:textId="2BB9DC11"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9</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0F9EC" w14:textId="77777777" w:rsidR="00BF61FF" w:rsidRPr="002F2427" w:rsidRDefault="00BF61FF" w:rsidP="00BF61FF">
            <w:pPr>
              <w:pStyle w:val="TableText"/>
              <w:rPr>
                <w:rFonts w:eastAsia="SimSun"/>
              </w:rPr>
            </w:pPr>
            <w:r w:rsidRPr="002F2427">
              <w:t>Examen des contributions reçues</w:t>
            </w:r>
          </w:p>
        </w:tc>
      </w:tr>
      <w:tr w:rsidR="00BF61FF" w:rsidRPr="002F2427" w14:paraId="6408C2AC"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C34F3" w14:textId="143C516B"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10</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7FD30" w14:textId="77777777" w:rsidR="00BF61FF" w:rsidRPr="002F2427" w:rsidRDefault="00BF61FF" w:rsidP="00BF61FF">
            <w:pPr>
              <w:pStyle w:val="TableText"/>
              <w:rPr>
                <w:rFonts w:eastAsia="SimSun"/>
              </w:rPr>
            </w:pPr>
            <w:r w:rsidRPr="002F2427">
              <w:t>Contributions des membres des Groupes SG2RG-AFR et SG2RG-ARB à la Commission d'études 2 de l'UIT-T</w:t>
            </w:r>
          </w:p>
        </w:tc>
      </w:tr>
      <w:tr w:rsidR="00BF61FF" w:rsidRPr="002F2427" w14:paraId="6C5F12C1"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2F14" w14:textId="690C3628"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11</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7EFFF" w14:textId="142249D1" w:rsidR="00BF61FF" w:rsidRPr="002F2427" w:rsidRDefault="00BF61FF" w:rsidP="00BF61FF">
            <w:pPr>
              <w:pStyle w:val="TableText"/>
              <w:rPr>
                <w:rFonts w:eastAsia="SimSun"/>
              </w:rPr>
            </w:pPr>
            <w:r w:rsidRPr="002F2427">
              <w:t>Examen des priorités des Groupes SG2RG-AFR et SG2RG-ARB de l'UIT-T</w:t>
            </w:r>
          </w:p>
        </w:tc>
      </w:tr>
      <w:tr w:rsidR="00BF61FF" w:rsidRPr="002F2427" w14:paraId="48F66095"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F5F8A" w14:textId="148696E4"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12</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0FA7C" w14:textId="77777777" w:rsidR="00BF61FF" w:rsidRPr="002F2427" w:rsidRDefault="00BF61FF" w:rsidP="00BF61FF">
            <w:pPr>
              <w:pStyle w:val="TableText"/>
            </w:pPr>
            <w:r w:rsidRPr="002F2427">
              <w:t>Autres questions à examiner pendant cette réunion</w:t>
            </w:r>
          </w:p>
        </w:tc>
      </w:tr>
      <w:tr w:rsidR="00BF61FF" w:rsidRPr="002F2427" w14:paraId="37DF5DCE"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FF6F" w14:textId="0A57740F"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13</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B0DDA" w14:textId="77777777" w:rsidR="00BF61FF" w:rsidRPr="002F2427" w:rsidRDefault="00BF61FF" w:rsidP="00BF61FF">
            <w:pPr>
              <w:pStyle w:val="TableText"/>
              <w:rPr>
                <w:rFonts w:eastAsia="SimSun"/>
              </w:rPr>
            </w:pPr>
            <w:r w:rsidRPr="002F2427">
              <w:t>Travaux préparatoires en vue du projet de Rapport des Groupes SG2RG-AFR et SG2RG-ARB</w:t>
            </w:r>
          </w:p>
        </w:tc>
      </w:tr>
      <w:tr w:rsidR="00BF61FF" w:rsidRPr="002F2427" w14:paraId="4816B9A4"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A2F" w14:textId="580C2503"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14</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22874" w14:textId="77777777" w:rsidR="00BF61FF" w:rsidRPr="002F2427" w:rsidRDefault="00BF61FF" w:rsidP="00BF61FF">
            <w:pPr>
              <w:pStyle w:val="TableText"/>
              <w:rPr>
                <w:rFonts w:eastAsia="SimSun"/>
              </w:rPr>
            </w:pPr>
            <w:r w:rsidRPr="002F2427">
              <w:t>Lieu et date de la prochaine réunion des Groupes SG2RG-AFR et SG2RG-ARB</w:t>
            </w:r>
          </w:p>
        </w:tc>
      </w:tr>
      <w:tr w:rsidR="00BF61FF" w:rsidRPr="002F2427" w14:paraId="0C78EB86"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97B4" w14:textId="64F4BB74"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15</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4A709" w14:textId="77777777" w:rsidR="00BF61FF" w:rsidRPr="002F2427" w:rsidRDefault="00BF61FF" w:rsidP="00BF61FF">
            <w:pPr>
              <w:pStyle w:val="TableText"/>
              <w:rPr>
                <w:rFonts w:eastAsia="SimSun"/>
              </w:rPr>
            </w:pPr>
            <w:r w:rsidRPr="002F2427">
              <w:t>Divers</w:t>
            </w:r>
          </w:p>
        </w:tc>
      </w:tr>
      <w:tr w:rsidR="00BF61FF" w:rsidRPr="002F2427" w14:paraId="0E0C5A3A" w14:textId="77777777" w:rsidTr="002F2427">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032D9" w14:textId="1BC84967" w:rsidR="00BF61FF" w:rsidRPr="002F2427" w:rsidRDefault="00BF61FF" w:rsidP="002F2427">
            <w:pPr>
              <w:pStyle w:val="TableText"/>
              <w:tabs>
                <w:tab w:val="clear" w:pos="284"/>
              </w:tabs>
              <w:jc w:val="center"/>
              <w:rPr>
                <w:rFonts w:eastAsia="SimSun"/>
                <w:lang w:eastAsia="ja-JP"/>
              </w:rPr>
            </w:pPr>
            <w:r w:rsidRPr="002F2427">
              <w:rPr>
                <w:rFonts w:eastAsia="SimSun"/>
                <w:lang w:eastAsia="ja-JP"/>
              </w:rPr>
              <w:t>16</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B6707" w14:textId="77777777" w:rsidR="00BF61FF" w:rsidRPr="002F2427" w:rsidRDefault="00BF61FF" w:rsidP="00BF61FF">
            <w:pPr>
              <w:pStyle w:val="TableText"/>
              <w:rPr>
                <w:rFonts w:eastAsia="SimSun"/>
              </w:rPr>
            </w:pPr>
            <w:r w:rsidRPr="002F2427">
              <w:t>Clôture de la réunion</w:t>
            </w:r>
          </w:p>
        </w:tc>
      </w:tr>
    </w:tbl>
    <w:p w14:paraId="5C60F54D" w14:textId="77777777" w:rsidR="00BF61FF" w:rsidRPr="002F2427" w:rsidRDefault="00BF61FF">
      <w:pPr>
        <w:jc w:val="center"/>
      </w:pPr>
      <w:r w:rsidRPr="002F2427">
        <w:t>______________</w:t>
      </w:r>
    </w:p>
    <w:sectPr w:rsidR="00BF61FF" w:rsidRPr="002F2427" w:rsidSect="002F2427">
      <w:headerReference w:type="even" r:id="rId29"/>
      <w:headerReference w:type="default" r:id="rId30"/>
      <w:footerReference w:type="even" r:id="rId31"/>
      <w:footerReference w:type="first" r:id="rId3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Content>
      <w:p w14:paraId="4A0291E3" w14:textId="77777777" w:rsidR="002F2427" w:rsidRDefault="002F2427" w:rsidP="002F2427">
        <w:pPr>
          <w:pStyle w:val="Header"/>
          <w:rPr>
            <w:rFonts w:asciiTheme="minorHAnsi" w:hAnsiTheme="minorHAnsi"/>
            <w:sz w:val="20"/>
          </w:rPr>
        </w:pPr>
        <w:r>
          <w:rPr>
            <w:rFonts w:asciiTheme="minorHAnsi" w:hAnsiTheme="minorHAnsi"/>
            <w:sz w:val="20"/>
          </w:rPr>
          <w:t xml:space="preserve">- </w:t>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Pr>
            <w:sz w:val="20"/>
          </w:rPr>
          <w:t>2</w:t>
        </w:r>
        <w:r>
          <w:rPr>
            <w:rFonts w:asciiTheme="minorHAnsi" w:hAnsiTheme="minorHAnsi"/>
            <w:sz w:val="20"/>
          </w:rPr>
          <w:fldChar w:fldCharType="end"/>
        </w:r>
        <w:r>
          <w:rPr>
            <w:rFonts w:asciiTheme="minorHAnsi" w:hAnsiTheme="minorHAnsi"/>
            <w:sz w:val="20"/>
          </w:rPr>
          <w:t xml:space="preserve"> -</w:t>
        </w:r>
      </w:p>
      <w:p w14:paraId="2FFBF29C" w14:textId="70401D53" w:rsidR="002F2427" w:rsidRPr="002F2427" w:rsidRDefault="002F2427" w:rsidP="002F2427">
        <w:pPr>
          <w:pStyle w:val="Header"/>
          <w:spacing w:after="240"/>
          <w:rPr>
            <w:noProof/>
            <w:sz w:val="18"/>
            <w:szCs w:val="18"/>
          </w:rPr>
        </w:pPr>
        <w:r>
          <w:rPr>
            <w:rFonts w:asciiTheme="minorHAnsi" w:hAnsiTheme="minorHAnsi"/>
            <w:sz w:val="20"/>
          </w:rPr>
          <w:t>Lettre collective TSB 1/SG2RG-AFR</w:t>
        </w:r>
        <w:r>
          <w:rPr>
            <w:rFonts w:asciiTheme="minorHAnsi" w:hAnsiTheme="minorHAnsi"/>
            <w:sz w:val="20"/>
          </w:rPr>
          <w:br/>
          <w:t>Lettre collective TSB 1/SG2RG-ARB</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1445613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183"/>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32B0F"/>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427"/>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71448"/>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21930"/>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66EDA"/>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7840"/>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132"/>
    <w:rsid w:val="00910790"/>
    <w:rsid w:val="00912ADB"/>
    <w:rsid w:val="0091647D"/>
    <w:rsid w:val="0091786C"/>
    <w:rsid w:val="009247B8"/>
    <w:rsid w:val="009272F4"/>
    <w:rsid w:val="00931D9C"/>
    <w:rsid w:val="00936A9B"/>
    <w:rsid w:val="00941C20"/>
    <w:rsid w:val="0094412C"/>
    <w:rsid w:val="009460CB"/>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5362"/>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C1D1D"/>
    <w:rsid w:val="00BE6AC6"/>
    <w:rsid w:val="00BF17E2"/>
    <w:rsid w:val="00BF3B98"/>
    <w:rsid w:val="00BF61FF"/>
    <w:rsid w:val="00BF783A"/>
    <w:rsid w:val="00C165E5"/>
    <w:rsid w:val="00C17596"/>
    <w:rsid w:val="00C358D5"/>
    <w:rsid w:val="00C40C64"/>
    <w:rsid w:val="00C51DC6"/>
    <w:rsid w:val="00C55860"/>
    <w:rsid w:val="00C564BD"/>
    <w:rsid w:val="00C618A5"/>
    <w:rsid w:val="00C64E19"/>
    <w:rsid w:val="00C72E27"/>
    <w:rsid w:val="00C738FE"/>
    <w:rsid w:val="00C773CD"/>
    <w:rsid w:val="00C81431"/>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627B"/>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07A3"/>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2F85"/>
    <w:rsid w:val="00EC6E02"/>
    <w:rsid w:val="00EC724B"/>
    <w:rsid w:val="00ED7F39"/>
    <w:rsid w:val="00F1516F"/>
    <w:rsid w:val="00F15ACB"/>
    <w:rsid w:val="00F17154"/>
    <w:rsid w:val="00F249E6"/>
    <w:rsid w:val="00F425D9"/>
    <w:rsid w:val="00F47388"/>
    <w:rsid w:val="00F5389C"/>
    <w:rsid w:val="00F57BBD"/>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3B5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36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4536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5362"/>
    <w:pPr>
      <w:spacing w:before="320"/>
      <w:outlineLvl w:val="1"/>
    </w:pPr>
  </w:style>
  <w:style w:type="paragraph" w:styleId="Heading3">
    <w:name w:val="heading 3"/>
    <w:basedOn w:val="Heading1"/>
    <w:next w:val="Normal"/>
    <w:qFormat/>
    <w:rsid w:val="00B45362"/>
    <w:pPr>
      <w:spacing w:before="200"/>
      <w:outlineLvl w:val="2"/>
    </w:pPr>
  </w:style>
  <w:style w:type="paragraph" w:styleId="Heading4">
    <w:name w:val="heading 4"/>
    <w:basedOn w:val="Heading3"/>
    <w:next w:val="Normal"/>
    <w:qFormat/>
    <w:rsid w:val="00B45362"/>
    <w:pPr>
      <w:tabs>
        <w:tab w:val="clear" w:pos="794"/>
        <w:tab w:val="left" w:pos="1191"/>
      </w:tabs>
      <w:ind w:left="993" w:hanging="993"/>
      <w:outlineLvl w:val="3"/>
    </w:pPr>
  </w:style>
  <w:style w:type="paragraph" w:styleId="Heading5">
    <w:name w:val="heading 5"/>
    <w:basedOn w:val="Heading3"/>
    <w:next w:val="Normal"/>
    <w:qFormat/>
    <w:rsid w:val="00B45362"/>
    <w:pPr>
      <w:tabs>
        <w:tab w:val="clear" w:pos="794"/>
        <w:tab w:val="left" w:pos="1191"/>
      </w:tabs>
      <w:outlineLvl w:val="4"/>
    </w:pPr>
  </w:style>
  <w:style w:type="paragraph" w:styleId="Heading6">
    <w:name w:val="heading 6"/>
    <w:basedOn w:val="Heading3"/>
    <w:next w:val="Normal"/>
    <w:qFormat/>
    <w:rsid w:val="00B45362"/>
    <w:pPr>
      <w:tabs>
        <w:tab w:val="clear" w:pos="794"/>
        <w:tab w:val="left" w:pos="1191"/>
      </w:tabs>
      <w:outlineLvl w:val="5"/>
    </w:pPr>
  </w:style>
  <w:style w:type="paragraph" w:styleId="Heading7">
    <w:name w:val="heading 7"/>
    <w:basedOn w:val="Heading3"/>
    <w:next w:val="Normal"/>
    <w:qFormat/>
    <w:rsid w:val="00B45362"/>
    <w:pPr>
      <w:tabs>
        <w:tab w:val="clear" w:pos="794"/>
        <w:tab w:val="left" w:pos="1191"/>
      </w:tabs>
      <w:outlineLvl w:val="6"/>
    </w:pPr>
  </w:style>
  <w:style w:type="paragraph" w:styleId="Heading8">
    <w:name w:val="heading 8"/>
    <w:basedOn w:val="Heading3"/>
    <w:next w:val="Normal"/>
    <w:qFormat/>
    <w:rsid w:val="00B45362"/>
    <w:pPr>
      <w:tabs>
        <w:tab w:val="clear" w:pos="794"/>
        <w:tab w:val="left" w:pos="1191"/>
      </w:tabs>
      <w:outlineLvl w:val="7"/>
    </w:pPr>
  </w:style>
  <w:style w:type="paragraph" w:styleId="Heading9">
    <w:name w:val="heading 9"/>
    <w:basedOn w:val="Heading3"/>
    <w:next w:val="Normal"/>
    <w:qFormat/>
    <w:rsid w:val="00B45362"/>
    <w:pPr>
      <w:tabs>
        <w:tab w:val="clear" w:pos="794"/>
        <w:tab w:val="left" w:pos="1191"/>
      </w:tabs>
      <w:outlineLvl w:val="8"/>
    </w:pPr>
  </w:style>
  <w:style w:type="character" w:default="1" w:styleId="DefaultParagraphFont">
    <w:name w:val="Default Paragraph Font"/>
    <w:uiPriority w:val="1"/>
    <w:semiHidden/>
    <w:unhideWhenUsed/>
    <w:rsid w:val="00B45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5362"/>
  </w:style>
  <w:style w:type="paragraph" w:styleId="TOC8">
    <w:name w:val="toc 8"/>
    <w:basedOn w:val="TOC3"/>
    <w:semiHidden/>
    <w:rsid w:val="00B45362"/>
  </w:style>
  <w:style w:type="paragraph" w:styleId="TOC7">
    <w:name w:val="toc 7"/>
    <w:basedOn w:val="TOC3"/>
    <w:semiHidden/>
    <w:rsid w:val="00B45362"/>
  </w:style>
  <w:style w:type="paragraph" w:styleId="TOC6">
    <w:name w:val="toc 6"/>
    <w:basedOn w:val="TOC3"/>
    <w:semiHidden/>
    <w:rsid w:val="00B45362"/>
  </w:style>
  <w:style w:type="paragraph" w:styleId="TOC5">
    <w:name w:val="toc 5"/>
    <w:basedOn w:val="TOC3"/>
    <w:semiHidden/>
    <w:rsid w:val="00B45362"/>
  </w:style>
  <w:style w:type="paragraph" w:styleId="TOC4">
    <w:name w:val="toc 4"/>
    <w:basedOn w:val="TOC3"/>
    <w:semiHidden/>
    <w:rsid w:val="00B45362"/>
  </w:style>
  <w:style w:type="paragraph" w:styleId="TOC3">
    <w:name w:val="toc 3"/>
    <w:basedOn w:val="TOC2"/>
    <w:semiHidden/>
    <w:rsid w:val="00B45362"/>
    <w:pPr>
      <w:spacing w:before="80"/>
    </w:pPr>
  </w:style>
  <w:style w:type="paragraph" w:styleId="TOC2">
    <w:name w:val="toc 2"/>
    <w:basedOn w:val="TOC1"/>
    <w:semiHidden/>
    <w:rsid w:val="00B45362"/>
    <w:pPr>
      <w:spacing w:before="120"/>
    </w:pPr>
  </w:style>
  <w:style w:type="paragraph" w:styleId="TOC1">
    <w:name w:val="toc 1"/>
    <w:basedOn w:val="Normal"/>
    <w:semiHidden/>
    <w:rsid w:val="00B4536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45362"/>
    <w:pPr>
      <w:ind w:left="1698"/>
    </w:pPr>
  </w:style>
  <w:style w:type="paragraph" w:styleId="Index6">
    <w:name w:val="index 6"/>
    <w:basedOn w:val="Normal"/>
    <w:next w:val="Normal"/>
    <w:semiHidden/>
    <w:rsid w:val="00B45362"/>
    <w:pPr>
      <w:ind w:left="1415"/>
    </w:pPr>
  </w:style>
  <w:style w:type="paragraph" w:styleId="Index5">
    <w:name w:val="index 5"/>
    <w:basedOn w:val="Normal"/>
    <w:next w:val="Normal"/>
    <w:semiHidden/>
    <w:rsid w:val="00B45362"/>
    <w:pPr>
      <w:ind w:left="1132"/>
    </w:pPr>
  </w:style>
  <w:style w:type="paragraph" w:styleId="Index4">
    <w:name w:val="index 4"/>
    <w:basedOn w:val="Normal"/>
    <w:next w:val="Normal"/>
    <w:semiHidden/>
    <w:rsid w:val="00B45362"/>
    <w:pPr>
      <w:ind w:left="849"/>
    </w:pPr>
  </w:style>
  <w:style w:type="paragraph" w:styleId="Index3">
    <w:name w:val="index 3"/>
    <w:basedOn w:val="Normal"/>
    <w:next w:val="Normal"/>
    <w:semiHidden/>
    <w:rsid w:val="00B45362"/>
    <w:pPr>
      <w:ind w:left="566"/>
    </w:pPr>
  </w:style>
  <w:style w:type="paragraph" w:styleId="Index2">
    <w:name w:val="index 2"/>
    <w:basedOn w:val="Normal"/>
    <w:next w:val="Normal"/>
    <w:semiHidden/>
    <w:rsid w:val="00B45362"/>
    <w:pPr>
      <w:ind w:left="283"/>
    </w:pPr>
  </w:style>
  <w:style w:type="paragraph" w:styleId="Index1">
    <w:name w:val="index 1"/>
    <w:basedOn w:val="Normal"/>
    <w:next w:val="Normal"/>
    <w:semiHidden/>
    <w:rsid w:val="00B45362"/>
  </w:style>
  <w:style w:type="character" w:styleId="LineNumber">
    <w:name w:val="line number"/>
    <w:basedOn w:val="DefaultParagraphFont"/>
    <w:rsid w:val="00B45362"/>
  </w:style>
  <w:style w:type="paragraph" w:styleId="IndexHeading">
    <w:name w:val="index heading"/>
    <w:basedOn w:val="Normal"/>
    <w:next w:val="Index1"/>
    <w:semiHidden/>
    <w:rsid w:val="00B45362"/>
  </w:style>
  <w:style w:type="paragraph" w:styleId="Footer">
    <w:name w:val="footer"/>
    <w:basedOn w:val="Normal"/>
    <w:link w:val="FooterChar"/>
    <w:rsid w:val="00B4536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45362"/>
    <w:pPr>
      <w:tabs>
        <w:tab w:val="clear" w:pos="794"/>
        <w:tab w:val="clear" w:pos="1191"/>
        <w:tab w:val="clear" w:pos="1588"/>
        <w:tab w:val="clear" w:pos="1985"/>
      </w:tabs>
      <w:spacing w:before="0"/>
      <w:jc w:val="center"/>
    </w:pPr>
  </w:style>
  <w:style w:type="character" w:styleId="FootnoteReference">
    <w:name w:val="footnote reference"/>
    <w:semiHidden/>
    <w:rsid w:val="00B45362"/>
    <w:rPr>
      <w:position w:val="6"/>
      <w:sz w:val="16"/>
    </w:rPr>
  </w:style>
  <w:style w:type="paragraph" w:styleId="FootnoteText">
    <w:name w:val="footnote text"/>
    <w:basedOn w:val="Normal"/>
    <w:semiHidden/>
    <w:rsid w:val="00B45362"/>
    <w:pPr>
      <w:keepLines/>
      <w:tabs>
        <w:tab w:val="left" w:pos="256"/>
      </w:tabs>
      <w:ind w:left="256" w:hanging="256"/>
    </w:pPr>
  </w:style>
  <w:style w:type="paragraph" w:styleId="NormalIndent">
    <w:name w:val="Normal Indent"/>
    <w:basedOn w:val="Normal"/>
    <w:rsid w:val="00B45362"/>
    <w:pPr>
      <w:ind w:left="794"/>
    </w:pPr>
  </w:style>
  <w:style w:type="paragraph" w:customStyle="1" w:styleId="TableLegend">
    <w:name w:val="Table_Legend"/>
    <w:basedOn w:val="TableText"/>
    <w:rsid w:val="00B45362"/>
    <w:pPr>
      <w:spacing w:before="120"/>
    </w:pPr>
  </w:style>
  <w:style w:type="paragraph" w:customStyle="1" w:styleId="TableText">
    <w:name w:val="Table_Text"/>
    <w:basedOn w:val="Normal"/>
    <w:rsid w:val="00B453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45362"/>
    <w:pPr>
      <w:keepLines/>
      <w:spacing w:before="0"/>
    </w:pPr>
    <w:rPr>
      <w:b/>
      <w:caps w:val="0"/>
    </w:rPr>
  </w:style>
  <w:style w:type="paragraph" w:customStyle="1" w:styleId="Table">
    <w:name w:val="Table_#"/>
    <w:basedOn w:val="Normal"/>
    <w:next w:val="TableTitle"/>
    <w:rsid w:val="00B45362"/>
    <w:pPr>
      <w:keepNext/>
      <w:spacing w:before="560" w:after="120"/>
      <w:jc w:val="center"/>
    </w:pPr>
    <w:rPr>
      <w:caps/>
    </w:rPr>
  </w:style>
  <w:style w:type="paragraph" w:customStyle="1" w:styleId="enumlev1">
    <w:name w:val="enumlev1"/>
    <w:basedOn w:val="Normal"/>
    <w:rsid w:val="00B45362"/>
    <w:pPr>
      <w:spacing w:before="80"/>
      <w:ind w:left="794" w:hanging="794"/>
    </w:pPr>
  </w:style>
  <w:style w:type="paragraph" w:customStyle="1" w:styleId="enumlev2">
    <w:name w:val="enumlev2"/>
    <w:basedOn w:val="enumlev1"/>
    <w:rsid w:val="00B45362"/>
    <w:pPr>
      <w:ind w:left="1191" w:hanging="397"/>
    </w:pPr>
  </w:style>
  <w:style w:type="paragraph" w:customStyle="1" w:styleId="enumlev3">
    <w:name w:val="enumlev3"/>
    <w:basedOn w:val="enumlev2"/>
    <w:rsid w:val="00B45362"/>
    <w:pPr>
      <w:ind w:left="1588"/>
    </w:pPr>
  </w:style>
  <w:style w:type="paragraph" w:customStyle="1" w:styleId="TableHead">
    <w:name w:val="Table_Head"/>
    <w:basedOn w:val="TableText"/>
    <w:rsid w:val="00B45362"/>
    <w:pPr>
      <w:keepNext/>
      <w:spacing w:before="80" w:after="80"/>
      <w:jc w:val="center"/>
    </w:pPr>
    <w:rPr>
      <w:b/>
    </w:rPr>
  </w:style>
  <w:style w:type="paragraph" w:customStyle="1" w:styleId="FigureLegend">
    <w:name w:val="Figure_Legend"/>
    <w:basedOn w:val="Normal"/>
    <w:rsid w:val="00B4536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45362"/>
    <w:pPr>
      <w:spacing w:before="480"/>
    </w:pPr>
  </w:style>
  <w:style w:type="paragraph" w:customStyle="1" w:styleId="FigureTitle">
    <w:name w:val="Figure_Title"/>
    <w:basedOn w:val="TableTitle"/>
    <w:next w:val="Normal"/>
    <w:rsid w:val="00B45362"/>
    <w:pPr>
      <w:keepNext w:val="0"/>
      <w:spacing w:after="480"/>
    </w:pPr>
  </w:style>
  <w:style w:type="paragraph" w:customStyle="1" w:styleId="Annex">
    <w:name w:val="Annex_#"/>
    <w:basedOn w:val="Normal"/>
    <w:next w:val="AnnexRef"/>
    <w:rsid w:val="00B45362"/>
    <w:pPr>
      <w:keepNext/>
      <w:keepLines/>
      <w:spacing w:before="480" w:after="80"/>
      <w:jc w:val="center"/>
    </w:pPr>
    <w:rPr>
      <w:caps/>
    </w:rPr>
  </w:style>
  <w:style w:type="paragraph" w:customStyle="1" w:styleId="AnnexRef">
    <w:name w:val="Annex_Ref"/>
    <w:basedOn w:val="Normal"/>
    <w:next w:val="AnnexTitle"/>
    <w:rsid w:val="00B45362"/>
    <w:pPr>
      <w:keepNext/>
      <w:keepLines/>
      <w:jc w:val="center"/>
    </w:pPr>
  </w:style>
  <w:style w:type="paragraph" w:customStyle="1" w:styleId="AnnexTitle">
    <w:name w:val="Annex_Title"/>
    <w:basedOn w:val="Normal"/>
    <w:next w:val="Normal"/>
    <w:rsid w:val="00B45362"/>
    <w:pPr>
      <w:keepNext/>
      <w:keepLines/>
      <w:spacing w:before="240" w:after="280"/>
      <w:jc w:val="center"/>
    </w:pPr>
    <w:rPr>
      <w:b/>
    </w:rPr>
  </w:style>
  <w:style w:type="paragraph" w:customStyle="1" w:styleId="Appendix">
    <w:name w:val="Appendix_#"/>
    <w:basedOn w:val="Annex"/>
    <w:next w:val="AppendixRef"/>
    <w:rsid w:val="00B45362"/>
  </w:style>
  <w:style w:type="paragraph" w:customStyle="1" w:styleId="AppendixRef">
    <w:name w:val="Appendix_Ref"/>
    <w:basedOn w:val="AnnexRef"/>
    <w:next w:val="AppendixTitle"/>
    <w:rsid w:val="00B45362"/>
  </w:style>
  <w:style w:type="paragraph" w:customStyle="1" w:styleId="AppendixTitle">
    <w:name w:val="Appendix_Title"/>
    <w:basedOn w:val="AnnexTitle"/>
    <w:next w:val="Normal"/>
    <w:rsid w:val="00B45362"/>
  </w:style>
  <w:style w:type="paragraph" w:customStyle="1" w:styleId="RefTitle">
    <w:name w:val="Ref_Title"/>
    <w:basedOn w:val="Normal"/>
    <w:next w:val="RefText"/>
    <w:rsid w:val="00B45362"/>
    <w:pPr>
      <w:spacing w:before="480"/>
      <w:jc w:val="center"/>
    </w:pPr>
    <w:rPr>
      <w:caps/>
    </w:rPr>
  </w:style>
  <w:style w:type="paragraph" w:customStyle="1" w:styleId="RefText">
    <w:name w:val="Ref_Text"/>
    <w:basedOn w:val="Normal"/>
    <w:rsid w:val="00B45362"/>
    <w:pPr>
      <w:ind w:left="794" w:hanging="794"/>
    </w:pPr>
  </w:style>
  <w:style w:type="paragraph" w:customStyle="1" w:styleId="Equation">
    <w:name w:val="Equation"/>
    <w:basedOn w:val="Normal"/>
    <w:rsid w:val="00B45362"/>
    <w:pPr>
      <w:tabs>
        <w:tab w:val="clear" w:pos="1191"/>
        <w:tab w:val="clear" w:pos="1588"/>
        <w:tab w:val="clear" w:pos="1985"/>
        <w:tab w:val="center" w:pos="4876"/>
        <w:tab w:val="right" w:pos="9752"/>
      </w:tabs>
    </w:pPr>
  </w:style>
  <w:style w:type="paragraph" w:customStyle="1" w:styleId="Head">
    <w:name w:val="Head"/>
    <w:basedOn w:val="Normal"/>
    <w:rsid w:val="00B4536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45362"/>
    <w:pPr>
      <w:keepNext/>
      <w:keepLines/>
      <w:spacing w:before="240"/>
      <w:jc w:val="center"/>
    </w:pPr>
    <w:rPr>
      <w:b/>
      <w:caps/>
    </w:rPr>
  </w:style>
  <w:style w:type="paragraph" w:customStyle="1" w:styleId="Normalaftertitle">
    <w:name w:val="Normal after title"/>
    <w:basedOn w:val="Normal"/>
    <w:next w:val="Normal"/>
    <w:rsid w:val="00B45362"/>
    <w:pPr>
      <w:spacing w:before="320"/>
    </w:pPr>
  </w:style>
  <w:style w:type="paragraph" w:customStyle="1" w:styleId="call">
    <w:name w:val="call"/>
    <w:basedOn w:val="Normal"/>
    <w:next w:val="Normal"/>
    <w:rsid w:val="00B45362"/>
    <w:pPr>
      <w:keepNext/>
      <w:keepLines/>
      <w:spacing w:before="160"/>
      <w:ind w:left="794"/>
    </w:pPr>
    <w:rPr>
      <w:i/>
    </w:rPr>
  </w:style>
  <w:style w:type="paragraph" w:customStyle="1" w:styleId="Rec">
    <w:name w:val="Rec_#"/>
    <w:basedOn w:val="Normal"/>
    <w:next w:val="RecTitle"/>
    <w:rsid w:val="00B45362"/>
    <w:pPr>
      <w:keepNext/>
      <w:keepLines/>
      <w:spacing w:before="480"/>
      <w:jc w:val="center"/>
    </w:pPr>
    <w:rPr>
      <w:caps/>
    </w:rPr>
  </w:style>
  <w:style w:type="paragraph" w:customStyle="1" w:styleId="toc0">
    <w:name w:val="toc 0"/>
    <w:basedOn w:val="Normal"/>
    <w:next w:val="TOC1"/>
    <w:rsid w:val="00B45362"/>
    <w:pPr>
      <w:tabs>
        <w:tab w:val="clear" w:pos="794"/>
        <w:tab w:val="clear" w:pos="1191"/>
        <w:tab w:val="clear" w:pos="1588"/>
        <w:tab w:val="clear" w:pos="1985"/>
        <w:tab w:val="right" w:pos="9781"/>
      </w:tabs>
    </w:pPr>
    <w:rPr>
      <w:b/>
    </w:rPr>
  </w:style>
  <w:style w:type="paragraph" w:styleId="List">
    <w:name w:val="List"/>
    <w:basedOn w:val="Normal"/>
    <w:rsid w:val="00B4536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536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536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536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45362"/>
    <w:pPr>
      <w:spacing w:before="160"/>
      <w:ind w:left="0" w:firstLine="0"/>
      <w:outlineLvl w:val="9"/>
    </w:pPr>
  </w:style>
  <w:style w:type="paragraph" w:customStyle="1" w:styleId="Keywords">
    <w:name w:val="Keywords"/>
    <w:basedOn w:val="Normal"/>
    <w:rsid w:val="00B45362"/>
    <w:pPr>
      <w:tabs>
        <w:tab w:val="clear" w:pos="1191"/>
        <w:tab w:val="clear" w:pos="1588"/>
      </w:tabs>
      <w:ind w:left="794" w:hanging="794"/>
    </w:pPr>
  </w:style>
  <w:style w:type="paragraph" w:customStyle="1" w:styleId="ASN1">
    <w:name w:val="ASN.1"/>
    <w:basedOn w:val="Normal"/>
    <w:rsid w:val="00B453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4536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45362"/>
    <w:pPr>
      <w:tabs>
        <w:tab w:val="clear" w:pos="794"/>
        <w:tab w:val="clear" w:pos="1191"/>
        <w:tab w:val="clear" w:pos="1588"/>
        <w:tab w:val="clear" w:pos="1985"/>
      </w:tabs>
      <w:spacing w:before="480"/>
      <w:ind w:left="4961"/>
    </w:pPr>
  </w:style>
  <w:style w:type="paragraph" w:customStyle="1" w:styleId="meeting">
    <w:name w:val="meeting"/>
    <w:basedOn w:val="Head"/>
    <w:next w:val="Head"/>
    <w:rsid w:val="00B45362"/>
    <w:pPr>
      <w:tabs>
        <w:tab w:val="left" w:pos="7371"/>
      </w:tabs>
      <w:spacing w:after="560"/>
    </w:pPr>
  </w:style>
  <w:style w:type="paragraph" w:customStyle="1" w:styleId="BodyText">
    <w:name w:val="BodyText"/>
    <w:basedOn w:val="Normal"/>
    <w:rsid w:val="00B45362"/>
    <w:pPr>
      <w:tabs>
        <w:tab w:val="clear" w:pos="794"/>
        <w:tab w:val="clear" w:pos="1191"/>
        <w:tab w:val="clear" w:pos="1588"/>
        <w:tab w:val="clear" w:pos="1985"/>
      </w:tabs>
      <w:spacing w:before="240"/>
    </w:pPr>
  </w:style>
  <w:style w:type="paragraph" w:customStyle="1" w:styleId="ITUadres">
    <w:name w:val="ITU_adres"/>
    <w:basedOn w:val="Normal"/>
    <w:rsid w:val="00B4536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4536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4536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4536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4536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45362"/>
  </w:style>
  <w:style w:type="paragraph" w:customStyle="1" w:styleId="ITUbureau">
    <w:name w:val="ITU_bureau"/>
    <w:basedOn w:val="Normal"/>
    <w:rsid w:val="00B4536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4536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4536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4536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4536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45362"/>
    <w:pPr>
      <w:tabs>
        <w:tab w:val="left" w:pos="1418"/>
        <w:tab w:val="left" w:pos="1985"/>
        <w:tab w:val="left" w:pos="2268"/>
      </w:tabs>
      <w:ind w:firstLine="1304"/>
    </w:pPr>
  </w:style>
  <w:style w:type="paragraph" w:customStyle="1" w:styleId="Tiret">
    <w:name w:val="Tiret"/>
    <w:basedOn w:val="Normal"/>
    <w:rsid w:val="00B45362"/>
    <w:pPr>
      <w:tabs>
        <w:tab w:val="clear" w:pos="794"/>
        <w:tab w:val="clear" w:pos="1191"/>
        <w:tab w:val="clear" w:pos="1588"/>
        <w:tab w:val="clear" w:pos="1985"/>
      </w:tabs>
      <w:ind w:left="-680"/>
    </w:pPr>
  </w:style>
  <w:style w:type="paragraph" w:customStyle="1" w:styleId="NormFoot">
    <w:name w:val="Norm_Foot"/>
    <w:basedOn w:val="Normal"/>
    <w:rsid w:val="00B4536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4536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45362"/>
    <w:pPr>
      <w:keepLines/>
      <w:tabs>
        <w:tab w:val="left" w:pos="1361"/>
        <w:tab w:val="left" w:pos="1758"/>
        <w:tab w:val="left" w:pos="2155"/>
        <w:tab w:val="left" w:pos="2552"/>
      </w:tabs>
      <w:ind w:left="567"/>
    </w:pPr>
  </w:style>
  <w:style w:type="paragraph" w:customStyle="1" w:styleId="headingi">
    <w:name w:val="heading_i"/>
    <w:basedOn w:val="Heading3"/>
    <w:next w:val="Normal"/>
    <w:rsid w:val="00B45362"/>
    <w:pPr>
      <w:spacing w:before="160"/>
      <w:ind w:left="0" w:firstLine="0"/>
      <w:outlineLvl w:val="9"/>
    </w:pPr>
    <w:rPr>
      <w:b w:val="0"/>
      <w:i/>
    </w:rPr>
  </w:style>
  <w:style w:type="character" w:styleId="Hyperlink">
    <w:name w:val="Hyperlink"/>
    <w:uiPriority w:val="99"/>
    <w:rsid w:val="00B45362"/>
    <w:rPr>
      <w:color w:val="0000FF"/>
      <w:u w:val="single"/>
    </w:rPr>
  </w:style>
  <w:style w:type="paragraph" w:customStyle="1" w:styleId="Qlist">
    <w:name w:val="Qlist"/>
    <w:basedOn w:val="Normal"/>
    <w:rsid w:val="00B4536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45362"/>
    <w:pPr>
      <w:tabs>
        <w:tab w:val="left" w:pos="397"/>
      </w:tabs>
    </w:pPr>
  </w:style>
  <w:style w:type="paragraph" w:customStyle="1" w:styleId="FirstFooter">
    <w:name w:val="FirstFooter"/>
    <w:basedOn w:val="Footer"/>
    <w:rsid w:val="00B45362"/>
    <w:pPr>
      <w:tabs>
        <w:tab w:val="clear" w:pos="5954"/>
        <w:tab w:val="clear" w:pos="9639"/>
      </w:tabs>
    </w:pPr>
    <w:rPr>
      <w:caps w:val="0"/>
    </w:rPr>
  </w:style>
  <w:style w:type="paragraph" w:styleId="TOC9">
    <w:name w:val="toc 9"/>
    <w:basedOn w:val="TOC3"/>
    <w:semiHidden/>
    <w:rsid w:val="00B45362"/>
  </w:style>
  <w:style w:type="paragraph" w:styleId="BodyText0">
    <w:name w:val="Body Text"/>
    <w:basedOn w:val="Normal"/>
    <w:rsid w:val="00B45362"/>
    <w:pPr>
      <w:spacing w:after="120"/>
    </w:pPr>
  </w:style>
  <w:style w:type="character" w:styleId="PageNumber">
    <w:name w:val="page number"/>
    <w:basedOn w:val="DefaultParagraphFont"/>
    <w:rsid w:val="00B45362"/>
  </w:style>
  <w:style w:type="paragraph" w:customStyle="1" w:styleId="AnnexNo">
    <w:name w:val="Annex_No"/>
    <w:basedOn w:val="Normal"/>
    <w:next w:val="Normal"/>
    <w:rsid w:val="00B45362"/>
    <w:pPr>
      <w:keepNext/>
      <w:keepLines/>
      <w:spacing w:before="480" w:after="80"/>
      <w:jc w:val="center"/>
    </w:pPr>
    <w:rPr>
      <w:caps/>
      <w:sz w:val="28"/>
    </w:rPr>
  </w:style>
  <w:style w:type="character" w:styleId="FollowedHyperlink">
    <w:name w:val="FollowedHyperlink"/>
    <w:basedOn w:val="DefaultParagraphFont"/>
    <w:rsid w:val="00B45362"/>
    <w:rPr>
      <w:color w:val="800080" w:themeColor="followedHyperlink"/>
      <w:u w:val="single"/>
    </w:rPr>
  </w:style>
  <w:style w:type="paragraph" w:customStyle="1" w:styleId="pnew">
    <w:name w:val="pnew"/>
    <w:basedOn w:val="Normal"/>
    <w:rsid w:val="00B4536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4536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45362"/>
    <w:rPr>
      <w:rFonts w:ascii="Tahoma" w:hAnsi="Tahoma" w:cs="Tahoma"/>
      <w:sz w:val="16"/>
      <w:szCs w:val="16"/>
    </w:rPr>
  </w:style>
  <w:style w:type="table" w:styleId="TableGrid">
    <w:name w:val="Table Grid"/>
    <w:basedOn w:val="TableNormal"/>
    <w:rsid w:val="00B4536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4536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45362"/>
    <w:rPr>
      <w:rFonts w:ascii="Calibri" w:hAnsi="Calibri"/>
      <w:sz w:val="22"/>
      <w:lang w:val="fr-FR" w:eastAsia="en-US"/>
    </w:rPr>
  </w:style>
  <w:style w:type="paragraph" w:customStyle="1" w:styleId="itu">
    <w:name w:val="itu"/>
    <w:basedOn w:val="Normal"/>
    <w:rsid w:val="00B453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45362"/>
    <w:rPr>
      <w:rFonts w:ascii="Calibri" w:hAnsi="Calibri"/>
      <w:caps/>
      <w:sz w:val="18"/>
      <w:lang w:val="fr-FR" w:eastAsia="en-US"/>
    </w:rPr>
  </w:style>
  <w:style w:type="paragraph" w:customStyle="1" w:styleId="Reasons">
    <w:name w:val="Reasons"/>
    <w:basedOn w:val="Normal"/>
    <w:qFormat/>
    <w:rsid w:val="00B4536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4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45362"/>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BF61FF"/>
    <w:pPr>
      <w:overflowPunct/>
      <w:autoSpaceDE/>
      <w:autoSpaceDN/>
      <w:adjustRightInd/>
      <w:ind w:left="720"/>
      <w:contextualSpacing/>
      <w:textAlignment w:val="auto"/>
    </w:pPr>
    <w:rPr>
      <w:rFonts w:ascii="Times New Roman" w:hAnsi="Times New Roman"/>
      <w:sz w:val="24"/>
      <w:lang w:val="en-GB"/>
    </w:rPr>
  </w:style>
  <w:style w:type="paragraph" w:customStyle="1" w:styleId="paragraph">
    <w:name w:val="paragraph"/>
    <w:basedOn w:val="Normal"/>
    <w:rsid w:val="00BF61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515222019">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02/sg2rgarb/Pages/default.aspx" TargetMode="External"/><Relationship Id="rId18" Type="http://schemas.openxmlformats.org/officeDocument/2006/relationships/hyperlink" Target="https://www.itu.int/en/ITU-T/studygroups/2017-2020/02/sg2rgarb/Pages/default.aspx" TargetMode="External"/><Relationship Id="rId26" Type="http://schemas.openxmlformats.org/officeDocument/2006/relationships/hyperlink" Target="https://www.itu.int/hub/membership/user-account-ties/"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17-2020/02/sg2rgafr/Pages/default.aspx" TargetMode="External"/><Relationship Id="rId17" Type="http://schemas.openxmlformats.org/officeDocument/2006/relationships/hyperlink" Target="https://www.itu.int/en/ITU-T/studygroups/2017-2020/02/sg2rgafr/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T-REG-WTSADRAFT-2024"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rb/Pages/default.aspx" TargetMode="External"/><Relationship Id="rId24" Type="http://schemas.openxmlformats.org/officeDocument/2006/relationships/hyperlink" Target="mailto:tsbsg2@itu.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regionalgroups/sg02-arb/Pages/default.aspx" TargetMode="External"/><Relationship Id="rId23" Type="http://schemas.openxmlformats.org/officeDocument/2006/relationships/oleObject" Target="embeddings/oleObject2.bin"/><Relationship Id="rId28" Type="http://schemas.openxmlformats.org/officeDocument/2006/relationships/hyperlink" Target="https://www.itu.int/md/T17-TSB-CIR-0118/fr" TargetMode="External"/><Relationship Id="rId10" Type="http://schemas.openxmlformats.org/officeDocument/2006/relationships/hyperlink" Target="https://www.itu.int/en/ITU-T/regionalgroups/sg02-afr/Pages/default.aspx" TargetMode="External"/><Relationship Id="rId19" Type="http://schemas.openxmlformats.org/officeDocument/2006/relationships/hyperlink" Target="mailto:tsbsg2@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ITU-T/regionalgroups/sg02-afr/Pages/default.aspx" TargetMode="External"/><Relationship Id="rId22" Type="http://schemas.openxmlformats.org/officeDocument/2006/relationships/image" Target="media/image3.png"/><Relationship Id="rId27" Type="http://schemas.openxmlformats.org/officeDocument/2006/relationships/hyperlink" Target="https://www.itu.int/md/T17-TSB-CIR-0068/fr"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103</TotalTime>
  <Pages>4</Pages>
  <Words>987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8022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8</cp:revision>
  <cp:lastPrinted>2012-02-20T11:06:00Z</cp:lastPrinted>
  <dcterms:created xsi:type="dcterms:W3CDTF">2024-11-20T14:39:00Z</dcterms:created>
  <dcterms:modified xsi:type="dcterms:W3CDTF">2024-11-21T07:37:00Z</dcterms:modified>
</cp:coreProperties>
</file>