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E7D1F" w14:paraId="6584325A" w14:textId="77777777" w:rsidTr="00267BFB">
        <w:trPr>
          <w:cantSplit/>
          <w:trHeight w:val="1132"/>
        </w:trPr>
        <w:tc>
          <w:tcPr>
            <w:tcW w:w="1290" w:type="dxa"/>
            <w:vAlign w:val="center"/>
          </w:tcPr>
          <w:p w14:paraId="25DA3AE0" w14:textId="77777777" w:rsidR="00D2023F" w:rsidRPr="002E7D1F" w:rsidRDefault="0018215C" w:rsidP="00C30155">
            <w:pPr>
              <w:spacing w:before="0"/>
              <w:rPr>
                <w:lang w:val="fr-FR"/>
              </w:rPr>
            </w:pPr>
            <w:r w:rsidRPr="002E7D1F">
              <w:rPr>
                <w:noProof/>
                <w:lang w:val="fr-FR"/>
              </w:rPr>
              <w:drawing>
                <wp:inline distT="0" distB="0" distL="0" distR="0" wp14:anchorId="31A43AE5" wp14:editId="04742D9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115ABF" w14:textId="77777777" w:rsidR="00D2023F" w:rsidRPr="002E7D1F" w:rsidRDefault="006F0DB7" w:rsidP="008A186A">
            <w:pPr>
              <w:pStyle w:val="TopHeader"/>
              <w:rPr>
                <w:lang w:val="fr-FR"/>
              </w:rPr>
            </w:pPr>
            <w:r w:rsidRPr="002E7D1F">
              <w:rPr>
                <w:lang w:val="fr-FR"/>
              </w:rPr>
              <w:t>Assemblée mondiale de normalisation des télécommunications (AMNT-24)</w:t>
            </w:r>
            <w:r w:rsidRPr="002E7D1F">
              <w:rPr>
                <w:sz w:val="26"/>
                <w:szCs w:val="26"/>
                <w:lang w:val="fr-FR"/>
              </w:rPr>
              <w:br/>
            </w:r>
            <w:r w:rsidRPr="002E7D1F">
              <w:rPr>
                <w:sz w:val="18"/>
                <w:szCs w:val="18"/>
                <w:lang w:val="fr-FR"/>
              </w:rPr>
              <w:t>New Delhi, 15</w:t>
            </w:r>
            <w:r w:rsidR="00BC053B">
              <w:rPr>
                <w:sz w:val="18"/>
                <w:szCs w:val="18"/>
                <w:lang w:val="fr-FR"/>
              </w:rPr>
              <w:t>-</w:t>
            </w:r>
            <w:r w:rsidRPr="002E7D1F">
              <w:rPr>
                <w:sz w:val="18"/>
                <w:szCs w:val="18"/>
                <w:lang w:val="fr-FR"/>
              </w:rPr>
              <w:t>24 octobre 2024</w:t>
            </w:r>
          </w:p>
        </w:tc>
        <w:tc>
          <w:tcPr>
            <w:tcW w:w="1306" w:type="dxa"/>
            <w:tcBorders>
              <w:left w:val="nil"/>
            </w:tcBorders>
            <w:vAlign w:val="center"/>
          </w:tcPr>
          <w:p w14:paraId="74D33424" w14:textId="77777777" w:rsidR="00D2023F" w:rsidRPr="002E7D1F" w:rsidRDefault="00D2023F" w:rsidP="00C30155">
            <w:pPr>
              <w:spacing w:before="0"/>
              <w:rPr>
                <w:lang w:val="fr-FR"/>
              </w:rPr>
            </w:pPr>
            <w:r w:rsidRPr="002E7D1F">
              <w:rPr>
                <w:noProof/>
                <w:lang w:val="fr-FR" w:eastAsia="zh-CN"/>
              </w:rPr>
              <w:drawing>
                <wp:inline distT="0" distB="0" distL="0" distR="0" wp14:anchorId="78060837" wp14:editId="1A762AA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E7D1F" w14:paraId="795C8BBB" w14:textId="77777777" w:rsidTr="00267BFB">
        <w:trPr>
          <w:cantSplit/>
        </w:trPr>
        <w:tc>
          <w:tcPr>
            <w:tcW w:w="9811" w:type="dxa"/>
            <w:gridSpan w:val="4"/>
            <w:tcBorders>
              <w:bottom w:val="single" w:sz="12" w:space="0" w:color="auto"/>
            </w:tcBorders>
          </w:tcPr>
          <w:p w14:paraId="1B8C887B" w14:textId="77777777" w:rsidR="00D2023F" w:rsidRPr="002E7D1F" w:rsidRDefault="00D2023F" w:rsidP="00C30155">
            <w:pPr>
              <w:spacing w:before="0"/>
              <w:rPr>
                <w:lang w:val="fr-FR"/>
              </w:rPr>
            </w:pPr>
          </w:p>
        </w:tc>
      </w:tr>
      <w:tr w:rsidR="00931298" w:rsidRPr="002E7D1F" w14:paraId="11FC6A9C" w14:textId="77777777" w:rsidTr="00267BFB">
        <w:trPr>
          <w:cantSplit/>
        </w:trPr>
        <w:tc>
          <w:tcPr>
            <w:tcW w:w="6237" w:type="dxa"/>
            <w:gridSpan w:val="2"/>
            <w:tcBorders>
              <w:top w:val="single" w:sz="12" w:space="0" w:color="auto"/>
            </w:tcBorders>
          </w:tcPr>
          <w:p w14:paraId="6E6975D9" w14:textId="77777777" w:rsidR="00931298" w:rsidRPr="00706168" w:rsidRDefault="00931298" w:rsidP="00C30155">
            <w:pPr>
              <w:spacing w:before="0"/>
            </w:pPr>
          </w:p>
        </w:tc>
        <w:tc>
          <w:tcPr>
            <w:tcW w:w="3574" w:type="dxa"/>
            <w:gridSpan w:val="2"/>
          </w:tcPr>
          <w:p w14:paraId="5EDAFBD8" w14:textId="77777777" w:rsidR="00931298" w:rsidRPr="00706168" w:rsidRDefault="00931298" w:rsidP="00C30155">
            <w:pPr>
              <w:spacing w:before="0"/>
              <w:rPr>
                <w:sz w:val="20"/>
                <w:szCs w:val="16"/>
              </w:rPr>
            </w:pPr>
          </w:p>
        </w:tc>
      </w:tr>
      <w:tr w:rsidR="00752D4D" w:rsidRPr="002E7D1F" w14:paraId="4C0BC110" w14:textId="77777777" w:rsidTr="00267BFB">
        <w:trPr>
          <w:cantSplit/>
        </w:trPr>
        <w:tc>
          <w:tcPr>
            <w:tcW w:w="6237" w:type="dxa"/>
            <w:gridSpan w:val="2"/>
          </w:tcPr>
          <w:p w14:paraId="1B928DAF" w14:textId="77777777" w:rsidR="00752D4D" w:rsidRPr="002E7D1F" w:rsidRDefault="007F4179" w:rsidP="00C30155">
            <w:pPr>
              <w:pStyle w:val="Committee"/>
              <w:rPr>
                <w:lang w:val="fr-FR"/>
              </w:rPr>
            </w:pPr>
            <w:r w:rsidRPr="007F4179">
              <w:t>SÉANCE PLÉNIÈRE</w:t>
            </w:r>
          </w:p>
        </w:tc>
        <w:tc>
          <w:tcPr>
            <w:tcW w:w="3574" w:type="dxa"/>
            <w:gridSpan w:val="2"/>
          </w:tcPr>
          <w:p w14:paraId="60523017" w14:textId="77777777" w:rsidR="00752D4D" w:rsidRPr="002E7D1F" w:rsidRDefault="007F4179" w:rsidP="00A52D1A">
            <w:pPr>
              <w:pStyle w:val="Docnumber"/>
              <w:rPr>
                <w:lang w:val="fr-FR"/>
              </w:rPr>
            </w:pPr>
            <w:r>
              <w:t>Document 52</w:t>
            </w:r>
          </w:p>
        </w:tc>
      </w:tr>
      <w:tr w:rsidR="00931298" w:rsidRPr="002E7D1F" w14:paraId="490555E8" w14:textId="77777777" w:rsidTr="00267BFB">
        <w:trPr>
          <w:cantSplit/>
        </w:trPr>
        <w:tc>
          <w:tcPr>
            <w:tcW w:w="6237" w:type="dxa"/>
            <w:gridSpan w:val="2"/>
          </w:tcPr>
          <w:p w14:paraId="79FA736D" w14:textId="77777777" w:rsidR="00931298" w:rsidRPr="002E7D1F" w:rsidRDefault="00931298" w:rsidP="00C30155">
            <w:pPr>
              <w:spacing w:before="0"/>
              <w:rPr>
                <w:lang w:val="fr-FR"/>
              </w:rPr>
            </w:pPr>
          </w:p>
        </w:tc>
        <w:tc>
          <w:tcPr>
            <w:tcW w:w="3574" w:type="dxa"/>
            <w:gridSpan w:val="2"/>
          </w:tcPr>
          <w:p w14:paraId="182B1D07" w14:textId="77777777" w:rsidR="00931298" w:rsidRPr="002E7D1F" w:rsidRDefault="007F4179" w:rsidP="00C30155">
            <w:pPr>
              <w:pStyle w:val="TopHeader"/>
              <w:spacing w:before="0"/>
              <w:rPr>
                <w:sz w:val="20"/>
                <w:szCs w:val="20"/>
                <w:lang w:val="fr-FR"/>
              </w:rPr>
            </w:pPr>
            <w:r w:rsidRPr="007F4179">
              <w:rPr>
                <w:sz w:val="20"/>
                <w:szCs w:val="16"/>
              </w:rPr>
              <w:t xml:space="preserve">23 </w:t>
            </w:r>
            <w:proofErr w:type="spellStart"/>
            <w:r w:rsidRPr="007F4179">
              <w:rPr>
                <w:sz w:val="20"/>
                <w:szCs w:val="16"/>
              </w:rPr>
              <w:t>septembre</w:t>
            </w:r>
            <w:proofErr w:type="spellEnd"/>
            <w:r w:rsidRPr="007F4179">
              <w:rPr>
                <w:sz w:val="20"/>
                <w:szCs w:val="16"/>
              </w:rPr>
              <w:t xml:space="preserve"> 2024</w:t>
            </w:r>
          </w:p>
        </w:tc>
      </w:tr>
      <w:tr w:rsidR="00931298" w:rsidRPr="002E7D1F" w14:paraId="06B873A7" w14:textId="77777777" w:rsidTr="00267BFB">
        <w:trPr>
          <w:cantSplit/>
        </w:trPr>
        <w:tc>
          <w:tcPr>
            <w:tcW w:w="6237" w:type="dxa"/>
            <w:gridSpan w:val="2"/>
          </w:tcPr>
          <w:p w14:paraId="6CBD803E" w14:textId="77777777" w:rsidR="00931298" w:rsidRPr="002E7D1F" w:rsidRDefault="00931298" w:rsidP="00C30155">
            <w:pPr>
              <w:spacing w:before="0"/>
              <w:rPr>
                <w:lang w:val="fr-FR"/>
              </w:rPr>
            </w:pPr>
          </w:p>
        </w:tc>
        <w:tc>
          <w:tcPr>
            <w:tcW w:w="3574" w:type="dxa"/>
            <w:gridSpan w:val="2"/>
          </w:tcPr>
          <w:p w14:paraId="3CEDB7FF" w14:textId="77777777" w:rsidR="00931298" w:rsidRPr="002E7D1F" w:rsidRDefault="007F4179" w:rsidP="00C30155">
            <w:pPr>
              <w:pStyle w:val="TopHeader"/>
              <w:spacing w:before="0"/>
              <w:rPr>
                <w:sz w:val="20"/>
                <w:szCs w:val="20"/>
                <w:lang w:val="fr-FR"/>
              </w:rPr>
            </w:pPr>
            <w:r>
              <w:rPr>
                <w:sz w:val="20"/>
                <w:szCs w:val="16"/>
              </w:rPr>
              <w:t>Original: français</w:t>
            </w:r>
          </w:p>
        </w:tc>
      </w:tr>
      <w:tr w:rsidR="00931298" w:rsidRPr="00706168" w14:paraId="5241986E" w14:textId="77777777" w:rsidTr="00267BFB">
        <w:trPr>
          <w:cantSplit/>
        </w:trPr>
        <w:tc>
          <w:tcPr>
            <w:tcW w:w="9811" w:type="dxa"/>
            <w:gridSpan w:val="4"/>
          </w:tcPr>
          <w:p w14:paraId="6D39821E" w14:textId="77777777" w:rsidR="00931298" w:rsidRPr="00706168" w:rsidRDefault="00931298" w:rsidP="00706168">
            <w:pPr>
              <w:spacing w:before="0"/>
              <w:rPr>
                <w:sz w:val="20"/>
                <w:szCs w:val="16"/>
                <w:lang w:val="fr-FR"/>
              </w:rPr>
            </w:pPr>
          </w:p>
        </w:tc>
      </w:tr>
      <w:tr w:rsidR="007F4179" w:rsidRPr="002E7D1F" w14:paraId="3D939BD4" w14:textId="77777777" w:rsidTr="00267BFB">
        <w:trPr>
          <w:cantSplit/>
        </w:trPr>
        <w:tc>
          <w:tcPr>
            <w:tcW w:w="9811" w:type="dxa"/>
            <w:gridSpan w:val="4"/>
          </w:tcPr>
          <w:p w14:paraId="3981A494" w14:textId="77777777" w:rsidR="007F4179" w:rsidRPr="002E7D1F" w:rsidRDefault="007F4179" w:rsidP="007F4179">
            <w:pPr>
              <w:pStyle w:val="Source"/>
              <w:rPr>
                <w:lang w:val="fr-FR"/>
              </w:rPr>
            </w:pPr>
            <w:proofErr w:type="spellStart"/>
            <w:r w:rsidRPr="00AD496A">
              <w:t>Guinée</w:t>
            </w:r>
            <w:proofErr w:type="spellEnd"/>
            <w:r w:rsidRPr="00AD496A">
              <w:t xml:space="preserve"> (</w:t>
            </w:r>
            <w:proofErr w:type="spellStart"/>
            <w:r w:rsidRPr="00AD496A">
              <w:t>République</w:t>
            </w:r>
            <w:proofErr w:type="spellEnd"/>
            <w:r w:rsidRPr="00AD496A">
              <w:t xml:space="preserve"> de)</w:t>
            </w:r>
          </w:p>
        </w:tc>
      </w:tr>
      <w:tr w:rsidR="007F4179" w:rsidRPr="003C7E58" w14:paraId="13136640" w14:textId="77777777" w:rsidTr="00267BFB">
        <w:trPr>
          <w:cantSplit/>
        </w:trPr>
        <w:tc>
          <w:tcPr>
            <w:tcW w:w="9811" w:type="dxa"/>
            <w:gridSpan w:val="4"/>
          </w:tcPr>
          <w:p w14:paraId="62CDFA97" w14:textId="454EDBFE" w:rsidR="007F4179" w:rsidRPr="003C7E58" w:rsidRDefault="003C7E58" w:rsidP="007F4179">
            <w:pPr>
              <w:pStyle w:val="Title1"/>
              <w:rPr>
                <w:lang w:val="fr-CH"/>
              </w:rPr>
            </w:pPr>
            <w:r w:rsidRPr="001824ED">
              <w:rPr>
                <w:lang w:val="fr-CH"/>
              </w:rPr>
              <w:t>Avantages économiques, sociaux et environnementaux des normes internationales de télécommunication pour les pays en développement</w:t>
            </w:r>
          </w:p>
        </w:tc>
      </w:tr>
      <w:tr w:rsidR="00657CDA" w:rsidRPr="003C7E58" w14:paraId="26343B5A" w14:textId="77777777" w:rsidTr="00267BFB">
        <w:trPr>
          <w:cantSplit/>
          <w:trHeight w:hRule="exact" w:val="240"/>
        </w:trPr>
        <w:tc>
          <w:tcPr>
            <w:tcW w:w="9811" w:type="dxa"/>
            <w:gridSpan w:val="4"/>
          </w:tcPr>
          <w:p w14:paraId="6A464E3C" w14:textId="77777777" w:rsidR="00657CDA" w:rsidRPr="003C7E58" w:rsidRDefault="00657CDA" w:rsidP="007F4179">
            <w:pPr>
              <w:pStyle w:val="Title2"/>
              <w:spacing w:before="0"/>
              <w:rPr>
                <w:lang w:val="fr-CH"/>
              </w:rPr>
            </w:pPr>
          </w:p>
        </w:tc>
      </w:tr>
      <w:tr w:rsidR="00657CDA" w:rsidRPr="003C7E58" w14:paraId="6A706AD8" w14:textId="77777777" w:rsidTr="00267BFB">
        <w:trPr>
          <w:cantSplit/>
          <w:trHeight w:hRule="exact" w:val="240"/>
        </w:trPr>
        <w:tc>
          <w:tcPr>
            <w:tcW w:w="9811" w:type="dxa"/>
            <w:gridSpan w:val="4"/>
          </w:tcPr>
          <w:p w14:paraId="3CD5A038" w14:textId="77777777" w:rsidR="00657CDA" w:rsidRPr="003C7E58" w:rsidRDefault="00657CDA" w:rsidP="00293F9A">
            <w:pPr>
              <w:pStyle w:val="Agendaitem"/>
              <w:spacing w:before="0"/>
              <w:rPr>
                <w:lang w:val="fr-CH"/>
              </w:rPr>
            </w:pPr>
          </w:p>
        </w:tc>
      </w:tr>
    </w:tbl>
    <w:p w14:paraId="75BFCCE3" w14:textId="77777777" w:rsidR="00931298" w:rsidRPr="003C7E58" w:rsidRDefault="00931298" w:rsidP="00931298">
      <w:pPr>
        <w:rPr>
          <w:lang w:val="fr-CH"/>
        </w:rPr>
      </w:pPr>
    </w:p>
    <w:tbl>
      <w:tblPr>
        <w:tblW w:w="5000" w:type="pct"/>
        <w:tblLayout w:type="fixed"/>
        <w:tblLook w:val="0000" w:firstRow="0" w:lastRow="0" w:firstColumn="0" w:lastColumn="0" w:noHBand="0" w:noVBand="0"/>
      </w:tblPr>
      <w:tblGrid>
        <w:gridCol w:w="1885"/>
        <w:gridCol w:w="3877"/>
        <w:gridCol w:w="3877"/>
      </w:tblGrid>
      <w:tr w:rsidR="00931298" w:rsidRPr="003C7E58" w14:paraId="618A092B" w14:textId="77777777" w:rsidTr="00FF376E">
        <w:trPr>
          <w:cantSplit/>
        </w:trPr>
        <w:tc>
          <w:tcPr>
            <w:tcW w:w="1885" w:type="dxa"/>
          </w:tcPr>
          <w:p w14:paraId="5A241A4C" w14:textId="77777777" w:rsidR="00931298" w:rsidRPr="002C4DC4" w:rsidRDefault="006F0DB7" w:rsidP="00C30155">
            <w:pPr>
              <w:rPr>
                <w:lang w:val="fr-FR"/>
              </w:rPr>
            </w:pPr>
            <w:r w:rsidRPr="002C4DC4">
              <w:rPr>
                <w:b/>
                <w:bCs/>
                <w:lang w:val="fr-FR"/>
              </w:rPr>
              <w:t>Résumé:</w:t>
            </w:r>
          </w:p>
        </w:tc>
        <w:sdt>
          <w:sdtPr>
            <w:rPr>
              <w:rFonts w:eastAsia="MS Mincho"/>
              <w:lang w:val="fr-CH"/>
            </w:rPr>
            <w:alias w:val="Abstract"/>
            <w:tag w:val="Abstract"/>
            <w:id w:val="-939903723"/>
            <w:placeholder>
              <w:docPart w:val="F4DC68EC7B954F4A9937B12B7A3F360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54" w:type="dxa"/>
                <w:gridSpan w:val="2"/>
              </w:tcPr>
              <w:p w14:paraId="3611BCF0" w14:textId="491D5808" w:rsidR="00931298" w:rsidRPr="00FF376E" w:rsidRDefault="00FF376E" w:rsidP="00C30155">
                <w:pPr>
                  <w:pStyle w:val="Abstract"/>
                  <w:rPr>
                    <w:lang w:val="fr-CH"/>
                  </w:rPr>
                </w:pPr>
                <w:r w:rsidRPr="00FF376E">
                  <w:rPr>
                    <w:rFonts w:eastAsia="MS Mincho"/>
                    <w:lang w:val="fr-CH"/>
                  </w:rPr>
                  <w:t>Avec le développement accéléré de la science et de la technique, engendrant une prolifération des modèles (Normes), nous essayons d’illustrer la nécessité et les avantages de l’utilisation des normes internationales par les pays en développement.</w:t>
                </w:r>
                <w:r w:rsidRPr="00FF376E">
                  <w:rPr>
                    <w:rFonts w:eastAsia="MS Mincho"/>
                    <w:lang w:val="fr-CH"/>
                  </w:rPr>
                  <w:br/>
                  <w:t>Toutefois, l’utilisation des normes internationales varie d’un pays à un autre selon le niveau de développement.</w:t>
                </w:r>
                <w:r w:rsidRPr="00FF376E">
                  <w:rPr>
                    <w:rFonts w:eastAsia="MS Mincho"/>
                    <w:lang w:val="fr-CH"/>
                  </w:rPr>
                  <w:br/>
                  <w:t>D’où la nécessité d’introduire des cours de Normalisation dans les programmes des établissements d’enseignement technique, professionnel et de la recherche scientifique des pays en développement.</w:t>
                </w:r>
              </w:p>
            </w:tc>
          </w:sdtContent>
        </w:sdt>
      </w:tr>
      <w:tr w:rsidR="00FF376E" w:rsidRPr="003C7E58" w14:paraId="43A4E1A1" w14:textId="77777777" w:rsidTr="00FF376E">
        <w:trPr>
          <w:cantSplit/>
        </w:trPr>
        <w:tc>
          <w:tcPr>
            <w:tcW w:w="1885" w:type="dxa"/>
          </w:tcPr>
          <w:p w14:paraId="078EA97D" w14:textId="77777777" w:rsidR="00FF376E" w:rsidRPr="002C4DC4" w:rsidRDefault="00FF376E" w:rsidP="00FF376E">
            <w:pPr>
              <w:rPr>
                <w:b/>
                <w:bCs/>
                <w:szCs w:val="24"/>
                <w:lang w:val="fr-FR"/>
              </w:rPr>
            </w:pPr>
            <w:r w:rsidRPr="002C4DC4">
              <w:rPr>
                <w:b/>
                <w:bCs/>
                <w:szCs w:val="24"/>
                <w:lang w:val="fr-FR"/>
              </w:rPr>
              <w:t>Contact:</w:t>
            </w:r>
          </w:p>
        </w:tc>
        <w:tc>
          <w:tcPr>
            <w:tcW w:w="3877" w:type="dxa"/>
          </w:tcPr>
          <w:p w14:paraId="0708E559" w14:textId="3602D367" w:rsidR="00FF376E" w:rsidRPr="00FF376E" w:rsidRDefault="003C7E58" w:rsidP="00FF376E">
            <w:sdt>
              <w:sdtPr>
                <w:rPr>
                  <w:szCs w:val="24"/>
                </w:rPr>
                <w:alias w:val="ContactNameOrgCountry"/>
                <w:tag w:val="ContactNameOrgCountry"/>
                <w:id w:val="-450624836"/>
                <w:placeholder>
                  <w:docPart w:val="C2301536EA0C43D89A11C3736DD370C9"/>
                </w:placeholder>
                <w:text w:multiLine="1"/>
              </w:sdtPr>
              <w:sdtEndPr/>
              <w:sdtContent>
                <w:r w:rsidR="00FF376E" w:rsidRPr="001824ED">
                  <w:rPr>
                    <w:szCs w:val="24"/>
                  </w:rPr>
                  <w:t xml:space="preserve">M.BALDE Thierno </w:t>
                </w:r>
                <w:proofErr w:type="spellStart"/>
                <w:r w:rsidR="00FF376E" w:rsidRPr="001824ED">
                  <w:rPr>
                    <w:szCs w:val="24"/>
                  </w:rPr>
                  <w:t>Sarifou</w:t>
                </w:r>
                <w:proofErr w:type="spellEnd"/>
                <w:r w:rsidR="00FF376E" w:rsidRPr="001824ED">
                  <w:rPr>
                    <w:szCs w:val="24"/>
                  </w:rPr>
                  <w:br/>
                  <w:t>Guinea (Republic of)</w:t>
                </w:r>
              </w:sdtContent>
            </w:sdt>
          </w:p>
        </w:tc>
        <w:tc>
          <w:tcPr>
            <w:tcW w:w="3877" w:type="dxa"/>
          </w:tcPr>
          <w:p w14:paraId="7B533F00" w14:textId="267F284A" w:rsidR="00FF376E" w:rsidRPr="002C4DC4" w:rsidRDefault="00FF376E" w:rsidP="00FF376E">
            <w:pPr>
              <w:rPr>
                <w:lang w:val="fr-FR"/>
              </w:rPr>
            </w:pPr>
            <w:r w:rsidRPr="001824ED">
              <w:rPr>
                <w:szCs w:val="24"/>
                <w:lang w:val="fr-FR"/>
              </w:rPr>
              <w:t>Tel :</w:t>
            </w:r>
            <w:r w:rsidRPr="001824ED">
              <w:rPr>
                <w:szCs w:val="24"/>
                <w:lang w:val="fr-FR"/>
              </w:rPr>
              <w:tab/>
              <w:t>+224 621 21 08 41</w:t>
            </w:r>
            <w:r w:rsidRPr="001824ED">
              <w:rPr>
                <w:szCs w:val="24"/>
                <w:lang w:val="fr-FR"/>
              </w:rPr>
              <w:br/>
              <w:t xml:space="preserve">E-mail : </w:t>
            </w:r>
            <w:hyperlink r:id="rId14" w:history="1">
              <w:r w:rsidRPr="001824ED">
                <w:rPr>
                  <w:rStyle w:val="Hyperlink"/>
                  <w:szCs w:val="24"/>
                  <w:lang w:val="fr-FR"/>
                </w:rPr>
                <w:t>bthiernosarifou@gmail.com</w:t>
              </w:r>
            </w:hyperlink>
          </w:p>
        </w:tc>
      </w:tr>
    </w:tbl>
    <w:p w14:paraId="4DC688E3" w14:textId="77777777" w:rsidR="00FF376E" w:rsidRDefault="00FF376E" w:rsidP="00FF376E">
      <w:pPr>
        <w:pStyle w:val="Headingb"/>
      </w:pPr>
      <w:r w:rsidRPr="00155899">
        <w:t>Introduction</w:t>
      </w:r>
    </w:p>
    <w:p w14:paraId="547E50F1" w14:textId="77777777" w:rsidR="00FF376E" w:rsidRDefault="00FF376E" w:rsidP="00FF376E">
      <w:pPr>
        <w:jc w:val="both"/>
        <w:rPr>
          <w:b/>
          <w:lang w:val="fr-FR"/>
        </w:rPr>
      </w:pPr>
      <w:r w:rsidRPr="004220C2">
        <w:rPr>
          <w:lang w:val="fr-FR" w:eastAsia="fr-FR"/>
        </w:rPr>
        <w:t>La norme ét</w:t>
      </w:r>
      <w:r>
        <w:rPr>
          <w:lang w:val="fr-FR" w:eastAsia="fr-FR"/>
        </w:rPr>
        <w:t>ant</w:t>
      </w:r>
      <w:r w:rsidRPr="004220C2">
        <w:rPr>
          <w:lang w:val="fr-FR" w:eastAsia="fr-FR"/>
        </w:rPr>
        <w:t xml:space="preserve"> un document de référence établi par consensus, approuvé par un organisme reconnu (ISO, CEI, UIT), et représent</w:t>
      </w:r>
      <w:r>
        <w:rPr>
          <w:lang w:val="fr-FR" w:eastAsia="fr-FR"/>
        </w:rPr>
        <w:t>ant</w:t>
      </w:r>
      <w:r w:rsidRPr="004220C2">
        <w:rPr>
          <w:lang w:val="fr-FR" w:eastAsia="fr-FR"/>
        </w:rPr>
        <w:t xml:space="preserve"> l'état actuel de la science et de la technologie. Elle définit des règles et des procédures pour des activités spécifiques, favorisant ainsi l'ordre et l'efficacité dans un contexte donné</w:t>
      </w:r>
      <w:r>
        <w:rPr>
          <w:lang w:val="fr-FR" w:eastAsia="fr-FR"/>
        </w:rPr>
        <w:t>.</w:t>
      </w:r>
    </w:p>
    <w:p w14:paraId="0CF41DA6" w14:textId="77777777" w:rsidR="00FF376E" w:rsidRPr="00772E98" w:rsidRDefault="00FF376E" w:rsidP="00FF376E">
      <w:pPr>
        <w:jc w:val="both"/>
        <w:rPr>
          <w:b/>
          <w:lang w:val="fr-FR"/>
        </w:rPr>
      </w:pPr>
      <w:r>
        <w:rPr>
          <w:lang w:val="fr-FR" w:eastAsia="fr-FR"/>
        </w:rPr>
        <w:t>L</w:t>
      </w:r>
      <w:r w:rsidRPr="004220C2">
        <w:rPr>
          <w:lang w:val="fr-FR" w:eastAsia="fr-FR"/>
        </w:rPr>
        <w:t xml:space="preserve">a normalisation est </w:t>
      </w:r>
      <w:r>
        <w:rPr>
          <w:lang w:val="fr-FR" w:eastAsia="fr-FR"/>
        </w:rPr>
        <w:t>fondamentale</w:t>
      </w:r>
      <w:r w:rsidRPr="004220C2">
        <w:rPr>
          <w:lang w:val="fr-FR" w:eastAsia="fr-FR"/>
        </w:rPr>
        <w:t xml:space="preserve"> dans tous les secteurs d'activités et permet une interopérabilité des systèmes et équipements, améliorant</w:t>
      </w:r>
      <w:r>
        <w:rPr>
          <w:lang w:val="fr-FR" w:eastAsia="fr-FR"/>
        </w:rPr>
        <w:t xml:space="preserve"> ainsi</w:t>
      </w:r>
      <w:r w:rsidRPr="004220C2">
        <w:rPr>
          <w:lang w:val="fr-FR" w:eastAsia="fr-FR"/>
        </w:rPr>
        <w:t xml:space="preserve"> la qualité des services et générant des économies d'échelle. Dans le secteur des télécommunications, les normes internationales sont particulièrement importantes car elles facilitent l'intégration des pays en développement à l'économie mondiale et assurent </w:t>
      </w:r>
      <w:r>
        <w:rPr>
          <w:lang w:val="fr-FR" w:eastAsia="fr-FR"/>
        </w:rPr>
        <w:t xml:space="preserve">des </w:t>
      </w:r>
      <w:r w:rsidRPr="004220C2">
        <w:rPr>
          <w:lang w:val="fr-FR" w:eastAsia="fr-FR"/>
        </w:rPr>
        <w:t>infrastructure</w:t>
      </w:r>
      <w:r>
        <w:rPr>
          <w:lang w:val="fr-FR" w:eastAsia="fr-FR"/>
        </w:rPr>
        <w:t>s</w:t>
      </w:r>
      <w:r w:rsidRPr="004220C2">
        <w:rPr>
          <w:lang w:val="fr-FR" w:eastAsia="fr-FR"/>
        </w:rPr>
        <w:t xml:space="preserve"> de communication fiable</w:t>
      </w:r>
      <w:r>
        <w:rPr>
          <w:lang w:val="fr-FR" w:eastAsia="fr-FR"/>
        </w:rPr>
        <w:t>s</w:t>
      </w:r>
      <w:r w:rsidRPr="004220C2">
        <w:rPr>
          <w:lang w:val="fr-FR" w:eastAsia="fr-FR"/>
        </w:rPr>
        <w:t>, essentielle</w:t>
      </w:r>
      <w:r>
        <w:rPr>
          <w:lang w:val="fr-FR" w:eastAsia="fr-FR"/>
        </w:rPr>
        <w:t>s</w:t>
      </w:r>
      <w:r w:rsidRPr="004220C2">
        <w:rPr>
          <w:lang w:val="fr-FR" w:eastAsia="fr-FR"/>
        </w:rPr>
        <w:t xml:space="preserve"> à la croissance économique, au développement social, et à la durabilité environnementale.</w:t>
      </w:r>
    </w:p>
    <w:p w14:paraId="2770B66E" w14:textId="77777777" w:rsidR="00A52D1A" w:rsidRPr="002C4DC4" w:rsidRDefault="00A52D1A" w:rsidP="00A52D1A">
      <w:pPr>
        <w:rPr>
          <w:lang w:val="fr-FR"/>
        </w:rPr>
      </w:pPr>
    </w:p>
    <w:p w14:paraId="2A1364BE" w14:textId="77777777" w:rsidR="00931298" w:rsidRPr="002C4DC4" w:rsidRDefault="009F4801" w:rsidP="00A01AA1">
      <w:pPr>
        <w:tabs>
          <w:tab w:val="clear" w:pos="1134"/>
          <w:tab w:val="clear" w:pos="1871"/>
          <w:tab w:val="clear" w:pos="2268"/>
        </w:tabs>
        <w:overflowPunct/>
        <w:autoSpaceDE/>
        <w:autoSpaceDN/>
        <w:adjustRightInd/>
        <w:spacing w:before="0"/>
        <w:textAlignment w:val="auto"/>
        <w:rPr>
          <w:lang w:val="fr-FR"/>
        </w:rPr>
      </w:pPr>
      <w:r w:rsidRPr="002C4DC4">
        <w:rPr>
          <w:lang w:val="fr-FR"/>
        </w:rPr>
        <w:br w:type="page"/>
      </w:r>
    </w:p>
    <w:p w14:paraId="450C8B24" w14:textId="77777777" w:rsidR="00AF3A86" w:rsidRPr="00FF376E" w:rsidRDefault="00FF376E">
      <w:pPr>
        <w:pStyle w:val="Proposal"/>
        <w:rPr>
          <w:lang w:val="fr-CH"/>
        </w:rPr>
      </w:pPr>
      <w:r w:rsidRPr="00FF376E">
        <w:rPr>
          <w:lang w:val="fr-CH"/>
        </w:rPr>
        <w:lastRenderedPageBreak/>
        <w:tab/>
        <w:t>GUI/52/1</w:t>
      </w:r>
    </w:p>
    <w:p w14:paraId="0D42ADD0" w14:textId="77777777" w:rsidR="00FF376E" w:rsidRPr="006B409E" w:rsidRDefault="00FF376E" w:rsidP="00AF0947">
      <w:pPr>
        <w:pStyle w:val="Volumetitle"/>
        <w:rPr>
          <w:lang w:val="fr-CH"/>
        </w:rPr>
      </w:pPr>
      <w:r>
        <w:rPr>
          <w:lang w:val="fr-CH"/>
        </w:rPr>
        <w:t>Questions générales</w:t>
      </w:r>
    </w:p>
    <w:p w14:paraId="7C755697" w14:textId="77777777" w:rsidR="00FF376E" w:rsidRDefault="00FF376E" w:rsidP="00FF376E">
      <w:pPr>
        <w:pStyle w:val="Headingb"/>
        <w:rPr>
          <w:lang w:val="fr-FR" w:eastAsia="fr-FR"/>
        </w:rPr>
      </w:pPr>
      <w:r w:rsidRPr="001824ED">
        <w:t>Discussion</w:t>
      </w:r>
    </w:p>
    <w:p w14:paraId="3C87E667" w14:textId="77777777" w:rsidR="00FF376E" w:rsidRDefault="00FF376E" w:rsidP="00FF376E">
      <w:pPr>
        <w:rPr>
          <w:lang w:val="fr-FR" w:eastAsia="fr-FR"/>
        </w:rPr>
      </w:pPr>
      <w:r w:rsidRPr="00AF37B2">
        <w:rPr>
          <w:lang w:val="fr-FR"/>
        </w:rPr>
        <w:t>Avantages économiques, sociaux et environnementaux des Normes internationales</w:t>
      </w:r>
      <w:r>
        <w:rPr>
          <w:lang w:val="fr-FR"/>
        </w:rPr>
        <w:t xml:space="preserve"> de télécommunication pour les pays en développement.</w:t>
      </w:r>
    </w:p>
    <w:p w14:paraId="449EC786" w14:textId="77777777" w:rsidR="00FF376E" w:rsidRPr="004220C2" w:rsidRDefault="00FF376E" w:rsidP="00FF376E">
      <w:pPr>
        <w:spacing w:before="100" w:beforeAutospacing="1" w:after="100" w:afterAutospacing="1"/>
        <w:rPr>
          <w:lang w:val="fr-FR" w:eastAsia="fr-FR"/>
        </w:rPr>
      </w:pPr>
      <w:r w:rsidRPr="004220C2">
        <w:rPr>
          <w:lang w:val="fr-FR" w:eastAsia="fr-FR"/>
        </w:rPr>
        <w:t>Les normes internationales des télécommunications apportent des avantages économiques, sociaux et environnementaux aux pays en développement. Elles permettent aux pays d'acquérir des infrastructures modernes à moindre coût, réduisant les barrières techniques et commerciales. L'application de ces normes favorise la compétitivité des entreprises locales en facilitant l'accès à des marchés mondiaux, ce qui crée des opportunités d'emploi dans le secteur des</w:t>
      </w:r>
      <w:r>
        <w:rPr>
          <w:lang w:val="fr-FR" w:eastAsia="fr-FR"/>
        </w:rPr>
        <w:t xml:space="preserve"> télécommunications/ tic</w:t>
      </w:r>
      <w:r w:rsidRPr="004220C2">
        <w:rPr>
          <w:lang w:val="fr-FR" w:eastAsia="fr-FR"/>
        </w:rPr>
        <w:t xml:space="preserve"> et contribue à la réduction de la pauvreté.</w:t>
      </w:r>
    </w:p>
    <w:p w14:paraId="1A592BCF" w14:textId="77777777" w:rsidR="00FF376E" w:rsidRPr="004220C2" w:rsidRDefault="00FF376E" w:rsidP="00FF376E">
      <w:pPr>
        <w:spacing w:before="100" w:beforeAutospacing="1" w:after="100" w:afterAutospacing="1"/>
        <w:rPr>
          <w:lang w:val="fr-FR" w:eastAsia="fr-FR"/>
        </w:rPr>
      </w:pPr>
      <w:r w:rsidRPr="004220C2">
        <w:rPr>
          <w:lang w:val="fr-FR" w:eastAsia="fr-FR"/>
        </w:rPr>
        <w:t>Sur le plan social, l'adoption des normes internationales permet une meilleure inclusion numérique, en facilitant l'accès à des services publics en ligne, comme l'éducation</w:t>
      </w:r>
      <w:r>
        <w:rPr>
          <w:lang w:val="fr-FR" w:eastAsia="fr-FR"/>
        </w:rPr>
        <w:t xml:space="preserve"> et </w:t>
      </w:r>
      <w:r w:rsidRPr="004220C2">
        <w:rPr>
          <w:lang w:val="fr-FR" w:eastAsia="fr-FR"/>
        </w:rPr>
        <w:t>la santé, notamment dans les zones rurales. Ces normes renforcent également la sécurité et la fiabilité des réseaux, essentiel</w:t>
      </w:r>
      <w:r>
        <w:rPr>
          <w:lang w:val="fr-FR" w:eastAsia="fr-FR"/>
        </w:rPr>
        <w:t>s</w:t>
      </w:r>
      <w:r w:rsidRPr="004220C2">
        <w:rPr>
          <w:lang w:val="fr-FR" w:eastAsia="fr-FR"/>
        </w:rPr>
        <w:t xml:space="preserve"> en cas de catastrophes naturelles.</w:t>
      </w:r>
      <w:r>
        <w:rPr>
          <w:lang w:val="fr-FR" w:eastAsia="fr-FR"/>
        </w:rPr>
        <w:t xml:space="preserve"> L</w:t>
      </w:r>
      <w:r w:rsidRPr="004220C2">
        <w:rPr>
          <w:lang w:val="fr-FR" w:eastAsia="fr-FR"/>
        </w:rPr>
        <w:t>’impact environnemental des télécommunications est amélioré grâce à des infrastructures respectueuses de l'environnement, encouragées par ces normes, qui permettent une gestion plus efficace des déchets électroniques et réduisent la consommation énergétique.</w:t>
      </w:r>
    </w:p>
    <w:p w14:paraId="69F26CA7" w14:textId="77777777" w:rsidR="00FF376E" w:rsidRPr="004220C2" w:rsidRDefault="00FF376E" w:rsidP="00FF376E">
      <w:pPr>
        <w:spacing w:before="100" w:beforeAutospacing="1" w:after="100" w:afterAutospacing="1"/>
        <w:rPr>
          <w:lang w:val="fr-FR" w:eastAsia="fr-FR"/>
        </w:rPr>
      </w:pPr>
      <w:r w:rsidRPr="004220C2">
        <w:rPr>
          <w:lang w:val="fr-FR" w:eastAsia="fr-FR"/>
        </w:rPr>
        <w:t>Pour combler le retard en matière de normalisation dans les pays en développement, il est important d'intégrer l'enseignement de la normalisation dans les programmes académiques. Cela aidera à former des compétences locales capables de relever les défis associés à la normalisation. Les décideurs politiques et les gouvernements doivent soutenir les initiatives de l'UIT en matière de normalisation pour réduire les disparités existantes.</w:t>
      </w:r>
    </w:p>
    <w:p w14:paraId="143F3550" w14:textId="77777777" w:rsidR="00FF376E" w:rsidRDefault="00FF376E" w:rsidP="00FF376E">
      <w:pPr>
        <w:pStyle w:val="Headingb"/>
        <w:rPr>
          <w:lang w:val="fr-FR" w:eastAsia="fr-FR"/>
        </w:rPr>
      </w:pPr>
      <w:r w:rsidRPr="001824ED">
        <w:t>Conclusion</w:t>
      </w:r>
    </w:p>
    <w:p w14:paraId="57ECEE17" w14:textId="77777777" w:rsidR="00FF376E" w:rsidRDefault="00FF376E" w:rsidP="00FF376E">
      <w:pPr>
        <w:rPr>
          <w:lang w:val="fr-FR" w:eastAsia="fr-FR"/>
        </w:rPr>
      </w:pPr>
      <w:r w:rsidRPr="004220C2">
        <w:rPr>
          <w:lang w:val="fr-FR" w:eastAsia="fr-FR"/>
        </w:rPr>
        <w:t>La réduction de l'écart entre pays développés et pays en développement en matière de normalisation est essentielle pour un développement durable.</w:t>
      </w:r>
    </w:p>
    <w:p w14:paraId="3776D2C1" w14:textId="77777777" w:rsidR="00FF376E" w:rsidRPr="004220C2" w:rsidRDefault="00FF376E" w:rsidP="00FF376E">
      <w:pPr>
        <w:rPr>
          <w:lang w:val="fr-FR" w:eastAsia="fr-FR"/>
        </w:rPr>
      </w:pPr>
      <w:r w:rsidRPr="004220C2">
        <w:rPr>
          <w:lang w:val="fr-FR" w:eastAsia="fr-FR"/>
        </w:rPr>
        <w:t>L'adoption des normes internationales favorise l'innovation, l'intégration économique mondiale, et la compétitivité locale tout en contribuant à l'inclusion sociale et à la protection de l'environnement. La coopération internationale est nécessaire pour maximiser les bénéfices de ces normes, avec la participation active des gouvernements et des industries.</w:t>
      </w:r>
    </w:p>
    <w:p w14:paraId="64800D41" w14:textId="77777777" w:rsidR="00FF376E" w:rsidRDefault="00FF376E" w:rsidP="00FF376E">
      <w:pPr>
        <w:pStyle w:val="Headingb"/>
        <w:rPr>
          <w:b w:val="0"/>
          <w:bCs/>
          <w:lang w:val="fr-FR" w:eastAsia="fr-FR"/>
        </w:rPr>
      </w:pPr>
      <w:r w:rsidRPr="001824ED">
        <w:t>Recommandations</w:t>
      </w:r>
    </w:p>
    <w:p w14:paraId="1F8959F8" w14:textId="77777777" w:rsidR="00FF376E" w:rsidRPr="00241C55" w:rsidRDefault="00FF376E" w:rsidP="00FF376E">
      <w:pPr>
        <w:rPr>
          <w:b/>
          <w:bCs/>
          <w:lang w:val="fr-FR" w:eastAsia="fr-FR"/>
        </w:rPr>
      </w:pPr>
      <w:r w:rsidRPr="00E5075E">
        <w:rPr>
          <w:bCs/>
          <w:sz w:val="28"/>
          <w:szCs w:val="28"/>
          <w:lang w:val="fr-FR"/>
        </w:rPr>
        <w:t>Nous</w:t>
      </w:r>
      <w:r w:rsidRPr="00AF37B2">
        <w:rPr>
          <w:lang w:val="fr-FR"/>
        </w:rPr>
        <w:t xml:space="preserve"> souhaiterions au cours de cette assemblée, que toutes les thématiques liées aux enjeux économiques, sociaux et environnementaux de la normalisation soient abordées en vue</w:t>
      </w:r>
      <w:r>
        <w:rPr>
          <w:lang w:val="fr-FR"/>
        </w:rPr>
        <w:t xml:space="preserve"> de</w:t>
      </w:r>
      <w:r w:rsidRPr="00AF37B2">
        <w:rPr>
          <w:lang w:val="fr-FR"/>
        </w:rPr>
        <w:t xml:space="preserve"> :</w:t>
      </w:r>
    </w:p>
    <w:p w14:paraId="734D5363" w14:textId="77777777" w:rsidR="00FF376E" w:rsidRPr="004220C2" w:rsidRDefault="00FF376E" w:rsidP="00FF376E">
      <w:pPr>
        <w:rPr>
          <w:lang w:val="fr-FR" w:eastAsia="fr-FR"/>
        </w:rPr>
      </w:pPr>
      <w:r>
        <w:rPr>
          <w:lang w:val="fr-FR" w:eastAsia="fr-FR"/>
        </w:rPr>
        <w:t>1</w:t>
      </w:r>
      <w:r>
        <w:rPr>
          <w:lang w:val="fr-FR" w:eastAsia="fr-FR"/>
        </w:rPr>
        <w:tab/>
      </w:r>
      <w:r w:rsidRPr="004220C2">
        <w:rPr>
          <w:lang w:val="fr-FR" w:eastAsia="fr-FR"/>
        </w:rPr>
        <w:t>Sensibiliser les acteurs publics et privés à l'importance de la normalisation et à la nécessité de développer des capacités dans ce domaine.</w:t>
      </w:r>
    </w:p>
    <w:p w14:paraId="7884E410" w14:textId="77777777" w:rsidR="00FF376E" w:rsidRPr="004220C2" w:rsidRDefault="00FF376E" w:rsidP="00FF376E">
      <w:pPr>
        <w:rPr>
          <w:lang w:val="fr-FR" w:eastAsia="fr-FR"/>
        </w:rPr>
      </w:pPr>
      <w:r>
        <w:rPr>
          <w:lang w:val="fr-FR" w:eastAsia="fr-FR"/>
        </w:rPr>
        <w:t>2</w:t>
      </w:r>
      <w:r>
        <w:rPr>
          <w:lang w:val="fr-FR" w:eastAsia="fr-FR"/>
        </w:rPr>
        <w:tab/>
      </w:r>
      <w:r w:rsidRPr="004220C2">
        <w:rPr>
          <w:lang w:val="fr-FR" w:eastAsia="fr-FR"/>
        </w:rPr>
        <w:t>Encourager l'intégration des cours de normalisation dans les programmes universitaires pour accélérer l</w:t>
      </w:r>
      <w:r>
        <w:rPr>
          <w:lang w:val="fr-FR" w:eastAsia="fr-FR"/>
        </w:rPr>
        <w:t xml:space="preserve">e développement </w:t>
      </w:r>
      <w:r w:rsidRPr="004220C2">
        <w:rPr>
          <w:lang w:val="fr-FR" w:eastAsia="fr-FR"/>
        </w:rPr>
        <w:t>des compétences.</w:t>
      </w:r>
    </w:p>
    <w:p w14:paraId="1D2E379F" w14:textId="77777777" w:rsidR="00FF376E" w:rsidRPr="004220C2" w:rsidRDefault="00FF376E" w:rsidP="00FF376E">
      <w:pPr>
        <w:rPr>
          <w:lang w:val="fr-FR" w:eastAsia="fr-FR"/>
        </w:rPr>
      </w:pPr>
      <w:r>
        <w:rPr>
          <w:lang w:val="fr-FR" w:eastAsia="fr-FR"/>
        </w:rPr>
        <w:t>3</w:t>
      </w:r>
      <w:r>
        <w:rPr>
          <w:lang w:val="fr-FR" w:eastAsia="fr-FR"/>
        </w:rPr>
        <w:tab/>
      </w:r>
      <w:r w:rsidRPr="004220C2">
        <w:rPr>
          <w:lang w:val="fr-FR" w:eastAsia="fr-FR"/>
        </w:rPr>
        <w:t>Inciter les décideurs politiques des pays en développement à soutenir les initiatives de l'UIT pour harmoniser leurs cadres normatifs.</w:t>
      </w:r>
    </w:p>
    <w:p w14:paraId="11188157" w14:textId="77777777" w:rsidR="00FF376E" w:rsidRPr="004220C2" w:rsidRDefault="00FF376E" w:rsidP="00FF376E">
      <w:pPr>
        <w:rPr>
          <w:lang w:val="fr-FR" w:eastAsia="fr-FR"/>
        </w:rPr>
      </w:pPr>
      <w:r>
        <w:rPr>
          <w:lang w:val="fr-FR" w:eastAsia="fr-FR"/>
        </w:rPr>
        <w:t>4</w:t>
      </w:r>
      <w:r>
        <w:rPr>
          <w:lang w:val="fr-FR" w:eastAsia="fr-FR"/>
        </w:rPr>
        <w:tab/>
      </w:r>
      <w:r w:rsidRPr="004220C2">
        <w:rPr>
          <w:lang w:val="fr-FR" w:eastAsia="fr-FR"/>
        </w:rPr>
        <w:t>Aider les pays en développement à mettre en place des organes nationaux de normalisation.</w:t>
      </w:r>
    </w:p>
    <w:p w14:paraId="7426B162" w14:textId="77777777" w:rsidR="00FF376E" w:rsidRPr="004220C2" w:rsidRDefault="00FF376E" w:rsidP="00FF376E">
      <w:pPr>
        <w:rPr>
          <w:lang w:val="fr-FR" w:eastAsia="fr-FR"/>
        </w:rPr>
      </w:pPr>
      <w:r>
        <w:rPr>
          <w:lang w:val="fr-FR" w:eastAsia="fr-FR"/>
        </w:rPr>
        <w:lastRenderedPageBreak/>
        <w:t>5</w:t>
      </w:r>
      <w:r>
        <w:rPr>
          <w:lang w:val="fr-FR" w:eastAsia="fr-FR"/>
        </w:rPr>
        <w:tab/>
      </w:r>
      <w:r w:rsidRPr="004220C2">
        <w:rPr>
          <w:lang w:val="fr-FR" w:eastAsia="fr-FR"/>
        </w:rPr>
        <w:t>Organiser des forums régionaux et internationaux pour faciliter l'intégration des pays en développement dans les processus normatifs mondiaux.</w:t>
      </w:r>
    </w:p>
    <w:p w14:paraId="0B6FE115" w14:textId="77777777" w:rsidR="00FF376E" w:rsidRPr="004220C2" w:rsidRDefault="00FF376E" w:rsidP="00FF376E">
      <w:pPr>
        <w:rPr>
          <w:lang w:val="fr-FR" w:eastAsia="fr-FR"/>
        </w:rPr>
      </w:pPr>
      <w:r>
        <w:rPr>
          <w:lang w:val="fr-FR" w:eastAsia="fr-FR"/>
        </w:rPr>
        <w:t>6</w:t>
      </w:r>
      <w:r>
        <w:rPr>
          <w:lang w:val="fr-FR" w:eastAsia="fr-FR"/>
        </w:rPr>
        <w:tab/>
      </w:r>
      <w:r w:rsidRPr="004220C2">
        <w:rPr>
          <w:lang w:val="fr-FR" w:eastAsia="fr-FR"/>
        </w:rPr>
        <w:t>Renforcer les campagnes de sensibilisation sur l'importance des normes pour la protection de l'environnement.</w:t>
      </w:r>
    </w:p>
    <w:p w14:paraId="5E1AAC6F" w14:textId="77777777" w:rsidR="00FF376E" w:rsidRPr="004220C2" w:rsidRDefault="00FF376E" w:rsidP="00FF376E">
      <w:pPr>
        <w:rPr>
          <w:lang w:val="fr-FR" w:eastAsia="fr-FR"/>
        </w:rPr>
      </w:pPr>
      <w:r>
        <w:rPr>
          <w:lang w:val="fr-FR" w:eastAsia="fr-FR"/>
        </w:rPr>
        <w:t>7</w:t>
      </w:r>
      <w:r>
        <w:rPr>
          <w:lang w:val="fr-FR" w:eastAsia="fr-FR"/>
        </w:rPr>
        <w:tab/>
      </w:r>
      <w:r w:rsidRPr="004220C2">
        <w:rPr>
          <w:lang w:val="fr-FR" w:eastAsia="fr-FR"/>
        </w:rPr>
        <w:t>Investir dans des infrastructures de télécommunications durables respectant les normes internationales.</w:t>
      </w:r>
    </w:p>
    <w:p w14:paraId="4055F4F1" w14:textId="77777777" w:rsidR="00FF376E" w:rsidRPr="004220C2" w:rsidRDefault="00FF376E" w:rsidP="00FF376E">
      <w:pPr>
        <w:rPr>
          <w:lang w:val="fr-FR" w:eastAsia="fr-FR"/>
        </w:rPr>
      </w:pPr>
      <w:r>
        <w:rPr>
          <w:lang w:val="fr-FR" w:eastAsia="fr-FR"/>
        </w:rPr>
        <w:t>8</w:t>
      </w:r>
      <w:r>
        <w:rPr>
          <w:lang w:val="fr-FR" w:eastAsia="fr-FR"/>
        </w:rPr>
        <w:tab/>
      </w:r>
      <w:r w:rsidRPr="004220C2">
        <w:rPr>
          <w:lang w:val="fr-FR" w:eastAsia="fr-FR"/>
        </w:rPr>
        <w:t xml:space="preserve">Promouvoir l'inclusion numérique en adoptant des politiques qui facilitent l'accès équitable aux services de télécommunications pour les populations marginalisées </w:t>
      </w:r>
      <w:r>
        <w:rPr>
          <w:lang w:val="fr-FR" w:eastAsia="fr-FR"/>
        </w:rPr>
        <w:t>et celles d</w:t>
      </w:r>
      <w:r w:rsidRPr="004220C2">
        <w:rPr>
          <w:lang w:val="fr-FR" w:eastAsia="fr-FR"/>
        </w:rPr>
        <w:t>es zones rurales.</w:t>
      </w:r>
    </w:p>
    <w:p w14:paraId="5212ADD9" w14:textId="77777777" w:rsidR="00AF3A86" w:rsidRPr="00FF376E" w:rsidRDefault="00AF3A86">
      <w:pPr>
        <w:pStyle w:val="Reasons"/>
        <w:rPr>
          <w:lang w:val="fr-FR"/>
        </w:rPr>
      </w:pPr>
    </w:p>
    <w:sectPr w:rsidR="00AF3A86" w:rsidRPr="00FF376E">
      <w:headerReference w:type="default" r:id="rId15"/>
      <w:footerReference w:type="even"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B17CE" w14:textId="77777777" w:rsidR="00C362A7" w:rsidRDefault="00C362A7">
      <w:r>
        <w:separator/>
      </w:r>
    </w:p>
  </w:endnote>
  <w:endnote w:type="continuationSeparator" w:id="0">
    <w:p w14:paraId="02132C40" w14:textId="77777777" w:rsidR="00C362A7" w:rsidRDefault="00C362A7">
      <w:r>
        <w:continuationSeparator/>
      </w:r>
    </w:p>
  </w:endnote>
  <w:endnote w:type="continuationNotice" w:id="1">
    <w:p w14:paraId="5B547B7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3BD8" w14:textId="77777777" w:rsidR="009D4900" w:rsidRDefault="009D4900">
    <w:pPr>
      <w:framePr w:wrap="around" w:vAnchor="text" w:hAnchor="margin" w:xAlign="right" w:y="1"/>
    </w:pPr>
    <w:r>
      <w:fldChar w:fldCharType="begin"/>
    </w:r>
    <w:r>
      <w:instrText xml:space="preserve">PAGE  </w:instrText>
    </w:r>
    <w:r>
      <w:fldChar w:fldCharType="end"/>
    </w:r>
  </w:p>
  <w:p w14:paraId="31B6B505" w14:textId="11E9C44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C7E58">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6E894" w14:textId="77777777" w:rsidR="00C362A7" w:rsidRDefault="00C362A7">
      <w:r>
        <w:rPr>
          <w:b/>
        </w:rPr>
        <w:t>_______________</w:t>
      </w:r>
    </w:p>
  </w:footnote>
  <w:footnote w:type="continuationSeparator" w:id="0">
    <w:p w14:paraId="02525847"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195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-24/52-F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8854549">
    <w:abstractNumId w:val="8"/>
  </w:num>
  <w:num w:numId="2" w16cid:durableId="3294526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7114389">
    <w:abstractNumId w:val="9"/>
  </w:num>
  <w:num w:numId="4" w16cid:durableId="801002223">
    <w:abstractNumId w:val="7"/>
  </w:num>
  <w:num w:numId="5" w16cid:durableId="1403674340">
    <w:abstractNumId w:val="6"/>
  </w:num>
  <w:num w:numId="6" w16cid:durableId="1468936921">
    <w:abstractNumId w:val="5"/>
  </w:num>
  <w:num w:numId="7" w16cid:durableId="2117362154">
    <w:abstractNumId w:val="4"/>
  </w:num>
  <w:num w:numId="8" w16cid:durableId="512380121">
    <w:abstractNumId w:val="3"/>
  </w:num>
  <w:num w:numId="9" w16cid:durableId="292440901">
    <w:abstractNumId w:val="2"/>
  </w:num>
  <w:num w:numId="10" w16cid:durableId="1331057910">
    <w:abstractNumId w:val="1"/>
  </w:num>
  <w:num w:numId="11" w16cid:durableId="1464083541">
    <w:abstractNumId w:val="0"/>
  </w:num>
  <w:num w:numId="12" w16cid:durableId="1339308315">
    <w:abstractNumId w:val="12"/>
  </w:num>
  <w:num w:numId="13" w16cid:durableId="1697579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C7E58"/>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987"/>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A86"/>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4E93"/>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376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190F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thiernosarifou@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DC68EC7B954F4A9937B12B7A3F360B"/>
        <w:category>
          <w:name w:val="General"/>
          <w:gallery w:val="placeholder"/>
        </w:category>
        <w:types>
          <w:type w:val="bbPlcHdr"/>
        </w:types>
        <w:behaviors>
          <w:behavior w:val="content"/>
        </w:behaviors>
        <w:guid w:val="{FE174981-0B95-4512-8EFB-762D68648C10}"/>
      </w:docPartPr>
      <w:docPartBody>
        <w:p w:rsidR="00211BCA" w:rsidRDefault="00211BCA" w:rsidP="00211BCA">
          <w:pPr>
            <w:pStyle w:val="F4DC68EC7B954F4A9937B12B7A3F360B"/>
          </w:pPr>
          <w:r w:rsidRPr="00543D41">
            <w:rPr>
              <w:rStyle w:val="PlaceholderText"/>
            </w:rPr>
            <w:t>Insert abstract under 200 words. See Rec.A.2, clause I.1.12 for guidance.</w:t>
          </w:r>
        </w:p>
      </w:docPartBody>
    </w:docPart>
    <w:docPart>
      <w:docPartPr>
        <w:name w:val="C2301536EA0C43D89A11C3736DD370C9"/>
        <w:category>
          <w:name w:val="General"/>
          <w:gallery w:val="placeholder"/>
        </w:category>
        <w:types>
          <w:type w:val="bbPlcHdr"/>
        </w:types>
        <w:behaviors>
          <w:behavior w:val="content"/>
        </w:behaviors>
        <w:guid w:val="{06787B43-6A7E-451F-B776-7268FA764FBA}"/>
      </w:docPartPr>
      <w:docPartBody>
        <w:p w:rsidR="00211BCA" w:rsidRDefault="00211BCA" w:rsidP="00211BCA">
          <w:pPr>
            <w:pStyle w:val="C2301536EA0C43D89A11C3736DD370C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CA"/>
    <w:rsid w:val="00211BCA"/>
    <w:rsid w:val="00A549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BCA"/>
    <w:rPr>
      <w:rFonts w:ascii="Times New Roman" w:hAnsi="Times New Roman"/>
      <w:color w:val="808080"/>
    </w:rPr>
  </w:style>
  <w:style w:type="paragraph" w:customStyle="1" w:styleId="F4DC68EC7B954F4A9937B12B7A3F360B">
    <w:name w:val="F4DC68EC7B954F4A9937B12B7A3F360B"/>
    <w:rsid w:val="00211BCA"/>
  </w:style>
  <w:style w:type="paragraph" w:customStyle="1" w:styleId="C2301536EA0C43D89A11C3736DD370C9">
    <w:name w:val="C2301536EA0C43D89A11C3736DD370C9"/>
    <w:rsid w:val="00211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658f68-d2f4-4a5c-ad90-76bca13db6c9">DPM</DPM_x0020_Author>
    <DPM_x0020_File_x0020_name xmlns="b9658f68-d2f4-4a5c-ad90-76bca13db6c9">T22-WTSA.24-C-0052!!MSW-F</DPM_x0020_File_x0020_name>
    <DPM_x0020_Version xmlns="b9658f68-d2f4-4a5c-ad90-76bca13db6c9">DPM_2024.10.03.01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658f68-d2f4-4a5c-ad90-76bca13db6c9" targetNamespace="http://schemas.microsoft.com/office/2006/metadata/properties" ma:root="true" ma:fieldsID="d41af5c836d734370eb92e7ee5f83852" ns2:_="" ns3:_="">
    <xsd:import namespace="996b2e75-67fd-4955-a3b0-5ab9934cb50b"/>
    <xsd:import namespace="b9658f68-d2f4-4a5c-ad90-76bca13db6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658f68-d2f4-4a5c-ad90-76bca13db6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58f68-d2f4-4a5c-ad90-76bca13d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658f68-d2f4-4a5c-ad90-76bca13d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4749</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T22-WTSA.24-C-1000!!MSW-F</vt:lpstr>
    </vt:vector>
  </TitlesOfParts>
  <Manager>General Secretariat - Pool</Manager>
  <Company>International Telecommunication Union (ITU)</Company>
  <LinksUpToDate>false</LinksUpToDate>
  <CharactersWithSpaces>5429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T22-WTSA.24-C-0052!!MSW-F</dc:title>
  <dc:subject>World Telecommunication Standardization Assembly</dc:subject>
  <dc:creator>Documents Proposals Manager (DPM)</dc:creator>
  <cp:keywords>DPM_v2024.10.3.1_prod</cp:keywords>
  <dc:description>Template used by DPM and CPI for the WTSA-24</dc:description>
  <cp:lastModifiedBy>TSB - JB</cp:lastModifiedBy>
  <cp:revision>3</cp:revision>
  <cp:lastPrinted>2016-06-06T07:49:00Z</cp:lastPrinted>
  <dcterms:created xsi:type="dcterms:W3CDTF">2024-10-08T06:37:00Z</dcterms:created>
  <dcterms:modified xsi:type="dcterms:W3CDTF">2024-10-08T06:48:00Z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