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6C20180C" w14:textId="77777777" w:rsidTr="000122F6">
        <w:trPr>
          <w:cantSplit/>
          <w:trHeight w:val="20"/>
        </w:trPr>
        <w:tc>
          <w:tcPr>
            <w:tcW w:w="1318" w:type="dxa"/>
          </w:tcPr>
          <w:p w14:paraId="0B445EF3" w14:textId="77777777" w:rsidR="00314F41" w:rsidRPr="00B344B6" w:rsidRDefault="00863FEE" w:rsidP="009D0810">
            <w:pPr>
              <w:rPr>
                <w:sz w:val="24"/>
                <w:szCs w:val="24"/>
                <w:rtl/>
              </w:rPr>
            </w:pPr>
            <w:r w:rsidRPr="00B344B6">
              <w:rPr>
                <w:noProof/>
              </w:rPr>
              <w:drawing>
                <wp:inline distT="0" distB="0" distL="0" distR="0" wp14:anchorId="6699A3EF" wp14:editId="2F32FDF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58FB561C"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3D23551A"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0F8493A0" w14:textId="77777777" w:rsidR="00314F41" w:rsidRPr="00B344B6" w:rsidRDefault="00314F41" w:rsidP="009D0810">
            <w:pPr>
              <w:rPr>
                <w:rtl/>
                <w:lang w:bidi="ar-EG"/>
              </w:rPr>
            </w:pPr>
            <w:r w:rsidRPr="00B344B6">
              <w:rPr>
                <w:noProof/>
                <w:lang w:eastAsia="zh-CN"/>
              </w:rPr>
              <w:drawing>
                <wp:inline distT="0" distB="0" distL="0" distR="0" wp14:anchorId="5246978B" wp14:editId="7930980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4D8A5BEF" w14:textId="77777777" w:rsidTr="000122F6">
        <w:trPr>
          <w:cantSplit/>
          <w:trHeight w:val="20"/>
        </w:trPr>
        <w:tc>
          <w:tcPr>
            <w:tcW w:w="6496" w:type="dxa"/>
            <w:gridSpan w:val="2"/>
            <w:tcBorders>
              <w:bottom w:val="single" w:sz="12" w:space="0" w:color="auto"/>
            </w:tcBorders>
          </w:tcPr>
          <w:p w14:paraId="264763AC"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1BC772C3" w14:textId="77777777" w:rsidR="00280E04" w:rsidRPr="00B344B6" w:rsidRDefault="00280E04" w:rsidP="003309DA">
            <w:pPr>
              <w:spacing w:before="0" w:line="120" w:lineRule="auto"/>
              <w:rPr>
                <w:lang w:bidi="ar-EG"/>
              </w:rPr>
            </w:pPr>
          </w:p>
        </w:tc>
      </w:tr>
      <w:tr w:rsidR="00280E04" w:rsidRPr="00B344B6" w14:paraId="556EB263" w14:textId="77777777" w:rsidTr="000122F6">
        <w:trPr>
          <w:cantSplit/>
          <w:trHeight w:val="240"/>
        </w:trPr>
        <w:tc>
          <w:tcPr>
            <w:tcW w:w="6496" w:type="dxa"/>
            <w:gridSpan w:val="2"/>
            <w:tcBorders>
              <w:top w:val="single" w:sz="12" w:space="0" w:color="auto"/>
            </w:tcBorders>
          </w:tcPr>
          <w:p w14:paraId="4FF5C966"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233C2546" w14:textId="77777777" w:rsidR="00280E04" w:rsidRPr="000B0891" w:rsidRDefault="00280E04" w:rsidP="000B0891">
            <w:pPr>
              <w:spacing w:before="0" w:line="240" w:lineRule="exact"/>
              <w:rPr>
                <w:rFonts w:eastAsia="SimSun"/>
                <w:b/>
                <w:bCs/>
              </w:rPr>
            </w:pPr>
          </w:p>
        </w:tc>
      </w:tr>
      <w:tr w:rsidR="000122F6" w:rsidRPr="00B344B6" w14:paraId="17A091BE" w14:textId="77777777" w:rsidTr="000122F6">
        <w:trPr>
          <w:cantSplit/>
        </w:trPr>
        <w:tc>
          <w:tcPr>
            <w:tcW w:w="6496" w:type="dxa"/>
            <w:gridSpan w:val="2"/>
          </w:tcPr>
          <w:p w14:paraId="12BE7681" w14:textId="77777777" w:rsidR="000122F6" w:rsidRPr="00D21D8E" w:rsidRDefault="000122F6" w:rsidP="000122F6">
            <w:pPr>
              <w:pStyle w:val="Committee"/>
              <w:framePr w:hSpace="0" w:wrap="auto" w:hAnchor="text" w:yAlign="inline"/>
              <w:bidi/>
              <w:rPr>
                <w:rtl/>
              </w:rPr>
            </w:pPr>
            <w:r w:rsidRPr="00D21D8E">
              <w:rPr>
                <w:rtl/>
              </w:rPr>
              <w:t>الجلسة العامة</w:t>
            </w:r>
          </w:p>
        </w:tc>
        <w:tc>
          <w:tcPr>
            <w:tcW w:w="3143" w:type="dxa"/>
            <w:gridSpan w:val="2"/>
          </w:tcPr>
          <w:p w14:paraId="2FD4F3FA" w14:textId="648EF87A" w:rsidR="000122F6" w:rsidRPr="00EC0AD3" w:rsidRDefault="000122F6" w:rsidP="000122F6">
            <w:pPr>
              <w:pStyle w:val="Docnumber"/>
              <w:bidi/>
            </w:pPr>
            <w:r w:rsidRPr="0084619D">
              <w:rPr>
                <w:rFonts w:hint="cs"/>
                <w:rtl/>
                <w:lang w:bidi="ar-EG"/>
              </w:rPr>
              <w:t xml:space="preserve">الوثيقة </w:t>
            </w:r>
            <w:r w:rsidRPr="0084619D">
              <w:rPr>
                <w:rFonts w:eastAsia="SimSun"/>
              </w:rPr>
              <w:t>52-A</w:t>
            </w:r>
          </w:p>
        </w:tc>
      </w:tr>
      <w:tr w:rsidR="000122F6" w:rsidRPr="00B344B6" w14:paraId="2A8A79E2" w14:textId="77777777" w:rsidTr="000122F6">
        <w:trPr>
          <w:cantSplit/>
        </w:trPr>
        <w:tc>
          <w:tcPr>
            <w:tcW w:w="6496" w:type="dxa"/>
            <w:gridSpan w:val="2"/>
          </w:tcPr>
          <w:p w14:paraId="0603EA49" w14:textId="77777777" w:rsidR="000122F6" w:rsidRPr="009D0810" w:rsidRDefault="000122F6" w:rsidP="000122F6">
            <w:pPr>
              <w:spacing w:before="0" w:line="240" w:lineRule="auto"/>
              <w:rPr>
                <w:b/>
                <w:bCs/>
                <w:rtl/>
              </w:rPr>
            </w:pPr>
          </w:p>
        </w:tc>
        <w:tc>
          <w:tcPr>
            <w:tcW w:w="3143" w:type="dxa"/>
            <w:gridSpan w:val="2"/>
          </w:tcPr>
          <w:p w14:paraId="5F3FB834" w14:textId="1FDAD0A5" w:rsidR="000122F6" w:rsidRPr="009D0810" w:rsidRDefault="000122F6" w:rsidP="000122F6">
            <w:pPr>
              <w:pStyle w:val="TopHeader"/>
              <w:bidi/>
              <w:spacing w:before="0"/>
              <w:rPr>
                <w:rFonts w:ascii="Dubai" w:hAnsi="Dubai" w:cs="Dubai"/>
                <w:sz w:val="22"/>
                <w:szCs w:val="22"/>
                <w:rtl/>
              </w:rPr>
            </w:pPr>
            <w:r w:rsidRPr="0084619D">
              <w:rPr>
                <w:rFonts w:ascii="Dubai" w:eastAsia="SimSun" w:hAnsi="Dubai" w:cs="Dubai"/>
                <w:sz w:val="22"/>
                <w:szCs w:val="22"/>
              </w:rPr>
              <w:t>23</w:t>
            </w:r>
            <w:r w:rsidRPr="0084619D">
              <w:rPr>
                <w:rFonts w:ascii="Dubai" w:eastAsia="SimSun" w:hAnsi="Dubai" w:cs="Dubai"/>
                <w:sz w:val="22"/>
                <w:szCs w:val="22"/>
                <w:rtl/>
              </w:rPr>
              <w:t xml:space="preserve"> سبتمبر </w:t>
            </w:r>
            <w:r w:rsidRPr="0084619D">
              <w:rPr>
                <w:rFonts w:ascii="Dubai" w:eastAsia="SimSun" w:hAnsi="Dubai" w:cs="Dubai"/>
                <w:sz w:val="22"/>
                <w:szCs w:val="22"/>
              </w:rPr>
              <w:t>2024</w:t>
            </w:r>
          </w:p>
        </w:tc>
      </w:tr>
      <w:tr w:rsidR="000122F6" w:rsidRPr="00B344B6" w14:paraId="7120DB8B" w14:textId="77777777" w:rsidTr="000122F6">
        <w:trPr>
          <w:cantSplit/>
        </w:trPr>
        <w:tc>
          <w:tcPr>
            <w:tcW w:w="6496" w:type="dxa"/>
            <w:gridSpan w:val="2"/>
          </w:tcPr>
          <w:p w14:paraId="1D72A886" w14:textId="77777777" w:rsidR="000122F6" w:rsidRPr="009D0810" w:rsidRDefault="000122F6" w:rsidP="000122F6">
            <w:pPr>
              <w:spacing w:before="0" w:line="240" w:lineRule="auto"/>
              <w:rPr>
                <w:b/>
                <w:bCs/>
                <w:rtl/>
              </w:rPr>
            </w:pPr>
          </w:p>
        </w:tc>
        <w:tc>
          <w:tcPr>
            <w:tcW w:w="3143" w:type="dxa"/>
            <w:gridSpan w:val="2"/>
          </w:tcPr>
          <w:p w14:paraId="52B7D2DA" w14:textId="44EA5BEA" w:rsidR="000122F6" w:rsidRPr="009D0810" w:rsidRDefault="000122F6" w:rsidP="000122F6">
            <w:pPr>
              <w:pStyle w:val="TopHeader"/>
              <w:bidi/>
              <w:spacing w:before="0"/>
              <w:rPr>
                <w:rFonts w:ascii="Dubai" w:eastAsia="SimSun" w:hAnsi="Dubai" w:cs="Dubai"/>
                <w:sz w:val="22"/>
                <w:szCs w:val="22"/>
              </w:rPr>
            </w:pPr>
            <w:r w:rsidRPr="0084619D">
              <w:rPr>
                <w:rFonts w:ascii="Dubai" w:hAnsi="Dubai" w:cs="Dubai"/>
                <w:sz w:val="22"/>
                <w:szCs w:val="22"/>
                <w:rtl/>
              </w:rPr>
              <w:t xml:space="preserve">الأصل: </w:t>
            </w:r>
            <w:r>
              <w:rPr>
                <w:rFonts w:ascii="Dubai" w:hAnsi="Dubai" w:cs="Dubai" w:hint="cs"/>
                <w:sz w:val="22"/>
                <w:szCs w:val="22"/>
                <w:rtl/>
              </w:rPr>
              <w:t>بالفرنسية</w:t>
            </w:r>
          </w:p>
        </w:tc>
      </w:tr>
      <w:tr w:rsidR="006175E7" w:rsidRPr="00B344B6" w14:paraId="7616D3C1" w14:textId="77777777" w:rsidTr="000122F6">
        <w:trPr>
          <w:cantSplit/>
        </w:trPr>
        <w:tc>
          <w:tcPr>
            <w:tcW w:w="9639" w:type="dxa"/>
            <w:gridSpan w:val="4"/>
          </w:tcPr>
          <w:p w14:paraId="14936859" w14:textId="77777777" w:rsidR="006175E7" w:rsidRPr="009D0810" w:rsidRDefault="006175E7" w:rsidP="000B0891">
            <w:pPr>
              <w:spacing w:before="0" w:line="240" w:lineRule="exact"/>
              <w:rPr>
                <w:rFonts w:eastAsia="SimSun"/>
                <w:b/>
                <w:bCs/>
              </w:rPr>
            </w:pPr>
          </w:p>
        </w:tc>
      </w:tr>
      <w:tr w:rsidR="006175E7" w:rsidRPr="00B344B6" w14:paraId="2E3CDC8F" w14:textId="77777777" w:rsidTr="000122F6">
        <w:trPr>
          <w:cantSplit/>
        </w:trPr>
        <w:tc>
          <w:tcPr>
            <w:tcW w:w="9639" w:type="dxa"/>
            <w:gridSpan w:val="4"/>
          </w:tcPr>
          <w:p w14:paraId="64C68082" w14:textId="77777777" w:rsidR="006175E7" w:rsidRPr="00B344B6" w:rsidRDefault="00D21D8E" w:rsidP="006175E7">
            <w:pPr>
              <w:pStyle w:val="Source"/>
              <w:rPr>
                <w:rtl/>
              </w:rPr>
            </w:pPr>
            <w:r w:rsidRPr="00D21D8E">
              <w:rPr>
                <w:rtl/>
              </w:rPr>
              <w:t>جمهورية غينيا</w:t>
            </w:r>
          </w:p>
        </w:tc>
      </w:tr>
      <w:tr w:rsidR="000122F6" w:rsidRPr="00B344B6" w14:paraId="6D15C149" w14:textId="77777777" w:rsidTr="000122F6">
        <w:trPr>
          <w:cantSplit/>
        </w:trPr>
        <w:tc>
          <w:tcPr>
            <w:tcW w:w="9639" w:type="dxa"/>
            <w:gridSpan w:val="4"/>
          </w:tcPr>
          <w:p w14:paraId="6FE631EA" w14:textId="7863CF68" w:rsidR="000122F6" w:rsidRPr="00D21D8E" w:rsidRDefault="000122F6" w:rsidP="000122F6">
            <w:pPr>
              <w:pStyle w:val="Title1"/>
              <w:spacing w:before="240"/>
              <w:rPr>
                <w:rtl/>
              </w:rPr>
            </w:pPr>
            <w:r w:rsidRPr="00E413F6">
              <w:rPr>
                <w:rtl/>
              </w:rPr>
              <w:t>الفوائد الاقتصادية والاجتماعية والبيئية لمعايير الاتصالات الدولية بالنسبة للبلدان</w:t>
            </w:r>
            <w:r>
              <w:rPr>
                <w:rFonts w:hint="cs"/>
                <w:rtl/>
              </w:rPr>
              <w:t> </w:t>
            </w:r>
            <w:r w:rsidRPr="00E413F6">
              <w:rPr>
                <w:rtl/>
              </w:rPr>
              <w:t>النامية</w:t>
            </w:r>
            <w:r w:rsidRPr="00E413F6">
              <w:rPr>
                <w:cs/>
              </w:rPr>
              <w:t>‎</w:t>
            </w:r>
            <w:r w:rsidRPr="00E413F6">
              <w:t xml:space="preserve"> </w:t>
            </w:r>
            <w:r w:rsidRPr="00E413F6">
              <w:rPr>
                <w:cs/>
              </w:rPr>
              <w:t>‎</w:t>
            </w:r>
          </w:p>
        </w:tc>
      </w:tr>
      <w:tr w:rsidR="000122F6" w:rsidRPr="00B344B6" w14:paraId="332F196C" w14:textId="77777777" w:rsidTr="000122F6">
        <w:trPr>
          <w:cantSplit/>
          <w:trHeight w:hRule="exact" w:val="240"/>
        </w:trPr>
        <w:tc>
          <w:tcPr>
            <w:tcW w:w="9639" w:type="dxa"/>
            <w:gridSpan w:val="4"/>
          </w:tcPr>
          <w:p w14:paraId="76A50148" w14:textId="77777777" w:rsidR="000122F6" w:rsidRPr="00B344B6" w:rsidRDefault="000122F6" w:rsidP="000122F6">
            <w:pPr>
              <w:pStyle w:val="Title2"/>
              <w:spacing w:before="240"/>
            </w:pPr>
          </w:p>
        </w:tc>
      </w:tr>
      <w:tr w:rsidR="000122F6" w:rsidRPr="00B344B6" w14:paraId="60675050" w14:textId="77777777" w:rsidTr="000122F6">
        <w:trPr>
          <w:cantSplit/>
          <w:trHeight w:hRule="exact" w:val="240"/>
        </w:trPr>
        <w:tc>
          <w:tcPr>
            <w:tcW w:w="9639" w:type="dxa"/>
            <w:gridSpan w:val="4"/>
          </w:tcPr>
          <w:p w14:paraId="30EF1E39" w14:textId="77777777" w:rsidR="000122F6" w:rsidRPr="00B344B6" w:rsidRDefault="000122F6" w:rsidP="000122F6">
            <w:pPr>
              <w:pStyle w:val="Agendaitem"/>
              <w:spacing w:before="0" w:after="0"/>
              <w:rPr>
                <w:rtl/>
              </w:rPr>
            </w:pPr>
          </w:p>
        </w:tc>
      </w:tr>
    </w:tbl>
    <w:p w14:paraId="76810492"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3876"/>
        <w:gridCol w:w="4408"/>
      </w:tblGrid>
      <w:tr w:rsidR="00314F41" w:rsidRPr="00B344B6" w14:paraId="198D0627" w14:textId="77777777" w:rsidTr="008077A5">
        <w:tc>
          <w:tcPr>
            <w:tcW w:w="1355" w:type="dxa"/>
            <w:shd w:val="clear" w:color="auto" w:fill="FFFFFF"/>
          </w:tcPr>
          <w:p w14:paraId="4E994A60"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09DA00B4" w14:textId="77777777" w:rsidR="000122F6" w:rsidRDefault="000122F6" w:rsidP="000122F6">
            <w:pPr>
              <w:rPr>
                <w:rtl/>
                <w:lang w:val="en-GB"/>
              </w:rPr>
            </w:pPr>
            <w:r w:rsidRPr="005D1D1C">
              <w:rPr>
                <w:rtl/>
                <w:lang w:val="en-GB"/>
              </w:rPr>
              <w:t>مع التطور السريع للعلم والتكنولوجيا الذي أدى إلى انتشار النماذج (المعايير)، نسعى إلى توضيح الحاجة إلى استخدام البلدان النامية للمعايير الدولية وفائدتها</w:t>
            </w:r>
            <w:r w:rsidRPr="005D1D1C">
              <w:rPr>
                <w:cs/>
                <w:lang w:val="en-GB"/>
              </w:rPr>
              <w:t>‎</w:t>
            </w:r>
            <w:r>
              <w:rPr>
                <w:rFonts w:hint="cs"/>
                <w:rtl/>
                <w:cs/>
                <w:lang w:val="en-GB"/>
              </w:rPr>
              <w:t>.</w:t>
            </w:r>
          </w:p>
          <w:p w14:paraId="0B59B902" w14:textId="77777777" w:rsidR="000122F6" w:rsidRPr="000122F6" w:rsidRDefault="000122F6" w:rsidP="000122F6">
            <w:pPr>
              <w:rPr>
                <w:lang w:val="en-GB"/>
              </w:rPr>
            </w:pPr>
            <w:r w:rsidRPr="000122F6">
              <w:rPr>
                <w:rtl/>
                <w:lang w:val="en-GB"/>
              </w:rPr>
              <w:t xml:space="preserve">‏ومع ذلك، فإن استخدام المعايير الدولية يختلف من بلد إلى آخر، </w:t>
            </w:r>
            <w:r w:rsidRPr="000122F6">
              <w:rPr>
                <w:rFonts w:hint="cs"/>
                <w:rtl/>
                <w:lang w:val="en-GB"/>
              </w:rPr>
              <w:t>اعتماداً</w:t>
            </w:r>
            <w:r w:rsidRPr="000122F6">
              <w:rPr>
                <w:rtl/>
                <w:lang w:val="en-GB"/>
              </w:rPr>
              <w:t xml:space="preserve"> على مستوى التنمية</w:t>
            </w:r>
            <w:r w:rsidRPr="000122F6">
              <w:rPr>
                <w:cs/>
                <w:lang w:val="en-GB"/>
              </w:rPr>
              <w:t>‎</w:t>
            </w:r>
            <w:r w:rsidRPr="000122F6">
              <w:rPr>
                <w:lang w:val="en-GB"/>
              </w:rPr>
              <w:t>.</w:t>
            </w:r>
          </w:p>
          <w:p w14:paraId="69C73018" w14:textId="0C1B3D5F" w:rsidR="00314F41" w:rsidRPr="000122F6" w:rsidRDefault="000122F6" w:rsidP="000122F6">
            <w:pPr>
              <w:rPr>
                <w:rtl/>
                <w:lang w:val="en-GB"/>
              </w:rPr>
            </w:pPr>
            <w:r w:rsidRPr="000122F6">
              <w:rPr>
                <w:rtl/>
                <w:lang w:val="en-GB"/>
              </w:rPr>
              <w:t xml:space="preserve">‏وبالتالي، هناك حاجة لإدراج </w:t>
            </w:r>
            <w:r w:rsidRPr="000122F6">
              <w:rPr>
                <w:rFonts w:eastAsia="SimSun"/>
                <w:position w:val="2"/>
                <w:rtl/>
                <w:lang w:val="en-GB" w:bidi="ar-EG"/>
              </w:rPr>
              <w:t>دورات</w:t>
            </w:r>
            <w:r w:rsidRPr="000122F6">
              <w:rPr>
                <w:rtl/>
                <w:lang w:val="en-GB"/>
              </w:rPr>
              <w:t xml:space="preserve"> </w:t>
            </w:r>
            <w:r w:rsidRPr="000122F6">
              <w:rPr>
                <w:rFonts w:hint="cs"/>
                <w:rtl/>
                <w:lang w:val="en-GB"/>
              </w:rPr>
              <w:t>عن التقييس</w:t>
            </w:r>
            <w:r w:rsidRPr="000122F6">
              <w:rPr>
                <w:rtl/>
                <w:lang w:val="en-GB"/>
              </w:rPr>
              <w:t xml:space="preserve"> في برامج مؤسسات التعليم التقني والمهني ومعاهد البحث العلمي في البلدان النامية</w:t>
            </w:r>
            <w:r w:rsidRPr="000122F6">
              <w:rPr>
                <w:cs/>
                <w:lang w:val="en-GB"/>
              </w:rPr>
              <w:t>‎</w:t>
            </w:r>
            <w:r w:rsidRPr="000122F6">
              <w:rPr>
                <w:rFonts w:hint="cs"/>
                <w:rtl/>
                <w:cs/>
                <w:lang w:val="en-GB"/>
              </w:rPr>
              <w:t>.</w:t>
            </w:r>
          </w:p>
        </w:tc>
      </w:tr>
      <w:tr w:rsidR="000122F6" w:rsidRPr="00B344B6" w14:paraId="79506AB7" w14:textId="77777777" w:rsidTr="000122F6">
        <w:tc>
          <w:tcPr>
            <w:tcW w:w="1355" w:type="dxa"/>
            <w:shd w:val="clear" w:color="auto" w:fill="FFFFFF"/>
            <w:hideMark/>
          </w:tcPr>
          <w:p w14:paraId="5231BC31" w14:textId="77777777" w:rsidR="000122F6" w:rsidRPr="00B344B6" w:rsidRDefault="000122F6" w:rsidP="000122F6">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3876" w:type="dxa"/>
            <w:shd w:val="clear" w:color="auto" w:fill="FFFFFF"/>
          </w:tcPr>
          <w:p w14:paraId="590D7C37" w14:textId="07FCA5A1" w:rsidR="000122F6" w:rsidRPr="00B344B6" w:rsidRDefault="000122F6" w:rsidP="000122F6">
            <w:pPr>
              <w:spacing w:before="240" w:after="40" w:line="260" w:lineRule="exact"/>
              <w:jc w:val="left"/>
              <w:rPr>
                <w:rFonts w:eastAsia="SimSun"/>
                <w:position w:val="2"/>
                <w:lang w:val="en-GB" w:eastAsia="zh-CN"/>
              </w:rPr>
            </w:pPr>
            <w:r>
              <w:rPr>
                <w:rFonts w:hint="cs"/>
                <w:rtl/>
                <w:lang w:bidi="ar-EG"/>
              </w:rPr>
              <w:t xml:space="preserve">السيد </w:t>
            </w:r>
            <w:r w:rsidRPr="0011472E">
              <w:t xml:space="preserve"> </w:t>
            </w:r>
            <w:r w:rsidRPr="0080088E">
              <w:t xml:space="preserve">BALDE Thierno </w:t>
            </w:r>
            <w:proofErr w:type="spellStart"/>
            <w:r w:rsidRPr="0080088E">
              <w:t>Sarifou</w:t>
            </w:r>
            <w:proofErr w:type="spellEnd"/>
            <w:r w:rsidRPr="0084619D">
              <w:rPr>
                <w:rtl/>
              </w:rPr>
              <w:t xml:space="preserve"> </w:t>
            </w:r>
            <w:r>
              <w:rPr>
                <w:rtl/>
              </w:rPr>
              <w:br/>
            </w:r>
            <w:r>
              <w:rPr>
                <w:rFonts w:hint="cs"/>
                <w:rtl/>
              </w:rPr>
              <w:t>جمهورية غينيا</w:t>
            </w:r>
          </w:p>
        </w:tc>
        <w:tc>
          <w:tcPr>
            <w:tcW w:w="4408" w:type="dxa"/>
            <w:shd w:val="clear" w:color="auto" w:fill="FFFFFF"/>
          </w:tcPr>
          <w:p w14:paraId="756330B4" w14:textId="55DC4059" w:rsidR="000122F6" w:rsidRPr="00B344B6" w:rsidRDefault="000122F6" w:rsidP="000122F6">
            <w:pPr>
              <w:spacing w:before="240" w:after="40" w:line="260" w:lineRule="exact"/>
              <w:jc w:val="left"/>
              <w:rPr>
                <w:rFonts w:eastAsia="SimSun"/>
                <w:position w:val="2"/>
                <w:lang w:eastAsia="zh-CN"/>
              </w:rPr>
            </w:pPr>
            <w:r>
              <w:rPr>
                <w:rFonts w:hint="cs"/>
                <w:rtl/>
                <w:lang w:val="fr-FR"/>
              </w:rPr>
              <w:t>ا</w:t>
            </w:r>
            <w:r>
              <w:rPr>
                <w:rFonts w:hint="cs"/>
                <w:rtl/>
              </w:rPr>
              <w:t>لهاتف:</w:t>
            </w:r>
            <w:r>
              <w:rPr>
                <w:rtl/>
              </w:rPr>
              <w:tab/>
            </w:r>
            <w:r w:rsidRPr="0080088E">
              <w:rPr>
                <w:lang w:val="fr-FR"/>
              </w:rPr>
              <w:t>+224 621 21 08 41</w:t>
            </w:r>
            <w:r w:rsidRPr="0080088E">
              <w:rPr>
                <w:lang w:val="fr-FR"/>
              </w:rPr>
              <w:br/>
            </w:r>
            <w:r w:rsidRPr="0084619D">
              <w:rPr>
                <w:rFonts w:eastAsia="SimSun"/>
                <w:position w:val="2"/>
                <w:rtl/>
                <w:lang w:val="fr-FR" w:eastAsia="zh-CN" w:bidi="ar-EG"/>
              </w:rPr>
              <w:t>البريد الإلكتروني:</w:t>
            </w:r>
            <w:r>
              <w:rPr>
                <w:rFonts w:eastAsia="SimSun"/>
                <w:position w:val="2"/>
                <w:rtl/>
                <w:lang w:val="fr-FR" w:eastAsia="zh-CN" w:bidi="ar-EG"/>
              </w:rPr>
              <w:tab/>
            </w:r>
            <w:hyperlink r:id="rId14" w:history="1">
              <w:r w:rsidRPr="0080088E">
                <w:rPr>
                  <w:rStyle w:val="Hyperlink"/>
                  <w:szCs w:val="24"/>
                  <w:lang w:val="fr-FR"/>
                </w:rPr>
                <w:t>bthiernosarifou@gmail.com</w:t>
              </w:r>
            </w:hyperlink>
          </w:p>
        </w:tc>
      </w:tr>
    </w:tbl>
    <w:p w14:paraId="700F3B5F" w14:textId="77777777" w:rsidR="000122F6" w:rsidRDefault="000122F6" w:rsidP="000122F6">
      <w:pPr>
        <w:pStyle w:val="Headingb"/>
        <w:rPr>
          <w:rtl/>
        </w:rPr>
      </w:pPr>
      <w:r>
        <w:rPr>
          <w:rFonts w:hint="cs"/>
          <w:rtl/>
        </w:rPr>
        <w:t>مقدمة</w:t>
      </w:r>
    </w:p>
    <w:p w14:paraId="136599E2" w14:textId="77777777" w:rsidR="000122F6" w:rsidRDefault="000122F6" w:rsidP="000122F6">
      <w:pPr>
        <w:rPr>
          <w:rtl/>
          <w:lang w:bidi="ar-EG"/>
        </w:rPr>
      </w:pPr>
      <w:r>
        <w:rPr>
          <w:rtl/>
          <w:lang w:bidi="ar-EG"/>
        </w:rPr>
        <w:t xml:space="preserve">‏المعيار هو وثيقة مرجعية </w:t>
      </w:r>
      <w:r>
        <w:rPr>
          <w:rFonts w:hint="cs"/>
          <w:rtl/>
          <w:lang w:bidi="ar-EG"/>
        </w:rPr>
        <w:t>توضع</w:t>
      </w:r>
      <w:r>
        <w:rPr>
          <w:rtl/>
          <w:lang w:bidi="ar-EG"/>
        </w:rPr>
        <w:t xml:space="preserve"> بتوافق الآراء، وتوافق عليها هيئة معترف بها (مثل </w:t>
      </w:r>
      <w:r>
        <w:rPr>
          <w:cs/>
          <w:lang w:bidi="ar-EG"/>
        </w:rPr>
        <w:t>‎</w:t>
      </w:r>
      <w:r>
        <w:rPr>
          <w:rFonts w:hint="cs"/>
          <w:rtl/>
        </w:rPr>
        <w:t>ال</w:t>
      </w:r>
      <w:r>
        <w:rPr>
          <w:rFonts w:hint="cs"/>
          <w:rtl/>
          <w:lang w:bidi="ar-EG"/>
        </w:rPr>
        <w:t xml:space="preserve">منظمة الدولية للتوحيد القياسي </w:t>
      </w:r>
      <w:r>
        <w:rPr>
          <w:lang w:val="en-GB" w:bidi="ar-EG"/>
        </w:rPr>
        <w:t>(ISO)</w:t>
      </w:r>
      <w:r>
        <w:rPr>
          <w:rtl/>
          <w:lang w:bidi="ar-EG"/>
        </w:rPr>
        <w:t xml:space="preserve"> ‏و</w:t>
      </w:r>
      <w:r>
        <w:rPr>
          <w:rFonts w:hint="cs"/>
          <w:rtl/>
        </w:rPr>
        <w:t>اللجنة الكهرتقنية الدولية</w:t>
      </w:r>
      <w:r>
        <w:rPr>
          <w:rtl/>
          <w:lang w:bidi="ar-EG"/>
        </w:rPr>
        <w:t xml:space="preserve"> </w:t>
      </w:r>
      <w:r>
        <w:rPr>
          <w:cs/>
          <w:lang w:bidi="ar-EG"/>
        </w:rPr>
        <w:t>‎</w:t>
      </w:r>
      <w:r>
        <w:rPr>
          <w:lang w:bidi="ar-EG"/>
        </w:rPr>
        <w:t>(IEC)</w:t>
      </w:r>
      <w:r>
        <w:rPr>
          <w:rtl/>
          <w:lang w:bidi="ar-EG"/>
        </w:rPr>
        <w:t xml:space="preserve"> ‏و</w:t>
      </w:r>
      <w:r>
        <w:rPr>
          <w:rFonts w:hint="cs"/>
          <w:rtl/>
          <w:lang w:bidi="ar-EG"/>
        </w:rPr>
        <w:t>الاتحاد الدولي للاتصالات</w:t>
      </w:r>
      <w:r>
        <w:rPr>
          <w:rtl/>
          <w:lang w:bidi="ar-EG"/>
        </w:rPr>
        <w:t xml:space="preserve"> </w:t>
      </w:r>
      <w:r>
        <w:rPr>
          <w:cs/>
          <w:lang w:bidi="ar-EG"/>
        </w:rPr>
        <w:t>‎</w:t>
      </w:r>
      <w:r>
        <w:rPr>
          <w:lang w:bidi="ar-EG"/>
        </w:rPr>
        <w:t>(ITU)</w:t>
      </w:r>
      <w:r>
        <w:rPr>
          <w:rtl/>
          <w:lang w:bidi="ar-EG"/>
        </w:rPr>
        <w:t xml:space="preserve">)‏، </w:t>
      </w:r>
      <w:r>
        <w:rPr>
          <w:rFonts w:hint="cs"/>
          <w:rtl/>
          <w:lang w:bidi="ar-EG"/>
        </w:rPr>
        <w:t>وتجسد</w:t>
      </w:r>
      <w:r>
        <w:rPr>
          <w:rtl/>
          <w:lang w:bidi="ar-EG"/>
        </w:rPr>
        <w:t xml:space="preserve"> الحالة الراهنة للتطورات في </w:t>
      </w:r>
      <w:r>
        <w:rPr>
          <w:rFonts w:hint="cs"/>
          <w:rtl/>
          <w:lang w:bidi="ar-EG"/>
        </w:rPr>
        <w:t xml:space="preserve">مجال </w:t>
      </w:r>
      <w:r>
        <w:rPr>
          <w:rtl/>
          <w:lang w:bidi="ar-EG"/>
        </w:rPr>
        <w:t xml:space="preserve">العلوم والتكنولوجيا. </w:t>
      </w:r>
      <w:r>
        <w:rPr>
          <w:rFonts w:hint="cs"/>
          <w:rtl/>
          <w:lang w:bidi="ar-EG"/>
        </w:rPr>
        <w:t>وتحدد</w:t>
      </w:r>
      <w:r>
        <w:rPr>
          <w:rtl/>
          <w:lang w:bidi="ar-EG"/>
        </w:rPr>
        <w:t xml:space="preserve"> القواعد والإجراءات الخاصة بأنشطة محددة، وتعزز النظام والكفاءة في سياق معي</w:t>
      </w:r>
      <w:r>
        <w:rPr>
          <w:rFonts w:hint="cs"/>
          <w:rtl/>
          <w:lang w:bidi="ar-EG"/>
        </w:rPr>
        <w:t>ّ</w:t>
      </w:r>
      <w:r>
        <w:rPr>
          <w:rtl/>
          <w:lang w:bidi="ar-EG"/>
        </w:rPr>
        <w:t>ن.</w:t>
      </w:r>
      <w:r>
        <w:rPr>
          <w:cs/>
          <w:lang w:bidi="ar-EG"/>
        </w:rPr>
        <w:t>‎</w:t>
      </w:r>
    </w:p>
    <w:p w14:paraId="3BCD3C02" w14:textId="77777777" w:rsidR="000122F6" w:rsidRDefault="000122F6" w:rsidP="000122F6">
      <w:pPr>
        <w:rPr>
          <w:rtl/>
          <w:lang w:bidi="ar-EG"/>
        </w:rPr>
      </w:pPr>
      <w:r>
        <w:rPr>
          <w:rtl/>
          <w:lang w:bidi="ar-EG"/>
        </w:rPr>
        <w:t xml:space="preserve">‏والتقييس أمر </w:t>
      </w:r>
      <w:r>
        <w:rPr>
          <w:rFonts w:hint="cs"/>
          <w:rtl/>
          <w:lang w:bidi="ar-EG"/>
        </w:rPr>
        <w:t>ضروري</w:t>
      </w:r>
      <w:r>
        <w:rPr>
          <w:rtl/>
          <w:lang w:bidi="ar-EG"/>
        </w:rPr>
        <w:t xml:space="preserve"> في جميع القطاعات ويتيح قابلية التشغيل البيني بين الأنظمة والمعدات، مما يحسن جودة الخدمة ويحقق وفورات الحجم. وفي قطاع الاتصالات، تكتسي المعايير الدولية أهمية خاصة لأنها تيسر اندماج البلدان النامية في الاقتصاد العالمي وتكفل وجود </w:t>
      </w:r>
      <w:r>
        <w:rPr>
          <w:rFonts w:hint="cs"/>
          <w:rtl/>
          <w:lang w:bidi="ar-EG"/>
        </w:rPr>
        <w:t>بنى تحتية</w:t>
      </w:r>
      <w:r>
        <w:rPr>
          <w:rtl/>
          <w:lang w:bidi="ar-EG"/>
        </w:rPr>
        <w:t xml:space="preserve"> موثوقة للاتصالات، </w:t>
      </w:r>
      <w:r>
        <w:rPr>
          <w:rFonts w:hint="cs"/>
          <w:rtl/>
          <w:lang w:bidi="ar-EG"/>
        </w:rPr>
        <w:t>تعد</w:t>
      </w:r>
      <w:r>
        <w:rPr>
          <w:rtl/>
          <w:lang w:bidi="ar-EG"/>
        </w:rPr>
        <w:t xml:space="preserve"> </w:t>
      </w:r>
      <w:r>
        <w:rPr>
          <w:rFonts w:hint="cs"/>
          <w:rtl/>
          <w:lang w:bidi="ar-EG"/>
        </w:rPr>
        <w:t>أساسية</w:t>
      </w:r>
      <w:r>
        <w:rPr>
          <w:rtl/>
          <w:lang w:bidi="ar-EG"/>
        </w:rPr>
        <w:t xml:space="preserve"> للنمو الاقتصادي والتنمية الاجتماعية والاستدامة البيئية.</w:t>
      </w:r>
      <w:r>
        <w:rPr>
          <w:cs/>
          <w:lang w:bidi="ar-EG"/>
        </w:rPr>
        <w:t>‎</w:t>
      </w:r>
    </w:p>
    <w:p w14:paraId="1D1ADC1A" w14:textId="77777777" w:rsidR="00314F41" w:rsidRPr="00B344B6" w:rsidRDefault="00314F41" w:rsidP="00790154">
      <w:pPr>
        <w:rPr>
          <w:lang w:bidi="ar-EG"/>
        </w:rPr>
      </w:pPr>
    </w:p>
    <w:p w14:paraId="3D8E7243" w14:textId="77777777" w:rsidR="0012545F" w:rsidRPr="00B344B6" w:rsidRDefault="0012545F">
      <w:pPr>
        <w:bidi w:val="0"/>
        <w:spacing w:before="0" w:line="240" w:lineRule="auto"/>
        <w:jc w:val="left"/>
        <w:rPr>
          <w:rtl/>
        </w:rPr>
      </w:pPr>
      <w:r w:rsidRPr="00B344B6">
        <w:rPr>
          <w:rtl/>
        </w:rPr>
        <w:br w:type="page"/>
      </w:r>
    </w:p>
    <w:p w14:paraId="1CC254A0" w14:textId="77777777" w:rsidR="007D76A3" w:rsidRDefault="000122F6">
      <w:pPr>
        <w:pStyle w:val="Proposal"/>
      </w:pPr>
      <w:r>
        <w:lastRenderedPageBreak/>
        <w:tab/>
        <w:t>GUI/52/1</w:t>
      </w:r>
    </w:p>
    <w:p w14:paraId="66354142" w14:textId="77777777" w:rsidR="000122F6" w:rsidRPr="00341DD0" w:rsidRDefault="000122F6" w:rsidP="00341DD0">
      <w:pPr>
        <w:pStyle w:val="Volumetitle"/>
        <w:rPr>
          <w:rtl/>
        </w:rPr>
      </w:pPr>
      <w:r>
        <w:rPr>
          <w:rFonts w:hint="cs"/>
          <w:rtl/>
        </w:rPr>
        <w:t>مسائل عامة</w:t>
      </w:r>
    </w:p>
    <w:p w14:paraId="5F14C0AB" w14:textId="77777777" w:rsidR="000122F6" w:rsidRDefault="000122F6" w:rsidP="000122F6">
      <w:pPr>
        <w:pStyle w:val="Headingb"/>
        <w:rPr>
          <w:rFonts w:hint="cs"/>
          <w:rtl/>
          <w:lang w:val="en-GB" w:bidi="ar-SY"/>
        </w:rPr>
      </w:pPr>
      <w:r>
        <w:rPr>
          <w:rFonts w:hint="cs"/>
          <w:rtl/>
          <w:lang w:val="en-GB" w:bidi="ar-SY"/>
        </w:rPr>
        <w:t>المناقشة</w:t>
      </w:r>
    </w:p>
    <w:p w14:paraId="3A30595B" w14:textId="77777777" w:rsidR="000122F6" w:rsidRPr="003B0AE1" w:rsidRDefault="000122F6" w:rsidP="000122F6">
      <w:pPr>
        <w:rPr>
          <w:lang w:bidi="ar-EG"/>
        </w:rPr>
      </w:pPr>
      <w:r w:rsidRPr="002F7D96">
        <w:rPr>
          <w:rtl/>
          <w:lang w:bidi="ar-EG"/>
        </w:rPr>
        <w:t xml:space="preserve">‏الفوائد الاقتصادية والاجتماعية والبيئية لمعايير الاتصالات الدولية </w:t>
      </w:r>
      <w:r>
        <w:rPr>
          <w:rFonts w:hint="cs"/>
          <w:rtl/>
          <w:lang w:bidi="ar-EG"/>
        </w:rPr>
        <w:t xml:space="preserve">بالنسبة </w:t>
      </w:r>
      <w:r w:rsidRPr="002F7D96">
        <w:rPr>
          <w:rtl/>
          <w:lang w:bidi="ar-EG"/>
        </w:rPr>
        <w:t>للبلدان النامية</w:t>
      </w:r>
      <w:r w:rsidRPr="002F7D96">
        <w:rPr>
          <w:cs/>
          <w:lang w:bidi="ar-EG"/>
        </w:rPr>
        <w:t>‎</w:t>
      </w:r>
      <w:r>
        <w:rPr>
          <w:rFonts w:hint="cs"/>
          <w:rtl/>
          <w:cs/>
          <w:lang w:bidi="ar-EG"/>
        </w:rPr>
        <w:t>.</w:t>
      </w:r>
    </w:p>
    <w:p w14:paraId="6BE0CDD9" w14:textId="77777777" w:rsidR="000122F6" w:rsidRPr="003B0AE1" w:rsidRDefault="000122F6" w:rsidP="000122F6">
      <w:pPr>
        <w:rPr>
          <w:lang w:bidi="ar-EG"/>
        </w:rPr>
      </w:pPr>
      <w:r w:rsidRPr="00DE7F18">
        <w:rPr>
          <w:rtl/>
          <w:lang w:bidi="ar-EG"/>
        </w:rPr>
        <w:t xml:space="preserve">توفر المعايير الدولية للاتصالات فوائد اقتصادية واجتماعية وبيئية للبلدان النامية. فهي تمكن البلدان من اكتساب بنية تحتية حديثة بتكلفة أقل، مما يؤدي إلى خفض الحواجز التقنية والاقتصادية. </w:t>
      </w:r>
      <w:r>
        <w:rPr>
          <w:rFonts w:hint="cs"/>
          <w:rtl/>
          <w:lang w:bidi="ar-EG"/>
        </w:rPr>
        <w:t>و</w:t>
      </w:r>
      <w:r w:rsidRPr="00DE7F18">
        <w:rPr>
          <w:rtl/>
          <w:lang w:bidi="ar-EG"/>
        </w:rPr>
        <w:t xml:space="preserve">يعزز تطبيق هذه المعايير القدرة التنافسية للشركات المحلية من خلال تيسير النفاذ إلى الأسواق العالمية، وبالتالي يساهم في </w:t>
      </w:r>
      <w:r>
        <w:rPr>
          <w:rFonts w:hint="cs"/>
          <w:rtl/>
          <w:lang w:bidi="ar-EG"/>
        </w:rPr>
        <w:t>استحداث</w:t>
      </w:r>
      <w:r w:rsidRPr="00DE7F18">
        <w:rPr>
          <w:rtl/>
          <w:lang w:bidi="ar-EG"/>
        </w:rPr>
        <w:t xml:space="preserve"> فرص عمل في قطاع الاتصالات/تكنولوجيا المعلومات والاتصالات والمساهمة في الحد من الفقر.</w:t>
      </w:r>
    </w:p>
    <w:p w14:paraId="2A45FD36" w14:textId="77777777" w:rsidR="000122F6" w:rsidRPr="003B0AE1" w:rsidRDefault="000122F6" w:rsidP="000122F6">
      <w:pPr>
        <w:rPr>
          <w:lang w:bidi="ar-EG"/>
        </w:rPr>
      </w:pPr>
      <w:r>
        <w:rPr>
          <w:rFonts w:hint="cs"/>
          <w:rtl/>
        </w:rPr>
        <w:t>و</w:t>
      </w:r>
      <w:r w:rsidRPr="00BB5851">
        <w:rPr>
          <w:rtl/>
          <w:lang w:bidi="ar-EG"/>
        </w:rPr>
        <w:t xml:space="preserve">من منظور اجتماعي، يؤدي اعتماد المعايير الدولية إلى تحسين الشمول الرقمي من خلال تيسير </w:t>
      </w:r>
      <w:r>
        <w:rPr>
          <w:rFonts w:hint="cs"/>
          <w:rtl/>
          <w:lang w:bidi="ar-EG"/>
        </w:rPr>
        <w:t>النفاذ</w:t>
      </w:r>
      <w:r w:rsidRPr="00BB5851">
        <w:rPr>
          <w:rtl/>
          <w:lang w:bidi="ar-EG"/>
        </w:rPr>
        <w:t xml:space="preserve"> إلى الخدمات العامة عبر الإنترنت، مثل الخدمات الصحية والتعليمية، خاصة في المناطق الريفية. كما أن هذه المعايير تجعل الشبكات أكثر أماناً وموثوقية، وهو أمر ضروري في حالة حدوث الكوارث الطبيعية. </w:t>
      </w:r>
      <w:r>
        <w:rPr>
          <w:rFonts w:hint="cs"/>
          <w:rtl/>
          <w:lang w:bidi="ar-EG"/>
        </w:rPr>
        <w:t>و</w:t>
      </w:r>
      <w:r w:rsidRPr="00BB5851">
        <w:rPr>
          <w:rtl/>
          <w:lang w:bidi="ar-EG"/>
        </w:rPr>
        <w:t xml:space="preserve">بالإضافة إلى ذلك، يقلل التأثير البيئي للاتصالات بفضل البنية التحتية المسؤولة بيئياً التي تشجعها هذه المعايير، </w:t>
      </w:r>
      <w:r w:rsidRPr="003927DD">
        <w:rPr>
          <w:rtl/>
          <w:lang w:bidi="ar-EG"/>
        </w:rPr>
        <w:t>بما يسمح بمزيد من الكفاءة في إدارة المخلفات الإلكترونية وخفض استهلاك</w:t>
      </w:r>
      <w:r>
        <w:rPr>
          <w:rFonts w:hint="cs"/>
          <w:rtl/>
          <w:lang w:bidi="ar-EG"/>
        </w:rPr>
        <w:t> </w:t>
      </w:r>
      <w:r w:rsidRPr="003927DD">
        <w:rPr>
          <w:rtl/>
          <w:lang w:bidi="ar-EG"/>
        </w:rPr>
        <w:t>الطاقة.</w:t>
      </w:r>
    </w:p>
    <w:p w14:paraId="5A0FD25D" w14:textId="77777777" w:rsidR="000122F6" w:rsidRPr="003B0AE1" w:rsidRDefault="000122F6" w:rsidP="000122F6">
      <w:pPr>
        <w:rPr>
          <w:lang w:bidi="ar-EG"/>
        </w:rPr>
      </w:pPr>
      <w:r w:rsidRPr="008035A4">
        <w:rPr>
          <w:rtl/>
          <w:lang w:bidi="ar-EG"/>
        </w:rPr>
        <w:t xml:space="preserve">‏وبغية سد الفجوة التقييسية في البلدان النامية، من المهم إدراج دورات </w:t>
      </w:r>
      <w:r>
        <w:rPr>
          <w:rFonts w:hint="cs"/>
          <w:rtl/>
          <w:lang w:bidi="ar-EG"/>
        </w:rPr>
        <w:t xml:space="preserve">عن </w:t>
      </w:r>
      <w:r w:rsidRPr="008035A4">
        <w:rPr>
          <w:rtl/>
          <w:lang w:bidi="ar-EG"/>
        </w:rPr>
        <w:t>التقييس في البرامج الأكاديمية</w:t>
      </w:r>
      <w:r>
        <w:rPr>
          <w:rFonts w:hint="cs"/>
          <w:rtl/>
          <w:lang w:bidi="ar-EG"/>
        </w:rPr>
        <w:t>.</w:t>
      </w:r>
      <w:r w:rsidRPr="008035A4">
        <w:rPr>
          <w:rtl/>
          <w:lang w:bidi="ar-EG"/>
        </w:rPr>
        <w:t xml:space="preserve"> ومن شأن هذه التدابير أن تساعد </w:t>
      </w:r>
      <w:r>
        <w:rPr>
          <w:rFonts w:hint="cs"/>
          <w:rtl/>
          <w:lang w:bidi="ar-EG"/>
        </w:rPr>
        <w:t>في</w:t>
      </w:r>
      <w:r w:rsidRPr="008035A4">
        <w:rPr>
          <w:rtl/>
          <w:lang w:bidi="ar-EG"/>
        </w:rPr>
        <w:t xml:space="preserve"> بناء القدرات المحلية لمواجهة التحديات المرتبطة بالتقييس.</w:t>
      </w:r>
      <w:r w:rsidRPr="008035A4">
        <w:rPr>
          <w:cs/>
          <w:lang w:bidi="ar-EG"/>
        </w:rPr>
        <w:t>‎</w:t>
      </w:r>
      <w:r w:rsidRPr="008035A4">
        <w:rPr>
          <w:rtl/>
        </w:rPr>
        <w:t xml:space="preserve"> </w:t>
      </w:r>
      <w:r w:rsidRPr="008035A4">
        <w:rPr>
          <w:rtl/>
          <w:lang w:bidi="ar-EG"/>
        </w:rPr>
        <w:t xml:space="preserve">‏ويجب </w:t>
      </w:r>
      <w:r>
        <w:rPr>
          <w:rFonts w:hint="cs"/>
          <w:rtl/>
          <w:lang w:bidi="ar-EG"/>
        </w:rPr>
        <w:t>أن يدعم</w:t>
      </w:r>
      <w:r w:rsidRPr="008035A4">
        <w:rPr>
          <w:rtl/>
          <w:lang w:bidi="ar-EG"/>
        </w:rPr>
        <w:t xml:space="preserve"> </w:t>
      </w:r>
      <w:r>
        <w:rPr>
          <w:rFonts w:hint="cs"/>
          <w:rtl/>
          <w:lang w:bidi="ar-EG"/>
        </w:rPr>
        <w:t>واضعو</w:t>
      </w:r>
      <w:r w:rsidRPr="008035A4">
        <w:rPr>
          <w:rtl/>
          <w:lang w:bidi="ar-EG"/>
        </w:rPr>
        <w:t xml:space="preserve"> </w:t>
      </w:r>
      <w:r>
        <w:rPr>
          <w:rFonts w:hint="cs"/>
          <w:rtl/>
          <w:lang w:bidi="ar-EG"/>
        </w:rPr>
        <w:t>القرارات السياسية</w:t>
      </w:r>
      <w:r w:rsidRPr="008035A4">
        <w:rPr>
          <w:rtl/>
          <w:lang w:bidi="ar-EG"/>
        </w:rPr>
        <w:t xml:space="preserve"> والحكومات مبادرات</w:t>
      </w:r>
      <w:r>
        <w:rPr>
          <w:rFonts w:hint="cs"/>
          <w:rtl/>
          <w:lang w:bidi="ar-EG"/>
        </w:rPr>
        <w:t xml:space="preserve"> الاتحاد في مجال</w:t>
      </w:r>
      <w:r w:rsidRPr="008035A4">
        <w:rPr>
          <w:rtl/>
          <w:lang w:bidi="ar-EG"/>
        </w:rPr>
        <w:t xml:space="preserve"> التقييس للحد من </w:t>
      </w:r>
      <w:r>
        <w:rPr>
          <w:rFonts w:hint="cs"/>
          <w:rtl/>
          <w:lang w:bidi="ar-EG"/>
        </w:rPr>
        <w:t>التباينات القائمة</w:t>
      </w:r>
      <w:r>
        <w:rPr>
          <w:rFonts w:hint="cs"/>
          <w:rtl/>
          <w:cs/>
          <w:lang w:bidi="ar-EG"/>
        </w:rPr>
        <w:t>.</w:t>
      </w:r>
      <w:r w:rsidRPr="008035A4">
        <w:rPr>
          <w:cs/>
          <w:lang w:bidi="ar-EG"/>
        </w:rPr>
        <w:t>‎</w:t>
      </w:r>
    </w:p>
    <w:p w14:paraId="2C061A25" w14:textId="77777777" w:rsidR="000122F6" w:rsidRPr="003B0AE1" w:rsidRDefault="000122F6" w:rsidP="000122F6">
      <w:pPr>
        <w:pStyle w:val="Headingb"/>
        <w:rPr>
          <w:rtl/>
          <w:lang w:bidi="ar-SA"/>
        </w:rPr>
      </w:pPr>
      <w:r>
        <w:rPr>
          <w:rFonts w:hint="cs"/>
          <w:rtl/>
          <w:lang w:bidi="ar-SA"/>
        </w:rPr>
        <w:t>الخلاصة</w:t>
      </w:r>
    </w:p>
    <w:p w14:paraId="0125C78D" w14:textId="77777777" w:rsidR="000122F6" w:rsidRDefault="000122F6" w:rsidP="000122F6">
      <w:pPr>
        <w:rPr>
          <w:rtl/>
          <w:lang w:bidi="ar-EG"/>
        </w:rPr>
      </w:pPr>
      <w:r w:rsidRPr="00A54855">
        <w:rPr>
          <w:rtl/>
          <w:lang w:bidi="ar-EG"/>
        </w:rPr>
        <w:t>‏سد الفجوة التقييسية بين البلدان المتقدمة والبلدان النامية أمر حيوي ل</w:t>
      </w:r>
      <w:r>
        <w:rPr>
          <w:rFonts w:hint="cs"/>
          <w:rtl/>
          <w:lang w:bidi="ar-EG"/>
        </w:rPr>
        <w:t>تحقيق ا</w:t>
      </w:r>
      <w:r w:rsidRPr="00A54855">
        <w:rPr>
          <w:rtl/>
          <w:lang w:bidi="ar-EG"/>
        </w:rPr>
        <w:t>لتنمية المستدامة.</w:t>
      </w:r>
      <w:r w:rsidRPr="00A54855">
        <w:rPr>
          <w:cs/>
          <w:lang w:bidi="ar-EG"/>
        </w:rPr>
        <w:t>‎</w:t>
      </w:r>
    </w:p>
    <w:p w14:paraId="216511FD" w14:textId="77777777" w:rsidR="000122F6" w:rsidRDefault="000122F6" w:rsidP="000122F6">
      <w:pPr>
        <w:rPr>
          <w:rtl/>
          <w:lang w:bidi="ar-EG"/>
        </w:rPr>
      </w:pPr>
      <w:r w:rsidRPr="00A54855">
        <w:rPr>
          <w:rtl/>
          <w:lang w:bidi="ar-EG"/>
        </w:rPr>
        <w:t>‏واعتماد المعايير الدولية يعزز الابتكار والاندماج في الاقتصاد العالمي والقدرة التنافسية المحلية، مع المساهمة أيضاً في</w:t>
      </w:r>
      <w:r>
        <w:rPr>
          <w:rFonts w:hint="cs"/>
          <w:rtl/>
          <w:lang w:bidi="ar-EG"/>
        </w:rPr>
        <w:t xml:space="preserve"> تحقيق</w:t>
      </w:r>
      <w:r w:rsidRPr="00A54855">
        <w:rPr>
          <w:rtl/>
          <w:lang w:bidi="ar-EG"/>
        </w:rPr>
        <w:t xml:space="preserve"> الشمول الاجتماعي والحماية البيئية</w:t>
      </w:r>
      <w:r>
        <w:rPr>
          <w:rFonts w:hint="cs"/>
          <w:rtl/>
          <w:lang w:bidi="ar-EG"/>
        </w:rPr>
        <w:t>. و</w:t>
      </w:r>
      <w:r w:rsidRPr="00A54855">
        <w:rPr>
          <w:rFonts w:hint="cs"/>
          <w:rtl/>
          <w:lang w:bidi="ar-EG"/>
        </w:rPr>
        <w:t>التعاون</w:t>
      </w:r>
      <w:r w:rsidRPr="00A54855">
        <w:rPr>
          <w:rtl/>
          <w:lang w:bidi="ar-EG"/>
        </w:rPr>
        <w:t xml:space="preserve"> الدولي ضروري من أجل تعظيم فوائد هذه المعايير، إلى جانب المشاركة </w:t>
      </w:r>
      <w:r>
        <w:rPr>
          <w:rFonts w:hint="cs"/>
          <w:rtl/>
          <w:lang w:bidi="ar-EG"/>
        </w:rPr>
        <w:t>الفعّالة</w:t>
      </w:r>
      <w:r w:rsidRPr="00A54855">
        <w:rPr>
          <w:rtl/>
          <w:lang w:bidi="ar-EG"/>
        </w:rPr>
        <w:t xml:space="preserve"> ل</w:t>
      </w:r>
      <w:r>
        <w:rPr>
          <w:rFonts w:hint="cs"/>
          <w:rtl/>
          <w:lang w:bidi="ar-EG"/>
        </w:rPr>
        <w:t>دوائر الحكومة و</w:t>
      </w:r>
      <w:r w:rsidRPr="00A54855">
        <w:rPr>
          <w:rtl/>
          <w:lang w:bidi="ar-EG"/>
        </w:rPr>
        <w:t>الصناعة</w:t>
      </w:r>
      <w:r w:rsidRPr="00A54855">
        <w:rPr>
          <w:cs/>
          <w:lang w:bidi="ar-EG"/>
        </w:rPr>
        <w:t>‎</w:t>
      </w:r>
      <w:r>
        <w:rPr>
          <w:rFonts w:hint="cs"/>
          <w:rtl/>
          <w:cs/>
          <w:lang w:bidi="ar-EG"/>
        </w:rPr>
        <w:t>.</w:t>
      </w:r>
    </w:p>
    <w:p w14:paraId="3D6FDF5E" w14:textId="77777777" w:rsidR="000122F6" w:rsidRPr="0084619D" w:rsidRDefault="000122F6" w:rsidP="000122F6">
      <w:pPr>
        <w:pStyle w:val="Headingb"/>
      </w:pPr>
      <w:r>
        <w:rPr>
          <w:rFonts w:hint="cs"/>
          <w:rtl/>
          <w:lang w:val="en-GB"/>
        </w:rPr>
        <w:t>التوصيات</w:t>
      </w:r>
    </w:p>
    <w:p w14:paraId="07D8F0EE" w14:textId="77777777" w:rsidR="000122F6" w:rsidRPr="003B0AE1" w:rsidRDefault="000122F6" w:rsidP="000122F6">
      <w:pPr>
        <w:rPr>
          <w:lang w:bidi="ar-EG"/>
        </w:rPr>
      </w:pPr>
      <w:r w:rsidRPr="00FC06EF">
        <w:rPr>
          <w:rtl/>
          <w:lang w:bidi="ar-EG"/>
        </w:rPr>
        <w:t xml:space="preserve">‏خلال فترة انعقاد الجمعية، نود أن </w:t>
      </w:r>
      <w:r>
        <w:rPr>
          <w:rFonts w:hint="cs"/>
          <w:rtl/>
          <w:lang w:bidi="ar-EG"/>
        </w:rPr>
        <w:t>يُنظر</w:t>
      </w:r>
      <w:r w:rsidRPr="00FC06EF">
        <w:rPr>
          <w:rtl/>
          <w:lang w:bidi="ar-EG"/>
        </w:rPr>
        <w:t xml:space="preserve"> في جميع </w:t>
      </w:r>
      <w:r>
        <w:rPr>
          <w:rFonts w:hint="cs"/>
          <w:rtl/>
          <w:lang w:bidi="ar-EG"/>
        </w:rPr>
        <w:t>المواضيع</w:t>
      </w:r>
      <w:r w:rsidRPr="00FC06EF">
        <w:rPr>
          <w:rtl/>
          <w:lang w:bidi="ar-EG"/>
        </w:rPr>
        <w:t xml:space="preserve"> المرتبطة بالقضايا الاقتصادية والاجتماعية والبيئية </w:t>
      </w:r>
      <w:r>
        <w:rPr>
          <w:rFonts w:hint="cs"/>
          <w:rtl/>
          <w:lang w:bidi="ar-EG"/>
        </w:rPr>
        <w:t>للتقييس</w:t>
      </w:r>
      <w:r w:rsidRPr="00FC06EF">
        <w:rPr>
          <w:rtl/>
          <w:lang w:bidi="ar-EG"/>
        </w:rPr>
        <w:t xml:space="preserve"> </w:t>
      </w:r>
      <w:r>
        <w:rPr>
          <w:rFonts w:hint="cs"/>
          <w:rtl/>
          <w:lang w:bidi="ar-EG"/>
        </w:rPr>
        <w:t>بغية:</w:t>
      </w:r>
      <w:r w:rsidRPr="00FC06EF">
        <w:rPr>
          <w:cs/>
          <w:lang w:bidi="ar-EG"/>
        </w:rPr>
        <w:t>‎</w:t>
      </w:r>
    </w:p>
    <w:p w14:paraId="289F991A" w14:textId="77777777" w:rsidR="000122F6" w:rsidRPr="003B0AE1" w:rsidRDefault="000122F6" w:rsidP="000122F6">
      <w:pPr>
        <w:pStyle w:val="enumlev1"/>
        <w:rPr>
          <w:lang w:bidi="ar-EG"/>
        </w:rPr>
      </w:pPr>
      <w:r>
        <w:rPr>
          <w:lang w:bidi="ar-EG"/>
        </w:rPr>
        <w:t>1</w:t>
      </w:r>
      <w:r>
        <w:rPr>
          <w:lang w:bidi="ar-EG"/>
        </w:rPr>
        <w:tab/>
      </w:r>
      <w:r w:rsidRPr="00FC06EF">
        <w:rPr>
          <w:rtl/>
          <w:lang w:bidi="ar-EG"/>
        </w:rPr>
        <w:t xml:space="preserve">‏إذكاء الوعي بين أصحاب المصلحة من القطاعين العام والخاص بأهمية التقييس وضرورة بناء القدرات في هذا </w:t>
      </w:r>
      <w:proofErr w:type="gramStart"/>
      <w:r w:rsidRPr="00FC06EF">
        <w:rPr>
          <w:rtl/>
          <w:lang w:bidi="ar-EG"/>
        </w:rPr>
        <w:t>المجال؛</w:t>
      </w:r>
      <w:proofErr w:type="gramEnd"/>
      <w:r w:rsidRPr="00FC06EF">
        <w:rPr>
          <w:cs/>
          <w:lang w:bidi="ar-EG"/>
        </w:rPr>
        <w:t>‎</w:t>
      </w:r>
    </w:p>
    <w:p w14:paraId="0DC14E98" w14:textId="77777777" w:rsidR="000122F6" w:rsidRPr="003B0AE1" w:rsidRDefault="000122F6" w:rsidP="000122F6">
      <w:pPr>
        <w:pStyle w:val="enumlev1"/>
        <w:rPr>
          <w:lang w:bidi="ar-EG"/>
        </w:rPr>
      </w:pPr>
      <w:r>
        <w:rPr>
          <w:lang w:bidi="ar-EG"/>
        </w:rPr>
        <w:t>2</w:t>
      </w:r>
      <w:r>
        <w:rPr>
          <w:lang w:bidi="ar-EG"/>
        </w:rPr>
        <w:tab/>
      </w:r>
      <w:r w:rsidRPr="00FC06EF">
        <w:rPr>
          <w:rtl/>
          <w:lang w:bidi="ar-EG"/>
        </w:rPr>
        <w:t>‏تشجيع إدراج دورات</w:t>
      </w:r>
      <w:r>
        <w:rPr>
          <w:rFonts w:hint="cs"/>
          <w:rtl/>
          <w:lang w:bidi="ar-EG"/>
        </w:rPr>
        <w:t xml:space="preserve"> عن</w:t>
      </w:r>
      <w:r w:rsidRPr="00FC06EF">
        <w:rPr>
          <w:rtl/>
          <w:lang w:bidi="ar-EG"/>
        </w:rPr>
        <w:t xml:space="preserve"> التقييس في البرامج الجامعية للتعجيل بتنمية </w:t>
      </w:r>
      <w:proofErr w:type="gramStart"/>
      <w:r w:rsidRPr="00FC06EF">
        <w:rPr>
          <w:rtl/>
          <w:lang w:bidi="ar-EG"/>
        </w:rPr>
        <w:t>المهارات؛</w:t>
      </w:r>
      <w:proofErr w:type="gramEnd"/>
      <w:r w:rsidRPr="00FC06EF">
        <w:rPr>
          <w:cs/>
          <w:lang w:bidi="ar-EG"/>
        </w:rPr>
        <w:t>‎</w:t>
      </w:r>
    </w:p>
    <w:p w14:paraId="4BF0D005" w14:textId="77777777" w:rsidR="000122F6" w:rsidRPr="003B0AE1" w:rsidRDefault="000122F6" w:rsidP="000122F6">
      <w:pPr>
        <w:pStyle w:val="enumlev1"/>
        <w:rPr>
          <w:lang w:bidi="ar-EG"/>
        </w:rPr>
      </w:pPr>
      <w:r>
        <w:rPr>
          <w:lang w:bidi="ar-EG"/>
        </w:rPr>
        <w:t>3</w:t>
      </w:r>
      <w:r>
        <w:rPr>
          <w:lang w:bidi="ar-EG"/>
        </w:rPr>
        <w:tab/>
      </w:r>
      <w:r w:rsidRPr="00B9406B">
        <w:rPr>
          <w:rtl/>
          <w:lang w:bidi="ar-EG"/>
        </w:rPr>
        <w:t xml:space="preserve">‏تشجيع </w:t>
      </w:r>
      <w:r>
        <w:rPr>
          <w:rFonts w:hint="cs"/>
          <w:rtl/>
          <w:lang w:bidi="ar-EG"/>
        </w:rPr>
        <w:t>واضعي القرارات</w:t>
      </w:r>
      <w:r w:rsidRPr="00B9406B">
        <w:rPr>
          <w:rtl/>
          <w:lang w:bidi="ar-EG"/>
        </w:rPr>
        <w:t xml:space="preserve"> السياسية في البلدان النامية </w:t>
      </w:r>
      <w:r>
        <w:rPr>
          <w:rFonts w:hint="cs"/>
          <w:rtl/>
          <w:lang w:bidi="ar-EG"/>
        </w:rPr>
        <w:t>على</w:t>
      </w:r>
      <w:r w:rsidRPr="00B9406B">
        <w:rPr>
          <w:rtl/>
          <w:lang w:bidi="ar-EG"/>
        </w:rPr>
        <w:t xml:space="preserve"> دعم المبادرات الرامية إلى مواءمة أطرها </w:t>
      </w:r>
      <w:proofErr w:type="gramStart"/>
      <w:r w:rsidRPr="00B9406B">
        <w:rPr>
          <w:rtl/>
          <w:lang w:bidi="ar-EG"/>
        </w:rPr>
        <w:t>التنظيمية</w:t>
      </w:r>
      <w:r w:rsidRPr="00B9406B">
        <w:rPr>
          <w:cs/>
          <w:lang w:bidi="ar-EG"/>
        </w:rPr>
        <w:t>‎</w:t>
      </w:r>
      <w:r>
        <w:rPr>
          <w:rFonts w:hint="cs"/>
          <w:rtl/>
          <w:lang w:bidi="ar-EG"/>
        </w:rPr>
        <w:t>؛</w:t>
      </w:r>
      <w:proofErr w:type="gramEnd"/>
    </w:p>
    <w:p w14:paraId="70692F7F" w14:textId="77777777" w:rsidR="000122F6" w:rsidRPr="003B0AE1" w:rsidRDefault="000122F6" w:rsidP="000122F6">
      <w:pPr>
        <w:pStyle w:val="enumlev1"/>
        <w:rPr>
          <w:lang w:bidi="ar-EG"/>
        </w:rPr>
      </w:pPr>
      <w:r>
        <w:rPr>
          <w:lang w:bidi="ar-EG"/>
        </w:rPr>
        <w:t>4</w:t>
      </w:r>
      <w:r>
        <w:rPr>
          <w:lang w:bidi="ar-EG"/>
        </w:rPr>
        <w:tab/>
      </w:r>
      <w:r w:rsidRPr="00B9406B">
        <w:rPr>
          <w:rtl/>
          <w:lang w:bidi="ar-EG"/>
        </w:rPr>
        <w:t xml:space="preserve">‏مساعدة البلدان النامية في إنشاء هيئات وطنية </w:t>
      </w:r>
      <w:proofErr w:type="gramStart"/>
      <w:r w:rsidRPr="00B9406B">
        <w:rPr>
          <w:rtl/>
          <w:lang w:bidi="ar-EG"/>
        </w:rPr>
        <w:t>للتقييس؛</w:t>
      </w:r>
      <w:proofErr w:type="gramEnd"/>
      <w:r w:rsidRPr="00B9406B">
        <w:rPr>
          <w:cs/>
          <w:lang w:bidi="ar-EG"/>
        </w:rPr>
        <w:t>‎</w:t>
      </w:r>
    </w:p>
    <w:p w14:paraId="0E50199E" w14:textId="77777777" w:rsidR="000122F6" w:rsidRPr="003B0AE1" w:rsidRDefault="000122F6" w:rsidP="000122F6">
      <w:pPr>
        <w:pStyle w:val="enumlev1"/>
        <w:rPr>
          <w:rtl/>
        </w:rPr>
      </w:pPr>
      <w:r>
        <w:rPr>
          <w:lang w:bidi="ar-EG"/>
        </w:rPr>
        <w:t>5</w:t>
      </w:r>
      <w:r>
        <w:rPr>
          <w:lang w:bidi="ar-EG"/>
        </w:rPr>
        <w:tab/>
      </w:r>
      <w:r w:rsidRPr="00B9406B">
        <w:rPr>
          <w:rtl/>
          <w:lang w:bidi="ar-EG"/>
        </w:rPr>
        <w:t xml:space="preserve">‏عقد منتديات إقليمية ودولية لتسهيل إدماج البلدان النامية في عمليات التقييس </w:t>
      </w:r>
      <w:proofErr w:type="gramStart"/>
      <w:r w:rsidRPr="00B9406B">
        <w:rPr>
          <w:rtl/>
          <w:lang w:bidi="ar-EG"/>
        </w:rPr>
        <w:t>العالمية؛</w:t>
      </w:r>
      <w:proofErr w:type="gramEnd"/>
      <w:r w:rsidRPr="00B9406B">
        <w:rPr>
          <w:cs/>
          <w:lang w:bidi="ar-EG"/>
        </w:rPr>
        <w:t>‎</w:t>
      </w:r>
    </w:p>
    <w:p w14:paraId="31F38D41" w14:textId="77777777" w:rsidR="000122F6" w:rsidRPr="003B0AE1" w:rsidRDefault="000122F6" w:rsidP="000122F6">
      <w:pPr>
        <w:pStyle w:val="enumlev1"/>
        <w:rPr>
          <w:lang w:bidi="ar-EG"/>
        </w:rPr>
      </w:pPr>
      <w:r>
        <w:rPr>
          <w:lang w:bidi="ar-EG"/>
        </w:rPr>
        <w:t>6</w:t>
      </w:r>
      <w:r>
        <w:rPr>
          <w:lang w:bidi="ar-EG"/>
        </w:rPr>
        <w:tab/>
      </w:r>
      <w:r w:rsidRPr="00B9406B">
        <w:rPr>
          <w:rtl/>
          <w:lang w:bidi="ar-EG"/>
        </w:rPr>
        <w:t xml:space="preserve">‏تكثيف حملات التوعية بشأن أهمية المعايير فيما يتعلق بالحماية </w:t>
      </w:r>
      <w:proofErr w:type="gramStart"/>
      <w:r w:rsidRPr="00B9406B">
        <w:rPr>
          <w:rtl/>
          <w:lang w:bidi="ar-EG"/>
        </w:rPr>
        <w:t>البيئية؛</w:t>
      </w:r>
      <w:proofErr w:type="gramEnd"/>
      <w:r w:rsidRPr="00B9406B">
        <w:rPr>
          <w:cs/>
          <w:lang w:bidi="ar-EG"/>
        </w:rPr>
        <w:t>‎</w:t>
      </w:r>
    </w:p>
    <w:p w14:paraId="677EBBB2" w14:textId="77777777" w:rsidR="000122F6" w:rsidRPr="003B0AE1" w:rsidRDefault="000122F6" w:rsidP="000122F6">
      <w:pPr>
        <w:pStyle w:val="enumlev1"/>
      </w:pPr>
      <w:r>
        <w:rPr>
          <w:lang w:bidi="ar-EG"/>
        </w:rPr>
        <w:t>7</w:t>
      </w:r>
      <w:r>
        <w:rPr>
          <w:lang w:bidi="ar-EG"/>
        </w:rPr>
        <w:tab/>
      </w:r>
      <w:r w:rsidRPr="00B9406B">
        <w:rPr>
          <w:rtl/>
          <w:lang w:bidi="ar-EG"/>
        </w:rPr>
        <w:t xml:space="preserve">الاستثمار في البنى التحتية المستدامة للاتصالات التي </w:t>
      </w:r>
      <w:r>
        <w:rPr>
          <w:rFonts w:hint="cs"/>
          <w:rtl/>
          <w:lang w:bidi="ar-EG"/>
        </w:rPr>
        <w:t>تمتثل ل</w:t>
      </w:r>
      <w:r w:rsidRPr="00B9406B">
        <w:rPr>
          <w:rtl/>
          <w:lang w:bidi="ar-EG"/>
        </w:rPr>
        <w:t xml:space="preserve">لمعايير </w:t>
      </w:r>
      <w:proofErr w:type="gramStart"/>
      <w:r w:rsidRPr="00B9406B">
        <w:rPr>
          <w:rtl/>
          <w:lang w:bidi="ar-EG"/>
        </w:rPr>
        <w:t>الدولية</w:t>
      </w:r>
      <w:r>
        <w:rPr>
          <w:rFonts w:hint="cs"/>
          <w:rtl/>
          <w:lang w:bidi="ar-EG"/>
        </w:rPr>
        <w:t>؛</w:t>
      </w:r>
      <w:proofErr w:type="gramEnd"/>
    </w:p>
    <w:p w14:paraId="03F387A4" w14:textId="77777777" w:rsidR="000122F6" w:rsidRPr="003B0AE1" w:rsidRDefault="000122F6" w:rsidP="000122F6">
      <w:pPr>
        <w:pStyle w:val="enumlev1"/>
      </w:pPr>
      <w:r>
        <w:rPr>
          <w:lang w:bidi="ar-EG"/>
        </w:rPr>
        <w:t>8</w:t>
      </w:r>
      <w:r>
        <w:rPr>
          <w:lang w:bidi="ar-EG"/>
        </w:rPr>
        <w:tab/>
      </w:r>
      <w:r w:rsidRPr="000B7120">
        <w:rPr>
          <w:rtl/>
          <w:lang w:bidi="ar-EG"/>
        </w:rPr>
        <w:t>تعزيز الشمول الرقمي من خلال السياسات التي تيس</w:t>
      </w:r>
      <w:r>
        <w:rPr>
          <w:rFonts w:hint="cs"/>
          <w:rtl/>
          <w:lang w:bidi="ar-EG"/>
        </w:rPr>
        <w:t>ّ</w:t>
      </w:r>
      <w:r w:rsidRPr="000B7120">
        <w:rPr>
          <w:rtl/>
          <w:lang w:bidi="ar-EG"/>
        </w:rPr>
        <w:t>ر حصول المجتمعات المهمشة والريفية على خدمات الاتصالات بشكل متساوٍ مع غيرها</w:t>
      </w:r>
      <w:r>
        <w:rPr>
          <w:rFonts w:hint="cs"/>
          <w:rtl/>
          <w:lang w:bidi="ar-EG"/>
        </w:rPr>
        <w:t>.</w:t>
      </w:r>
    </w:p>
    <w:p w14:paraId="24157797" w14:textId="77777777" w:rsidR="007D76A3" w:rsidRPr="000122F6" w:rsidRDefault="007D76A3">
      <w:pPr>
        <w:pStyle w:val="Reasons"/>
      </w:pPr>
    </w:p>
    <w:sectPr w:rsidR="007D76A3" w:rsidRPr="000122F6">
      <w:headerReference w:type="even" r:id="rId15"/>
      <w:headerReference w:type="defaul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65AB2" w14:textId="77777777" w:rsidR="00DA4259" w:rsidRDefault="00DA4259" w:rsidP="002919E1">
      <w:r>
        <w:separator/>
      </w:r>
    </w:p>
    <w:p w14:paraId="5D0231E8" w14:textId="77777777" w:rsidR="00DA4259" w:rsidRDefault="00DA4259" w:rsidP="002919E1"/>
    <w:p w14:paraId="384189EB" w14:textId="77777777" w:rsidR="00DA4259" w:rsidRDefault="00DA4259" w:rsidP="002919E1"/>
    <w:p w14:paraId="4554C0C8" w14:textId="77777777" w:rsidR="00DA4259" w:rsidRDefault="00DA4259"/>
  </w:endnote>
  <w:endnote w:type="continuationSeparator" w:id="0">
    <w:p w14:paraId="15364E8C" w14:textId="77777777" w:rsidR="00DA4259" w:rsidRDefault="00DA4259" w:rsidP="002919E1">
      <w:r>
        <w:continuationSeparator/>
      </w:r>
    </w:p>
    <w:p w14:paraId="5F7000A9" w14:textId="77777777" w:rsidR="00DA4259" w:rsidRDefault="00DA4259" w:rsidP="002919E1"/>
    <w:p w14:paraId="66D64F40" w14:textId="77777777" w:rsidR="00DA4259" w:rsidRDefault="00DA4259" w:rsidP="002919E1"/>
    <w:p w14:paraId="46AB2DC1"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7F21D" w14:textId="77777777" w:rsidR="00DA4259" w:rsidRDefault="00DA4259" w:rsidP="002919E1">
      <w:r>
        <w:t>___________________</w:t>
      </w:r>
    </w:p>
  </w:footnote>
  <w:footnote w:type="continuationSeparator" w:id="0">
    <w:p w14:paraId="6DA7C003" w14:textId="77777777" w:rsidR="00DA4259" w:rsidRDefault="00DA4259" w:rsidP="002919E1">
      <w:r>
        <w:continuationSeparator/>
      </w:r>
    </w:p>
    <w:p w14:paraId="577E1BB0" w14:textId="77777777" w:rsidR="00DA4259" w:rsidRDefault="00DA4259" w:rsidP="002919E1"/>
    <w:p w14:paraId="1BF91EA8" w14:textId="77777777" w:rsidR="00DA4259" w:rsidRDefault="00DA4259" w:rsidP="002919E1"/>
    <w:p w14:paraId="3F19E634"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D39D5" w14:textId="77777777" w:rsidR="00281F5F" w:rsidRDefault="00281F5F" w:rsidP="002919E1"/>
  <w:p w14:paraId="68205234" w14:textId="77777777" w:rsidR="00281F5F" w:rsidRDefault="00281F5F" w:rsidP="002919E1"/>
  <w:p w14:paraId="3AFE8D1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126B" w14:textId="77777777" w:rsidR="00654230" w:rsidRPr="006175E7" w:rsidRDefault="006175E7" w:rsidP="00EB52D8">
    <w:pPr>
      <w:pStyle w:val="Header"/>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WTSA-24/52-A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77709231">
    <w:abstractNumId w:val="9"/>
  </w:num>
  <w:num w:numId="2" w16cid:durableId="1922441902">
    <w:abstractNumId w:val="13"/>
  </w:num>
  <w:num w:numId="3" w16cid:durableId="470754342">
    <w:abstractNumId w:val="10"/>
  </w:num>
  <w:num w:numId="4" w16cid:durableId="877662251">
    <w:abstractNumId w:val="14"/>
  </w:num>
  <w:num w:numId="5" w16cid:durableId="107166839">
    <w:abstractNumId w:val="7"/>
  </w:num>
  <w:num w:numId="6" w16cid:durableId="323053210">
    <w:abstractNumId w:val="6"/>
  </w:num>
  <w:num w:numId="7" w16cid:durableId="390078846">
    <w:abstractNumId w:val="5"/>
  </w:num>
  <w:num w:numId="8" w16cid:durableId="2072727330">
    <w:abstractNumId w:val="4"/>
  </w:num>
  <w:num w:numId="9" w16cid:durableId="1413814655">
    <w:abstractNumId w:val="8"/>
  </w:num>
  <w:num w:numId="10" w16cid:durableId="249320072">
    <w:abstractNumId w:val="3"/>
  </w:num>
  <w:num w:numId="11" w16cid:durableId="448863057">
    <w:abstractNumId w:val="2"/>
  </w:num>
  <w:num w:numId="12" w16cid:durableId="848056645">
    <w:abstractNumId w:val="1"/>
  </w:num>
  <w:num w:numId="13" w16cid:durableId="26027314">
    <w:abstractNumId w:val="0"/>
  </w:num>
  <w:num w:numId="14" w16cid:durableId="361514425">
    <w:abstractNumId w:val="11"/>
  </w:num>
  <w:num w:numId="15" w16cid:durableId="255797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22F6"/>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D76A3"/>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4987"/>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EC70F"/>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thiernosarifo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89d7e2e-c235-4cee-aaf9-2dbf65a9546d">DPM</DPM_x0020_Author>
    <DPM_x0020_File_x0020_name xmlns="a89d7e2e-c235-4cee-aaf9-2dbf65a9546d">T22-WTSA.24-C-0052!!MSW-A</DPM_x0020_File_x0020_name>
    <DPM_x0020_Version xmlns="a89d7e2e-c235-4cee-aaf9-2dbf65a9546d">DPM_2024.10.03.01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89d7e2e-c235-4cee-aaf9-2dbf65a9546d" targetNamespace="http://schemas.microsoft.com/office/2006/metadata/properties" ma:root="true" ma:fieldsID="d41af5c836d734370eb92e7ee5f83852" ns2:_="" ns3:_="">
    <xsd:import namespace="996b2e75-67fd-4955-a3b0-5ab9934cb50b"/>
    <xsd:import namespace="a89d7e2e-c235-4cee-aaf9-2dbf65a954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89d7e2e-c235-4cee-aaf9-2dbf65a954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d7e2e-c235-4cee-aaf9-2dbf65a9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89d7e2e-c235-4cee-aaf9-2dbf65a9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3479</Characters>
  <Application>Microsoft Office Word</Application>
  <DocSecurity>0</DocSecurity>
  <Lines>77</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T22-WTSA.24-C-0052!!MSW-A</dc:title>
  <dc:subject>World Telecommunication Standardization Assembly</dc:subject>
  <dc:creator>Documents Proposals Manager (DPM)</dc:creator>
  <cp:keywords>DPM_v2024.10.3.1_prod</cp:keywords>
  <dc:description>Template used by DPM and CPI for the WTSA-24</dc:description>
  <cp:lastModifiedBy>TSB - JB</cp:lastModifiedBy>
  <cp:revision>2</cp:revision>
  <cp:lastPrinted>2019-06-26T10:10:00Z</cp:lastPrinted>
  <dcterms:created xsi:type="dcterms:W3CDTF">2024-10-08T06:53:00Z</dcterms:created>
  <dcterms:modified xsi:type="dcterms:W3CDTF">2024-10-08T06:53:00Z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