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37"/>
        <w:gridCol w:w="4034"/>
        <w:gridCol w:w="1107"/>
        <w:gridCol w:w="1881"/>
        <w:gridCol w:w="1262"/>
      </w:tblGrid>
      <w:tr w:rsidR="00314F41" w:rsidRPr="00B344B6" w14:paraId="0F078B4D" w14:textId="77777777" w:rsidTr="00DB5D64">
        <w:trPr>
          <w:cantSplit/>
          <w:trHeight w:val="20"/>
        </w:trPr>
        <w:tc>
          <w:tcPr>
            <w:tcW w:w="1318" w:type="dxa"/>
          </w:tcPr>
          <w:p w14:paraId="3DD7272F" w14:textId="77777777" w:rsidR="00314F41" w:rsidRPr="00B344B6" w:rsidRDefault="00863FEE" w:rsidP="009D0810">
            <w:pPr>
              <w:rPr>
                <w:sz w:val="24"/>
                <w:szCs w:val="24"/>
                <w:rtl/>
              </w:rPr>
            </w:pPr>
            <w:r w:rsidRPr="00B344B6">
              <w:rPr>
                <w:noProof/>
              </w:rPr>
              <w:drawing>
                <wp:inline distT="0" distB="0" distL="0" distR="0" wp14:anchorId="4B511E34" wp14:editId="0200991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4"/>
          </w:tcPr>
          <w:p w14:paraId="0207134A"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647BAFDC"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78166AAE" w14:textId="77777777" w:rsidR="00314F41" w:rsidRPr="00B344B6" w:rsidRDefault="00314F41" w:rsidP="009D0810">
            <w:pPr>
              <w:rPr>
                <w:rtl/>
                <w:lang w:bidi="ar-EG"/>
              </w:rPr>
            </w:pPr>
            <w:r w:rsidRPr="00B344B6">
              <w:rPr>
                <w:noProof/>
                <w:lang w:eastAsia="zh-CN"/>
              </w:rPr>
              <w:drawing>
                <wp:inline distT="0" distB="0" distL="0" distR="0" wp14:anchorId="6BFEE0C6" wp14:editId="2C01F3B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6F2DAB4B" w14:textId="77777777" w:rsidTr="00DB5D64">
        <w:trPr>
          <w:cantSplit/>
          <w:trHeight w:val="20"/>
        </w:trPr>
        <w:tc>
          <w:tcPr>
            <w:tcW w:w="6496" w:type="dxa"/>
            <w:gridSpan w:val="4"/>
            <w:tcBorders>
              <w:bottom w:val="single" w:sz="12" w:space="0" w:color="auto"/>
            </w:tcBorders>
          </w:tcPr>
          <w:p w14:paraId="2F77C6A4"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210C47DD" w14:textId="77777777" w:rsidR="00280E04" w:rsidRPr="00B344B6" w:rsidRDefault="00280E04" w:rsidP="003309DA">
            <w:pPr>
              <w:spacing w:before="0" w:line="120" w:lineRule="auto"/>
              <w:rPr>
                <w:lang w:bidi="ar-EG"/>
              </w:rPr>
            </w:pPr>
          </w:p>
        </w:tc>
      </w:tr>
      <w:tr w:rsidR="00280E04" w:rsidRPr="00B344B6" w14:paraId="7D176ABE" w14:textId="77777777" w:rsidTr="00DB5D64">
        <w:trPr>
          <w:cantSplit/>
          <w:trHeight w:val="240"/>
        </w:trPr>
        <w:tc>
          <w:tcPr>
            <w:tcW w:w="6496" w:type="dxa"/>
            <w:gridSpan w:val="4"/>
            <w:tcBorders>
              <w:top w:val="single" w:sz="12" w:space="0" w:color="auto"/>
            </w:tcBorders>
          </w:tcPr>
          <w:p w14:paraId="46115D6C"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2339D7C5" w14:textId="77777777" w:rsidR="00280E04" w:rsidRPr="000B0891" w:rsidRDefault="00280E04" w:rsidP="000B0891">
            <w:pPr>
              <w:spacing w:before="0" w:line="240" w:lineRule="exact"/>
              <w:rPr>
                <w:rFonts w:eastAsia="SimSun"/>
                <w:b/>
                <w:bCs/>
              </w:rPr>
            </w:pPr>
          </w:p>
        </w:tc>
      </w:tr>
      <w:tr w:rsidR="00AD538E" w:rsidRPr="00B344B6" w14:paraId="31B14520" w14:textId="77777777" w:rsidTr="00DB5D64">
        <w:trPr>
          <w:cantSplit/>
        </w:trPr>
        <w:tc>
          <w:tcPr>
            <w:tcW w:w="6496" w:type="dxa"/>
            <w:gridSpan w:val="4"/>
          </w:tcPr>
          <w:p w14:paraId="0666F47C" w14:textId="77777777" w:rsidR="00AD538E" w:rsidRPr="0086713C" w:rsidRDefault="00D21D8E" w:rsidP="00D775DC">
            <w:pPr>
              <w:pStyle w:val="Committee"/>
              <w:framePr w:hSpace="0" w:wrap="auto" w:hAnchor="text" w:yAlign="inline"/>
              <w:bidi/>
              <w:spacing w:before="0" w:after="0" w:line="192" w:lineRule="auto"/>
              <w:rPr>
                <w:rtl/>
              </w:rPr>
            </w:pPr>
            <w:r w:rsidRPr="0086713C">
              <w:rPr>
                <w:rtl/>
              </w:rPr>
              <w:t>الجلسة العامة</w:t>
            </w:r>
          </w:p>
        </w:tc>
        <w:tc>
          <w:tcPr>
            <w:tcW w:w="3143" w:type="dxa"/>
            <w:gridSpan w:val="2"/>
          </w:tcPr>
          <w:p w14:paraId="36BDFD75" w14:textId="542AA03C" w:rsidR="00AD538E" w:rsidRPr="0086713C" w:rsidRDefault="00D775DC" w:rsidP="00D775DC">
            <w:pPr>
              <w:pStyle w:val="Docnumber"/>
              <w:bidi/>
              <w:spacing w:line="192" w:lineRule="auto"/>
              <w:rPr>
                <w:rtl/>
              </w:rPr>
            </w:pPr>
            <w:r w:rsidRPr="0086713C">
              <w:rPr>
                <w:rtl/>
              </w:rPr>
              <w:t xml:space="preserve">‏الوثيقة </w:t>
            </w:r>
            <w:r w:rsidRPr="0086713C">
              <w:rPr>
                <w:cs/>
              </w:rPr>
              <w:t>‎</w:t>
            </w:r>
            <w:r w:rsidRPr="0086713C">
              <w:t>50-A</w:t>
            </w:r>
            <w:r w:rsidRPr="0086713C">
              <w:rPr>
                <w:rtl/>
              </w:rPr>
              <w:t>‏</w:t>
            </w:r>
          </w:p>
        </w:tc>
      </w:tr>
      <w:tr w:rsidR="006175E7" w:rsidRPr="00B344B6" w14:paraId="794A73A3" w14:textId="77777777" w:rsidTr="00DB5D64">
        <w:trPr>
          <w:cantSplit/>
        </w:trPr>
        <w:tc>
          <w:tcPr>
            <w:tcW w:w="6496" w:type="dxa"/>
            <w:gridSpan w:val="4"/>
          </w:tcPr>
          <w:p w14:paraId="78B5AB5F" w14:textId="77777777" w:rsidR="006175E7" w:rsidRPr="0086713C" w:rsidRDefault="006175E7" w:rsidP="00D775DC">
            <w:pPr>
              <w:spacing w:before="0"/>
              <w:jc w:val="left"/>
              <w:rPr>
                <w:b/>
                <w:bCs/>
                <w:rtl/>
              </w:rPr>
            </w:pPr>
          </w:p>
        </w:tc>
        <w:tc>
          <w:tcPr>
            <w:tcW w:w="3143" w:type="dxa"/>
            <w:gridSpan w:val="2"/>
          </w:tcPr>
          <w:p w14:paraId="6C7C580A" w14:textId="77777777" w:rsidR="006175E7" w:rsidRPr="0086713C" w:rsidRDefault="00EC0AD3" w:rsidP="00D775DC">
            <w:pPr>
              <w:pStyle w:val="TopHeader"/>
              <w:bidi/>
              <w:spacing w:before="0" w:line="192" w:lineRule="auto"/>
              <w:rPr>
                <w:rFonts w:ascii="Dubai" w:hAnsi="Dubai" w:cs="Dubai"/>
                <w:sz w:val="22"/>
                <w:szCs w:val="22"/>
                <w:rtl/>
              </w:rPr>
            </w:pPr>
            <w:r w:rsidRPr="0086713C">
              <w:rPr>
                <w:rFonts w:ascii="Dubai" w:eastAsia="SimSun" w:hAnsi="Dubai" w:cs="Dubai"/>
                <w:sz w:val="22"/>
                <w:szCs w:val="22"/>
              </w:rPr>
              <w:t>23</w:t>
            </w:r>
            <w:r w:rsidRPr="0086713C">
              <w:rPr>
                <w:rFonts w:ascii="Dubai" w:eastAsia="SimSun" w:hAnsi="Dubai" w:cs="Dubai"/>
                <w:sz w:val="22"/>
                <w:szCs w:val="22"/>
                <w:rtl/>
              </w:rPr>
              <w:t xml:space="preserve"> سبتمبر </w:t>
            </w:r>
            <w:r w:rsidRPr="0086713C">
              <w:rPr>
                <w:rFonts w:ascii="Dubai" w:eastAsia="SimSun" w:hAnsi="Dubai" w:cs="Dubai"/>
                <w:sz w:val="22"/>
                <w:szCs w:val="22"/>
              </w:rPr>
              <w:t>2024</w:t>
            </w:r>
          </w:p>
        </w:tc>
      </w:tr>
      <w:tr w:rsidR="006175E7" w:rsidRPr="00B344B6" w14:paraId="653A812F" w14:textId="77777777" w:rsidTr="00DB5D64">
        <w:trPr>
          <w:cantSplit/>
        </w:trPr>
        <w:tc>
          <w:tcPr>
            <w:tcW w:w="6496" w:type="dxa"/>
            <w:gridSpan w:val="4"/>
          </w:tcPr>
          <w:p w14:paraId="384325BB" w14:textId="77777777" w:rsidR="006175E7" w:rsidRPr="0086713C" w:rsidRDefault="006175E7" w:rsidP="00D775DC">
            <w:pPr>
              <w:spacing w:before="0"/>
              <w:jc w:val="left"/>
              <w:rPr>
                <w:b/>
                <w:bCs/>
                <w:rtl/>
              </w:rPr>
            </w:pPr>
          </w:p>
        </w:tc>
        <w:tc>
          <w:tcPr>
            <w:tcW w:w="3143" w:type="dxa"/>
            <w:gridSpan w:val="2"/>
          </w:tcPr>
          <w:p w14:paraId="030B57F8" w14:textId="77777777" w:rsidR="006175E7" w:rsidRPr="0086713C" w:rsidRDefault="00EC0AD3" w:rsidP="00D775DC">
            <w:pPr>
              <w:pStyle w:val="TopHeader"/>
              <w:bidi/>
              <w:spacing w:before="0" w:line="192" w:lineRule="auto"/>
              <w:rPr>
                <w:rFonts w:ascii="Dubai" w:eastAsia="SimSun" w:hAnsi="Dubai" w:cs="Dubai"/>
                <w:sz w:val="22"/>
                <w:szCs w:val="22"/>
              </w:rPr>
            </w:pPr>
            <w:r w:rsidRPr="0086713C">
              <w:rPr>
                <w:rFonts w:ascii="Dubai" w:hAnsi="Dubai" w:cs="Dubai"/>
                <w:sz w:val="22"/>
                <w:szCs w:val="22"/>
                <w:rtl/>
              </w:rPr>
              <w:t>الأصل: بالإنكليزية</w:t>
            </w:r>
          </w:p>
        </w:tc>
      </w:tr>
      <w:tr w:rsidR="006175E7" w:rsidRPr="00B344B6" w14:paraId="5450A9EF" w14:textId="77777777" w:rsidTr="00DB5D64">
        <w:trPr>
          <w:cantSplit/>
        </w:trPr>
        <w:tc>
          <w:tcPr>
            <w:tcW w:w="9639" w:type="dxa"/>
            <w:gridSpan w:val="6"/>
          </w:tcPr>
          <w:p w14:paraId="107ADBD8" w14:textId="77777777" w:rsidR="006175E7" w:rsidRPr="009D0810" w:rsidRDefault="006175E7" w:rsidP="000B0891">
            <w:pPr>
              <w:spacing w:before="0" w:line="240" w:lineRule="exact"/>
              <w:rPr>
                <w:rFonts w:eastAsia="SimSun"/>
                <w:b/>
                <w:bCs/>
              </w:rPr>
            </w:pPr>
          </w:p>
        </w:tc>
      </w:tr>
      <w:tr w:rsidR="006175E7" w:rsidRPr="00B344B6" w14:paraId="0F8537C4" w14:textId="77777777" w:rsidTr="00DB5D64">
        <w:trPr>
          <w:cantSplit/>
        </w:trPr>
        <w:tc>
          <w:tcPr>
            <w:tcW w:w="9639" w:type="dxa"/>
            <w:gridSpan w:val="6"/>
          </w:tcPr>
          <w:p w14:paraId="35942611" w14:textId="77777777" w:rsidR="006175E7" w:rsidRPr="00B344B6" w:rsidRDefault="00D21D8E" w:rsidP="006175E7">
            <w:pPr>
              <w:pStyle w:val="Source"/>
              <w:rPr>
                <w:rtl/>
              </w:rPr>
            </w:pPr>
            <w:r w:rsidRPr="00D21D8E">
              <w:rPr>
                <w:rtl/>
              </w:rPr>
              <w:t>الولايات المتحدة الأمريكية</w:t>
            </w:r>
          </w:p>
        </w:tc>
      </w:tr>
      <w:tr w:rsidR="00D775DC" w:rsidRPr="00B344B6" w14:paraId="498E068C" w14:textId="77777777" w:rsidTr="00DB5D64">
        <w:trPr>
          <w:cantSplit/>
        </w:trPr>
        <w:tc>
          <w:tcPr>
            <w:tcW w:w="9639" w:type="dxa"/>
            <w:gridSpan w:val="6"/>
          </w:tcPr>
          <w:p w14:paraId="04B908AA" w14:textId="3540D1EB" w:rsidR="00D775DC" w:rsidRPr="00D21D8E" w:rsidRDefault="00D775DC" w:rsidP="00D775DC">
            <w:pPr>
              <w:pStyle w:val="Title1"/>
              <w:spacing w:before="240"/>
              <w:rPr>
                <w:rtl/>
              </w:rPr>
            </w:pPr>
            <w:r w:rsidRPr="00DB5D64">
              <w:rPr>
                <w:rtl/>
                <w:lang w:bidi="ar-SA"/>
              </w:rPr>
              <w:t>تعديلات ي</w:t>
            </w:r>
            <w:r w:rsidR="008D37BE">
              <w:rPr>
                <w:rFonts w:hint="cs"/>
                <w:rtl/>
                <w:lang w:bidi="ar-SA"/>
              </w:rPr>
              <w:t>ُ</w:t>
            </w:r>
            <w:r w:rsidRPr="00DB5D64">
              <w:rPr>
                <w:rtl/>
                <w:lang w:bidi="ar-SA"/>
              </w:rPr>
              <w:t xml:space="preserve">قترح إدخالها على القرار </w:t>
            </w:r>
            <w:r w:rsidRPr="00D21D8E">
              <w:rPr>
                <w:rtl/>
              </w:rPr>
              <w:t>2</w:t>
            </w:r>
          </w:p>
        </w:tc>
      </w:tr>
      <w:tr w:rsidR="00D775DC" w:rsidRPr="00B344B6" w14:paraId="11EB726B" w14:textId="77777777" w:rsidTr="00DB5D64">
        <w:trPr>
          <w:cantSplit/>
          <w:trHeight w:hRule="exact" w:val="240"/>
        </w:trPr>
        <w:tc>
          <w:tcPr>
            <w:tcW w:w="9639" w:type="dxa"/>
            <w:gridSpan w:val="6"/>
          </w:tcPr>
          <w:p w14:paraId="689E09D0" w14:textId="77777777" w:rsidR="00D775DC" w:rsidRPr="00B344B6" w:rsidRDefault="00D775DC" w:rsidP="00D775DC">
            <w:pPr>
              <w:pStyle w:val="Title2"/>
              <w:spacing w:before="240"/>
            </w:pPr>
          </w:p>
        </w:tc>
      </w:tr>
      <w:tr w:rsidR="00D775DC" w:rsidRPr="00B344B6" w14:paraId="2A39E45C" w14:textId="77777777" w:rsidTr="0086713C">
        <w:trPr>
          <w:cantSplit/>
          <w:trHeight w:hRule="exact" w:val="233"/>
        </w:trPr>
        <w:tc>
          <w:tcPr>
            <w:tcW w:w="9639" w:type="dxa"/>
            <w:gridSpan w:val="6"/>
          </w:tcPr>
          <w:p w14:paraId="10911E08" w14:textId="29CA70E6" w:rsidR="00D775DC" w:rsidRPr="00B344B6" w:rsidRDefault="00D775DC" w:rsidP="00D775DC">
            <w:pPr>
              <w:pStyle w:val="Agendaitem"/>
              <w:spacing w:before="0" w:after="0"/>
              <w:rPr>
                <w:rtl/>
              </w:rPr>
            </w:pPr>
          </w:p>
        </w:tc>
      </w:tr>
      <w:tr w:rsidR="00D775DC" w:rsidRPr="00B344B6" w14:paraId="110CCECA" w14:textId="77777777" w:rsidTr="008077A5">
        <w:tblPrEx>
          <w:tblLook w:val="04A0" w:firstRow="1" w:lastRow="0" w:firstColumn="1" w:lastColumn="0" w:noHBand="0" w:noVBand="1"/>
        </w:tblPrEx>
        <w:tc>
          <w:tcPr>
            <w:tcW w:w="1355" w:type="dxa"/>
            <w:gridSpan w:val="2"/>
            <w:shd w:val="clear" w:color="auto" w:fill="FFFFFF"/>
          </w:tcPr>
          <w:p w14:paraId="683CBCD4" w14:textId="77777777" w:rsidR="00D775DC" w:rsidRPr="00DB5D64" w:rsidRDefault="00D775DC" w:rsidP="00D775DC">
            <w:pPr>
              <w:rPr>
                <w:rFonts w:eastAsia="SimSun"/>
                <w:b/>
                <w:bCs/>
                <w:position w:val="2"/>
                <w:rtl/>
                <w:lang w:val="fr-FR" w:eastAsia="zh-CN" w:bidi="ar-EG"/>
              </w:rPr>
            </w:pPr>
            <w:r w:rsidRPr="00DB5D64">
              <w:rPr>
                <w:b/>
                <w:bCs/>
                <w:rtl/>
              </w:rPr>
              <w:t>ملخص:</w:t>
            </w:r>
          </w:p>
        </w:tc>
        <w:tc>
          <w:tcPr>
            <w:tcW w:w="8284" w:type="dxa"/>
            <w:gridSpan w:val="4"/>
            <w:shd w:val="clear" w:color="auto" w:fill="FFFFFF"/>
          </w:tcPr>
          <w:p w14:paraId="7D250A65" w14:textId="128340B2" w:rsidR="00D775DC" w:rsidRPr="00B344B6" w:rsidRDefault="00D775DC" w:rsidP="00D775DC">
            <w:pPr>
              <w:rPr>
                <w:rFonts w:eastAsia="SimSun"/>
                <w:position w:val="2"/>
                <w:rtl/>
                <w:lang w:val="fr-FR" w:eastAsia="zh-CN" w:bidi="ar-EG"/>
              </w:rPr>
            </w:pPr>
            <w:r w:rsidRPr="00A660BB">
              <w:rPr>
                <w:rtl/>
                <w:lang w:val="en-GB"/>
              </w:rPr>
              <w:t>تقدم الولايات المتحدة تعليقات على نص الجزء الثاني للجان الدراسات، أي لجنتي الدراسات 20 و13 وغيرهما، حسب الاقتضاء.</w:t>
            </w:r>
          </w:p>
        </w:tc>
      </w:tr>
      <w:tr w:rsidR="00D775DC" w:rsidRPr="00B344B6" w14:paraId="24548D91" w14:textId="77777777" w:rsidTr="008077A5">
        <w:tblPrEx>
          <w:tblLook w:val="04A0" w:firstRow="1" w:lastRow="0" w:firstColumn="1" w:lastColumn="0" w:noHBand="0" w:noVBand="1"/>
        </w:tblPrEx>
        <w:tc>
          <w:tcPr>
            <w:tcW w:w="1355" w:type="dxa"/>
            <w:gridSpan w:val="2"/>
            <w:shd w:val="clear" w:color="auto" w:fill="FFFFFF"/>
            <w:hideMark/>
          </w:tcPr>
          <w:p w14:paraId="3365C5DE" w14:textId="77777777" w:rsidR="00D775DC" w:rsidRPr="00DB5D64" w:rsidRDefault="00D775DC" w:rsidP="0086713C">
            <w:pPr>
              <w:spacing w:before="240"/>
              <w:jc w:val="left"/>
              <w:rPr>
                <w:rFonts w:eastAsia="SimSun"/>
                <w:b/>
                <w:bCs/>
                <w:position w:val="2"/>
                <w:lang w:val="en-GB" w:eastAsia="zh-CN"/>
              </w:rPr>
            </w:pPr>
            <w:r w:rsidRPr="00DB5D64">
              <w:rPr>
                <w:rFonts w:eastAsia="SimSun"/>
                <w:b/>
                <w:bCs/>
                <w:position w:val="2"/>
                <w:rtl/>
                <w:lang w:val="fr-FR" w:eastAsia="zh-CN" w:bidi="ar-EG"/>
              </w:rPr>
              <w:t>للاتصال:</w:t>
            </w:r>
          </w:p>
        </w:tc>
        <w:tc>
          <w:tcPr>
            <w:tcW w:w="4034" w:type="dxa"/>
            <w:shd w:val="clear" w:color="auto" w:fill="FFFFFF"/>
          </w:tcPr>
          <w:p w14:paraId="6264AF1C" w14:textId="3617144E" w:rsidR="00D775DC" w:rsidRPr="00B344B6" w:rsidRDefault="00D775DC" w:rsidP="0086713C">
            <w:pPr>
              <w:spacing w:before="240"/>
              <w:jc w:val="left"/>
              <w:rPr>
                <w:rFonts w:eastAsia="SimSun"/>
                <w:position w:val="2"/>
                <w:lang w:val="en-GB" w:eastAsia="zh-CN"/>
              </w:rPr>
            </w:pPr>
            <w:r w:rsidRPr="00A660BB">
              <w:t xml:space="preserve">Paul B. </w:t>
            </w:r>
            <w:proofErr w:type="spellStart"/>
            <w:r w:rsidRPr="00A660BB">
              <w:t>Najarian</w:t>
            </w:r>
            <w:proofErr w:type="spellEnd"/>
            <w:r>
              <w:rPr>
                <w:rtl/>
              </w:rPr>
              <w:br/>
            </w:r>
            <w:r>
              <w:rPr>
                <w:rFonts w:hint="cs"/>
                <w:rtl/>
                <w:lang w:val="en-GB"/>
              </w:rPr>
              <w:t>وزارة الخارجية الأمريكية</w:t>
            </w:r>
          </w:p>
        </w:tc>
        <w:tc>
          <w:tcPr>
            <w:tcW w:w="4250" w:type="dxa"/>
            <w:gridSpan w:val="3"/>
            <w:shd w:val="clear" w:color="auto" w:fill="FFFFFF"/>
          </w:tcPr>
          <w:p w14:paraId="4B9EC0BA" w14:textId="71CADB5D" w:rsidR="00D775DC" w:rsidRPr="00B344B6" w:rsidRDefault="00D775DC" w:rsidP="0086713C">
            <w:pPr>
              <w:spacing w:before="240"/>
              <w:jc w:val="left"/>
              <w:rPr>
                <w:rFonts w:eastAsia="SimSun"/>
                <w:position w:val="2"/>
                <w:lang w:eastAsia="zh-CN"/>
              </w:rPr>
            </w:pPr>
            <w:r w:rsidRPr="00B344B6">
              <w:rPr>
                <w:rFonts w:eastAsia="SimSun"/>
                <w:position w:val="2"/>
                <w:rtl/>
                <w:lang w:val="fr-FR" w:eastAsia="zh-CN" w:bidi="ar-EG"/>
              </w:rPr>
              <w:t>البريد الإلكتروني:</w:t>
            </w:r>
            <w:r>
              <w:tab/>
            </w:r>
            <w:hyperlink r:id="rId14" w:history="1">
              <w:r w:rsidRPr="0071707B">
                <w:rPr>
                  <w:rStyle w:val="Hyperlink"/>
                  <w:rFonts w:eastAsia="SimSun"/>
                  <w:position w:val="2"/>
                  <w:lang w:val="en-GB" w:eastAsia="zh-CN" w:bidi="ar-EG"/>
                </w:rPr>
                <w:t>najarianpb@state.gov</w:t>
              </w:r>
            </w:hyperlink>
          </w:p>
        </w:tc>
      </w:tr>
    </w:tbl>
    <w:p w14:paraId="7F68E931" w14:textId="77777777" w:rsidR="0012545F" w:rsidRPr="00B344B6" w:rsidRDefault="0012545F">
      <w:pPr>
        <w:bidi w:val="0"/>
        <w:spacing w:before="0" w:line="240" w:lineRule="auto"/>
        <w:jc w:val="left"/>
        <w:rPr>
          <w:rtl/>
        </w:rPr>
      </w:pPr>
      <w:r w:rsidRPr="00B344B6">
        <w:rPr>
          <w:rtl/>
        </w:rPr>
        <w:br w:type="page"/>
      </w:r>
    </w:p>
    <w:p w14:paraId="76C6FAAD" w14:textId="77777777" w:rsidR="00EE1B1D" w:rsidRDefault="008E7846">
      <w:pPr>
        <w:pStyle w:val="Proposal"/>
      </w:pPr>
      <w:r>
        <w:lastRenderedPageBreak/>
        <w:tab/>
        <w:t>USA/50/1</w:t>
      </w:r>
    </w:p>
    <w:p w14:paraId="4A8BC50B" w14:textId="77777777" w:rsidR="00346303" w:rsidRPr="00341DD0" w:rsidRDefault="008E7846" w:rsidP="00341DD0">
      <w:pPr>
        <w:pStyle w:val="Volumetitle"/>
        <w:rPr>
          <w:rtl/>
        </w:rPr>
      </w:pPr>
      <w:r>
        <w:rPr>
          <w:rFonts w:hint="cs"/>
          <w:rtl/>
        </w:rPr>
        <w:t>مسائل عامة</w:t>
      </w:r>
    </w:p>
    <w:p w14:paraId="63D40D51" w14:textId="7C438F28" w:rsidR="00086CFA" w:rsidRDefault="00A660BB" w:rsidP="00086CFA">
      <w:pPr>
        <w:rPr>
          <w:rtl/>
        </w:rPr>
      </w:pPr>
      <w:r w:rsidRPr="00A660BB">
        <w:rPr>
          <w:rtl/>
        </w:rPr>
        <w:t>تقدم الولايات المتحدة، في هذه المساهمة، تعليقات وسبيلاً للمضي قدماً بشأن عدد من القضايا العالقة أو غير المحسومة بعد إزاء نص الجزء الثاني لبعض لجان الدراسات.</w:t>
      </w:r>
    </w:p>
    <w:p w14:paraId="791E4EEA" w14:textId="4251BD13" w:rsidR="00086CFA" w:rsidRPr="00086CFA" w:rsidRDefault="00086CFA" w:rsidP="00086CFA">
      <w:pPr>
        <w:pStyle w:val="Headingb"/>
        <w:rPr>
          <w:u w:val="single"/>
          <w:rtl/>
        </w:rPr>
      </w:pPr>
      <w:r w:rsidRPr="00086CFA">
        <w:rPr>
          <w:rFonts w:hint="cs"/>
          <w:u w:val="single"/>
          <w:rtl/>
        </w:rPr>
        <w:t>لجنة الدراسات 20</w:t>
      </w:r>
    </w:p>
    <w:p w14:paraId="69F59F78" w14:textId="63D2CC17" w:rsidR="00A660BB" w:rsidRDefault="00A660BB" w:rsidP="00E854D2">
      <w:pPr>
        <w:rPr>
          <w:rtl/>
        </w:rPr>
      </w:pPr>
      <w:r w:rsidRPr="00A660BB">
        <w:rPr>
          <w:rtl/>
        </w:rPr>
        <w:t>تتمسك الولايات المتحدة بموقفها الثابت بأن لجنة الدراسات 17 هي مركز امتياز في مجال الأمن، بما في ذلك توحيد المواضيع والأنشطة الأمنية.</w:t>
      </w:r>
    </w:p>
    <w:p w14:paraId="369DF8C9" w14:textId="79A8991D" w:rsidR="00A660BB" w:rsidRPr="00A660BB" w:rsidRDefault="00A660BB" w:rsidP="00E854D2">
      <w:pPr>
        <w:rPr>
          <w:b/>
          <w:bCs/>
          <w:rtl/>
        </w:rPr>
      </w:pPr>
      <w:r w:rsidRPr="00A660BB">
        <w:rPr>
          <w:rtl/>
        </w:rPr>
        <w:t xml:space="preserve">وبناءً على ذلك، تطلب الولايات المتحدة إلى الجمعية معالجة الشواغل التي أثيرت إزاء استمرار المسألة </w:t>
      </w:r>
      <w:r w:rsidRPr="00A660BB">
        <w:t>C/20</w:t>
      </w:r>
      <w:r w:rsidRPr="00A660BB">
        <w:rPr>
          <w:rtl/>
        </w:rPr>
        <w:t xml:space="preserve"> بشأن "الأمن</w:t>
      </w:r>
      <w:r w:rsidR="00E854D2" w:rsidRPr="00852372">
        <w:rPr>
          <w:rFonts w:hint="cs"/>
          <w:rtl/>
        </w:rPr>
        <w:t> </w:t>
      </w:r>
      <w:r w:rsidRPr="00A660BB">
        <w:rPr>
          <w:rtl/>
        </w:rPr>
        <w:t>والخصوصية والموثوقية وتحديد الهوية في إنترنت الأشياء والمدن والمجتمعات الذكية المستدامة" داخل لجنة الدراسات</w:t>
      </w:r>
      <w:r w:rsidR="00E92CD1">
        <w:rPr>
          <w:rFonts w:hint="cs"/>
          <w:rtl/>
        </w:rPr>
        <w:t> </w:t>
      </w:r>
      <w:r w:rsidRPr="00A660BB">
        <w:rPr>
          <w:rtl/>
        </w:rPr>
        <w:t xml:space="preserve">20 (التي تتجاوز بكثير اختصاصها)، على النحو المبين في الوثيقة </w:t>
      </w:r>
      <w:hyperlink r:id="rId15" w:history="1">
        <w:r w:rsidRPr="00A660BB">
          <w:rPr>
            <w:rStyle w:val="Hyperlink"/>
          </w:rPr>
          <w:t>WTSA-24-Doc.22</w:t>
        </w:r>
      </w:hyperlink>
      <w:r w:rsidRPr="00A660BB">
        <w:rPr>
          <w:rtl/>
        </w:rPr>
        <w:t>.</w:t>
      </w:r>
    </w:p>
    <w:p w14:paraId="618EFE10" w14:textId="0AFA9FF1" w:rsidR="00A660BB" w:rsidRPr="00A660BB" w:rsidRDefault="00A660BB" w:rsidP="00E854D2">
      <w:pPr>
        <w:rPr>
          <w:b/>
          <w:bCs/>
          <w:rtl/>
        </w:rPr>
      </w:pPr>
      <w:r w:rsidRPr="00A660BB">
        <w:rPr>
          <w:rtl/>
        </w:rPr>
        <w:t>وت</w:t>
      </w:r>
      <w:r w:rsidR="00E92CD1">
        <w:rPr>
          <w:rFonts w:hint="cs"/>
          <w:rtl/>
        </w:rPr>
        <w:t>ُ</w:t>
      </w:r>
      <w:r w:rsidRPr="00A660BB">
        <w:rPr>
          <w:rtl/>
        </w:rPr>
        <w:t xml:space="preserve">شير الولايات المتحدة أيضاً إلى أن المسألة </w:t>
      </w:r>
      <w:r w:rsidRPr="00A660BB">
        <w:t>C/20</w:t>
      </w:r>
      <w:r w:rsidRPr="00A660BB">
        <w:rPr>
          <w:rtl/>
        </w:rPr>
        <w:t xml:space="preserve"> توسعت لتشمل "أمن </w:t>
      </w:r>
      <w:proofErr w:type="spellStart"/>
      <w:r w:rsidRPr="00A660BB">
        <w:rPr>
          <w:rtl/>
        </w:rPr>
        <w:t>الميتافيرس</w:t>
      </w:r>
      <w:proofErr w:type="spellEnd"/>
      <w:r w:rsidRPr="00A660BB">
        <w:rPr>
          <w:rtl/>
        </w:rPr>
        <w:t>"، في حين أن الفريق الاستشاري لتقييس الاتصالات أسند هذا الموضوع بوضوح إلى لجنة الدراسات</w:t>
      </w:r>
      <w:r w:rsidR="00E92CD1">
        <w:rPr>
          <w:rFonts w:hint="cs"/>
          <w:rtl/>
        </w:rPr>
        <w:t> </w:t>
      </w:r>
      <w:r w:rsidRPr="00A660BB">
        <w:rPr>
          <w:rtl/>
        </w:rPr>
        <w:t xml:space="preserve">17 لقطاع تقييس الاتصالات لإجراء دراسة أولية في إطار نقل النواتج المنبثقة عن الفريق المتخصص المعني </w:t>
      </w:r>
      <w:proofErr w:type="spellStart"/>
      <w:r w:rsidRPr="00A660BB">
        <w:rPr>
          <w:rtl/>
        </w:rPr>
        <w:t>بالميتافيرس</w:t>
      </w:r>
      <w:proofErr w:type="spellEnd"/>
      <w:r w:rsidRPr="00A660BB">
        <w:rPr>
          <w:rtl/>
        </w:rPr>
        <w:t xml:space="preserve">. وينبغي أن تمتنع لجنة الدراسات 20 عن إجراء أي دراسات بشأن "أمن </w:t>
      </w:r>
      <w:proofErr w:type="spellStart"/>
      <w:r w:rsidRPr="00A660BB">
        <w:rPr>
          <w:rtl/>
        </w:rPr>
        <w:t>الميتافيرس</w:t>
      </w:r>
      <w:proofErr w:type="spellEnd"/>
      <w:r w:rsidRPr="00A660BB">
        <w:rPr>
          <w:rtl/>
        </w:rPr>
        <w:t xml:space="preserve">" وتطبيقاته. وتقترح الولايات المتحدة إزالة وحذف عبارة "أمن </w:t>
      </w:r>
      <w:proofErr w:type="spellStart"/>
      <w:r w:rsidRPr="00A660BB">
        <w:rPr>
          <w:rtl/>
        </w:rPr>
        <w:t>الميتافيرس</w:t>
      </w:r>
      <w:proofErr w:type="spellEnd"/>
      <w:r w:rsidRPr="00A660BB">
        <w:rPr>
          <w:rtl/>
        </w:rPr>
        <w:t xml:space="preserve">" من المسألة </w:t>
      </w:r>
      <w:r w:rsidRPr="00A660BB">
        <w:t>C/20</w:t>
      </w:r>
      <w:r w:rsidRPr="00A660BB">
        <w:rPr>
          <w:rtl/>
        </w:rPr>
        <w:t>.</w:t>
      </w:r>
    </w:p>
    <w:p w14:paraId="173B5841" w14:textId="77777777" w:rsidR="00A660BB" w:rsidRDefault="00A660BB" w:rsidP="00E854D2">
      <w:pPr>
        <w:rPr>
          <w:b/>
          <w:bCs/>
          <w:rtl/>
        </w:rPr>
      </w:pPr>
      <w:r w:rsidRPr="00A660BB">
        <w:rPr>
          <w:rtl/>
        </w:rPr>
        <w:t>وإذ تدرك الولايات المتحدة بأن النقل المفاجئ والفوري لأي مسألة بين لجان الدراسات قد يؤدي إلى تعطيل، بما في ذلك نقل بنود العمل القائمة (فضلاً عن المحررين ومقدمي المساهمين التابعين لها) والقيادة (منها المقررون والمقررون المعاونون) والمشاركون، تقترح الولايات المتحدة السبيل التالي للمضي قدماً:</w:t>
      </w:r>
    </w:p>
    <w:p w14:paraId="4B4F73DF" w14:textId="474AB608" w:rsidR="00A660BB" w:rsidRPr="00A660BB" w:rsidRDefault="00A660BB" w:rsidP="00E854D2">
      <w:pPr>
        <w:rPr>
          <w:b/>
          <w:bCs/>
          <w:rtl/>
        </w:rPr>
      </w:pPr>
      <w:r w:rsidRPr="00E854D2">
        <w:rPr>
          <w:b/>
          <w:bCs/>
          <w:i/>
          <w:iCs/>
          <w:rtl/>
        </w:rPr>
        <w:t>السبيل المقترح للمضي قدماً</w:t>
      </w:r>
      <w:r w:rsidRPr="00E854D2">
        <w:rPr>
          <w:b/>
          <w:bCs/>
          <w:rtl/>
        </w:rPr>
        <w:t>:</w:t>
      </w:r>
      <w:r w:rsidRPr="00A660BB">
        <w:rPr>
          <w:rtl/>
        </w:rPr>
        <w:t xml:space="preserve"> الطلب إلى الجمعية أن تكلف لجنتي الدراسات 17 و20 بإنشاء آلية مشتركة للتنسيق أو للاتفاق بين لجان الدراسات بغية تحديد خط فاصل بشأن موضوع أمن إنترنت الأشياء وتحديد هوية إنترنت الأشياء، توافق عليها لجنتا الدراسات كلتاهما. وبالإضافة إلى ذلك، تلتمس الولايات المتحدة إلى الجمعية أن تدرج لجنة الدراسات 2 في هذه التعليمات الموجهة إلى لجان الدراسات من أجل معالجة مسألة تحديد هوية إنترنت الأشياء ذات الصلة.</w:t>
      </w:r>
    </w:p>
    <w:p w14:paraId="7D25C22B" w14:textId="2715CA3B" w:rsidR="00A660BB" w:rsidRDefault="00A660BB" w:rsidP="00E854D2">
      <w:pPr>
        <w:rPr>
          <w:b/>
          <w:bCs/>
          <w:rtl/>
        </w:rPr>
      </w:pPr>
      <w:r w:rsidRPr="00A660BB">
        <w:rPr>
          <w:rtl/>
        </w:rPr>
        <w:t>وتذك</w:t>
      </w:r>
      <w:r w:rsidR="00E97D6A">
        <w:rPr>
          <w:rFonts w:hint="cs"/>
          <w:rtl/>
        </w:rPr>
        <w:t>ِّ</w:t>
      </w:r>
      <w:r w:rsidRPr="00A660BB">
        <w:rPr>
          <w:rtl/>
        </w:rPr>
        <w:t>ر الولايات المتحدة الجمعية بأن اتفاق تنسيق مشابهاً أُبرم في السابق بين لجان الدراسات 2 و13 و17 بشأن موضوع إدارة الحوسبة السحابية (</w:t>
      </w:r>
      <w:r w:rsidRPr="00A660BB">
        <w:t>CCM</w:t>
      </w:r>
      <w:r w:rsidRPr="00A660BB">
        <w:rPr>
          <w:rtl/>
        </w:rPr>
        <w:t>)، وبين لجنتي الدراسات 13 و17 بشأن أمن الحوسبة السحابية. وأدت هذه الآليات، بما فيها الخطوط الفاصلة الواضحة، إلى إحراز تقدم ناجح في مجال الحوسبة السحابية في جميع لجان الدراسات. ومن الواضح أن هناك حاجة إلى نهج مماثل لأمن إنترنت الأشياء وتحديد هوية إنترنت الأشياء.</w:t>
      </w:r>
    </w:p>
    <w:p w14:paraId="2FE04191" w14:textId="5AB56D0F" w:rsidR="00086CFA" w:rsidRPr="00086CFA" w:rsidRDefault="00086CFA" w:rsidP="00A660BB">
      <w:pPr>
        <w:pStyle w:val="Headingb"/>
        <w:rPr>
          <w:u w:val="single"/>
          <w:rtl/>
        </w:rPr>
      </w:pPr>
      <w:r w:rsidRPr="00086CFA">
        <w:rPr>
          <w:rFonts w:hint="cs"/>
          <w:u w:val="single"/>
          <w:rtl/>
        </w:rPr>
        <w:t>لجنة الدراسات 13</w:t>
      </w:r>
    </w:p>
    <w:p w14:paraId="4E5A652F" w14:textId="146AC770" w:rsidR="00A660BB" w:rsidRPr="00A660BB" w:rsidRDefault="00A660BB" w:rsidP="00E854D2">
      <w:pPr>
        <w:rPr>
          <w:b/>
          <w:bCs/>
          <w:rtl/>
        </w:rPr>
      </w:pPr>
      <w:r w:rsidRPr="00A660BB">
        <w:rPr>
          <w:rtl/>
        </w:rPr>
        <w:t>نذكِّر الجمعية بأن اعتراضات</w:t>
      </w:r>
      <w:r w:rsidR="00E97D6A">
        <w:rPr>
          <w:rFonts w:hint="cs"/>
          <w:rtl/>
        </w:rPr>
        <w:t xml:space="preserve"> كندا و</w:t>
      </w:r>
      <w:r w:rsidRPr="00A660BB">
        <w:rPr>
          <w:rtl/>
        </w:rPr>
        <w:t xml:space="preserve">المملكة المتحدة والولايات المتحدة مذكورة بوضوح في الوثيقة </w:t>
      </w:r>
      <w:hyperlink r:id="rId16" w:history="1">
        <w:r w:rsidRPr="00A660BB">
          <w:rPr>
            <w:rStyle w:val="Hyperlink"/>
          </w:rPr>
          <w:t>WTSA-24-Doc.14</w:t>
        </w:r>
      </w:hyperlink>
      <w:r w:rsidRPr="00A660BB">
        <w:rPr>
          <w:rtl/>
        </w:rPr>
        <w:t xml:space="preserve"> فيما يتعلق بإنشاء المسألة </w:t>
      </w:r>
      <w:r w:rsidRPr="00A660BB">
        <w:t>N/13</w:t>
      </w:r>
      <w:r w:rsidRPr="00A660BB">
        <w:rPr>
          <w:rtl/>
        </w:rPr>
        <w:t xml:space="preserve"> بشأن "البنى التحتية الموثوقة لتكنولوجيا المعلومات والاتصالات (</w:t>
      </w:r>
      <w:r w:rsidRPr="00A660BB">
        <w:rPr>
          <w:cs/>
        </w:rPr>
        <w:t>‎</w:t>
      </w:r>
      <w:r w:rsidRPr="00A660BB">
        <w:t>ICT</w:t>
      </w:r>
      <w:r w:rsidRPr="00A660BB">
        <w:rPr>
          <w:rtl/>
        </w:rPr>
        <w:t xml:space="preserve">) ‏وتطبيقاتها بما في ذلك </w:t>
      </w:r>
      <w:r w:rsidRPr="00A660BB">
        <w:rPr>
          <w:cs/>
        </w:rPr>
        <w:t>‎</w:t>
      </w:r>
      <w:r w:rsidRPr="00A660BB">
        <w:t>Web 3.0</w:t>
      </w:r>
      <w:r w:rsidRPr="00A660BB">
        <w:rPr>
          <w:rtl/>
        </w:rPr>
        <w:t>"، وكذلك بشأن موضوع "الثقة" وموضوع "الجدارة بالثقة".</w:t>
      </w:r>
    </w:p>
    <w:p w14:paraId="05135DEC" w14:textId="2A8DE376" w:rsidR="00A660BB" w:rsidRPr="00A660BB" w:rsidRDefault="00A660BB" w:rsidP="00E854D2">
      <w:pPr>
        <w:rPr>
          <w:b/>
          <w:bCs/>
          <w:rtl/>
        </w:rPr>
      </w:pPr>
      <w:r w:rsidRPr="00A660BB">
        <w:rPr>
          <w:rtl/>
        </w:rPr>
        <w:t xml:space="preserve">وتتمسك الولايات المتحدة بموقفها الثابت بأنه لا ينبغي طرح المسألة </w:t>
      </w:r>
      <w:r w:rsidRPr="00A660BB">
        <w:t>N/13</w:t>
      </w:r>
      <w:r w:rsidRPr="00A660BB">
        <w:rPr>
          <w:rtl/>
        </w:rPr>
        <w:t xml:space="preserve"> أثناء انعقاد الجمعية، لأن بنود كثيرة لا</w:t>
      </w:r>
      <w:r w:rsidR="00E97D6A">
        <w:rPr>
          <w:rFonts w:hint="cs"/>
          <w:rtl/>
        </w:rPr>
        <w:t> </w:t>
      </w:r>
      <w:r w:rsidRPr="00A660BB">
        <w:rPr>
          <w:rtl/>
        </w:rPr>
        <w:t>تزال دون حل. وعوضاً عن ذلك، تقترح الولايات المتحدة السبيل التالي للمضي قدماً:</w:t>
      </w:r>
    </w:p>
    <w:p w14:paraId="46C6341F" w14:textId="7C84A6AB" w:rsidR="00A660BB" w:rsidRPr="00A660BB" w:rsidRDefault="00A660BB" w:rsidP="00E854D2">
      <w:pPr>
        <w:rPr>
          <w:b/>
          <w:bCs/>
          <w:rtl/>
        </w:rPr>
      </w:pPr>
      <w:r w:rsidRPr="00E854D2">
        <w:rPr>
          <w:b/>
          <w:bCs/>
          <w:i/>
          <w:iCs/>
          <w:rtl/>
        </w:rPr>
        <w:t>السبيل المقترح للمضي قدماً</w:t>
      </w:r>
      <w:r w:rsidRPr="00A660BB">
        <w:rPr>
          <w:i/>
          <w:iCs/>
          <w:rtl/>
        </w:rPr>
        <w:t xml:space="preserve">: </w:t>
      </w:r>
      <w:r w:rsidRPr="00A660BB">
        <w:rPr>
          <w:rtl/>
        </w:rPr>
        <w:t>تقترح الولايات المتحدة أن تكلف الجمعية لجان دراسات قطاع تقييس الاتصالات، أي لجان الدراسات 13 و17 و20، بإنشاء آلية تنسيق من أجل التداول بشأن موضوع "الثقة" (بما في ذلك المعلومات الموثوقة) و"الجدارة بالثقة". وقد يتطلب هذا التنسيق نهجاً شمولياً في جميع لجان الدراسات ذات الصلة أو المعنية، بما في ذلك من خلال الفريق الاستشاري لتقييس الاتصالات.</w:t>
      </w:r>
    </w:p>
    <w:p w14:paraId="23D6A7F0" w14:textId="77777777" w:rsidR="00A660BB" w:rsidRDefault="00A660BB" w:rsidP="00E97D6A">
      <w:pPr>
        <w:rPr>
          <w:b/>
          <w:bCs/>
          <w:rtl/>
        </w:rPr>
      </w:pPr>
      <w:r w:rsidRPr="00A660BB">
        <w:rPr>
          <w:rtl/>
        </w:rPr>
        <w:t xml:space="preserve">وبناءً على ذلك، لا ينبغي النظر في المسألة </w:t>
      </w:r>
      <w:r w:rsidRPr="00A660BB">
        <w:t>N/13</w:t>
      </w:r>
      <w:r w:rsidRPr="00A660BB">
        <w:rPr>
          <w:rtl/>
        </w:rPr>
        <w:t xml:space="preserve"> كي توافق عليها الجمعية.</w:t>
      </w:r>
    </w:p>
    <w:p w14:paraId="038122DB" w14:textId="7CF572F5" w:rsidR="00086CFA" w:rsidRPr="00086CFA" w:rsidRDefault="00086CFA" w:rsidP="00A660BB">
      <w:pPr>
        <w:pStyle w:val="Headingb"/>
        <w:rPr>
          <w:u w:val="single"/>
          <w:rtl/>
        </w:rPr>
      </w:pPr>
      <w:r>
        <w:rPr>
          <w:rFonts w:hint="cs"/>
          <w:u w:val="single"/>
          <w:rtl/>
        </w:rPr>
        <w:lastRenderedPageBreak/>
        <w:t>لجان الدراسات الأخرى</w:t>
      </w:r>
    </w:p>
    <w:p w14:paraId="5B41D44A" w14:textId="0B864D8F" w:rsidR="00A660BB" w:rsidRPr="00A660BB" w:rsidRDefault="00A660BB" w:rsidP="00E97D6A">
      <w:pPr>
        <w:rPr>
          <w:b/>
          <w:bCs/>
          <w:rtl/>
        </w:rPr>
      </w:pPr>
      <w:r w:rsidRPr="00A660BB">
        <w:rPr>
          <w:rtl/>
        </w:rPr>
        <w:t>ت</w:t>
      </w:r>
      <w:r w:rsidR="00E97D6A">
        <w:rPr>
          <w:rFonts w:hint="cs"/>
          <w:rtl/>
        </w:rPr>
        <w:t>ُ</w:t>
      </w:r>
      <w:r w:rsidRPr="00A660BB">
        <w:rPr>
          <w:rtl/>
        </w:rPr>
        <w:t>شير الولايات المتحدة إلى أن نص الجزأين الأول والثاني لبعض لجان الدراسات (مثل لجنة الدراسات 5 وغيرها) لم يُنشر بعد (حتى 16 سبتمبر 2024) على الرغم من اقتراب الموعد النهائي لتقديم المساهمات.</w:t>
      </w:r>
    </w:p>
    <w:p w14:paraId="7093A200" w14:textId="3A5A2417" w:rsidR="00A660BB" w:rsidRPr="00A660BB" w:rsidRDefault="00A660BB" w:rsidP="00E97D6A">
      <w:pPr>
        <w:rPr>
          <w:b/>
          <w:bCs/>
          <w:rtl/>
        </w:rPr>
      </w:pPr>
      <w:r w:rsidRPr="00A660BB">
        <w:rPr>
          <w:rtl/>
        </w:rPr>
        <w:t>وتحتفظ الولايات المتحدة بموقفها وستقد</w:t>
      </w:r>
      <w:r w:rsidR="00E97D6A">
        <w:rPr>
          <w:rFonts w:hint="cs"/>
          <w:rtl/>
        </w:rPr>
        <w:t>ّ</w:t>
      </w:r>
      <w:r w:rsidRPr="00A660BB">
        <w:rPr>
          <w:rtl/>
        </w:rPr>
        <w:t>م تعليقات إضافية في الجمعية حسب الاقتضاء.</w:t>
      </w:r>
    </w:p>
    <w:p w14:paraId="3E14B5C2" w14:textId="70888BDF" w:rsidR="00086CFA" w:rsidRDefault="00A660BB" w:rsidP="00E97D6A">
      <w:pPr>
        <w:rPr>
          <w:b/>
          <w:bCs/>
        </w:rPr>
      </w:pPr>
      <w:r w:rsidRPr="00A660BB">
        <w:rPr>
          <w:rtl/>
        </w:rPr>
        <w:t xml:space="preserve">وعلى وجه التحديد، تود الولايات المتحدة أن تدرس النص الكامل للجنة الدراسات </w:t>
      </w:r>
      <w:r w:rsidRPr="00A660BB">
        <w:t>C</w:t>
      </w:r>
      <w:r w:rsidRPr="00A660BB">
        <w:rPr>
          <w:rtl/>
        </w:rPr>
        <w:t xml:space="preserve"> المدمجة حديثاً (لجنتا الدراسات 9 و16)</w:t>
      </w:r>
      <w:r w:rsidR="00E854D2">
        <w:rPr>
          <w:rFonts w:hint="cs"/>
          <w:rtl/>
        </w:rPr>
        <w:t xml:space="preserve"> </w:t>
      </w:r>
      <w:r w:rsidRPr="00A660BB">
        <w:rPr>
          <w:rtl/>
        </w:rPr>
        <w:t xml:space="preserve">- وهو غير متاح حالياً في صفحة مساهمات مدخلات للجمعية </w:t>
      </w:r>
      <w:r w:rsidRPr="00A660BB">
        <w:t>WTSA-24</w:t>
      </w:r>
      <w:r w:rsidR="000B274A">
        <w:rPr>
          <w:rFonts w:hint="cs"/>
          <w:rtl/>
        </w:rPr>
        <w:t xml:space="preserve"> </w:t>
      </w:r>
      <w:r w:rsidRPr="00A660BB">
        <w:rPr>
          <w:rtl/>
        </w:rPr>
        <w:t>- قبل الموافقة النهائية عليه.</w:t>
      </w:r>
    </w:p>
    <w:p w14:paraId="4CDE6ECA" w14:textId="77777777" w:rsidR="00E854D2" w:rsidRPr="00E854D2" w:rsidRDefault="00E854D2" w:rsidP="00E854D2">
      <w:pPr>
        <w:pStyle w:val="Reasons"/>
      </w:pPr>
    </w:p>
    <w:sectPr w:rsidR="00E854D2" w:rsidRPr="00E854D2" w:rsidSect="00D775DC">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9E47" w14:textId="77777777" w:rsidR="00996065" w:rsidRDefault="00996065" w:rsidP="002919E1">
      <w:r>
        <w:separator/>
      </w:r>
    </w:p>
    <w:p w14:paraId="5B2604E6" w14:textId="77777777" w:rsidR="00996065" w:rsidRDefault="00996065" w:rsidP="002919E1"/>
    <w:p w14:paraId="5C96D61A" w14:textId="77777777" w:rsidR="00996065" w:rsidRDefault="00996065" w:rsidP="002919E1"/>
    <w:p w14:paraId="21A08887" w14:textId="77777777" w:rsidR="00996065" w:rsidRDefault="00996065"/>
  </w:endnote>
  <w:endnote w:type="continuationSeparator" w:id="0">
    <w:p w14:paraId="3D0EDBCA" w14:textId="77777777" w:rsidR="00996065" w:rsidRDefault="00996065" w:rsidP="002919E1">
      <w:r>
        <w:continuationSeparator/>
      </w:r>
    </w:p>
    <w:p w14:paraId="7E12B470" w14:textId="77777777" w:rsidR="00996065" w:rsidRDefault="00996065" w:rsidP="002919E1"/>
    <w:p w14:paraId="2EA127A5" w14:textId="77777777" w:rsidR="00996065" w:rsidRDefault="00996065" w:rsidP="002919E1"/>
    <w:p w14:paraId="777AC1A0" w14:textId="77777777" w:rsidR="00996065" w:rsidRDefault="00996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8B28" w14:textId="77777777" w:rsidR="00D775DC" w:rsidRDefault="00D77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D39B" w14:textId="77777777" w:rsidR="00D775DC" w:rsidRDefault="00D77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830C" w14:textId="77777777" w:rsidR="00D775DC" w:rsidRDefault="00D77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F562E" w14:textId="77777777" w:rsidR="00996065" w:rsidRDefault="00996065" w:rsidP="002919E1">
      <w:r>
        <w:t>___________________</w:t>
      </w:r>
    </w:p>
  </w:footnote>
  <w:footnote w:type="continuationSeparator" w:id="0">
    <w:p w14:paraId="39F8873B" w14:textId="77777777" w:rsidR="00996065" w:rsidRDefault="00996065" w:rsidP="002919E1">
      <w:r>
        <w:continuationSeparator/>
      </w:r>
    </w:p>
    <w:p w14:paraId="0E68A293" w14:textId="77777777" w:rsidR="00996065" w:rsidRDefault="00996065" w:rsidP="002919E1"/>
    <w:p w14:paraId="5F31A775" w14:textId="77777777" w:rsidR="00996065" w:rsidRDefault="00996065" w:rsidP="002919E1"/>
    <w:p w14:paraId="0EF22D57" w14:textId="77777777" w:rsidR="00996065" w:rsidRDefault="00996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3AAD" w14:textId="77777777" w:rsidR="00281F5F" w:rsidRPr="00D775DC" w:rsidRDefault="00281F5F" w:rsidP="002919E1"/>
  <w:p w14:paraId="1D9ACAB8" w14:textId="77777777" w:rsidR="00281F5F" w:rsidRPr="00D775DC"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C321" w14:textId="77777777" w:rsidR="00654230" w:rsidRPr="00D775DC" w:rsidRDefault="006175E7" w:rsidP="007108CC">
    <w:pPr>
      <w:pStyle w:val="Header"/>
      <w:spacing w:after="120"/>
      <w:rPr>
        <w:sz w:val="18"/>
        <w:szCs w:val="18"/>
      </w:rPr>
    </w:pPr>
    <w:r w:rsidRPr="00D775DC">
      <w:rPr>
        <w:sz w:val="18"/>
        <w:szCs w:val="18"/>
      </w:rPr>
      <w:fldChar w:fldCharType="begin"/>
    </w:r>
    <w:r w:rsidRPr="00D775DC">
      <w:rPr>
        <w:sz w:val="18"/>
        <w:szCs w:val="18"/>
      </w:rPr>
      <w:instrText xml:space="preserve"> PAGE  \* MERGEFORMAT </w:instrText>
    </w:r>
    <w:r w:rsidRPr="00D775DC">
      <w:rPr>
        <w:sz w:val="18"/>
        <w:szCs w:val="18"/>
      </w:rPr>
      <w:fldChar w:fldCharType="separate"/>
    </w:r>
    <w:r w:rsidRPr="00D775DC">
      <w:rPr>
        <w:sz w:val="18"/>
        <w:szCs w:val="18"/>
      </w:rPr>
      <w:t>2</w:t>
    </w:r>
    <w:r w:rsidRPr="00D775DC">
      <w:rPr>
        <w:sz w:val="18"/>
        <w:szCs w:val="18"/>
      </w:rPr>
      <w:fldChar w:fldCharType="end"/>
    </w:r>
    <w:r w:rsidR="00EB52D8" w:rsidRPr="00D775DC">
      <w:rPr>
        <w:sz w:val="18"/>
        <w:szCs w:val="18"/>
      </w:rPr>
      <w:br/>
    </w:r>
    <w:r w:rsidR="00966FA2" w:rsidRPr="00D775DC">
      <w:rPr>
        <w:sz w:val="18"/>
        <w:szCs w:val="18"/>
      </w:rPr>
      <w:t>WTSA-24/50-A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25B1" w14:textId="77777777" w:rsidR="00D775DC" w:rsidRPr="00D775DC" w:rsidRDefault="00D77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8826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C039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B869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E004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B221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779108444">
    <w:abstractNumId w:val="9"/>
  </w:num>
  <w:num w:numId="2" w16cid:durableId="1868055904">
    <w:abstractNumId w:val="13"/>
  </w:num>
  <w:num w:numId="3" w16cid:durableId="1793209617">
    <w:abstractNumId w:val="10"/>
  </w:num>
  <w:num w:numId="4" w16cid:durableId="844129237">
    <w:abstractNumId w:val="14"/>
  </w:num>
  <w:num w:numId="5" w16cid:durableId="1063064281">
    <w:abstractNumId w:val="7"/>
  </w:num>
  <w:num w:numId="6" w16cid:durableId="553659084">
    <w:abstractNumId w:val="6"/>
  </w:num>
  <w:num w:numId="7" w16cid:durableId="580605027">
    <w:abstractNumId w:val="5"/>
  </w:num>
  <w:num w:numId="8" w16cid:durableId="211425162">
    <w:abstractNumId w:val="4"/>
  </w:num>
  <w:num w:numId="9" w16cid:durableId="2076194966">
    <w:abstractNumId w:val="8"/>
  </w:num>
  <w:num w:numId="10" w16cid:durableId="1413309807">
    <w:abstractNumId w:val="3"/>
  </w:num>
  <w:num w:numId="11" w16cid:durableId="51467965">
    <w:abstractNumId w:val="2"/>
  </w:num>
  <w:num w:numId="12" w16cid:durableId="194542431">
    <w:abstractNumId w:val="1"/>
  </w:num>
  <w:num w:numId="13" w16cid:durableId="2125036596">
    <w:abstractNumId w:val="0"/>
  </w:num>
  <w:num w:numId="14" w16cid:durableId="498039296">
    <w:abstractNumId w:val="11"/>
  </w:num>
  <w:num w:numId="15" w16cid:durableId="601767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14A1"/>
    <w:rsid w:val="00032741"/>
    <w:rsid w:val="00034B65"/>
    <w:rsid w:val="00040C94"/>
    <w:rsid w:val="000425FC"/>
    <w:rsid w:val="00044D43"/>
    <w:rsid w:val="00051907"/>
    <w:rsid w:val="00075A3F"/>
    <w:rsid w:val="00086CFA"/>
    <w:rsid w:val="000A1B16"/>
    <w:rsid w:val="000A3F81"/>
    <w:rsid w:val="000B0891"/>
    <w:rsid w:val="000B274A"/>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B5953"/>
    <w:rsid w:val="001C31F8"/>
    <w:rsid w:val="001D746E"/>
    <w:rsid w:val="001E190C"/>
    <w:rsid w:val="001E51EE"/>
    <w:rsid w:val="001E54F6"/>
    <w:rsid w:val="001E5A8C"/>
    <w:rsid w:val="00201A0A"/>
    <w:rsid w:val="002075D4"/>
    <w:rsid w:val="00211B2A"/>
    <w:rsid w:val="00223C6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B7DBD"/>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66B2A"/>
    <w:rsid w:val="00470CBD"/>
    <w:rsid w:val="0047407D"/>
    <w:rsid w:val="00485F9E"/>
    <w:rsid w:val="00486B2B"/>
    <w:rsid w:val="004909DD"/>
    <w:rsid w:val="004A05E6"/>
    <w:rsid w:val="004A6230"/>
    <w:rsid w:val="004A6C66"/>
    <w:rsid w:val="004A7AA0"/>
    <w:rsid w:val="004C11BC"/>
    <w:rsid w:val="004C5C04"/>
    <w:rsid w:val="004D0448"/>
    <w:rsid w:val="004D4AE6"/>
    <w:rsid w:val="004E2A5D"/>
    <w:rsid w:val="00500DC2"/>
    <w:rsid w:val="00502B5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06D"/>
    <w:rsid w:val="0065562F"/>
    <w:rsid w:val="0066267D"/>
    <w:rsid w:val="00670C11"/>
    <w:rsid w:val="006721D9"/>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08CC"/>
    <w:rsid w:val="00716B1D"/>
    <w:rsid w:val="0071707B"/>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2372"/>
    <w:rsid w:val="0085569D"/>
    <w:rsid w:val="00855B59"/>
    <w:rsid w:val="0085774F"/>
    <w:rsid w:val="008614B8"/>
    <w:rsid w:val="00863FEE"/>
    <w:rsid w:val="008657CB"/>
    <w:rsid w:val="0086713C"/>
    <w:rsid w:val="00873A6F"/>
    <w:rsid w:val="0088384B"/>
    <w:rsid w:val="00884282"/>
    <w:rsid w:val="008879AE"/>
    <w:rsid w:val="00891434"/>
    <w:rsid w:val="00893E53"/>
    <w:rsid w:val="008A1137"/>
    <w:rsid w:val="008A1788"/>
    <w:rsid w:val="008A1E64"/>
    <w:rsid w:val="008A3E57"/>
    <w:rsid w:val="008A4185"/>
    <w:rsid w:val="008A4847"/>
    <w:rsid w:val="008A6552"/>
    <w:rsid w:val="008B4E93"/>
    <w:rsid w:val="008B52B7"/>
    <w:rsid w:val="008C3818"/>
    <w:rsid w:val="008D37BE"/>
    <w:rsid w:val="008D6ACC"/>
    <w:rsid w:val="008D7AF0"/>
    <w:rsid w:val="008E1A32"/>
    <w:rsid w:val="008E2CBE"/>
    <w:rsid w:val="008E32DD"/>
    <w:rsid w:val="008E7846"/>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7766D"/>
    <w:rsid w:val="00996065"/>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019"/>
    <w:rsid w:val="00A33A95"/>
    <w:rsid w:val="00A3451F"/>
    <w:rsid w:val="00A3584A"/>
    <w:rsid w:val="00A35E1F"/>
    <w:rsid w:val="00A36268"/>
    <w:rsid w:val="00A375BD"/>
    <w:rsid w:val="00A40B2C"/>
    <w:rsid w:val="00A42ADC"/>
    <w:rsid w:val="00A5053E"/>
    <w:rsid w:val="00A65EC8"/>
    <w:rsid w:val="00A660BB"/>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606BA"/>
    <w:rsid w:val="00B63EAC"/>
    <w:rsid w:val="00B66817"/>
    <w:rsid w:val="00B672BD"/>
    <w:rsid w:val="00B71E3B"/>
    <w:rsid w:val="00B721D5"/>
    <w:rsid w:val="00B775AF"/>
    <w:rsid w:val="00B804D4"/>
    <w:rsid w:val="00B81CB5"/>
    <w:rsid w:val="00B8351F"/>
    <w:rsid w:val="00B86C44"/>
    <w:rsid w:val="00B933AA"/>
    <w:rsid w:val="00B946B6"/>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63B49"/>
    <w:rsid w:val="00D775DC"/>
    <w:rsid w:val="00D8121C"/>
    <w:rsid w:val="00D81703"/>
    <w:rsid w:val="00D82929"/>
    <w:rsid w:val="00D84214"/>
    <w:rsid w:val="00D84385"/>
    <w:rsid w:val="00D943E5"/>
    <w:rsid w:val="00D94BB8"/>
    <w:rsid w:val="00DA1AE0"/>
    <w:rsid w:val="00DA4259"/>
    <w:rsid w:val="00DB5D64"/>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81D40"/>
    <w:rsid w:val="00E833BC"/>
    <w:rsid w:val="00E854D2"/>
    <w:rsid w:val="00E8580E"/>
    <w:rsid w:val="00E92CD1"/>
    <w:rsid w:val="00E97D6A"/>
    <w:rsid w:val="00E97E21"/>
    <w:rsid w:val="00EA1B76"/>
    <w:rsid w:val="00EA77D7"/>
    <w:rsid w:val="00EB52D8"/>
    <w:rsid w:val="00EC09B9"/>
    <w:rsid w:val="00EC0AD3"/>
    <w:rsid w:val="00ED048C"/>
    <w:rsid w:val="00EE1B1D"/>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205788"/>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styleId="UnresolvedMention">
    <w:name w:val="Unresolved Mention"/>
    <w:basedOn w:val="DefaultParagraphFont"/>
    <w:uiPriority w:val="99"/>
    <w:semiHidden/>
    <w:unhideWhenUsed/>
    <w:rsid w:val="00717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T22-WTSA.24-C-0014/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tu.int/md/T22-WTSA.24-C-0022/e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jarianpb@state.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115b993-d4c4-4566-988f-ba1bb34cc2ac" targetNamespace="http://schemas.microsoft.com/office/2006/metadata/properties" ma:root="true" ma:fieldsID="d41af5c836d734370eb92e7ee5f83852" ns2:_="" ns3:_="">
    <xsd:import namespace="996b2e75-67fd-4955-a3b0-5ab9934cb50b"/>
    <xsd:import namespace="7115b993-d4c4-4566-988f-ba1bb34cc2a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115b993-d4c4-4566-988f-ba1bb34cc2a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7115b993-d4c4-4566-988f-ba1bb34cc2ac">DPM</DPM_x0020_Author>
    <DPM_x0020_File_x0020_name xmlns="7115b993-d4c4-4566-988f-ba1bb34cc2ac">T22-WTSA.24-C-0050!!MSW-A</DPM_x0020_File_x0020_name>
    <DPM_x0020_Version xmlns="7115b993-d4c4-4566-988f-ba1bb34cc2ac">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115b993-d4c4-4566-988f-ba1bb34cc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115b993-d4c4-4566-988f-ba1bb34cc2ac"/>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630</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T22-WTSA.24-C-0050!!MSW-A</vt:lpstr>
    </vt:vector>
  </TitlesOfParts>
  <Manager>General Secretariat - Pool</Manager>
  <Company>International Telecommunication Union (ITU)</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T22-WTSA.24-C-0050!!MSW-A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6</cp:revision>
  <cp:lastPrinted>2019-06-26T10:10:00Z</cp:lastPrinted>
  <dcterms:created xsi:type="dcterms:W3CDTF">2024-10-01T14:29:00Z</dcterms:created>
  <dcterms:modified xsi:type="dcterms:W3CDTF">2024-10-02T08:09:00Z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