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571"/>
        <w:gridCol w:w="310"/>
        <w:gridCol w:w="1262"/>
      </w:tblGrid>
      <w:tr w:rsidR="00314F41" w:rsidRPr="00B344B6" w14:paraId="0DB4F7E8" w14:textId="77777777" w:rsidTr="00EB3022">
        <w:trPr>
          <w:cantSplit/>
          <w:trHeight w:val="20"/>
        </w:trPr>
        <w:tc>
          <w:tcPr>
            <w:tcW w:w="1318" w:type="dxa"/>
          </w:tcPr>
          <w:p w14:paraId="5BF2F6AD" w14:textId="77777777" w:rsidR="00314F41" w:rsidRPr="00B344B6" w:rsidRDefault="00863FEE" w:rsidP="009D0810">
            <w:pPr>
              <w:rPr>
                <w:sz w:val="24"/>
                <w:szCs w:val="24"/>
                <w:rtl/>
              </w:rPr>
            </w:pPr>
            <w:r w:rsidRPr="00B344B6">
              <w:rPr>
                <w:noProof/>
              </w:rPr>
              <w:drawing>
                <wp:inline distT="0" distB="0" distL="0" distR="0" wp14:anchorId="117ACFDC" wp14:editId="2F84F54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3"/>
          </w:tcPr>
          <w:p w14:paraId="12EE267D"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5474281"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9CF3870" w14:textId="77777777" w:rsidR="00314F41" w:rsidRPr="00B344B6" w:rsidRDefault="00314F41" w:rsidP="009D0810">
            <w:pPr>
              <w:rPr>
                <w:rtl/>
                <w:lang w:bidi="ar-EG"/>
              </w:rPr>
            </w:pPr>
            <w:r w:rsidRPr="00B344B6">
              <w:rPr>
                <w:noProof/>
                <w:lang w:eastAsia="zh-CN"/>
              </w:rPr>
              <w:drawing>
                <wp:inline distT="0" distB="0" distL="0" distR="0" wp14:anchorId="1AC17949" wp14:editId="0B56A19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5C45A14A" w14:textId="77777777" w:rsidTr="00EB3022">
        <w:trPr>
          <w:cantSplit/>
          <w:trHeight w:val="20"/>
        </w:trPr>
        <w:tc>
          <w:tcPr>
            <w:tcW w:w="6496" w:type="dxa"/>
            <w:gridSpan w:val="2"/>
            <w:tcBorders>
              <w:bottom w:val="single" w:sz="12" w:space="0" w:color="auto"/>
            </w:tcBorders>
          </w:tcPr>
          <w:p w14:paraId="7297433D" w14:textId="77777777" w:rsidR="00280E04" w:rsidRPr="00B344B6" w:rsidRDefault="00280E04" w:rsidP="003309DA">
            <w:pPr>
              <w:spacing w:before="0" w:line="120" w:lineRule="auto"/>
              <w:rPr>
                <w:rtl/>
                <w:lang w:bidi="ar-EG"/>
              </w:rPr>
            </w:pPr>
          </w:p>
        </w:tc>
        <w:tc>
          <w:tcPr>
            <w:tcW w:w="3143" w:type="dxa"/>
            <w:gridSpan w:val="3"/>
            <w:tcBorders>
              <w:bottom w:val="single" w:sz="12" w:space="0" w:color="auto"/>
            </w:tcBorders>
          </w:tcPr>
          <w:p w14:paraId="2FFB71B3" w14:textId="77777777" w:rsidR="00280E04" w:rsidRPr="00B344B6" w:rsidRDefault="00280E04" w:rsidP="003309DA">
            <w:pPr>
              <w:spacing w:before="0" w:line="120" w:lineRule="auto"/>
              <w:rPr>
                <w:lang w:bidi="ar-EG"/>
              </w:rPr>
            </w:pPr>
          </w:p>
        </w:tc>
      </w:tr>
      <w:tr w:rsidR="00280E04" w:rsidRPr="00B344B6" w14:paraId="7CF28A80" w14:textId="77777777" w:rsidTr="00EB3022">
        <w:trPr>
          <w:cantSplit/>
          <w:trHeight w:val="240"/>
        </w:trPr>
        <w:tc>
          <w:tcPr>
            <w:tcW w:w="6496" w:type="dxa"/>
            <w:gridSpan w:val="2"/>
            <w:tcBorders>
              <w:top w:val="single" w:sz="12" w:space="0" w:color="auto"/>
            </w:tcBorders>
          </w:tcPr>
          <w:p w14:paraId="764975BC" w14:textId="77777777" w:rsidR="00280E04" w:rsidRPr="000B0891" w:rsidRDefault="00280E04" w:rsidP="000B0891">
            <w:pPr>
              <w:spacing w:before="0" w:line="240" w:lineRule="exact"/>
              <w:rPr>
                <w:rFonts w:eastAsia="SimSun"/>
                <w:b/>
                <w:bCs/>
                <w:rtl/>
              </w:rPr>
            </w:pPr>
          </w:p>
        </w:tc>
        <w:tc>
          <w:tcPr>
            <w:tcW w:w="3143" w:type="dxa"/>
            <w:gridSpan w:val="3"/>
            <w:tcBorders>
              <w:top w:val="single" w:sz="12" w:space="0" w:color="auto"/>
            </w:tcBorders>
          </w:tcPr>
          <w:p w14:paraId="7B36B60A" w14:textId="77777777" w:rsidR="00280E04" w:rsidRPr="000B0891" w:rsidRDefault="00280E04" w:rsidP="000B0891">
            <w:pPr>
              <w:spacing w:before="0" w:line="240" w:lineRule="exact"/>
              <w:rPr>
                <w:rFonts w:eastAsia="SimSun"/>
                <w:b/>
                <w:bCs/>
              </w:rPr>
            </w:pPr>
          </w:p>
        </w:tc>
      </w:tr>
      <w:tr w:rsidR="0041772E" w:rsidRPr="00B344B6" w14:paraId="0CFBF64E" w14:textId="77777777" w:rsidTr="005264BA">
        <w:trPr>
          <w:cantSplit/>
        </w:trPr>
        <w:tc>
          <w:tcPr>
            <w:tcW w:w="6496" w:type="dxa"/>
            <w:gridSpan w:val="2"/>
          </w:tcPr>
          <w:p w14:paraId="7FB84DDA" w14:textId="77777777" w:rsidR="0041772E" w:rsidRPr="00EB3022" w:rsidRDefault="0041772E" w:rsidP="0041772E">
            <w:pPr>
              <w:pStyle w:val="Committee"/>
              <w:framePr w:hSpace="0" w:wrap="auto" w:hAnchor="text" w:yAlign="inline"/>
              <w:bidi/>
              <w:spacing w:before="0" w:after="0" w:line="192" w:lineRule="auto"/>
              <w:rPr>
                <w:rtl/>
              </w:rPr>
            </w:pPr>
            <w:r w:rsidRPr="00EB3022">
              <w:rPr>
                <w:rtl/>
              </w:rPr>
              <w:t>الجلسة العامة</w:t>
            </w:r>
          </w:p>
        </w:tc>
        <w:tc>
          <w:tcPr>
            <w:tcW w:w="1571" w:type="dxa"/>
          </w:tcPr>
          <w:p w14:paraId="6FC61389" w14:textId="233DE92B" w:rsidR="0041772E" w:rsidRPr="00EB3022" w:rsidRDefault="0041772E" w:rsidP="0041772E">
            <w:pPr>
              <w:pStyle w:val="Docnumber"/>
              <w:bidi/>
              <w:spacing w:line="192" w:lineRule="auto"/>
            </w:pPr>
            <w:r>
              <w:rPr>
                <w:rFonts w:hint="cs"/>
                <w:sz w:val="20"/>
                <w:szCs w:val="20"/>
                <w:rtl/>
              </w:rPr>
              <w:t>الوثيقة</w:t>
            </w:r>
          </w:p>
        </w:tc>
        <w:tc>
          <w:tcPr>
            <w:tcW w:w="1572" w:type="dxa"/>
            <w:gridSpan w:val="2"/>
          </w:tcPr>
          <w:p w14:paraId="5C8FA00D" w14:textId="5AEA4CD6" w:rsidR="0041772E" w:rsidRPr="00EB3022" w:rsidRDefault="0041772E" w:rsidP="0041772E">
            <w:pPr>
              <w:pStyle w:val="Docnumber"/>
              <w:tabs>
                <w:tab w:val="clear" w:pos="1134"/>
              </w:tabs>
              <w:bidi/>
              <w:spacing w:line="192" w:lineRule="auto"/>
              <w:ind w:right="539"/>
            </w:pPr>
            <w:r>
              <w:rPr>
                <w:lang w:val="en-US"/>
              </w:rPr>
              <w:t>42-A</w:t>
            </w:r>
          </w:p>
        </w:tc>
      </w:tr>
      <w:tr w:rsidR="006175E7" w:rsidRPr="00B344B6" w14:paraId="4F5A14C6" w14:textId="77777777" w:rsidTr="00EB3022">
        <w:trPr>
          <w:cantSplit/>
        </w:trPr>
        <w:tc>
          <w:tcPr>
            <w:tcW w:w="6496" w:type="dxa"/>
            <w:gridSpan w:val="2"/>
          </w:tcPr>
          <w:p w14:paraId="3924D12C" w14:textId="77777777" w:rsidR="006175E7" w:rsidRPr="00EB3022" w:rsidRDefault="006175E7" w:rsidP="00EB3022">
            <w:pPr>
              <w:spacing w:before="0"/>
              <w:jc w:val="left"/>
              <w:rPr>
                <w:b/>
                <w:bCs/>
                <w:rtl/>
              </w:rPr>
            </w:pPr>
          </w:p>
        </w:tc>
        <w:tc>
          <w:tcPr>
            <w:tcW w:w="3143" w:type="dxa"/>
            <w:gridSpan w:val="3"/>
          </w:tcPr>
          <w:p w14:paraId="54795FB9" w14:textId="4605079E" w:rsidR="006175E7" w:rsidRPr="00EB3022" w:rsidRDefault="00EB3022" w:rsidP="00EB3022">
            <w:pPr>
              <w:pStyle w:val="TopHeader"/>
              <w:bidi/>
              <w:spacing w:before="0" w:line="192" w:lineRule="auto"/>
              <w:rPr>
                <w:rFonts w:ascii="Dubai" w:hAnsi="Dubai" w:cs="Dubai"/>
                <w:sz w:val="22"/>
                <w:szCs w:val="22"/>
                <w:rtl/>
              </w:rPr>
            </w:pPr>
            <w:r>
              <w:rPr>
                <w:rFonts w:ascii="Dubai" w:eastAsia="SimSun" w:hAnsi="Dubai" w:cs="Dubai"/>
                <w:sz w:val="22"/>
                <w:szCs w:val="22"/>
              </w:rPr>
              <w:t>27</w:t>
            </w:r>
            <w:r w:rsidR="00EC0AD3" w:rsidRPr="00EB3022">
              <w:rPr>
                <w:rFonts w:ascii="Dubai" w:eastAsia="SimSun" w:hAnsi="Dubai" w:cs="Dubai"/>
                <w:sz w:val="22"/>
                <w:szCs w:val="22"/>
                <w:rtl/>
              </w:rPr>
              <w:t xml:space="preserve"> سبتمبر </w:t>
            </w:r>
            <w:r w:rsidR="00EC0AD3" w:rsidRPr="00EB3022">
              <w:rPr>
                <w:rFonts w:ascii="Dubai" w:eastAsia="SimSun" w:hAnsi="Dubai" w:cs="Dubai"/>
                <w:sz w:val="22"/>
                <w:szCs w:val="22"/>
              </w:rPr>
              <w:t>2024</w:t>
            </w:r>
          </w:p>
        </w:tc>
      </w:tr>
      <w:tr w:rsidR="006175E7" w:rsidRPr="00B344B6" w14:paraId="47FBB663" w14:textId="77777777" w:rsidTr="00EB3022">
        <w:trPr>
          <w:cantSplit/>
        </w:trPr>
        <w:tc>
          <w:tcPr>
            <w:tcW w:w="6496" w:type="dxa"/>
            <w:gridSpan w:val="2"/>
          </w:tcPr>
          <w:p w14:paraId="4DDBBE3B" w14:textId="77777777" w:rsidR="006175E7" w:rsidRPr="00EB3022" w:rsidRDefault="006175E7" w:rsidP="00EB3022">
            <w:pPr>
              <w:spacing w:before="0"/>
              <w:jc w:val="left"/>
              <w:rPr>
                <w:b/>
                <w:bCs/>
                <w:rtl/>
              </w:rPr>
            </w:pPr>
          </w:p>
        </w:tc>
        <w:tc>
          <w:tcPr>
            <w:tcW w:w="3143" w:type="dxa"/>
            <w:gridSpan w:val="3"/>
          </w:tcPr>
          <w:p w14:paraId="021DB029" w14:textId="77777777" w:rsidR="006175E7" w:rsidRPr="00EB3022" w:rsidRDefault="00EC0AD3" w:rsidP="00EB3022">
            <w:pPr>
              <w:pStyle w:val="TopHeader"/>
              <w:bidi/>
              <w:spacing w:before="0" w:line="192" w:lineRule="auto"/>
              <w:rPr>
                <w:rFonts w:ascii="Dubai" w:eastAsia="SimSun" w:hAnsi="Dubai" w:cs="Dubai"/>
                <w:sz w:val="22"/>
                <w:szCs w:val="22"/>
              </w:rPr>
            </w:pPr>
            <w:r w:rsidRPr="00EB3022">
              <w:rPr>
                <w:rFonts w:ascii="Dubai" w:hAnsi="Dubai" w:cs="Dubai"/>
                <w:sz w:val="22"/>
                <w:szCs w:val="22"/>
                <w:rtl/>
              </w:rPr>
              <w:t>الأصل: بالإنكليزية</w:t>
            </w:r>
          </w:p>
        </w:tc>
      </w:tr>
      <w:tr w:rsidR="006175E7" w:rsidRPr="00B344B6" w14:paraId="3550D3B5" w14:textId="77777777" w:rsidTr="00EB3022">
        <w:trPr>
          <w:cantSplit/>
        </w:trPr>
        <w:tc>
          <w:tcPr>
            <w:tcW w:w="9639" w:type="dxa"/>
            <w:gridSpan w:val="5"/>
          </w:tcPr>
          <w:p w14:paraId="1E90D53A" w14:textId="77777777" w:rsidR="006175E7" w:rsidRPr="009D0810" w:rsidRDefault="006175E7" w:rsidP="000B0891">
            <w:pPr>
              <w:spacing w:before="0" w:line="240" w:lineRule="exact"/>
              <w:rPr>
                <w:rFonts w:eastAsia="SimSun"/>
                <w:b/>
                <w:bCs/>
              </w:rPr>
            </w:pPr>
          </w:p>
        </w:tc>
      </w:tr>
      <w:tr w:rsidR="006175E7" w:rsidRPr="00B344B6" w14:paraId="5D883121" w14:textId="77777777" w:rsidTr="00EB3022">
        <w:trPr>
          <w:cantSplit/>
        </w:trPr>
        <w:tc>
          <w:tcPr>
            <w:tcW w:w="9639" w:type="dxa"/>
            <w:gridSpan w:val="5"/>
          </w:tcPr>
          <w:p w14:paraId="78D6A516" w14:textId="4B74F68C" w:rsidR="006175E7" w:rsidRPr="00B344B6" w:rsidRDefault="00EB3022" w:rsidP="006175E7">
            <w:pPr>
              <w:pStyle w:val="Source"/>
              <w:rPr>
                <w:rtl/>
              </w:rPr>
            </w:pPr>
            <w:r>
              <w:rPr>
                <w:rtl/>
              </w:rPr>
              <w:t>مدير مكتب تقييس الاتصالات</w:t>
            </w:r>
          </w:p>
        </w:tc>
      </w:tr>
      <w:tr w:rsidR="006175E7" w:rsidRPr="00B344B6" w14:paraId="2305AA7A" w14:textId="77777777" w:rsidTr="00EB3022">
        <w:trPr>
          <w:cantSplit/>
        </w:trPr>
        <w:tc>
          <w:tcPr>
            <w:tcW w:w="9639" w:type="dxa"/>
            <w:gridSpan w:val="5"/>
          </w:tcPr>
          <w:p w14:paraId="4CD1ADCF" w14:textId="330DCA7D" w:rsidR="006175E7" w:rsidRPr="00D21D8E" w:rsidRDefault="00EB3022" w:rsidP="006175E7">
            <w:pPr>
              <w:pStyle w:val="Title1"/>
              <w:spacing w:before="240"/>
              <w:rPr>
                <w:rtl/>
              </w:rPr>
            </w:pPr>
            <w:r w:rsidRPr="00EB3022">
              <w:rPr>
                <w:rtl/>
              </w:rPr>
              <w:t>قائمة بأسماء المندوبين الذين تقاعدوا منذ اختتام</w:t>
            </w:r>
            <w:r>
              <w:rPr>
                <w:rtl/>
              </w:rPr>
              <w:br/>
            </w:r>
            <w:r w:rsidRPr="00EB3022">
              <w:rPr>
                <w:rtl/>
              </w:rPr>
              <w:t>الجمعية العالمية لتقييس الاتصالات لعام 2020 (</w:t>
            </w:r>
            <w:r w:rsidRPr="00EB3022">
              <w:t>WTSA-20</w:t>
            </w:r>
            <w:r w:rsidRPr="00EB3022">
              <w:rPr>
                <w:rtl/>
              </w:rPr>
              <w:t>)</w:t>
            </w:r>
          </w:p>
        </w:tc>
      </w:tr>
      <w:tr w:rsidR="006175E7" w:rsidRPr="00B344B6" w14:paraId="17DE9085" w14:textId="77777777" w:rsidTr="00EB3022">
        <w:trPr>
          <w:cantSplit/>
          <w:trHeight w:hRule="exact" w:val="240"/>
        </w:trPr>
        <w:tc>
          <w:tcPr>
            <w:tcW w:w="9639" w:type="dxa"/>
            <w:gridSpan w:val="5"/>
          </w:tcPr>
          <w:p w14:paraId="2B69E0B7" w14:textId="77777777" w:rsidR="006175E7" w:rsidRPr="00B344B6" w:rsidRDefault="006175E7" w:rsidP="006175E7">
            <w:pPr>
              <w:pStyle w:val="Title2"/>
              <w:spacing w:before="240"/>
            </w:pPr>
          </w:p>
        </w:tc>
      </w:tr>
      <w:tr w:rsidR="006175E7" w:rsidRPr="00B344B6" w14:paraId="4B934F13" w14:textId="77777777" w:rsidTr="00EB3022">
        <w:trPr>
          <w:cantSplit/>
          <w:trHeight w:hRule="exact" w:val="240"/>
        </w:trPr>
        <w:tc>
          <w:tcPr>
            <w:tcW w:w="9639" w:type="dxa"/>
            <w:gridSpan w:val="5"/>
          </w:tcPr>
          <w:p w14:paraId="0B6D6C02" w14:textId="77777777" w:rsidR="00EB3022" w:rsidRDefault="00EB3022" w:rsidP="006175E7">
            <w:pPr>
              <w:pStyle w:val="Agendaitem"/>
              <w:spacing w:before="0" w:after="0"/>
              <w:rPr>
                <w:rtl/>
              </w:rPr>
            </w:pPr>
          </w:p>
          <w:p w14:paraId="311A7815" w14:textId="77777777" w:rsidR="00EB3022" w:rsidRDefault="00EB3022" w:rsidP="006175E7">
            <w:pPr>
              <w:pStyle w:val="Agendaitem"/>
              <w:spacing w:before="0" w:after="0"/>
              <w:rPr>
                <w:rtl/>
              </w:rPr>
            </w:pPr>
          </w:p>
          <w:p w14:paraId="505AEF18" w14:textId="7FD53335" w:rsidR="006175E7" w:rsidRPr="00B344B6" w:rsidRDefault="006175E7" w:rsidP="006175E7">
            <w:pPr>
              <w:pStyle w:val="Agendaitem"/>
              <w:spacing w:before="0" w:after="0"/>
              <w:rPr>
                <w:rtl/>
              </w:rPr>
            </w:pPr>
          </w:p>
        </w:tc>
      </w:tr>
    </w:tbl>
    <w:p w14:paraId="76E5FC9D" w14:textId="77777777" w:rsidR="00376CD5" w:rsidRDefault="00376CD5"/>
    <w:tbl>
      <w:tblPr>
        <w:bidiVisual/>
        <w:tblW w:w="5000" w:type="pct"/>
        <w:tblLayout w:type="fixed"/>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3FB7794F" w14:textId="77777777" w:rsidTr="008077A5">
        <w:tc>
          <w:tcPr>
            <w:tcW w:w="1355" w:type="dxa"/>
            <w:shd w:val="clear" w:color="auto" w:fill="FFFFFF"/>
          </w:tcPr>
          <w:p w14:paraId="4C704544" w14:textId="77777777" w:rsidR="00314F41" w:rsidRPr="00B344B6" w:rsidRDefault="00314F41" w:rsidP="00EB3022">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0A1E1926" w14:textId="7554BF85" w:rsidR="00314F41" w:rsidRPr="006553BD" w:rsidRDefault="00EB3022" w:rsidP="00EB3022">
            <w:pPr>
              <w:pStyle w:val="Abstract"/>
              <w:bidi/>
              <w:spacing w:line="192" w:lineRule="auto"/>
              <w:jc w:val="both"/>
              <w:rPr>
                <w:rFonts w:ascii="Dubai" w:eastAsia="SimSun" w:hAnsi="Dubai" w:cs="Dubai"/>
                <w:spacing w:val="-2"/>
                <w:position w:val="2"/>
                <w:sz w:val="22"/>
                <w:szCs w:val="22"/>
                <w:rtl/>
                <w:lang w:val="fr-FR" w:eastAsia="zh-CN" w:bidi="ar-EG"/>
              </w:rPr>
            </w:pPr>
            <w:r w:rsidRPr="006553BD">
              <w:rPr>
                <w:rFonts w:ascii="Dubai" w:hAnsi="Dubai" w:cs="Dubai"/>
                <w:spacing w:val="-2"/>
                <w:sz w:val="22"/>
                <w:szCs w:val="22"/>
                <w:rtl/>
                <w:lang w:val="en-GB"/>
              </w:rPr>
              <w:t>أشير في الرسالة المعممة 177 لمكتب تقييس الاتصالات (بتاريخ 5 مارس 2024) إلى أن من المزمع في</w:t>
            </w:r>
            <w:r w:rsidR="00210F08" w:rsidRPr="006553BD">
              <w:rPr>
                <w:rFonts w:ascii="Dubai" w:hAnsi="Dubai" w:cs="Dubai"/>
                <w:spacing w:val="-2"/>
                <w:sz w:val="22"/>
                <w:szCs w:val="22"/>
                <w:lang w:val="en-GB"/>
              </w:rPr>
              <w:t> </w:t>
            </w:r>
            <w:r w:rsidRPr="006553BD">
              <w:rPr>
                <w:rFonts w:ascii="Dubai" w:hAnsi="Dubai" w:cs="Dubai"/>
                <w:spacing w:val="-2"/>
                <w:sz w:val="22"/>
                <w:szCs w:val="22"/>
                <w:rtl/>
                <w:lang w:val="en-GB"/>
              </w:rPr>
              <w:t>الجمعية العالمية لتقييس الاتصالات لعام 2024 (</w:t>
            </w:r>
            <w:r w:rsidRPr="006553BD">
              <w:rPr>
                <w:rFonts w:ascii="Dubai" w:hAnsi="Dubai" w:cs="Dubai"/>
                <w:spacing w:val="-2"/>
                <w:sz w:val="22"/>
                <w:szCs w:val="22"/>
                <w:lang w:val="en-GB"/>
              </w:rPr>
              <w:t>WTSA-24</w:t>
            </w:r>
            <w:r w:rsidRPr="006553BD">
              <w:rPr>
                <w:rFonts w:ascii="Dubai" w:hAnsi="Dubai" w:cs="Dubai"/>
                <w:spacing w:val="-2"/>
                <w:sz w:val="22"/>
                <w:szCs w:val="22"/>
                <w:rtl/>
                <w:lang w:val="en-GB"/>
              </w:rPr>
              <w:t>) تقديم أطيب التمنيات بتقاعد طويل وسعيد للمتعاونين مع قطاع تقييس الاتصالات الذين تقاعدوا منذ الجمعية العالمية لعام 2020، وطُلب إلى الوفود تزويد الأمانة قبل 15 سبتمبر 2024 بأسماء المندوبين وألقابهم ووظائفهم من أجل إدراجها. ويسرد الجدول الوارد في هذه الوثيقة الأسماء التي أرسِلت إلى مكتب تقييس الاتصالات حتى وقت إصدار هذه الوثيقة. وتُدعى الوفود إلى إبلاغ الأمانة مباشرةً بأي أسماء إضافية قد تكون ناقصة.</w:t>
            </w:r>
          </w:p>
        </w:tc>
      </w:tr>
      <w:tr w:rsidR="00314F41" w:rsidRPr="00B344B6" w14:paraId="4E272BAE" w14:textId="77777777" w:rsidTr="008077A5">
        <w:tc>
          <w:tcPr>
            <w:tcW w:w="1355" w:type="dxa"/>
            <w:shd w:val="clear" w:color="auto" w:fill="FFFFFF"/>
            <w:hideMark/>
          </w:tcPr>
          <w:p w14:paraId="7CB58F82" w14:textId="77777777" w:rsidR="00314F41" w:rsidRPr="00B344B6" w:rsidRDefault="00314F41" w:rsidP="00EB3022">
            <w:pPr>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5C4F56D3" w14:textId="5952F9D8" w:rsidR="00314F41" w:rsidRPr="00B344B6" w:rsidRDefault="00EB3022" w:rsidP="00EB3022">
            <w:pPr>
              <w:jc w:val="left"/>
              <w:rPr>
                <w:rFonts w:eastAsia="SimSun"/>
                <w:position w:val="2"/>
                <w:lang w:val="en-GB" w:eastAsia="zh-CN"/>
              </w:rPr>
            </w:pPr>
            <w:r w:rsidRPr="00EB3022">
              <w:rPr>
                <w:rtl/>
              </w:rPr>
              <w:t>مكتب تقييس الاتصالات</w:t>
            </w:r>
          </w:p>
        </w:tc>
        <w:tc>
          <w:tcPr>
            <w:tcW w:w="4250" w:type="dxa"/>
            <w:shd w:val="clear" w:color="auto" w:fill="FFFFFF"/>
          </w:tcPr>
          <w:p w14:paraId="6AC2CC5E" w14:textId="73EF7A05" w:rsidR="00314F41" w:rsidRPr="00B344B6" w:rsidRDefault="00314F41" w:rsidP="00EB3022">
            <w:pPr>
              <w:jc w:val="left"/>
              <w:rPr>
                <w:rFonts w:eastAsia="SimSun"/>
                <w:position w:val="2"/>
                <w:lang w:eastAsia="zh-CN"/>
              </w:rPr>
            </w:pPr>
            <w:r w:rsidRPr="00B344B6">
              <w:rPr>
                <w:rFonts w:eastAsia="SimSun"/>
                <w:position w:val="2"/>
                <w:rtl/>
                <w:lang w:val="fr-FR" w:eastAsia="zh-CN" w:bidi="ar-EG"/>
              </w:rPr>
              <w:t>البريد الإلكتروني:</w:t>
            </w:r>
            <w:r w:rsidR="00EB3022">
              <w:rPr>
                <w:rFonts w:eastAsia="SimSun" w:hint="cs"/>
                <w:position w:val="2"/>
                <w:rtl/>
                <w:lang w:val="fr-FR" w:eastAsia="zh-CN" w:bidi="ar-EG"/>
              </w:rPr>
              <w:t xml:space="preserve"> </w:t>
            </w:r>
            <w:r w:rsidR="00EB3022">
              <w:rPr>
                <w:rtl/>
              </w:rPr>
              <w:tab/>
            </w:r>
            <w:hyperlink r:id="rId14" w:history="1">
              <w:r w:rsidR="00EB3022" w:rsidRPr="00EB3022">
                <w:rPr>
                  <w:rStyle w:val="Hyperlink"/>
                </w:rPr>
                <w:t>bilel.jamoussi@itu.int</w:t>
              </w:r>
            </w:hyperlink>
          </w:p>
        </w:tc>
      </w:tr>
    </w:tbl>
    <w:p w14:paraId="1F503737" w14:textId="6A5AE18B" w:rsidR="00EB3022" w:rsidRDefault="00EB3022" w:rsidP="00EB3022"/>
    <w:tbl>
      <w:tblPr>
        <w:tblStyle w:val="TableGrid"/>
        <w:bidiVisual/>
        <w:tblW w:w="977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4"/>
        <w:gridCol w:w="4252"/>
        <w:gridCol w:w="2410"/>
      </w:tblGrid>
      <w:tr w:rsidR="00EB3022" w:rsidRPr="00C71DC3" w14:paraId="42637240" w14:textId="77777777" w:rsidTr="00014F08">
        <w:trPr>
          <w:tblHeader/>
          <w:jc w:val="center"/>
        </w:trPr>
        <w:tc>
          <w:tcPr>
            <w:tcW w:w="3114" w:type="dxa"/>
            <w:tcBorders>
              <w:top w:val="single" w:sz="12" w:space="0" w:color="auto"/>
              <w:bottom w:val="single" w:sz="12" w:space="0" w:color="auto"/>
            </w:tcBorders>
            <w:shd w:val="clear" w:color="auto" w:fill="auto"/>
          </w:tcPr>
          <w:p w14:paraId="6F9E8888" w14:textId="77777777" w:rsidR="00EB3022" w:rsidRPr="00C71DC3" w:rsidRDefault="00EB3022" w:rsidP="00014F08">
            <w:pPr>
              <w:pStyle w:val="Tablehead"/>
              <w:textDirection w:val="tbRlV"/>
              <w:rPr>
                <w:lang w:val="ar-SA" w:eastAsia="zh-TW" w:bidi="en-GB"/>
              </w:rPr>
            </w:pPr>
            <w:r>
              <w:rPr>
                <w:rtl/>
              </w:rPr>
              <w:t>أسماء المتقاعدين</w:t>
            </w:r>
          </w:p>
        </w:tc>
        <w:tc>
          <w:tcPr>
            <w:tcW w:w="4252" w:type="dxa"/>
            <w:tcBorders>
              <w:top w:val="single" w:sz="12" w:space="0" w:color="auto"/>
              <w:bottom w:val="single" w:sz="12" w:space="0" w:color="auto"/>
            </w:tcBorders>
            <w:shd w:val="clear" w:color="auto" w:fill="auto"/>
          </w:tcPr>
          <w:p w14:paraId="2FE8B7C7" w14:textId="15C84396" w:rsidR="00EB3022" w:rsidRPr="00C71DC3" w:rsidRDefault="00EB3022" w:rsidP="00014F08">
            <w:pPr>
              <w:pStyle w:val="Tablehead"/>
              <w:textDirection w:val="tbRlV"/>
              <w:rPr>
                <w:lang w:val="ar-SA" w:eastAsia="zh-TW" w:bidi="en-GB"/>
              </w:rPr>
            </w:pPr>
            <w:r>
              <w:rPr>
                <w:rtl/>
              </w:rPr>
              <w:t>الدور (الأدوار)</w:t>
            </w:r>
          </w:p>
        </w:tc>
        <w:tc>
          <w:tcPr>
            <w:tcW w:w="2410" w:type="dxa"/>
            <w:tcBorders>
              <w:top w:val="single" w:sz="12" w:space="0" w:color="auto"/>
              <w:bottom w:val="single" w:sz="12" w:space="0" w:color="auto"/>
            </w:tcBorders>
            <w:shd w:val="clear" w:color="auto" w:fill="auto"/>
          </w:tcPr>
          <w:p w14:paraId="0DDF1634" w14:textId="77777777" w:rsidR="00EB3022" w:rsidRPr="00C71DC3" w:rsidRDefault="00EB3022" w:rsidP="00014F08">
            <w:pPr>
              <w:pStyle w:val="Tablehead"/>
              <w:textDirection w:val="tbRlV"/>
              <w:rPr>
                <w:lang w:val="ar-SA" w:eastAsia="zh-TW" w:bidi="en-GB"/>
              </w:rPr>
            </w:pPr>
            <w:r>
              <w:rPr>
                <w:rtl/>
              </w:rPr>
              <w:t>المنظمة و/أو البلد</w:t>
            </w:r>
          </w:p>
        </w:tc>
      </w:tr>
      <w:tr w:rsidR="00EB3022" w:rsidRPr="00C71DC3" w14:paraId="668AD65D" w14:textId="77777777" w:rsidTr="00014F08">
        <w:trPr>
          <w:jc w:val="center"/>
        </w:trPr>
        <w:tc>
          <w:tcPr>
            <w:tcW w:w="3114" w:type="dxa"/>
            <w:tcBorders>
              <w:top w:val="single" w:sz="12" w:space="0" w:color="auto"/>
            </w:tcBorders>
            <w:shd w:val="clear" w:color="auto" w:fill="auto"/>
          </w:tcPr>
          <w:p w14:paraId="7C22E547" w14:textId="77777777" w:rsidR="00EB3022" w:rsidRPr="00EB3022" w:rsidRDefault="00EB3022" w:rsidP="00014F08">
            <w:pPr>
              <w:pStyle w:val="Tabletext"/>
              <w:textDirection w:val="tbRlV"/>
              <w:rPr>
                <w:lang w:val="ar-SA" w:eastAsia="zh-TW" w:bidi="en-GB"/>
              </w:rPr>
            </w:pPr>
            <w:r w:rsidRPr="00EB3022">
              <w:rPr>
                <w:rtl/>
              </w:rPr>
              <w:t xml:space="preserve">ايرينا </w:t>
            </w:r>
            <w:proofErr w:type="spellStart"/>
            <w:r w:rsidRPr="00EB3022">
              <w:rPr>
                <w:rtl/>
              </w:rPr>
              <w:t>كوتانيس</w:t>
            </w:r>
            <w:proofErr w:type="spellEnd"/>
          </w:p>
        </w:tc>
        <w:tc>
          <w:tcPr>
            <w:tcW w:w="4252" w:type="dxa"/>
            <w:tcBorders>
              <w:top w:val="single" w:sz="12" w:space="0" w:color="auto"/>
            </w:tcBorders>
            <w:shd w:val="clear" w:color="auto" w:fill="auto"/>
          </w:tcPr>
          <w:p w14:paraId="61C2C170" w14:textId="2E9C7542" w:rsidR="00EB3022" w:rsidRPr="004A34C1" w:rsidRDefault="00EB3022" w:rsidP="00014F08">
            <w:pPr>
              <w:pStyle w:val="Tabletext"/>
              <w:textDirection w:val="tbRlV"/>
              <w:rPr>
                <w:spacing w:val="-2"/>
                <w:lang w:val="ar-SA" w:eastAsia="zh-TW" w:bidi="en-GB"/>
              </w:rPr>
            </w:pPr>
            <w:r w:rsidRPr="004A34C1">
              <w:rPr>
                <w:spacing w:val="-2"/>
                <w:rtl/>
              </w:rPr>
              <w:t>محررة </w:t>
            </w:r>
            <w:r w:rsidRPr="004A34C1">
              <w:rPr>
                <w:spacing w:val="-2"/>
              </w:rPr>
              <w:t>E.840</w:t>
            </w:r>
            <w:r w:rsidRPr="004A34C1">
              <w:rPr>
                <w:rFonts w:hint="cs"/>
                <w:spacing w:val="-2"/>
                <w:rtl/>
              </w:rPr>
              <w:t xml:space="preserve"> </w:t>
            </w:r>
            <w:r w:rsidR="000726EB" w:rsidRPr="004A34C1">
              <w:rPr>
                <w:rFonts w:hint="cs"/>
                <w:spacing w:val="-2"/>
                <w:rtl/>
              </w:rPr>
              <w:t>و</w:t>
            </w:r>
            <w:r w:rsidRPr="004A34C1">
              <w:rPr>
                <w:spacing w:val="-2"/>
              </w:rPr>
              <w:t>P.565</w:t>
            </w:r>
            <w:r w:rsidRPr="004A34C1">
              <w:rPr>
                <w:rFonts w:hint="cs"/>
                <w:spacing w:val="-2"/>
                <w:rtl/>
              </w:rPr>
              <w:t xml:space="preserve"> </w:t>
            </w:r>
            <w:r w:rsidR="000726EB" w:rsidRPr="004A34C1">
              <w:rPr>
                <w:rFonts w:hint="cs"/>
                <w:spacing w:val="-2"/>
                <w:rtl/>
              </w:rPr>
              <w:t>و</w:t>
            </w:r>
            <w:r w:rsidRPr="004A34C1">
              <w:rPr>
                <w:spacing w:val="-2"/>
              </w:rPr>
              <w:t>P.565.1</w:t>
            </w:r>
            <w:r w:rsidRPr="004A34C1">
              <w:rPr>
                <w:rFonts w:hint="cs"/>
                <w:spacing w:val="-2"/>
                <w:rtl/>
              </w:rPr>
              <w:t xml:space="preserve"> </w:t>
            </w:r>
            <w:r w:rsidR="000726EB" w:rsidRPr="004A34C1">
              <w:rPr>
                <w:rFonts w:hint="cs"/>
                <w:spacing w:val="-2"/>
                <w:rtl/>
              </w:rPr>
              <w:t>و</w:t>
            </w:r>
            <w:r w:rsidRPr="004A34C1">
              <w:rPr>
                <w:spacing w:val="-2"/>
              </w:rPr>
              <w:t>P.1401</w:t>
            </w:r>
            <w:r w:rsidRPr="004A34C1">
              <w:rPr>
                <w:rFonts w:hint="cs"/>
                <w:spacing w:val="-2"/>
                <w:rtl/>
              </w:rPr>
              <w:t xml:space="preserve"> </w:t>
            </w:r>
            <w:r w:rsidR="000726EB" w:rsidRPr="004A34C1">
              <w:rPr>
                <w:rFonts w:hint="cs"/>
                <w:spacing w:val="-2"/>
                <w:rtl/>
              </w:rPr>
              <w:t>و</w:t>
            </w:r>
            <w:r w:rsidRPr="004A34C1">
              <w:rPr>
                <w:spacing w:val="-2"/>
              </w:rPr>
              <w:t>P.1402</w:t>
            </w:r>
            <w:r w:rsidRPr="004A34C1">
              <w:rPr>
                <w:rFonts w:hint="cs"/>
                <w:spacing w:val="-2"/>
                <w:rtl/>
              </w:rPr>
              <w:t xml:space="preserve">. </w:t>
            </w:r>
            <w:r w:rsidRPr="004A34C1">
              <w:rPr>
                <w:spacing w:val="-2"/>
                <w:rtl/>
              </w:rPr>
              <w:t xml:space="preserve">مندوبة </w:t>
            </w:r>
            <w:r w:rsidRPr="004A34C1">
              <w:rPr>
                <w:spacing w:val="-2"/>
              </w:rPr>
              <w:t>Ericsson</w:t>
            </w:r>
            <w:r w:rsidRPr="004A34C1">
              <w:rPr>
                <w:spacing w:val="-2"/>
                <w:rtl/>
              </w:rPr>
              <w:t xml:space="preserve">، </w:t>
            </w:r>
            <w:proofErr w:type="spellStart"/>
            <w:r w:rsidRPr="004A34C1">
              <w:rPr>
                <w:spacing w:val="-2"/>
                <w:rtl/>
              </w:rPr>
              <w:t>Ascom</w:t>
            </w:r>
            <w:proofErr w:type="spellEnd"/>
            <w:r w:rsidRPr="004A34C1">
              <w:rPr>
                <w:spacing w:val="-2"/>
                <w:rtl/>
              </w:rPr>
              <w:t xml:space="preserve"> </w:t>
            </w:r>
            <w:proofErr w:type="spellStart"/>
            <w:r w:rsidRPr="004A34C1">
              <w:rPr>
                <w:spacing w:val="-2"/>
                <w:rtl/>
              </w:rPr>
              <w:t>Network</w:t>
            </w:r>
            <w:proofErr w:type="spellEnd"/>
            <w:r w:rsidRPr="004A34C1">
              <w:rPr>
                <w:spacing w:val="-2"/>
                <w:rtl/>
              </w:rPr>
              <w:t xml:space="preserve"> </w:t>
            </w:r>
            <w:proofErr w:type="spellStart"/>
            <w:r w:rsidRPr="004A34C1">
              <w:rPr>
                <w:spacing w:val="-2"/>
                <w:rtl/>
              </w:rPr>
              <w:t>Testing</w:t>
            </w:r>
            <w:proofErr w:type="spellEnd"/>
            <w:r w:rsidRPr="004A34C1">
              <w:rPr>
                <w:spacing w:val="-2"/>
                <w:rtl/>
              </w:rPr>
              <w:t xml:space="preserve">، </w:t>
            </w:r>
            <w:proofErr w:type="spellStart"/>
            <w:r w:rsidRPr="004A34C1">
              <w:rPr>
                <w:spacing w:val="-2"/>
              </w:rPr>
              <w:t>Infovista</w:t>
            </w:r>
            <w:proofErr w:type="spellEnd"/>
            <w:r w:rsidRPr="004A34C1">
              <w:rPr>
                <w:spacing w:val="-2"/>
                <w:rtl/>
              </w:rPr>
              <w:t xml:space="preserve"> في لجنة الدراسات 12</w:t>
            </w:r>
          </w:p>
        </w:tc>
        <w:tc>
          <w:tcPr>
            <w:tcW w:w="2410" w:type="dxa"/>
            <w:tcBorders>
              <w:top w:val="single" w:sz="12" w:space="0" w:color="auto"/>
            </w:tcBorders>
            <w:shd w:val="clear" w:color="auto" w:fill="auto"/>
          </w:tcPr>
          <w:p w14:paraId="0783CE37" w14:textId="77777777" w:rsidR="00EB3022" w:rsidRPr="00EB3022" w:rsidRDefault="00EB3022" w:rsidP="00014F08">
            <w:pPr>
              <w:pStyle w:val="Tabletext"/>
              <w:jc w:val="center"/>
              <w:textDirection w:val="tbRlV"/>
              <w:rPr>
                <w:lang w:val="ar-SA" w:eastAsia="zh-TW" w:bidi="en-GB"/>
              </w:rPr>
            </w:pPr>
            <w:proofErr w:type="spellStart"/>
            <w:r w:rsidRPr="00EB3022">
              <w:t>Infovista</w:t>
            </w:r>
            <w:proofErr w:type="spellEnd"/>
            <w:r w:rsidRPr="00EB3022">
              <w:rPr>
                <w:rtl/>
              </w:rPr>
              <w:t>، فرنسا</w:t>
            </w:r>
          </w:p>
        </w:tc>
      </w:tr>
      <w:tr w:rsidR="00EB3022" w:rsidRPr="00C71DC3" w14:paraId="7608A2A5" w14:textId="77777777" w:rsidTr="00014F08">
        <w:trPr>
          <w:jc w:val="center"/>
        </w:trPr>
        <w:tc>
          <w:tcPr>
            <w:tcW w:w="3114" w:type="dxa"/>
            <w:shd w:val="clear" w:color="auto" w:fill="auto"/>
          </w:tcPr>
          <w:p w14:paraId="774EAB70" w14:textId="77777777" w:rsidR="00EB3022" w:rsidRPr="00EB3022" w:rsidRDefault="00EB3022" w:rsidP="00014F08">
            <w:pPr>
              <w:pStyle w:val="Tabletext"/>
              <w:textDirection w:val="tbRlV"/>
              <w:rPr>
                <w:lang w:val="ar-SA" w:eastAsia="zh-TW" w:bidi="en-GB"/>
              </w:rPr>
            </w:pPr>
            <w:r w:rsidRPr="00EB3022">
              <w:rPr>
                <w:rtl/>
              </w:rPr>
              <w:t xml:space="preserve">مارتن </w:t>
            </w:r>
            <w:proofErr w:type="spellStart"/>
            <w:r w:rsidRPr="00EB3022">
              <w:rPr>
                <w:rtl/>
              </w:rPr>
              <w:t>يوشنر</w:t>
            </w:r>
            <w:proofErr w:type="spellEnd"/>
          </w:p>
        </w:tc>
        <w:tc>
          <w:tcPr>
            <w:tcW w:w="4252" w:type="dxa"/>
            <w:shd w:val="clear" w:color="auto" w:fill="auto"/>
          </w:tcPr>
          <w:p w14:paraId="2013D8FB" w14:textId="27171029" w:rsidR="00EB3022" w:rsidRPr="00EB3022" w:rsidRDefault="00EB3022" w:rsidP="00EB3022">
            <w:pPr>
              <w:pStyle w:val="Tabletext"/>
              <w:jc w:val="left"/>
              <w:textDirection w:val="tbRlV"/>
              <w:rPr>
                <w:lang w:val="ar-SA" w:eastAsia="zh-TW" w:bidi="en-GB"/>
              </w:rPr>
            </w:pPr>
            <w:r w:rsidRPr="00EB3022">
              <w:rPr>
                <w:rtl/>
              </w:rPr>
              <w:t xml:space="preserve">مقرر في لجنة الدراسات 16 (2006-2001)، </w:t>
            </w:r>
            <w:r>
              <w:rPr>
                <w:rtl/>
              </w:rPr>
              <w:br/>
            </w:r>
            <w:r w:rsidRPr="00EB3022">
              <w:rPr>
                <w:rtl/>
              </w:rPr>
              <w:t>مستشار مكتب تقييس الاتصالات بشأن لجنة الدراسات</w:t>
            </w:r>
            <w:r w:rsidR="00DA347D">
              <w:rPr>
                <w:rFonts w:hint="cs"/>
                <w:rtl/>
              </w:rPr>
              <w:t> </w:t>
            </w:r>
            <w:r w:rsidRPr="00EB3022">
              <w:rPr>
                <w:rtl/>
              </w:rPr>
              <w:t>17 والفريق الاستشاري لتقييس الاتصالات</w:t>
            </w:r>
          </w:p>
        </w:tc>
        <w:tc>
          <w:tcPr>
            <w:tcW w:w="2410" w:type="dxa"/>
            <w:shd w:val="clear" w:color="auto" w:fill="auto"/>
          </w:tcPr>
          <w:p w14:paraId="3477E13D" w14:textId="77777777" w:rsidR="00EB3022" w:rsidRPr="00EB3022" w:rsidRDefault="00EB3022" w:rsidP="00014F08">
            <w:pPr>
              <w:pStyle w:val="Tabletext"/>
              <w:jc w:val="center"/>
              <w:textDirection w:val="tbRlV"/>
              <w:rPr>
                <w:lang w:val="ar-SA" w:eastAsia="zh-TW" w:bidi="en-GB"/>
              </w:rPr>
            </w:pPr>
            <w:r w:rsidRPr="00EB3022">
              <w:t>Siemens</w:t>
            </w:r>
            <w:r w:rsidRPr="00EB3022">
              <w:rPr>
                <w:rtl/>
              </w:rPr>
              <w:t>، ألمانيا</w:t>
            </w:r>
          </w:p>
        </w:tc>
      </w:tr>
      <w:tr w:rsidR="00EB3022" w:rsidRPr="00C71DC3" w14:paraId="64C6F8AA" w14:textId="77777777" w:rsidTr="00014F08">
        <w:trPr>
          <w:jc w:val="center"/>
        </w:trPr>
        <w:tc>
          <w:tcPr>
            <w:tcW w:w="3114" w:type="dxa"/>
            <w:shd w:val="clear" w:color="auto" w:fill="auto"/>
          </w:tcPr>
          <w:p w14:paraId="44548AB4" w14:textId="32336A7F" w:rsidR="00EB3022" w:rsidRPr="00EB3022" w:rsidRDefault="00EB3022" w:rsidP="00014F08">
            <w:pPr>
              <w:pStyle w:val="Tabletext"/>
              <w:textDirection w:val="tbRlV"/>
              <w:rPr>
                <w:lang w:val="ar-SA" w:eastAsia="zh-TW" w:bidi="en-GB"/>
              </w:rPr>
            </w:pPr>
            <w:r w:rsidRPr="00EB3022">
              <w:rPr>
                <w:rtl/>
              </w:rPr>
              <w:t xml:space="preserve">جان-ماري </w:t>
            </w:r>
            <w:proofErr w:type="spellStart"/>
            <w:r w:rsidRPr="00EB3022">
              <w:rPr>
                <w:rtl/>
              </w:rPr>
              <w:t>فرومنتو</w:t>
            </w:r>
            <w:proofErr w:type="spellEnd"/>
          </w:p>
        </w:tc>
        <w:tc>
          <w:tcPr>
            <w:tcW w:w="4252" w:type="dxa"/>
            <w:shd w:val="clear" w:color="auto" w:fill="auto"/>
          </w:tcPr>
          <w:p w14:paraId="7A59F17B" w14:textId="2DC230D2" w:rsidR="00EB3022" w:rsidRPr="00EB3022" w:rsidRDefault="00EB3022" w:rsidP="00014F08">
            <w:pPr>
              <w:pStyle w:val="Tabletext"/>
              <w:textDirection w:val="tbRlV"/>
              <w:rPr>
                <w:lang w:val="ar-SA" w:eastAsia="zh-TW" w:bidi="en-GB"/>
              </w:rPr>
            </w:pPr>
            <w:r w:rsidRPr="00EB3022">
              <w:rPr>
                <w:rtl/>
              </w:rPr>
              <w:t xml:space="preserve">رئيس فريق الترويج والتنسيق التابع للجنة الدراسات 15، المقرر المعني بالمسألة </w:t>
            </w:r>
            <w:r w:rsidR="00210F08">
              <w:rPr>
                <w:rFonts w:hint="cs"/>
                <w:rtl/>
              </w:rPr>
              <w:t>15/1</w:t>
            </w:r>
            <w:r w:rsidRPr="00EB3022">
              <w:rPr>
                <w:rtl/>
              </w:rPr>
              <w:t xml:space="preserve"> لعدة فترات دراسة</w:t>
            </w:r>
          </w:p>
        </w:tc>
        <w:tc>
          <w:tcPr>
            <w:tcW w:w="2410" w:type="dxa"/>
            <w:shd w:val="clear" w:color="auto" w:fill="auto"/>
          </w:tcPr>
          <w:p w14:paraId="6791F092" w14:textId="300963E0" w:rsidR="00EB3022" w:rsidRPr="00EB3022" w:rsidRDefault="00EB3022" w:rsidP="00014F08">
            <w:pPr>
              <w:pStyle w:val="Tabletext"/>
              <w:jc w:val="center"/>
              <w:textDirection w:val="tbRlV"/>
              <w:rPr>
                <w:lang w:val="ar-SA" w:eastAsia="zh-TW" w:bidi="en-GB"/>
              </w:rPr>
            </w:pPr>
            <w:r w:rsidRPr="00EB3022">
              <w:t>Corning</w:t>
            </w:r>
            <w:r w:rsidRPr="00EB3022">
              <w:rPr>
                <w:rtl/>
              </w:rPr>
              <w:t>، الولايات المتحدة</w:t>
            </w:r>
            <w:r w:rsidR="004A34C1">
              <w:rPr>
                <w:rFonts w:hint="cs"/>
                <w:rtl/>
              </w:rPr>
              <w:t> </w:t>
            </w:r>
            <w:r w:rsidRPr="00EB3022">
              <w:rPr>
                <w:rtl/>
              </w:rPr>
              <w:t>الأمريكية</w:t>
            </w:r>
          </w:p>
        </w:tc>
      </w:tr>
      <w:tr w:rsidR="00EB3022" w:rsidRPr="00C71DC3" w14:paraId="1775634A" w14:textId="77777777" w:rsidTr="00014F08">
        <w:trPr>
          <w:jc w:val="center"/>
        </w:trPr>
        <w:tc>
          <w:tcPr>
            <w:tcW w:w="3114" w:type="dxa"/>
            <w:shd w:val="clear" w:color="auto" w:fill="auto"/>
          </w:tcPr>
          <w:p w14:paraId="403E739D" w14:textId="77777777" w:rsidR="00EB3022" w:rsidRPr="00EB3022" w:rsidRDefault="00EB3022" w:rsidP="00014F08">
            <w:pPr>
              <w:pStyle w:val="Tabletext"/>
              <w:textDirection w:val="tbRlV"/>
              <w:rPr>
                <w:lang w:val="ar-SA" w:eastAsia="zh-TW" w:bidi="en-GB"/>
              </w:rPr>
            </w:pPr>
            <w:r w:rsidRPr="00EB3022">
              <w:rPr>
                <w:rtl/>
              </w:rPr>
              <w:t>تيم فروست</w:t>
            </w:r>
          </w:p>
        </w:tc>
        <w:tc>
          <w:tcPr>
            <w:tcW w:w="4252" w:type="dxa"/>
            <w:shd w:val="clear" w:color="auto" w:fill="auto"/>
          </w:tcPr>
          <w:p w14:paraId="36E6306B" w14:textId="0DCCB4C2" w:rsidR="00EB3022" w:rsidRPr="00EB3022" w:rsidRDefault="00EB3022" w:rsidP="00014F08">
            <w:pPr>
              <w:pStyle w:val="Tabletext"/>
              <w:textDirection w:val="tbRlV"/>
              <w:rPr>
                <w:lang w:val="ar-SA" w:eastAsia="zh-TW" w:bidi="en-GB"/>
              </w:rPr>
            </w:pPr>
            <w:r w:rsidRPr="00EB3022">
              <w:rPr>
                <w:rtl/>
              </w:rPr>
              <w:t xml:space="preserve">محرر التوصيات في المسألة </w:t>
            </w:r>
            <w:r w:rsidR="00210F08">
              <w:rPr>
                <w:rFonts w:hint="cs"/>
                <w:rtl/>
              </w:rPr>
              <w:t>15/13</w:t>
            </w:r>
          </w:p>
        </w:tc>
        <w:tc>
          <w:tcPr>
            <w:tcW w:w="2410" w:type="dxa"/>
            <w:shd w:val="clear" w:color="auto" w:fill="auto"/>
          </w:tcPr>
          <w:p w14:paraId="37DC3F4E" w14:textId="7804524D" w:rsidR="00EB3022" w:rsidRPr="00EB3022" w:rsidRDefault="00EB3022" w:rsidP="00014F08">
            <w:pPr>
              <w:pStyle w:val="Tabletext"/>
              <w:jc w:val="center"/>
              <w:textDirection w:val="tbRlV"/>
              <w:rPr>
                <w:lang w:val="ar-SA" w:eastAsia="zh-TW" w:bidi="en-GB"/>
              </w:rPr>
            </w:pPr>
            <w:proofErr w:type="spellStart"/>
            <w:r w:rsidRPr="00EB3022">
              <w:rPr>
                <w:rtl/>
              </w:rPr>
              <w:t>Calnex</w:t>
            </w:r>
            <w:proofErr w:type="spellEnd"/>
            <w:r w:rsidRPr="00EB3022">
              <w:rPr>
                <w:rtl/>
              </w:rPr>
              <w:t xml:space="preserve"> </w:t>
            </w:r>
            <w:proofErr w:type="spellStart"/>
            <w:r w:rsidRPr="00EB3022">
              <w:rPr>
                <w:rtl/>
              </w:rPr>
              <w:t>Solutions</w:t>
            </w:r>
            <w:proofErr w:type="spellEnd"/>
            <w:r w:rsidRPr="00EB3022">
              <w:rPr>
                <w:rtl/>
              </w:rPr>
              <w:t>، المملكة</w:t>
            </w:r>
            <w:r w:rsidR="004A34C1">
              <w:rPr>
                <w:rFonts w:hint="cs"/>
                <w:rtl/>
              </w:rPr>
              <w:t> </w:t>
            </w:r>
            <w:r w:rsidRPr="00EB3022">
              <w:rPr>
                <w:rtl/>
              </w:rPr>
              <w:t>المتحدة</w:t>
            </w:r>
          </w:p>
        </w:tc>
      </w:tr>
      <w:tr w:rsidR="00EB3022" w:rsidRPr="00C71DC3" w14:paraId="0F507EBB" w14:textId="77777777" w:rsidTr="00014F08">
        <w:trPr>
          <w:jc w:val="center"/>
        </w:trPr>
        <w:tc>
          <w:tcPr>
            <w:tcW w:w="3114" w:type="dxa"/>
            <w:shd w:val="clear" w:color="auto" w:fill="auto"/>
          </w:tcPr>
          <w:p w14:paraId="0D6EBA18" w14:textId="77777777" w:rsidR="00EB3022" w:rsidRPr="00EB3022" w:rsidRDefault="00EB3022" w:rsidP="00014F08">
            <w:pPr>
              <w:pStyle w:val="Tabletext"/>
              <w:textDirection w:val="tbRlV"/>
              <w:rPr>
                <w:lang w:val="ar-SA" w:eastAsia="zh-TW" w:bidi="en-GB"/>
              </w:rPr>
            </w:pPr>
            <w:r w:rsidRPr="00EB3022">
              <w:rPr>
                <w:rtl/>
              </w:rPr>
              <w:t xml:space="preserve">هانز ف. </w:t>
            </w:r>
            <w:proofErr w:type="spellStart"/>
            <w:r w:rsidRPr="00EB3022">
              <w:rPr>
                <w:rtl/>
              </w:rPr>
              <w:t>غيرليش</w:t>
            </w:r>
            <w:proofErr w:type="spellEnd"/>
          </w:p>
        </w:tc>
        <w:tc>
          <w:tcPr>
            <w:tcW w:w="4252" w:type="dxa"/>
            <w:shd w:val="clear" w:color="auto" w:fill="auto"/>
          </w:tcPr>
          <w:p w14:paraId="6BE5E4A3" w14:textId="215DA421" w:rsidR="00EB3022" w:rsidRPr="00EB3022" w:rsidRDefault="00EB3022" w:rsidP="00014F08">
            <w:pPr>
              <w:pStyle w:val="Tabletext"/>
              <w:textDirection w:val="tbRlV"/>
              <w:rPr>
                <w:lang w:val="ar-SA" w:eastAsia="zh-TW" w:bidi="en-GB"/>
              </w:rPr>
            </w:pPr>
            <w:r w:rsidRPr="00EB3022">
              <w:rPr>
                <w:rtl/>
              </w:rPr>
              <w:t xml:space="preserve">رئيس الفريق المتخصص المعني بالاتصالات في السيارات (FG </w:t>
            </w:r>
            <w:proofErr w:type="spellStart"/>
            <w:r w:rsidRPr="00EB3022">
              <w:rPr>
                <w:rtl/>
              </w:rPr>
              <w:t>CarCom</w:t>
            </w:r>
            <w:proofErr w:type="spellEnd"/>
            <w:r w:rsidRPr="00EB3022">
              <w:rPr>
                <w:rtl/>
              </w:rPr>
              <w:t>)، محرر أكثر من 30 بند عمل في السلسلة</w:t>
            </w:r>
            <w:r w:rsidR="00E47C12">
              <w:rPr>
                <w:rFonts w:hint="cs"/>
                <w:rtl/>
              </w:rPr>
              <w:t> </w:t>
            </w:r>
            <w:r w:rsidRPr="00EB3022">
              <w:t>P</w:t>
            </w:r>
            <w:r w:rsidRPr="00EB3022">
              <w:rPr>
                <w:rtl/>
              </w:rPr>
              <w:t xml:space="preserve">، مقرر المسألتين </w:t>
            </w:r>
            <w:r w:rsidR="00210F08">
              <w:t>4/12</w:t>
            </w:r>
            <w:r w:rsidRPr="00EB3022">
              <w:rPr>
                <w:rtl/>
              </w:rPr>
              <w:t xml:space="preserve"> و</w:t>
            </w:r>
            <w:r w:rsidR="00210F08">
              <w:t>6/12</w:t>
            </w:r>
          </w:p>
        </w:tc>
        <w:tc>
          <w:tcPr>
            <w:tcW w:w="2410" w:type="dxa"/>
            <w:shd w:val="clear" w:color="auto" w:fill="auto"/>
          </w:tcPr>
          <w:p w14:paraId="6D812AB6" w14:textId="77777777" w:rsidR="00EB3022" w:rsidRPr="00EB3022" w:rsidRDefault="00EB3022" w:rsidP="00014F08">
            <w:pPr>
              <w:pStyle w:val="Tabletext"/>
              <w:jc w:val="center"/>
              <w:textDirection w:val="tbRlV"/>
              <w:rPr>
                <w:lang w:val="ar-SA" w:eastAsia="zh-TW" w:bidi="en-GB"/>
              </w:rPr>
            </w:pPr>
            <w:r w:rsidRPr="00EB3022">
              <w:rPr>
                <w:rtl/>
              </w:rPr>
              <w:t xml:space="preserve">HEAD </w:t>
            </w:r>
            <w:proofErr w:type="spellStart"/>
            <w:r w:rsidRPr="00EB3022">
              <w:rPr>
                <w:rtl/>
              </w:rPr>
              <w:t>Acoustics</w:t>
            </w:r>
            <w:proofErr w:type="spellEnd"/>
            <w:r w:rsidRPr="00EB3022">
              <w:rPr>
                <w:rtl/>
              </w:rPr>
              <w:t>، ألمانيا</w:t>
            </w:r>
          </w:p>
        </w:tc>
      </w:tr>
      <w:tr w:rsidR="00EB3022" w:rsidRPr="00C71DC3" w14:paraId="1E0D38B1" w14:textId="77777777" w:rsidTr="00014F08">
        <w:trPr>
          <w:jc w:val="center"/>
        </w:trPr>
        <w:tc>
          <w:tcPr>
            <w:tcW w:w="3114" w:type="dxa"/>
            <w:shd w:val="clear" w:color="auto" w:fill="auto"/>
          </w:tcPr>
          <w:p w14:paraId="1E1A9418" w14:textId="77777777" w:rsidR="00EB3022" w:rsidRPr="00EB3022" w:rsidRDefault="00EB3022" w:rsidP="00014F08">
            <w:pPr>
              <w:pStyle w:val="Tabletext"/>
              <w:textDirection w:val="tbRlV"/>
              <w:rPr>
                <w:lang w:val="ar-SA" w:eastAsia="zh-TW" w:bidi="en-GB"/>
              </w:rPr>
            </w:pPr>
            <w:proofErr w:type="spellStart"/>
            <w:r w:rsidRPr="00EB3022">
              <w:rPr>
                <w:rtl/>
              </w:rPr>
              <w:t>هارينديربال</w:t>
            </w:r>
            <w:proofErr w:type="spellEnd"/>
            <w:r w:rsidRPr="00EB3022">
              <w:rPr>
                <w:rtl/>
              </w:rPr>
              <w:t xml:space="preserve"> سينغ </w:t>
            </w:r>
            <w:proofErr w:type="spellStart"/>
            <w:r w:rsidRPr="00EB3022">
              <w:rPr>
                <w:rtl/>
              </w:rPr>
              <w:t>غريوال</w:t>
            </w:r>
            <w:proofErr w:type="spellEnd"/>
          </w:p>
        </w:tc>
        <w:tc>
          <w:tcPr>
            <w:tcW w:w="4252" w:type="dxa"/>
            <w:shd w:val="clear" w:color="auto" w:fill="auto"/>
          </w:tcPr>
          <w:p w14:paraId="7CB00D1E" w14:textId="12DC846D" w:rsidR="00EB3022" w:rsidRPr="00EB3022" w:rsidRDefault="00EB3022" w:rsidP="00014F08">
            <w:pPr>
              <w:pStyle w:val="Tabletext"/>
              <w:textDirection w:val="tbRlV"/>
              <w:rPr>
                <w:lang w:val="ar-SA" w:eastAsia="zh-TW" w:bidi="en-GB"/>
              </w:rPr>
            </w:pPr>
            <w:r w:rsidRPr="00EB3022">
              <w:rPr>
                <w:rtl/>
              </w:rPr>
              <w:t xml:space="preserve">نائب رئيس لجنة الدراسات 20 والرئيس المشارك لفرقة العمل </w:t>
            </w:r>
            <w:r w:rsidR="00210F08">
              <w:t>2/20</w:t>
            </w:r>
          </w:p>
        </w:tc>
        <w:tc>
          <w:tcPr>
            <w:tcW w:w="2410" w:type="dxa"/>
            <w:shd w:val="clear" w:color="auto" w:fill="auto"/>
          </w:tcPr>
          <w:p w14:paraId="08F44524" w14:textId="77777777" w:rsidR="00EB3022" w:rsidRPr="00EB3022" w:rsidRDefault="00EB3022" w:rsidP="00014F08">
            <w:pPr>
              <w:pStyle w:val="Tabletext"/>
              <w:jc w:val="center"/>
              <w:textDirection w:val="tbRlV"/>
              <w:rPr>
                <w:lang w:val="ar-SA" w:eastAsia="zh-TW" w:bidi="en-GB"/>
              </w:rPr>
            </w:pPr>
            <w:r w:rsidRPr="00EB3022">
              <w:rPr>
                <w:rtl/>
              </w:rPr>
              <w:t>سنغافورة</w:t>
            </w:r>
          </w:p>
        </w:tc>
      </w:tr>
      <w:tr w:rsidR="00EB3022" w:rsidRPr="00C71DC3" w14:paraId="78782E1B" w14:textId="77777777" w:rsidTr="00014F08">
        <w:trPr>
          <w:jc w:val="center"/>
        </w:trPr>
        <w:tc>
          <w:tcPr>
            <w:tcW w:w="3114" w:type="dxa"/>
            <w:shd w:val="clear" w:color="auto" w:fill="auto"/>
          </w:tcPr>
          <w:p w14:paraId="7C44A421" w14:textId="77777777" w:rsidR="00EB3022" w:rsidRPr="00EB3022" w:rsidRDefault="00EB3022" w:rsidP="00014F08">
            <w:pPr>
              <w:pStyle w:val="Tabletext"/>
              <w:textDirection w:val="tbRlV"/>
              <w:rPr>
                <w:lang w:val="ar-SA" w:eastAsia="zh-TW" w:bidi="en-GB"/>
              </w:rPr>
            </w:pPr>
            <w:r w:rsidRPr="00EB3022">
              <w:rPr>
                <w:rtl/>
              </w:rPr>
              <w:t xml:space="preserve">غونار </w:t>
            </w:r>
            <w:proofErr w:type="spellStart"/>
            <w:r w:rsidRPr="00EB3022">
              <w:rPr>
                <w:rtl/>
              </w:rPr>
              <w:t>هيكيلا</w:t>
            </w:r>
            <w:proofErr w:type="spellEnd"/>
          </w:p>
        </w:tc>
        <w:tc>
          <w:tcPr>
            <w:tcW w:w="4252" w:type="dxa"/>
            <w:shd w:val="clear" w:color="auto" w:fill="auto"/>
          </w:tcPr>
          <w:p w14:paraId="70599147" w14:textId="77777777" w:rsidR="00EB3022" w:rsidRPr="00EB3022" w:rsidRDefault="00EB3022" w:rsidP="00014F08">
            <w:pPr>
              <w:pStyle w:val="Tabletext"/>
              <w:textDirection w:val="tbRlV"/>
              <w:rPr>
                <w:lang w:val="ar-SA" w:eastAsia="zh-TW" w:bidi="en-GB"/>
              </w:rPr>
            </w:pPr>
            <w:r w:rsidRPr="00EB3022">
              <w:rPr>
                <w:rtl/>
              </w:rPr>
              <w:t>مندوب في لجنة الدراسات 12</w:t>
            </w:r>
          </w:p>
        </w:tc>
        <w:tc>
          <w:tcPr>
            <w:tcW w:w="2410" w:type="dxa"/>
            <w:shd w:val="clear" w:color="auto" w:fill="auto"/>
          </w:tcPr>
          <w:p w14:paraId="37274468" w14:textId="77777777" w:rsidR="00EB3022" w:rsidRPr="00EB3022" w:rsidRDefault="00EB3022" w:rsidP="00014F08">
            <w:pPr>
              <w:pStyle w:val="Tabletext"/>
              <w:jc w:val="center"/>
              <w:textDirection w:val="tbRlV"/>
              <w:rPr>
                <w:lang w:val="ar-SA" w:eastAsia="zh-TW" w:bidi="en-GB"/>
              </w:rPr>
            </w:pPr>
            <w:proofErr w:type="spellStart"/>
            <w:r w:rsidRPr="00EB3022">
              <w:rPr>
                <w:rtl/>
              </w:rPr>
              <w:t>Telefon</w:t>
            </w:r>
            <w:proofErr w:type="spellEnd"/>
            <w:r w:rsidRPr="00EB3022">
              <w:rPr>
                <w:rtl/>
              </w:rPr>
              <w:t xml:space="preserve"> AB - LM </w:t>
            </w:r>
            <w:proofErr w:type="spellStart"/>
            <w:r w:rsidRPr="00EB3022">
              <w:rPr>
                <w:rtl/>
              </w:rPr>
              <w:t>Ericsson</w:t>
            </w:r>
            <w:proofErr w:type="spellEnd"/>
            <w:r w:rsidRPr="00EB3022">
              <w:rPr>
                <w:rtl/>
              </w:rPr>
              <w:t>، السويد</w:t>
            </w:r>
          </w:p>
        </w:tc>
      </w:tr>
      <w:tr w:rsidR="00EB3022" w:rsidRPr="00C71DC3" w14:paraId="78A0F7F2" w14:textId="77777777" w:rsidTr="00014F08">
        <w:trPr>
          <w:jc w:val="center"/>
        </w:trPr>
        <w:tc>
          <w:tcPr>
            <w:tcW w:w="3114" w:type="dxa"/>
            <w:shd w:val="clear" w:color="auto" w:fill="auto"/>
            <w:hideMark/>
          </w:tcPr>
          <w:p w14:paraId="358DCA54" w14:textId="77777777" w:rsidR="00EB3022" w:rsidRPr="00EB3022" w:rsidRDefault="00EB3022" w:rsidP="00014F08">
            <w:pPr>
              <w:pStyle w:val="Tabletext"/>
              <w:textDirection w:val="tbRlV"/>
              <w:rPr>
                <w:lang w:val="ar-SA" w:eastAsia="zh-TW" w:bidi="en-GB"/>
              </w:rPr>
            </w:pPr>
            <w:r w:rsidRPr="00EB3022">
              <w:rPr>
                <w:rtl/>
              </w:rPr>
              <w:t xml:space="preserve">كاثي </w:t>
            </w:r>
            <w:proofErr w:type="spellStart"/>
            <w:r w:rsidRPr="00EB3022">
              <w:rPr>
                <w:rtl/>
              </w:rPr>
              <w:t>هاندلي</w:t>
            </w:r>
            <w:proofErr w:type="spellEnd"/>
          </w:p>
        </w:tc>
        <w:tc>
          <w:tcPr>
            <w:tcW w:w="4252" w:type="dxa"/>
            <w:shd w:val="clear" w:color="auto" w:fill="auto"/>
            <w:hideMark/>
          </w:tcPr>
          <w:p w14:paraId="1B97D08F" w14:textId="77777777" w:rsidR="00EB3022" w:rsidRPr="00EB3022" w:rsidRDefault="00EB3022" w:rsidP="00014F08">
            <w:pPr>
              <w:pStyle w:val="Tabletext"/>
              <w:textDirection w:val="tbRlV"/>
              <w:rPr>
                <w:lang w:val="ar-SA" w:eastAsia="zh-TW" w:bidi="en-GB"/>
              </w:rPr>
            </w:pPr>
            <w:r w:rsidRPr="00EB3022">
              <w:rPr>
                <w:rtl/>
              </w:rPr>
              <w:t xml:space="preserve">محررة E.901، مندوبة حكومة الولايات المتحدة، </w:t>
            </w:r>
            <w:r w:rsidRPr="00EB3022">
              <w:t>ARIN</w:t>
            </w:r>
            <w:r w:rsidRPr="00EB3022">
              <w:rPr>
                <w:rtl/>
              </w:rPr>
              <w:t>، وأدوار أخرى</w:t>
            </w:r>
          </w:p>
        </w:tc>
        <w:tc>
          <w:tcPr>
            <w:tcW w:w="2410" w:type="dxa"/>
            <w:shd w:val="clear" w:color="auto" w:fill="auto"/>
            <w:hideMark/>
          </w:tcPr>
          <w:p w14:paraId="2A28C1D6" w14:textId="77777777" w:rsidR="00EB3022" w:rsidRPr="00EB3022" w:rsidRDefault="00EB3022" w:rsidP="00014F08">
            <w:pPr>
              <w:pStyle w:val="Tabletext"/>
              <w:jc w:val="center"/>
              <w:textDirection w:val="tbRlV"/>
              <w:rPr>
                <w:lang w:val="ar-SA" w:eastAsia="zh-TW" w:bidi="en-GB"/>
              </w:rPr>
            </w:pPr>
            <w:r w:rsidRPr="00EB3022">
              <w:t>ARIN</w:t>
            </w:r>
            <w:r w:rsidRPr="00EB3022">
              <w:rPr>
                <w:rtl/>
              </w:rPr>
              <w:t>، الولايات المتحدة</w:t>
            </w:r>
          </w:p>
        </w:tc>
      </w:tr>
      <w:tr w:rsidR="00EB3022" w:rsidRPr="00C71DC3" w14:paraId="7BE57F6C" w14:textId="77777777" w:rsidTr="00014F08">
        <w:trPr>
          <w:jc w:val="center"/>
        </w:trPr>
        <w:tc>
          <w:tcPr>
            <w:tcW w:w="3114" w:type="dxa"/>
            <w:shd w:val="clear" w:color="auto" w:fill="auto"/>
          </w:tcPr>
          <w:p w14:paraId="5254EA83" w14:textId="77777777" w:rsidR="00EB3022" w:rsidRPr="00EB3022" w:rsidRDefault="00EB3022" w:rsidP="00014F08">
            <w:pPr>
              <w:pStyle w:val="Tabletext"/>
              <w:textDirection w:val="tbRlV"/>
              <w:rPr>
                <w:lang w:val="ar-SA" w:eastAsia="zh-TW" w:bidi="en-GB"/>
              </w:rPr>
            </w:pPr>
            <w:r w:rsidRPr="00EB3022">
              <w:rPr>
                <w:rtl/>
              </w:rPr>
              <w:lastRenderedPageBreak/>
              <w:t xml:space="preserve">ميتسو </w:t>
            </w:r>
            <w:proofErr w:type="spellStart"/>
            <w:r w:rsidRPr="00EB3022">
              <w:rPr>
                <w:rtl/>
              </w:rPr>
              <w:t>هاتوري</w:t>
            </w:r>
            <w:proofErr w:type="spellEnd"/>
          </w:p>
        </w:tc>
        <w:tc>
          <w:tcPr>
            <w:tcW w:w="4252" w:type="dxa"/>
            <w:shd w:val="clear" w:color="auto" w:fill="auto"/>
          </w:tcPr>
          <w:p w14:paraId="1EB57723" w14:textId="77777777" w:rsidR="00EB3022" w:rsidRPr="00EB3022" w:rsidRDefault="00EB3022" w:rsidP="00014F08">
            <w:pPr>
              <w:pStyle w:val="Tabletext"/>
              <w:textDirection w:val="tbRlV"/>
              <w:rPr>
                <w:lang w:val="ar-SA" w:eastAsia="zh-TW" w:bidi="en-GB"/>
              </w:rPr>
            </w:pPr>
            <w:r w:rsidRPr="00EB3022">
              <w:rPr>
                <w:rtl/>
              </w:rPr>
              <w:t>مندوب في لجنة الدراسات 5</w:t>
            </w:r>
          </w:p>
        </w:tc>
        <w:tc>
          <w:tcPr>
            <w:tcW w:w="2410" w:type="dxa"/>
            <w:shd w:val="clear" w:color="auto" w:fill="auto"/>
          </w:tcPr>
          <w:p w14:paraId="32A8417F" w14:textId="77777777" w:rsidR="00EB3022" w:rsidRPr="00EB3022" w:rsidRDefault="00EB3022" w:rsidP="00014F08">
            <w:pPr>
              <w:pStyle w:val="Tabletext"/>
              <w:jc w:val="center"/>
              <w:textDirection w:val="tbRlV"/>
              <w:rPr>
                <w:lang w:val="ar-SA" w:eastAsia="zh-TW" w:bidi="en-GB"/>
              </w:rPr>
            </w:pPr>
            <w:r w:rsidRPr="00EB3022">
              <w:t>NTT</w:t>
            </w:r>
            <w:r w:rsidRPr="00EB3022">
              <w:rPr>
                <w:rtl/>
              </w:rPr>
              <w:t>، اليابان</w:t>
            </w:r>
          </w:p>
        </w:tc>
      </w:tr>
      <w:tr w:rsidR="00EB3022" w:rsidRPr="00C71DC3" w14:paraId="10CC9B04" w14:textId="77777777" w:rsidTr="00014F08">
        <w:trPr>
          <w:jc w:val="center"/>
        </w:trPr>
        <w:tc>
          <w:tcPr>
            <w:tcW w:w="3114" w:type="dxa"/>
            <w:shd w:val="clear" w:color="auto" w:fill="auto"/>
          </w:tcPr>
          <w:p w14:paraId="2E564DB8" w14:textId="77777777" w:rsidR="00EB3022" w:rsidRPr="00EB3022" w:rsidRDefault="00EB3022" w:rsidP="00014F08">
            <w:pPr>
              <w:pStyle w:val="Tabletext"/>
              <w:textDirection w:val="tbRlV"/>
              <w:rPr>
                <w:lang w:val="ar-SA" w:eastAsia="zh-TW" w:bidi="en-GB"/>
              </w:rPr>
            </w:pPr>
            <w:r w:rsidRPr="00EB3022">
              <w:rPr>
                <w:rtl/>
              </w:rPr>
              <w:t>ريتشارد هيل</w:t>
            </w:r>
          </w:p>
        </w:tc>
        <w:tc>
          <w:tcPr>
            <w:tcW w:w="4252" w:type="dxa"/>
            <w:shd w:val="clear" w:color="auto" w:fill="auto"/>
          </w:tcPr>
          <w:p w14:paraId="3FF04C82" w14:textId="77777777" w:rsidR="00EB3022" w:rsidRPr="005A506F" w:rsidRDefault="00EB3022" w:rsidP="005A506F">
            <w:pPr>
              <w:pStyle w:val="Tabletext"/>
              <w:jc w:val="left"/>
              <w:textDirection w:val="tbRlV"/>
              <w:rPr>
                <w:lang w:val="ar-SA" w:eastAsia="zh-TW" w:bidi="en-GB"/>
              </w:rPr>
            </w:pPr>
            <w:r w:rsidRPr="005A506F">
              <w:rPr>
                <w:rtl/>
              </w:rPr>
              <w:t>محرر E.156 وE.157 والمستشار السابق للجنتي الدراسات 2 و3</w:t>
            </w:r>
          </w:p>
        </w:tc>
        <w:tc>
          <w:tcPr>
            <w:tcW w:w="2410" w:type="dxa"/>
            <w:shd w:val="clear" w:color="auto" w:fill="auto"/>
          </w:tcPr>
          <w:p w14:paraId="00B3E7B4" w14:textId="77777777" w:rsidR="00EB3022" w:rsidRPr="00EB3022" w:rsidRDefault="00EB3022" w:rsidP="00014F08">
            <w:pPr>
              <w:pStyle w:val="Tabletext"/>
              <w:jc w:val="center"/>
              <w:textDirection w:val="tbRlV"/>
              <w:rPr>
                <w:lang w:val="ar-SA" w:eastAsia="zh-TW" w:bidi="en-GB"/>
              </w:rPr>
            </w:pPr>
            <w:proofErr w:type="spellStart"/>
            <w:r w:rsidRPr="00EB3022">
              <w:rPr>
                <w:rtl/>
              </w:rPr>
              <w:t>Hill</w:t>
            </w:r>
            <w:proofErr w:type="spellEnd"/>
            <w:r w:rsidRPr="00EB3022">
              <w:rPr>
                <w:rtl/>
              </w:rPr>
              <w:t xml:space="preserve"> </w:t>
            </w:r>
            <w:proofErr w:type="spellStart"/>
            <w:r w:rsidRPr="00EB3022">
              <w:rPr>
                <w:rtl/>
              </w:rPr>
              <w:t>Associates</w:t>
            </w:r>
            <w:proofErr w:type="spellEnd"/>
          </w:p>
        </w:tc>
      </w:tr>
      <w:tr w:rsidR="00EB3022" w:rsidRPr="00C71DC3" w14:paraId="18D2709F" w14:textId="77777777" w:rsidTr="00014F08">
        <w:trPr>
          <w:jc w:val="center"/>
        </w:trPr>
        <w:tc>
          <w:tcPr>
            <w:tcW w:w="3114" w:type="dxa"/>
            <w:shd w:val="clear" w:color="auto" w:fill="auto"/>
          </w:tcPr>
          <w:p w14:paraId="1463ABE5" w14:textId="77777777" w:rsidR="00EB3022" w:rsidRPr="00EB3022" w:rsidRDefault="00EB3022" w:rsidP="00014F08">
            <w:pPr>
              <w:pStyle w:val="Tabletext"/>
              <w:textDirection w:val="tbRlV"/>
              <w:rPr>
                <w:lang w:val="ar-SA" w:eastAsia="zh-TW" w:bidi="en-GB"/>
              </w:rPr>
            </w:pPr>
            <w:proofErr w:type="spellStart"/>
            <w:r w:rsidRPr="00EB3022">
              <w:rPr>
                <w:rtl/>
              </w:rPr>
              <w:t>هينغ</w:t>
            </w:r>
            <w:proofErr w:type="spellEnd"/>
            <w:r w:rsidRPr="00EB3022">
              <w:rPr>
                <w:rtl/>
              </w:rPr>
              <w:t>-كام لام</w:t>
            </w:r>
          </w:p>
        </w:tc>
        <w:tc>
          <w:tcPr>
            <w:tcW w:w="4252" w:type="dxa"/>
            <w:shd w:val="clear" w:color="auto" w:fill="auto"/>
          </w:tcPr>
          <w:p w14:paraId="4EC61B16" w14:textId="77777777" w:rsidR="00EB3022" w:rsidRPr="00EB3022" w:rsidRDefault="00EB3022" w:rsidP="00014F08">
            <w:pPr>
              <w:pStyle w:val="Tabletext"/>
              <w:textDirection w:val="tbRlV"/>
              <w:rPr>
                <w:lang w:val="ar-SA" w:eastAsia="zh-TW" w:bidi="en-GB"/>
              </w:rPr>
            </w:pPr>
            <w:r w:rsidRPr="00EB3022">
              <w:rPr>
                <w:rtl/>
              </w:rPr>
              <w:t>مقرر المسألة 15/14</w:t>
            </w:r>
          </w:p>
        </w:tc>
        <w:tc>
          <w:tcPr>
            <w:tcW w:w="2410" w:type="dxa"/>
            <w:shd w:val="clear" w:color="auto" w:fill="auto"/>
          </w:tcPr>
          <w:p w14:paraId="210A079A" w14:textId="77777777" w:rsidR="00EB3022" w:rsidRPr="00EB3022" w:rsidRDefault="00EB3022" w:rsidP="00014F08">
            <w:pPr>
              <w:pStyle w:val="Tabletext"/>
              <w:jc w:val="center"/>
              <w:textDirection w:val="tbRlV"/>
              <w:rPr>
                <w:lang w:val="ar-SA" w:eastAsia="zh-TW" w:bidi="en-GB"/>
              </w:rPr>
            </w:pPr>
            <w:r w:rsidRPr="00EB3022">
              <w:t>CICT</w:t>
            </w:r>
            <w:r w:rsidRPr="00EB3022">
              <w:rPr>
                <w:rtl/>
              </w:rPr>
              <w:t>، الصين</w:t>
            </w:r>
          </w:p>
        </w:tc>
      </w:tr>
      <w:tr w:rsidR="00EB3022" w:rsidRPr="00C71DC3" w14:paraId="15E61694" w14:textId="77777777" w:rsidTr="00014F08">
        <w:trPr>
          <w:jc w:val="center"/>
        </w:trPr>
        <w:tc>
          <w:tcPr>
            <w:tcW w:w="3114" w:type="dxa"/>
            <w:shd w:val="clear" w:color="auto" w:fill="auto"/>
          </w:tcPr>
          <w:p w14:paraId="5C3736C9" w14:textId="77777777" w:rsidR="00EB3022" w:rsidRPr="00EB3022" w:rsidRDefault="00EB3022" w:rsidP="00014F08">
            <w:pPr>
              <w:pStyle w:val="Tabletext"/>
              <w:textDirection w:val="tbRlV"/>
              <w:rPr>
                <w:lang w:val="ar-SA" w:eastAsia="zh-TW" w:bidi="en-GB"/>
              </w:rPr>
            </w:pPr>
            <w:r w:rsidRPr="00EB3022">
              <w:rPr>
                <w:rtl/>
              </w:rPr>
              <w:t>بيونغ نام لي</w:t>
            </w:r>
          </w:p>
        </w:tc>
        <w:tc>
          <w:tcPr>
            <w:tcW w:w="4252" w:type="dxa"/>
            <w:shd w:val="clear" w:color="auto" w:fill="auto"/>
          </w:tcPr>
          <w:p w14:paraId="4D3DB19C" w14:textId="1CCC1351" w:rsidR="00EB3022" w:rsidRPr="00EB3022" w:rsidRDefault="00EB3022" w:rsidP="005A506F">
            <w:pPr>
              <w:pStyle w:val="Tabletext"/>
              <w:jc w:val="left"/>
              <w:textDirection w:val="tbRlV"/>
              <w:rPr>
                <w:lang w:val="ar-SA" w:eastAsia="zh-TW" w:bidi="en-GB"/>
              </w:rPr>
            </w:pPr>
            <w:r w:rsidRPr="00EB3022">
              <w:rPr>
                <w:rtl/>
              </w:rPr>
              <w:t xml:space="preserve">مقرر المسألة </w:t>
            </w:r>
            <w:r w:rsidR="00210F08">
              <w:t>1/3</w:t>
            </w:r>
            <w:r w:rsidRPr="00EB3022">
              <w:rPr>
                <w:rtl/>
              </w:rPr>
              <w:t xml:space="preserve"> والمسائل الأخرى في إطار لجنة الدراسات 3</w:t>
            </w:r>
          </w:p>
        </w:tc>
        <w:tc>
          <w:tcPr>
            <w:tcW w:w="2410" w:type="dxa"/>
            <w:shd w:val="clear" w:color="auto" w:fill="auto"/>
          </w:tcPr>
          <w:p w14:paraId="52D3796C" w14:textId="77777777" w:rsidR="00EB3022" w:rsidRPr="00EB3022" w:rsidRDefault="00EB3022" w:rsidP="00014F08">
            <w:pPr>
              <w:pStyle w:val="Tabletext"/>
              <w:jc w:val="center"/>
              <w:textDirection w:val="tbRlV"/>
              <w:rPr>
                <w:lang w:val="ar-SA" w:eastAsia="zh-TW" w:bidi="en-GB"/>
              </w:rPr>
            </w:pPr>
            <w:r w:rsidRPr="00EB3022">
              <w:t>ETRI</w:t>
            </w:r>
            <w:r w:rsidRPr="00EB3022">
              <w:rPr>
                <w:rtl/>
              </w:rPr>
              <w:t>، جمهورية كوريا</w:t>
            </w:r>
          </w:p>
        </w:tc>
      </w:tr>
      <w:tr w:rsidR="00EB3022" w:rsidRPr="00C71DC3" w14:paraId="15A57AE0" w14:textId="77777777" w:rsidTr="00014F08">
        <w:trPr>
          <w:jc w:val="center"/>
        </w:trPr>
        <w:tc>
          <w:tcPr>
            <w:tcW w:w="3114" w:type="dxa"/>
            <w:shd w:val="clear" w:color="auto" w:fill="auto"/>
          </w:tcPr>
          <w:p w14:paraId="36FCE649" w14:textId="77777777" w:rsidR="00EB3022" w:rsidRPr="00EB3022" w:rsidRDefault="00EB3022" w:rsidP="00014F08">
            <w:pPr>
              <w:pStyle w:val="Tabletext"/>
              <w:textDirection w:val="tbRlV"/>
              <w:rPr>
                <w:lang w:val="ar-SA" w:eastAsia="zh-TW" w:bidi="en-GB"/>
              </w:rPr>
            </w:pPr>
            <w:r w:rsidRPr="00EB3022">
              <w:rPr>
                <w:rtl/>
              </w:rPr>
              <w:t>أوليفييه لو غراند</w:t>
            </w:r>
          </w:p>
        </w:tc>
        <w:tc>
          <w:tcPr>
            <w:tcW w:w="4252" w:type="dxa"/>
            <w:shd w:val="clear" w:color="auto" w:fill="auto"/>
          </w:tcPr>
          <w:p w14:paraId="1F1B530A" w14:textId="6F022907" w:rsidR="00EB3022" w:rsidRPr="00EB3022" w:rsidRDefault="00EB3022" w:rsidP="00014F08">
            <w:pPr>
              <w:pStyle w:val="Tabletext"/>
              <w:textDirection w:val="tbRlV"/>
              <w:rPr>
                <w:lang w:val="ar-SA" w:eastAsia="zh-TW" w:bidi="en-GB"/>
              </w:rPr>
            </w:pPr>
            <w:r w:rsidRPr="00EB3022">
              <w:rPr>
                <w:rtl/>
              </w:rPr>
              <w:t xml:space="preserve">نائب رئيس لجنة الدراسات 13 ورئيس فرقة العمل (2005-2012)، مقرر، ثم مقرر مساعد للمسألة </w:t>
            </w:r>
            <w:r w:rsidR="00210F08">
              <w:t>20/13</w:t>
            </w:r>
            <w:r w:rsidRPr="00EB3022">
              <w:rPr>
                <w:rtl/>
              </w:rPr>
              <w:t>، ومحرر توصيات كثيرة</w:t>
            </w:r>
          </w:p>
        </w:tc>
        <w:tc>
          <w:tcPr>
            <w:tcW w:w="2410" w:type="dxa"/>
            <w:shd w:val="clear" w:color="auto" w:fill="auto"/>
          </w:tcPr>
          <w:p w14:paraId="764D7C46" w14:textId="77777777" w:rsidR="00EB3022" w:rsidRPr="00EB3022" w:rsidRDefault="00EB3022" w:rsidP="00014F08">
            <w:pPr>
              <w:pStyle w:val="Tabletext"/>
              <w:jc w:val="center"/>
              <w:textDirection w:val="tbRlV"/>
              <w:rPr>
                <w:lang w:val="ar-SA" w:eastAsia="zh-TW" w:bidi="en-GB"/>
              </w:rPr>
            </w:pPr>
            <w:r w:rsidRPr="00EB3022">
              <w:t>Orange</w:t>
            </w:r>
            <w:r w:rsidRPr="00EB3022">
              <w:rPr>
                <w:rtl/>
              </w:rPr>
              <w:t>، فرنسا</w:t>
            </w:r>
          </w:p>
        </w:tc>
      </w:tr>
      <w:tr w:rsidR="00EB3022" w:rsidRPr="00C71DC3" w14:paraId="08ECBEAC" w14:textId="77777777" w:rsidTr="00014F08">
        <w:trPr>
          <w:jc w:val="center"/>
        </w:trPr>
        <w:tc>
          <w:tcPr>
            <w:tcW w:w="3114" w:type="dxa"/>
            <w:shd w:val="clear" w:color="auto" w:fill="auto"/>
          </w:tcPr>
          <w:p w14:paraId="08679727" w14:textId="77777777" w:rsidR="00EB3022" w:rsidRPr="00EB3022" w:rsidRDefault="00EB3022" w:rsidP="00014F08">
            <w:pPr>
              <w:pStyle w:val="Tabletext"/>
              <w:textDirection w:val="tbRlV"/>
              <w:rPr>
                <w:lang w:val="ar-SA" w:eastAsia="zh-TW" w:bidi="en-GB"/>
              </w:rPr>
            </w:pPr>
            <w:r w:rsidRPr="00EB3022">
              <w:rPr>
                <w:rtl/>
              </w:rPr>
              <w:t>غريغ راتا</w:t>
            </w:r>
          </w:p>
        </w:tc>
        <w:tc>
          <w:tcPr>
            <w:tcW w:w="4252" w:type="dxa"/>
            <w:shd w:val="clear" w:color="auto" w:fill="auto"/>
          </w:tcPr>
          <w:p w14:paraId="091E7A5B" w14:textId="1DFC776A" w:rsidR="00EB3022" w:rsidRPr="00EB3022" w:rsidRDefault="00EB3022" w:rsidP="00EB3022">
            <w:pPr>
              <w:pStyle w:val="Tabletext"/>
              <w:jc w:val="left"/>
              <w:textDirection w:val="tbRlV"/>
              <w:rPr>
                <w:spacing w:val="-2"/>
                <w:lang w:val="ar-SA" w:eastAsia="zh-TW" w:bidi="en-GB"/>
              </w:rPr>
            </w:pPr>
            <w:r w:rsidRPr="00EB3022">
              <w:rPr>
                <w:spacing w:val="-2"/>
                <w:rtl/>
              </w:rPr>
              <w:t xml:space="preserve">نائب رئيس لجنة الدراسات 17؛ </w:t>
            </w:r>
            <w:r>
              <w:rPr>
                <w:spacing w:val="-2"/>
                <w:rtl/>
              </w:rPr>
              <w:br/>
            </w:r>
            <w:r w:rsidRPr="00EB3022">
              <w:rPr>
                <w:rtl/>
              </w:rPr>
              <w:t>المقرر المساعد للفريق الاستشاري لتقييس الاتصالات المعني ببدائل إعادة هيكلة لجان دراسات قطاع تقييس الاتصالات؛</w:t>
            </w:r>
            <w:r w:rsidRPr="00EB3022">
              <w:rPr>
                <w:spacing w:val="-2"/>
                <w:rtl/>
              </w:rPr>
              <w:t xml:space="preserve"> </w:t>
            </w:r>
            <w:r>
              <w:rPr>
                <w:spacing w:val="-2"/>
                <w:rtl/>
              </w:rPr>
              <w:br/>
            </w:r>
            <w:r w:rsidRPr="00EB3022">
              <w:rPr>
                <w:spacing w:val="-2"/>
                <w:rtl/>
              </w:rPr>
              <w:t>ونائب رئيس لجنة الدراسات 11 ورئيس فرقة العمل في</w:t>
            </w:r>
            <w:r w:rsidR="00587D44">
              <w:rPr>
                <w:rFonts w:hint="cs"/>
                <w:spacing w:val="-2"/>
                <w:rtl/>
              </w:rPr>
              <w:t> </w:t>
            </w:r>
            <w:r w:rsidRPr="00EB3022">
              <w:rPr>
                <w:spacing w:val="-2"/>
                <w:rtl/>
              </w:rPr>
              <w:t>فترات الدراسة السابقة</w:t>
            </w:r>
          </w:p>
        </w:tc>
        <w:tc>
          <w:tcPr>
            <w:tcW w:w="2410" w:type="dxa"/>
            <w:shd w:val="clear" w:color="auto" w:fill="auto"/>
          </w:tcPr>
          <w:p w14:paraId="71489799" w14:textId="77777777" w:rsidR="00EB3022" w:rsidRPr="00EB3022" w:rsidRDefault="00EB3022" w:rsidP="00014F08">
            <w:pPr>
              <w:pStyle w:val="Tabletext"/>
              <w:jc w:val="center"/>
              <w:textDirection w:val="tbRlV"/>
              <w:rPr>
                <w:lang w:val="ar-SA" w:eastAsia="zh-TW" w:bidi="en-GB"/>
              </w:rPr>
            </w:pPr>
            <w:r w:rsidRPr="00EB3022">
              <w:rPr>
                <w:rtl/>
              </w:rPr>
              <w:t>الولايات المتحدة الأمريكية</w:t>
            </w:r>
          </w:p>
        </w:tc>
      </w:tr>
      <w:tr w:rsidR="00EB3022" w:rsidRPr="00C71DC3" w14:paraId="054146BA" w14:textId="77777777" w:rsidTr="00014F08">
        <w:trPr>
          <w:jc w:val="center"/>
        </w:trPr>
        <w:tc>
          <w:tcPr>
            <w:tcW w:w="3114" w:type="dxa"/>
            <w:shd w:val="clear" w:color="auto" w:fill="auto"/>
          </w:tcPr>
          <w:p w14:paraId="7D5B8A26" w14:textId="77777777" w:rsidR="00EB3022" w:rsidRPr="00EB3022" w:rsidRDefault="00EB3022" w:rsidP="00014F08">
            <w:pPr>
              <w:pStyle w:val="Tabletext"/>
              <w:textDirection w:val="tbRlV"/>
              <w:rPr>
                <w:lang w:val="ar-SA" w:eastAsia="zh-TW" w:bidi="en-GB"/>
              </w:rPr>
            </w:pPr>
            <w:r w:rsidRPr="00EB3022">
              <w:rPr>
                <w:rtl/>
              </w:rPr>
              <w:t>هال روبرتس</w:t>
            </w:r>
          </w:p>
        </w:tc>
        <w:tc>
          <w:tcPr>
            <w:tcW w:w="4252" w:type="dxa"/>
            <w:shd w:val="clear" w:color="auto" w:fill="auto"/>
          </w:tcPr>
          <w:p w14:paraId="3BCFC074" w14:textId="77777777" w:rsidR="00EB3022" w:rsidRPr="00EB3022" w:rsidRDefault="00EB3022" w:rsidP="00014F08">
            <w:pPr>
              <w:pStyle w:val="Tabletext"/>
              <w:textDirection w:val="tbRlV"/>
              <w:rPr>
                <w:lang w:val="ar-SA" w:eastAsia="zh-TW" w:bidi="en-GB"/>
              </w:rPr>
            </w:pPr>
            <w:r w:rsidRPr="00EB3022">
              <w:rPr>
                <w:rtl/>
              </w:rPr>
              <w:t>مندوب في لجنة الدراسات 15</w:t>
            </w:r>
          </w:p>
        </w:tc>
        <w:tc>
          <w:tcPr>
            <w:tcW w:w="2410" w:type="dxa"/>
            <w:shd w:val="clear" w:color="auto" w:fill="auto"/>
          </w:tcPr>
          <w:p w14:paraId="2C16E44E" w14:textId="6B2B0033" w:rsidR="00EB3022" w:rsidRPr="00EB3022" w:rsidRDefault="00EB3022" w:rsidP="00014F08">
            <w:pPr>
              <w:pStyle w:val="Tabletext"/>
              <w:jc w:val="center"/>
              <w:textDirection w:val="tbRlV"/>
              <w:rPr>
                <w:lang w:val="ar-SA" w:eastAsia="zh-TW" w:bidi="en-GB"/>
              </w:rPr>
            </w:pPr>
            <w:r w:rsidRPr="00EB3022">
              <w:t>Calix</w:t>
            </w:r>
            <w:r w:rsidRPr="00EB3022">
              <w:rPr>
                <w:rtl/>
              </w:rPr>
              <w:t>، الولايات المتحدة</w:t>
            </w:r>
            <w:r w:rsidR="00587D44">
              <w:rPr>
                <w:rFonts w:hint="cs"/>
                <w:rtl/>
              </w:rPr>
              <w:t> </w:t>
            </w:r>
            <w:r w:rsidRPr="00EB3022">
              <w:rPr>
                <w:rtl/>
              </w:rPr>
              <w:t>الأمريكية</w:t>
            </w:r>
          </w:p>
        </w:tc>
      </w:tr>
      <w:tr w:rsidR="00EB3022" w:rsidRPr="00C71DC3" w14:paraId="310EF9F1" w14:textId="77777777" w:rsidTr="00014F08">
        <w:trPr>
          <w:jc w:val="center"/>
        </w:trPr>
        <w:tc>
          <w:tcPr>
            <w:tcW w:w="3114" w:type="dxa"/>
            <w:shd w:val="clear" w:color="auto" w:fill="auto"/>
          </w:tcPr>
          <w:p w14:paraId="3442FE80" w14:textId="77777777" w:rsidR="00EB3022" w:rsidRPr="00EB3022" w:rsidRDefault="00EB3022" w:rsidP="00014F08">
            <w:pPr>
              <w:pStyle w:val="Tabletext"/>
              <w:textDirection w:val="tbRlV"/>
              <w:rPr>
                <w:lang w:val="ar-SA" w:eastAsia="zh-TW" w:bidi="en-GB"/>
              </w:rPr>
            </w:pPr>
            <w:proofErr w:type="spellStart"/>
            <w:r w:rsidRPr="00EB3022">
              <w:rPr>
                <w:rtl/>
              </w:rPr>
              <w:t>دنكان</w:t>
            </w:r>
            <w:proofErr w:type="spellEnd"/>
            <w:r w:rsidRPr="00EB3022">
              <w:rPr>
                <w:rtl/>
              </w:rPr>
              <w:t xml:space="preserve"> </w:t>
            </w:r>
            <w:proofErr w:type="spellStart"/>
            <w:r w:rsidRPr="00EB3022">
              <w:rPr>
                <w:rtl/>
              </w:rPr>
              <w:t>سباريل</w:t>
            </w:r>
            <w:proofErr w:type="spellEnd"/>
          </w:p>
        </w:tc>
        <w:tc>
          <w:tcPr>
            <w:tcW w:w="4252" w:type="dxa"/>
            <w:shd w:val="clear" w:color="auto" w:fill="auto"/>
          </w:tcPr>
          <w:p w14:paraId="092A3F6F" w14:textId="797DCD3C" w:rsidR="00EB3022" w:rsidRPr="003B712F" w:rsidRDefault="00EB3022" w:rsidP="00014F08">
            <w:pPr>
              <w:pStyle w:val="Tabletext"/>
              <w:textDirection w:val="tbRlV"/>
              <w:rPr>
                <w:spacing w:val="-2"/>
                <w:lang w:val="ar-SA" w:eastAsia="zh-TW" w:bidi="en-GB"/>
              </w:rPr>
            </w:pPr>
            <w:r w:rsidRPr="003B712F">
              <w:rPr>
                <w:spacing w:val="-2"/>
                <w:rtl/>
              </w:rPr>
              <w:t xml:space="preserve">موظف اتصال تابع للجنة الدراسات 17 لدى </w:t>
            </w:r>
            <w:r w:rsidRPr="003B712F">
              <w:rPr>
                <w:spacing w:val="-2"/>
              </w:rPr>
              <w:t>OASIS</w:t>
            </w:r>
            <w:r w:rsidRPr="003B712F">
              <w:rPr>
                <w:spacing w:val="-2"/>
                <w:rtl/>
              </w:rPr>
              <w:t xml:space="preserve"> (حتى عام 2024)؛ مقرر ورئيس فرقة عمل في لجنة الدراسات 15 لقطاع تقييس الاتصالات (1993-2000)</w:t>
            </w:r>
          </w:p>
        </w:tc>
        <w:tc>
          <w:tcPr>
            <w:tcW w:w="2410" w:type="dxa"/>
            <w:shd w:val="clear" w:color="auto" w:fill="auto"/>
          </w:tcPr>
          <w:p w14:paraId="34D02B04" w14:textId="77777777" w:rsidR="00EB3022" w:rsidRPr="00EB3022" w:rsidRDefault="00EB3022" w:rsidP="00014F08">
            <w:pPr>
              <w:pStyle w:val="Tabletext"/>
              <w:jc w:val="center"/>
              <w:textDirection w:val="tbRlV"/>
              <w:rPr>
                <w:lang w:val="ar-SA" w:eastAsia="zh-TW" w:bidi="en-GB"/>
              </w:rPr>
            </w:pPr>
            <w:r w:rsidRPr="00EB3022">
              <w:rPr>
                <w:rtl/>
              </w:rPr>
              <w:t>الولايات المتحدة الأمريكية</w:t>
            </w:r>
          </w:p>
        </w:tc>
      </w:tr>
      <w:tr w:rsidR="00EB3022" w:rsidRPr="00C71DC3" w14:paraId="4AAD0001" w14:textId="77777777" w:rsidTr="00014F08">
        <w:trPr>
          <w:jc w:val="center"/>
        </w:trPr>
        <w:tc>
          <w:tcPr>
            <w:tcW w:w="3114" w:type="dxa"/>
            <w:shd w:val="clear" w:color="auto" w:fill="auto"/>
          </w:tcPr>
          <w:p w14:paraId="269762F3" w14:textId="77777777" w:rsidR="00EB3022" w:rsidRPr="00EB3022" w:rsidRDefault="00EB3022" w:rsidP="00014F08">
            <w:pPr>
              <w:pStyle w:val="Tabletext"/>
              <w:textDirection w:val="tbRlV"/>
              <w:rPr>
                <w:lang w:val="ar-SA" w:eastAsia="zh-TW" w:bidi="en-GB"/>
              </w:rPr>
            </w:pPr>
            <w:r w:rsidRPr="00EB3022">
              <w:rPr>
                <w:rtl/>
              </w:rPr>
              <w:t xml:space="preserve">زيفان </w:t>
            </w:r>
            <w:proofErr w:type="spellStart"/>
            <w:r w:rsidRPr="00EB3022">
              <w:rPr>
                <w:rtl/>
              </w:rPr>
              <w:t>شنغ</w:t>
            </w:r>
            <w:proofErr w:type="spellEnd"/>
          </w:p>
        </w:tc>
        <w:tc>
          <w:tcPr>
            <w:tcW w:w="4252" w:type="dxa"/>
            <w:shd w:val="clear" w:color="auto" w:fill="auto"/>
          </w:tcPr>
          <w:p w14:paraId="18BBDA4C" w14:textId="77777777" w:rsidR="00EB3022" w:rsidRPr="00EB3022" w:rsidRDefault="00EB3022" w:rsidP="00014F08">
            <w:pPr>
              <w:pStyle w:val="Tabletext"/>
              <w:textDirection w:val="tbRlV"/>
              <w:rPr>
                <w:lang w:val="ar-SA" w:eastAsia="zh-TW" w:bidi="en-GB"/>
              </w:rPr>
            </w:pPr>
            <w:r w:rsidRPr="00EB3022">
              <w:rPr>
                <w:rtl/>
              </w:rPr>
              <w:t>نائب رئيس لجنة الدراسات 17</w:t>
            </w:r>
          </w:p>
        </w:tc>
        <w:tc>
          <w:tcPr>
            <w:tcW w:w="2410" w:type="dxa"/>
            <w:shd w:val="clear" w:color="auto" w:fill="auto"/>
          </w:tcPr>
          <w:p w14:paraId="79B25D2A" w14:textId="77777777" w:rsidR="00EB3022" w:rsidRPr="00EB3022" w:rsidRDefault="00EB3022" w:rsidP="00014F08">
            <w:pPr>
              <w:pStyle w:val="Tabletext"/>
              <w:jc w:val="center"/>
              <w:textDirection w:val="tbRlV"/>
              <w:rPr>
                <w:lang w:val="ar-SA" w:eastAsia="zh-TW" w:bidi="en-GB"/>
              </w:rPr>
            </w:pPr>
            <w:r w:rsidRPr="00EB3022">
              <w:rPr>
                <w:rtl/>
              </w:rPr>
              <w:t>أكاديمية علوم البث، الصين</w:t>
            </w:r>
          </w:p>
        </w:tc>
      </w:tr>
      <w:tr w:rsidR="00EB3022" w:rsidRPr="00C71DC3" w14:paraId="09B071B5" w14:textId="77777777" w:rsidTr="00014F08">
        <w:trPr>
          <w:jc w:val="center"/>
        </w:trPr>
        <w:tc>
          <w:tcPr>
            <w:tcW w:w="3114" w:type="dxa"/>
            <w:shd w:val="clear" w:color="auto" w:fill="auto"/>
          </w:tcPr>
          <w:p w14:paraId="69E607FE" w14:textId="77777777" w:rsidR="00EB3022" w:rsidRPr="00EB3022" w:rsidRDefault="00EB3022" w:rsidP="00014F08">
            <w:pPr>
              <w:pStyle w:val="Tabletext"/>
              <w:textDirection w:val="tbRlV"/>
              <w:rPr>
                <w:lang w:val="ar-SA" w:eastAsia="zh-TW" w:bidi="en-GB"/>
              </w:rPr>
            </w:pPr>
            <w:r w:rsidRPr="00EB3022">
              <w:rPr>
                <w:rtl/>
              </w:rPr>
              <w:t>جو سميث</w:t>
            </w:r>
          </w:p>
        </w:tc>
        <w:tc>
          <w:tcPr>
            <w:tcW w:w="4252" w:type="dxa"/>
            <w:shd w:val="clear" w:color="auto" w:fill="auto"/>
          </w:tcPr>
          <w:p w14:paraId="38CD8F1D" w14:textId="77777777" w:rsidR="00EB3022" w:rsidRPr="00EB3022" w:rsidRDefault="00EB3022" w:rsidP="00014F08">
            <w:pPr>
              <w:pStyle w:val="Tabletext"/>
              <w:textDirection w:val="tbRlV"/>
              <w:rPr>
                <w:lang w:val="ar-SA" w:eastAsia="zh-TW" w:bidi="en-GB"/>
              </w:rPr>
            </w:pPr>
            <w:r w:rsidRPr="00EB3022">
              <w:rPr>
                <w:rtl/>
              </w:rPr>
              <w:t>مندوب في لجنة الدراسات 15</w:t>
            </w:r>
          </w:p>
        </w:tc>
        <w:tc>
          <w:tcPr>
            <w:tcW w:w="2410" w:type="dxa"/>
            <w:shd w:val="clear" w:color="auto" w:fill="auto"/>
          </w:tcPr>
          <w:p w14:paraId="40F81E55" w14:textId="4AF8551F" w:rsidR="00EB3022" w:rsidRPr="00EB3022" w:rsidRDefault="00EB3022" w:rsidP="00014F08">
            <w:pPr>
              <w:pStyle w:val="Tabletext"/>
              <w:jc w:val="center"/>
              <w:textDirection w:val="tbRlV"/>
              <w:rPr>
                <w:lang w:val="ar-SA" w:eastAsia="zh-TW" w:bidi="en-GB"/>
              </w:rPr>
            </w:pPr>
            <w:r w:rsidRPr="00EB3022">
              <w:t>Nokia</w:t>
            </w:r>
            <w:r w:rsidRPr="00EB3022">
              <w:rPr>
                <w:rtl/>
              </w:rPr>
              <w:t>، الولايات المتحدة</w:t>
            </w:r>
            <w:r w:rsidR="003B712F">
              <w:rPr>
                <w:rFonts w:hint="cs"/>
                <w:rtl/>
              </w:rPr>
              <w:t> </w:t>
            </w:r>
            <w:r w:rsidRPr="00EB3022">
              <w:rPr>
                <w:rtl/>
              </w:rPr>
              <w:t>الأمريكية</w:t>
            </w:r>
          </w:p>
        </w:tc>
      </w:tr>
      <w:tr w:rsidR="00EB3022" w:rsidRPr="00C71DC3" w14:paraId="703C7DAC" w14:textId="77777777" w:rsidTr="00014F08">
        <w:trPr>
          <w:jc w:val="center"/>
        </w:trPr>
        <w:tc>
          <w:tcPr>
            <w:tcW w:w="3114" w:type="dxa"/>
            <w:shd w:val="clear" w:color="auto" w:fill="auto"/>
          </w:tcPr>
          <w:p w14:paraId="5106E387" w14:textId="77777777" w:rsidR="00EB3022" w:rsidRPr="00EB3022" w:rsidRDefault="00EB3022" w:rsidP="00014F08">
            <w:pPr>
              <w:pStyle w:val="Tabletext"/>
              <w:textDirection w:val="tbRlV"/>
              <w:rPr>
                <w:lang w:val="ar-SA" w:eastAsia="zh-TW" w:bidi="en-GB"/>
              </w:rPr>
            </w:pPr>
            <w:r w:rsidRPr="00EB3022">
              <w:rPr>
                <w:rtl/>
              </w:rPr>
              <w:t>محمد توي</w:t>
            </w:r>
          </w:p>
        </w:tc>
        <w:tc>
          <w:tcPr>
            <w:tcW w:w="4252" w:type="dxa"/>
            <w:shd w:val="clear" w:color="auto" w:fill="auto"/>
          </w:tcPr>
          <w:p w14:paraId="1053836B" w14:textId="500B4B1A" w:rsidR="00EB3022" w:rsidRPr="00EB3022" w:rsidRDefault="00EB3022" w:rsidP="00EB3022">
            <w:pPr>
              <w:pStyle w:val="Tabletext"/>
              <w:jc w:val="left"/>
              <w:textDirection w:val="tbRlV"/>
              <w:rPr>
                <w:lang w:val="ar-SA" w:eastAsia="zh-TW" w:bidi="en-GB"/>
              </w:rPr>
            </w:pPr>
            <w:r w:rsidRPr="00EB3022">
              <w:rPr>
                <w:rtl/>
              </w:rPr>
              <w:t xml:space="preserve">نائب رئيس لجنة الدراسات 13؛ </w:t>
            </w:r>
            <w:r>
              <w:rPr>
                <w:rtl/>
              </w:rPr>
              <w:br/>
            </w:r>
            <w:r w:rsidRPr="00EB3022">
              <w:rPr>
                <w:rtl/>
              </w:rPr>
              <w:t>نائب رئيس الفريق المتخصص المعني بتكنولوجيات شبكات عام 2030 وما بعدها (ITU-T FG-Net2030)، والرئيس المشارك للفريق الفرعي 3 التابع للفريق المتخصص FG-NET2030، والمحرر في لجنة الدراسات 13 وفي الفريق المتخصص FG</w:t>
            </w:r>
            <w:r>
              <w:rPr>
                <w:rtl/>
              </w:rPr>
              <w:noBreakHyphen/>
            </w:r>
            <w:r w:rsidRPr="00EB3022">
              <w:rPr>
                <w:rtl/>
              </w:rPr>
              <w:t>NET2030</w:t>
            </w:r>
          </w:p>
        </w:tc>
        <w:tc>
          <w:tcPr>
            <w:tcW w:w="2410" w:type="dxa"/>
            <w:shd w:val="clear" w:color="auto" w:fill="auto"/>
          </w:tcPr>
          <w:p w14:paraId="6EE55D62" w14:textId="480FABD8" w:rsidR="00EB3022" w:rsidRPr="00EB3022" w:rsidRDefault="00EB3022" w:rsidP="00575295">
            <w:pPr>
              <w:pStyle w:val="Tabletext"/>
              <w:jc w:val="center"/>
              <w:textDirection w:val="tbRlV"/>
              <w:rPr>
                <w:lang w:val="ar-SA" w:eastAsia="zh-TW" w:bidi="en-GB"/>
              </w:rPr>
            </w:pPr>
            <w:r w:rsidRPr="00EB3022">
              <w:rPr>
                <w:rtl/>
              </w:rPr>
              <w:t>الولايات المتحدة الأمريكية</w:t>
            </w:r>
          </w:p>
        </w:tc>
      </w:tr>
      <w:tr w:rsidR="00EB3022" w:rsidRPr="00C71DC3" w14:paraId="042AE9C2" w14:textId="77777777" w:rsidTr="00014F08">
        <w:trPr>
          <w:jc w:val="center"/>
        </w:trPr>
        <w:tc>
          <w:tcPr>
            <w:tcW w:w="3114" w:type="dxa"/>
            <w:shd w:val="clear" w:color="auto" w:fill="auto"/>
          </w:tcPr>
          <w:p w14:paraId="5BAE201A" w14:textId="77777777" w:rsidR="00EB3022" w:rsidRPr="00EB3022" w:rsidRDefault="00EB3022" w:rsidP="00014F08">
            <w:pPr>
              <w:pStyle w:val="Tabletext"/>
              <w:textDirection w:val="tbRlV"/>
              <w:rPr>
                <w:lang w:val="ar-SA" w:eastAsia="zh-TW" w:bidi="en-GB"/>
              </w:rPr>
            </w:pPr>
            <w:r w:rsidRPr="00EB3022">
              <w:rPr>
                <w:rtl/>
              </w:rPr>
              <w:t xml:space="preserve">ستيف </w:t>
            </w:r>
            <w:proofErr w:type="spellStart"/>
            <w:r w:rsidRPr="00EB3022">
              <w:rPr>
                <w:rtl/>
              </w:rPr>
              <w:t>تروبريدج</w:t>
            </w:r>
            <w:proofErr w:type="spellEnd"/>
          </w:p>
        </w:tc>
        <w:tc>
          <w:tcPr>
            <w:tcW w:w="4252" w:type="dxa"/>
            <w:shd w:val="clear" w:color="auto" w:fill="auto"/>
          </w:tcPr>
          <w:p w14:paraId="42125F96" w14:textId="58AD700D" w:rsidR="00EB3022" w:rsidRPr="007657BE" w:rsidRDefault="00EB3022" w:rsidP="007657BE">
            <w:pPr>
              <w:pStyle w:val="Tabletext"/>
              <w:jc w:val="left"/>
              <w:textDirection w:val="tbRlV"/>
              <w:rPr>
                <w:spacing w:val="-2"/>
                <w:lang w:val="ar-SA" w:eastAsia="zh-TW" w:bidi="en-GB"/>
              </w:rPr>
            </w:pPr>
            <w:r w:rsidRPr="007657BE">
              <w:rPr>
                <w:spacing w:val="-2"/>
                <w:rtl/>
              </w:rPr>
              <w:t>رئيس لجنة الدراسات 15 (20</w:t>
            </w:r>
            <w:r w:rsidR="007657BE" w:rsidRPr="007657BE">
              <w:rPr>
                <w:rFonts w:hint="cs"/>
                <w:spacing w:val="-2"/>
                <w:rtl/>
              </w:rPr>
              <w:t>13</w:t>
            </w:r>
            <w:r w:rsidRPr="007657BE">
              <w:rPr>
                <w:spacing w:val="-2"/>
                <w:rtl/>
              </w:rPr>
              <w:t>-20</w:t>
            </w:r>
            <w:r w:rsidR="007657BE" w:rsidRPr="007657BE">
              <w:rPr>
                <w:rFonts w:hint="cs"/>
                <w:spacing w:val="-2"/>
                <w:rtl/>
              </w:rPr>
              <w:t>21</w:t>
            </w:r>
            <w:r w:rsidRPr="007657BE">
              <w:rPr>
                <w:spacing w:val="-2"/>
                <w:rtl/>
              </w:rPr>
              <w:t>)</w:t>
            </w:r>
            <w:r w:rsidR="007657BE" w:rsidRPr="007657BE">
              <w:rPr>
                <w:spacing w:val="-2"/>
                <w:rtl/>
              </w:rPr>
              <w:br/>
            </w:r>
            <w:r w:rsidRPr="007657BE">
              <w:rPr>
                <w:spacing w:val="-2"/>
                <w:rtl/>
              </w:rPr>
              <w:t>مقرر الفريق الاستشاري لتقييس الاتصالات المعني بأساليب العمل (في فترات الدراسة السابقة)، رئيس لجنة الدراسات 3 (الجمعية WTSA-12 والجمعية WTSA-16)</w:t>
            </w:r>
          </w:p>
        </w:tc>
        <w:tc>
          <w:tcPr>
            <w:tcW w:w="2410" w:type="dxa"/>
            <w:shd w:val="clear" w:color="auto" w:fill="auto"/>
          </w:tcPr>
          <w:p w14:paraId="55E9C4AC" w14:textId="77777777" w:rsidR="00EB3022" w:rsidRPr="00EB3022" w:rsidRDefault="00EB3022" w:rsidP="00014F08">
            <w:pPr>
              <w:pStyle w:val="Tabletext"/>
              <w:jc w:val="center"/>
              <w:textDirection w:val="tbRlV"/>
              <w:rPr>
                <w:lang w:val="ar-SA" w:eastAsia="zh-TW" w:bidi="en-GB"/>
              </w:rPr>
            </w:pPr>
            <w:r w:rsidRPr="00EB3022">
              <w:t>Nokia</w:t>
            </w:r>
            <w:r w:rsidRPr="00EB3022">
              <w:rPr>
                <w:rtl/>
              </w:rPr>
              <w:t>، الولايات المتحدة الأمريكية</w:t>
            </w:r>
          </w:p>
        </w:tc>
      </w:tr>
      <w:tr w:rsidR="00EB3022" w:rsidRPr="00C71DC3" w14:paraId="264C86F1" w14:textId="77777777" w:rsidTr="00014F08">
        <w:trPr>
          <w:jc w:val="center"/>
        </w:trPr>
        <w:tc>
          <w:tcPr>
            <w:tcW w:w="3114" w:type="dxa"/>
            <w:shd w:val="clear" w:color="auto" w:fill="auto"/>
          </w:tcPr>
          <w:p w14:paraId="7D5660D5" w14:textId="77777777" w:rsidR="00EB3022" w:rsidRPr="00EB3022" w:rsidRDefault="00EB3022" w:rsidP="00014F08">
            <w:pPr>
              <w:pStyle w:val="Tabletext"/>
              <w:textDirection w:val="tbRlV"/>
              <w:rPr>
                <w:lang w:val="ar-SA" w:eastAsia="zh-TW" w:bidi="en-GB"/>
              </w:rPr>
            </w:pPr>
            <w:proofErr w:type="spellStart"/>
            <w:r w:rsidRPr="00EB3022">
              <w:rPr>
                <w:rtl/>
              </w:rPr>
              <w:t>إيمري</w:t>
            </w:r>
            <w:proofErr w:type="spellEnd"/>
            <w:r w:rsidRPr="00EB3022">
              <w:rPr>
                <w:rtl/>
              </w:rPr>
              <w:t xml:space="preserve"> فارغا</w:t>
            </w:r>
          </w:p>
        </w:tc>
        <w:tc>
          <w:tcPr>
            <w:tcW w:w="4252" w:type="dxa"/>
            <w:shd w:val="clear" w:color="auto" w:fill="auto"/>
          </w:tcPr>
          <w:p w14:paraId="75CDD5C5" w14:textId="550DAD6E" w:rsidR="00EB3022" w:rsidRPr="00CB14B3" w:rsidRDefault="00EB3022" w:rsidP="00014F08">
            <w:pPr>
              <w:pStyle w:val="Tabletext"/>
              <w:textDirection w:val="tbRlV"/>
              <w:rPr>
                <w:spacing w:val="-2"/>
                <w:lang w:val="ar-SA" w:eastAsia="zh-TW" w:bidi="en-GB"/>
              </w:rPr>
            </w:pPr>
            <w:r w:rsidRPr="00CB14B3">
              <w:rPr>
                <w:spacing w:val="-2"/>
                <w:rtl/>
              </w:rPr>
              <w:t xml:space="preserve">محرر </w:t>
            </w:r>
            <w:r w:rsidRPr="00CB14B3">
              <w:rPr>
                <w:spacing w:val="-2"/>
              </w:rPr>
              <w:t>P.811</w:t>
            </w:r>
            <w:r w:rsidRPr="00CB14B3">
              <w:rPr>
                <w:rFonts w:hint="cs"/>
                <w:spacing w:val="-2"/>
                <w:rtl/>
              </w:rPr>
              <w:t xml:space="preserve"> </w:t>
            </w:r>
            <w:r w:rsidR="00302581" w:rsidRPr="00CB14B3">
              <w:rPr>
                <w:rFonts w:hint="cs"/>
                <w:spacing w:val="-2"/>
                <w:rtl/>
              </w:rPr>
              <w:t>و</w:t>
            </w:r>
            <w:r w:rsidRPr="00CB14B3">
              <w:rPr>
                <w:spacing w:val="-2"/>
              </w:rPr>
              <w:t>P.1150</w:t>
            </w:r>
            <w:r w:rsidRPr="00CB14B3">
              <w:rPr>
                <w:rFonts w:hint="cs"/>
                <w:spacing w:val="-2"/>
                <w:rtl/>
              </w:rPr>
              <w:t xml:space="preserve"> </w:t>
            </w:r>
            <w:r w:rsidR="00302581" w:rsidRPr="00CB14B3">
              <w:rPr>
                <w:rFonts w:hint="cs"/>
                <w:spacing w:val="-2"/>
                <w:rtl/>
              </w:rPr>
              <w:t>و</w:t>
            </w:r>
            <w:r w:rsidRPr="00CB14B3">
              <w:rPr>
                <w:spacing w:val="-2"/>
              </w:rPr>
              <w:t>P.Sup29</w:t>
            </w:r>
            <w:r w:rsidRPr="00CB14B3">
              <w:rPr>
                <w:rFonts w:hint="cs"/>
                <w:spacing w:val="-2"/>
                <w:rtl/>
              </w:rPr>
              <w:t>.</w:t>
            </w:r>
            <w:r w:rsidRPr="00CB14B3">
              <w:rPr>
                <w:spacing w:val="-2"/>
                <w:rtl/>
              </w:rPr>
              <w:t xml:space="preserve"> مندوب عن </w:t>
            </w:r>
            <w:proofErr w:type="spellStart"/>
            <w:r w:rsidRPr="00CB14B3">
              <w:rPr>
                <w:spacing w:val="-2"/>
                <w:rtl/>
              </w:rPr>
              <w:t>Deutsche</w:t>
            </w:r>
            <w:proofErr w:type="spellEnd"/>
            <w:r w:rsidRPr="00CB14B3">
              <w:rPr>
                <w:spacing w:val="-2"/>
                <w:rtl/>
              </w:rPr>
              <w:t xml:space="preserve"> </w:t>
            </w:r>
            <w:proofErr w:type="spellStart"/>
            <w:r w:rsidRPr="00CB14B3">
              <w:rPr>
                <w:spacing w:val="-2"/>
                <w:rtl/>
              </w:rPr>
              <w:t>Thomson-Brandt</w:t>
            </w:r>
            <w:proofErr w:type="spellEnd"/>
            <w:r w:rsidRPr="00CB14B3">
              <w:rPr>
                <w:spacing w:val="-2"/>
                <w:rtl/>
              </w:rPr>
              <w:t>، و</w:t>
            </w:r>
            <w:r w:rsidRPr="00CB14B3">
              <w:rPr>
                <w:spacing w:val="-2"/>
              </w:rPr>
              <w:t>Siemens</w:t>
            </w:r>
            <w:r w:rsidRPr="00CB14B3">
              <w:rPr>
                <w:spacing w:val="-2"/>
                <w:rtl/>
              </w:rPr>
              <w:t>، و</w:t>
            </w:r>
            <w:r w:rsidRPr="00CB14B3">
              <w:rPr>
                <w:spacing w:val="-2"/>
              </w:rPr>
              <w:t>Qualcomm</w:t>
            </w:r>
            <w:r w:rsidRPr="00CB14B3">
              <w:rPr>
                <w:spacing w:val="-2"/>
                <w:rtl/>
              </w:rPr>
              <w:t xml:space="preserve"> في لجان الدراسات 12 و15 و16</w:t>
            </w:r>
          </w:p>
        </w:tc>
        <w:tc>
          <w:tcPr>
            <w:tcW w:w="2410" w:type="dxa"/>
            <w:shd w:val="clear" w:color="auto" w:fill="auto"/>
          </w:tcPr>
          <w:p w14:paraId="748ED349" w14:textId="77777777" w:rsidR="00EB3022" w:rsidRPr="00EB3022" w:rsidRDefault="00EB3022" w:rsidP="00014F08">
            <w:pPr>
              <w:pStyle w:val="Tabletext"/>
              <w:jc w:val="center"/>
              <w:textDirection w:val="tbRlV"/>
              <w:rPr>
                <w:lang w:val="ar-SA" w:eastAsia="zh-TW" w:bidi="en-GB"/>
              </w:rPr>
            </w:pPr>
            <w:r w:rsidRPr="00EB3022">
              <w:t>Qualcomm</w:t>
            </w:r>
            <w:r w:rsidRPr="00EB3022">
              <w:rPr>
                <w:rtl/>
              </w:rPr>
              <w:t>، الولايات المتحدة</w:t>
            </w:r>
          </w:p>
        </w:tc>
      </w:tr>
      <w:tr w:rsidR="00352988" w:rsidRPr="00C71DC3" w14:paraId="43F3A164" w14:textId="77777777" w:rsidTr="00014F08">
        <w:trPr>
          <w:jc w:val="center"/>
        </w:trPr>
        <w:tc>
          <w:tcPr>
            <w:tcW w:w="3114" w:type="dxa"/>
            <w:shd w:val="clear" w:color="auto" w:fill="auto"/>
          </w:tcPr>
          <w:p w14:paraId="56EEA025" w14:textId="2E17E80A" w:rsidR="00352988" w:rsidRPr="00EB3022" w:rsidRDefault="00352988" w:rsidP="00352988">
            <w:pPr>
              <w:pStyle w:val="Tabletext"/>
              <w:textDirection w:val="tbRlV"/>
              <w:rPr>
                <w:rtl/>
              </w:rPr>
            </w:pPr>
            <w:proofErr w:type="spellStart"/>
            <w:r>
              <w:rPr>
                <w:rtl/>
              </w:rPr>
              <w:t>ويلينغ</w:t>
            </w:r>
            <w:proofErr w:type="spellEnd"/>
            <w:r>
              <w:rPr>
                <w:rtl/>
              </w:rPr>
              <w:t xml:space="preserve"> شو</w:t>
            </w:r>
          </w:p>
        </w:tc>
        <w:tc>
          <w:tcPr>
            <w:tcW w:w="4252" w:type="dxa"/>
            <w:shd w:val="clear" w:color="auto" w:fill="auto"/>
          </w:tcPr>
          <w:p w14:paraId="1B82849C" w14:textId="662D88E5" w:rsidR="00352988" w:rsidRPr="00CB14B3" w:rsidRDefault="00352988" w:rsidP="00352988">
            <w:pPr>
              <w:pStyle w:val="Tabletext"/>
              <w:textDirection w:val="tbRlV"/>
              <w:rPr>
                <w:spacing w:val="-2"/>
                <w:rtl/>
              </w:rPr>
            </w:pPr>
            <w:r>
              <w:rPr>
                <w:rtl/>
              </w:rPr>
              <w:t>نائب رئيس الفريق الاستشاري لتقييس الاتصالات</w:t>
            </w:r>
          </w:p>
        </w:tc>
        <w:tc>
          <w:tcPr>
            <w:tcW w:w="2410" w:type="dxa"/>
            <w:shd w:val="clear" w:color="auto" w:fill="auto"/>
          </w:tcPr>
          <w:p w14:paraId="79260DFD" w14:textId="7BE99B0B" w:rsidR="00352988" w:rsidRPr="00EB3022" w:rsidRDefault="00352988" w:rsidP="00352988">
            <w:pPr>
              <w:pStyle w:val="Tabletext"/>
              <w:jc w:val="center"/>
              <w:textDirection w:val="tbRlV"/>
            </w:pPr>
            <w:r>
              <w:rPr>
                <w:rFonts w:cs="Times New Roman"/>
              </w:rPr>
              <w:t>CAICT/MIIT</w:t>
            </w:r>
            <w:r>
              <w:rPr>
                <w:rtl/>
              </w:rPr>
              <w:t xml:space="preserve"> ، الصين</w:t>
            </w:r>
          </w:p>
        </w:tc>
      </w:tr>
    </w:tbl>
    <w:p w14:paraId="3B8B71EE" w14:textId="77777777" w:rsidR="00EB3022" w:rsidRDefault="00EB3022" w:rsidP="00EB3022"/>
    <w:sectPr w:rsidR="00EB3022" w:rsidSect="00EB3022">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5F8C" w14:textId="77777777" w:rsidR="00DA4259" w:rsidRDefault="00DA4259" w:rsidP="002919E1">
      <w:r>
        <w:separator/>
      </w:r>
    </w:p>
    <w:p w14:paraId="57304BDC" w14:textId="77777777" w:rsidR="00DA4259" w:rsidRDefault="00DA4259" w:rsidP="002919E1"/>
    <w:p w14:paraId="72DB1421" w14:textId="77777777" w:rsidR="00DA4259" w:rsidRDefault="00DA4259" w:rsidP="002919E1"/>
    <w:p w14:paraId="59A034B1" w14:textId="77777777" w:rsidR="00DA4259" w:rsidRDefault="00DA4259"/>
  </w:endnote>
  <w:endnote w:type="continuationSeparator" w:id="0">
    <w:p w14:paraId="42B2E067" w14:textId="77777777" w:rsidR="00DA4259" w:rsidRDefault="00DA4259" w:rsidP="002919E1">
      <w:r>
        <w:continuationSeparator/>
      </w:r>
    </w:p>
    <w:p w14:paraId="6357B88A" w14:textId="77777777" w:rsidR="00DA4259" w:rsidRDefault="00DA4259" w:rsidP="002919E1"/>
    <w:p w14:paraId="374F8044" w14:textId="77777777" w:rsidR="00DA4259" w:rsidRDefault="00DA4259" w:rsidP="002919E1"/>
    <w:p w14:paraId="7FF88D63"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D170" w14:textId="195D9491" w:rsidR="00DA4259" w:rsidRDefault="00EB3022" w:rsidP="002919E1">
      <w:r>
        <w:separator/>
      </w:r>
    </w:p>
  </w:footnote>
  <w:footnote w:type="continuationSeparator" w:id="0">
    <w:p w14:paraId="3FDA77E6" w14:textId="77777777" w:rsidR="00DA4259" w:rsidRDefault="00DA4259" w:rsidP="002919E1">
      <w:r>
        <w:continuationSeparator/>
      </w:r>
    </w:p>
    <w:p w14:paraId="3B368F51" w14:textId="77777777" w:rsidR="00DA4259" w:rsidRDefault="00DA4259" w:rsidP="002919E1"/>
    <w:p w14:paraId="3724EB52" w14:textId="77777777" w:rsidR="00DA4259" w:rsidRDefault="00DA4259" w:rsidP="002919E1"/>
    <w:p w14:paraId="1E647AEA"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AADB" w14:textId="77777777" w:rsidR="00281F5F" w:rsidRPr="00EB3022" w:rsidRDefault="00281F5F" w:rsidP="002919E1"/>
  <w:p w14:paraId="34BE2F12" w14:textId="77777777" w:rsidR="00281F5F" w:rsidRPr="00EB3022"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5E5" w14:textId="65E78E68" w:rsidR="00654230" w:rsidRPr="00C9276B" w:rsidRDefault="006175E7" w:rsidP="00EB52D8">
    <w:pPr>
      <w:pStyle w:val="Header"/>
      <w:rPr>
        <w:sz w:val="18"/>
        <w:szCs w:val="18"/>
      </w:rPr>
    </w:pPr>
    <w:r w:rsidRPr="00C9276B">
      <w:rPr>
        <w:sz w:val="18"/>
        <w:szCs w:val="18"/>
      </w:rPr>
      <w:fldChar w:fldCharType="begin"/>
    </w:r>
    <w:r w:rsidRPr="00C9276B">
      <w:rPr>
        <w:sz w:val="18"/>
        <w:szCs w:val="18"/>
      </w:rPr>
      <w:instrText xml:space="preserve"> PAGE  \* MERGEFORMAT </w:instrText>
    </w:r>
    <w:r w:rsidRPr="00C9276B">
      <w:rPr>
        <w:sz w:val="18"/>
        <w:szCs w:val="18"/>
      </w:rPr>
      <w:fldChar w:fldCharType="separate"/>
    </w:r>
    <w:r w:rsidRPr="00C9276B">
      <w:rPr>
        <w:sz w:val="18"/>
        <w:szCs w:val="18"/>
      </w:rPr>
      <w:t>2</w:t>
    </w:r>
    <w:r w:rsidRPr="00C9276B">
      <w:rPr>
        <w:sz w:val="18"/>
        <w:szCs w:val="18"/>
      </w:rPr>
      <w:fldChar w:fldCharType="end"/>
    </w:r>
    <w:r w:rsidR="00EB52D8" w:rsidRPr="00C9276B">
      <w:rPr>
        <w:sz w:val="18"/>
        <w:szCs w:val="18"/>
      </w:rPr>
      <w:br/>
    </w:r>
    <w:r w:rsidR="00966FA2" w:rsidRPr="00C9276B">
      <w:rPr>
        <w:sz w:val="18"/>
        <w:szCs w:val="18"/>
      </w:rPr>
      <w:t>WTSA-24/</w:t>
    </w:r>
    <w:r w:rsidR="004F7067" w:rsidRPr="00C9276B">
      <w:rPr>
        <w:sz w:val="18"/>
        <w:szCs w:val="18"/>
      </w:rPr>
      <w:t>42</w:t>
    </w:r>
    <w:r w:rsidR="00966FA2" w:rsidRPr="00C9276B">
      <w:rPr>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80250089">
    <w:abstractNumId w:val="9"/>
  </w:num>
  <w:num w:numId="2" w16cid:durableId="1932395644">
    <w:abstractNumId w:val="13"/>
  </w:num>
  <w:num w:numId="3" w16cid:durableId="1440023734">
    <w:abstractNumId w:val="10"/>
  </w:num>
  <w:num w:numId="4" w16cid:durableId="2079983500">
    <w:abstractNumId w:val="14"/>
  </w:num>
  <w:num w:numId="5" w16cid:durableId="1285624569">
    <w:abstractNumId w:val="7"/>
  </w:num>
  <w:num w:numId="6" w16cid:durableId="1167553741">
    <w:abstractNumId w:val="6"/>
  </w:num>
  <w:num w:numId="7" w16cid:durableId="2060205061">
    <w:abstractNumId w:val="5"/>
  </w:num>
  <w:num w:numId="8" w16cid:durableId="22635833">
    <w:abstractNumId w:val="4"/>
  </w:num>
  <w:num w:numId="9" w16cid:durableId="1075664142">
    <w:abstractNumId w:val="8"/>
  </w:num>
  <w:num w:numId="10" w16cid:durableId="899823815">
    <w:abstractNumId w:val="3"/>
  </w:num>
  <w:num w:numId="11" w16cid:durableId="1025254908">
    <w:abstractNumId w:val="2"/>
  </w:num>
  <w:num w:numId="12" w16cid:durableId="269511588">
    <w:abstractNumId w:val="1"/>
  </w:num>
  <w:num w:numId="13" w16cid:durableId="1145514633">
    <w:abstractNumId w:val="0"/>
  </w:num>
  <w:num w:numId="14" w16cid:durableId="1587492102">
    <w:abstractNumId w:val="11"/>
  </w:num>
  <w:num w:numId="15" w16cid:durableId="1767185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26EB"/>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0F08"/>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02581"/>
    <w:rsid w:val="003102CF"/>
    <w:rsid w:val="00311E3F"/>
    <w:rsid w:val="00313871"/>
    <w:rsid w:val="00314B1E"/>
    <w:rsid w:val="00314F41"/>
    <w:rsid w:val="00317A67"/>
    <w:rsid w:val="003309DA"/>
    <w:rsid w:val="0033737F"/>
    <w:rsid w:val="00352988"/>
    <w:rsid w:val="00353652"/>
    <w:rsid w:val="003569E1"/>
    <w:rsid w:val="003636B6"/>
    <w:rsid w:val="003725C1"/>
    <w:rsid w:val="003736B2"/>
    <w:rsid w:val="00376CD5"/>
    <w:rsid w:val="003815E2"/>
    <w:rsid w:val="00381FAD"/>
    <w:rsid w:val="00382A66"/>
    <w:rsid w:val="00384AE2"/>
    <w:rsid w:val="00386C79"/>
    <w:rsid w:val="0039238C"/>
    <w:rsid w:val="003923B1"/>
    <w:rsid w:val="003965FE"/>
    <w:rsid w:val="00397C17"/>
    <w:rsid w:val="003B27AD"/>
    <w:rsid w:val="003B4F23"/>
    <w:rsid w:val="003B712F"/>
    <w:rsid w:val="003C12F6"/>
    <w:rsid w:val="003C2A20"/>
    <w:rsid w:val="003C3A13"/>
    <w:rsid w:val="003E02EF"/>
    <w:rsid w:val="003E0C55"/>
    <w:rsid w:val="003E1D90"/>
    <w:rsid w:val="003E6A28"/>
    <w:rsid w:val="00400CD4"/>
    <w:rsid w:val="00403317"/>
    <w:rsid w:val="004147B9"/>
    <w:rsid w:val="0041772E"/>
    <w:rsid w:val="00422C04"/>
    <w:rsid w:val="00423A40"/>
    <w:rsid w:val="00426144"/>
    <w:rsid w:val="004606D0"/>
    <w:rsid w:val="004636E2"/>
    <w:rsid w:val="00470CBD"/>
    <w:rsid w:val="0047407D"/>
    <w:rsid w:val="00485F9E"/>
    <w:rsid w:val="00486B2B"/>
    <w:rsid w:val="004909DD"/>
    <w:rsid w:val="004A05E6"/>
    <w:rsid w:val="004A34C1"/>
    <w:rsid w:val="004A6230"/>
    <w:rsid w:val="004A6C66"/>
    <w:rsid w:val="004A7AA0"/>
    <w:rsid w:val="004C11BC"/>
    <w:rsid w:val="004C5C04"/>
    <w:rsid w:val="004D0448"/>
    <w:rsid w:val="004D4AE6"/>
    <w:rsid w:val="004E2A5D"/>
    <w:rsid w:val="004F7067"/>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5295"/>
    <w:rsid w:val="00576D0A"/>
    <w:rsid w:val="00576FCC"/>
    <w:rsid w:val="00584333"/>
    <w:rsid w:val="00586B66"/>
    <w:rsid w:val="00587D44"/>
    <w:rsid w:val="005953EC"/>
    <w:rsid w:val="005A23BB"/>
    <w:rsid w:val="005A506F"/>
    <w:rsid w:val="005B00A1"/>
    <w:rsid w:val="005B2387"/>
    <w:rsid w:val="005C29C8"/>
    <w:rsid w:val="005C3880"/>
    <w:rsid w:val="005C5D25"/>
    <w:rsid w:val="005D2606"/>
    <w:rsid w:val="005D6D48"/>
    <w:rsid w:val="005D72A4"/>
    <w:rsid w:val="005F05CC"/>
    <w:rsid w:val="005F65DE"/>
    <w:rsid w:val="00603092"/>
    <w:rsid w:val="00613492"/>
    <w:rsid w:val="006175E7"/>
    <w:rsid w:val="00630905"/>
    <w:rsid w:val="006315B5"/>
    <w:rsid w:val="00653585"/>
    <w:rsid w:val="00654230"/>
    <w:rsid w:val="006553BD"/>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63B4"/>
    <w:rsid w:val="00726744"/>
    <w:rsid w:val="00731150"/>
    <w:rsid w:val="00734E41"/>
    <w:rsid w:val="00736DCC"/>
    <w:rsid w:val="007373E4"/>
    <w:rsid w:val="00741855"/>
    <w:rsid w:val="00742B73"/>
    <w:rsid w:val="00751251"/>
    <w:rsid w:val="0076020F"/>
    <w:rsid w:val="007610E7"/>
    <w:rsid w:val="00764079"/>
    <w:rsid w:val="00764ED7"/>
    <w:rsid w:val="007657BE"/>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8F7BA9"/>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1532"/>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B4EF7"/>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1FDC"/>
    <w:rsid w:val="00C84112"/>
    <w:rsid w:val="00C841EB"/>
    <w:rsid w:val="00C8665F"/>
    <w:rsid w:val="00C917B5"/>
    <w:rsid w:val="00C9276B"/>
    <w:rsid w:val="00C94DFA"/>
    <w:rsid w:val="00CA14FD"/>
    <w:rsid w:val="00CA298C"/>
    <w:rsid w:val="00CB14B3"/>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347D"/>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47C12"/>
    <w:rsid w:val="00E51BFA"/>
    <w:rsid w:val="00E621A3"/>
    <w:rsid w:val="00E833BC"/>
    <w:rsid w:val="00E8580E"/>
    <w:rsid w:val="00E97E21"/>
    <w:rsid w:val="00EA1B76"/>
    <w:rsid w:val="00EA77D7"/>
    <w:rsid w:val="00EB3022"/>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81099"/>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styleId="UnresolvedMention">
    <w:name w:val="Unresolved Mention"/>
    <w:basedOn w:val="DefaultParagraphFont"/>
    <w:link w:val="FootnoteTextChar2"/>
    <w:uiPriority w:val="99"/>
    <w:semiHidden/>
    <w:unhideWhenUsed/>
    <w:rsid w:val="00EB3022"/>
    <w:rPr>
      <w:color w:val="605E5C"/>
      <w:shd w:val="clear" w:color="auto" w:fill="E1DFDD"/>
    </w:rPr>
  </w:style>
  <w:style w:type="character" w:customStyle="1" w:styleId="FootnoteTextChar2">
    <w:name w:val="Footnote Text Char2"/>
    <w:basedOn w:val="DefaultParagraphFont"/>
    <w:link w:val="UnresolvedMention"/>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lel.jamouss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eab14aaf-4629-44d5-9fdc-1bf4067f4c4b">DPM</DPM_x0020_Author>
    <DPM_x0020_File_x0020_name xmlns="eab14aaf-4629-44d5-9fdc-1bf4067f4c4b">T22-WTSA.24-C-0035!A10!MSW-A</DPM_x0020_File_x0020_name>
    <DPM_x0020_Version xmlns="eab14aaf-4629-44d5-9fdc-1bf4067f4c4b">DPM_2024.10.03.01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b14aaf-4629-44d5-9fdc-1bf4067f4c4b" targetNamespace="http://schemas.microsoft.com/office/2006/metadata/properties" ma:root="true" ma:fieldsID="d41af5c836d734370eb92e7ee5f83852" ns2:_="" ns3:_="">
    <xsd:import namespace="996b2e75-67fd-4955-a3b0-5ab9934cb50b"/>
    <xsd:import namespace="eab14aaf-4629-44d5-9fdc-1bf4067f4c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b14aaf-4629-44d5-9fdc-1bf4067f4c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14aaf-4629-44d5-9fdc-1bf4067f4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b14aaf-4629-44d5-9fdc-1bf4067f4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552</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T22-WTSA.24-C-0035!A10!MSW-A</vt:lpstr>
    </vt:vector>
  </TitlesOfParts>
  <Manager>General Secretariat - Pool</Manager>
  <Company>International Telecommunication Union (ITU)</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T22-WTSA.24-C-0035!A10!MSW-A</dc:title>
  <dc:subject>World Telecommunication Standardization Assembly</dc:subject>
  <dc:creator>Documents Proposals Manager (DPM)</dc:creator>
  <cp:keywords>DPM_v2024.10.3.1_prod</cp:keywords>
  <dc:description>Template used by DPM and CPI for the WTSA-24</dc:description>
  <cp:lastModifiedBy>Arabic_AA</cp:lastModifiedBy>
  <cp:revision>5</cp:revision>
  <cp:lastPrinted>2019-06-26T10:10:00Z</cp:lastPrinted>
  <dcterms:created xsi:type="dcterms:W3CDTF">2024-10-04T14:06:00Z</dcterms:created>
  <dcterms:modified xsi:type="dcterms:W3CDTF">2024-10-04T14:51:00Z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