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24111580" w14:textId="77777777" w:rsidTr="008077A5">
        <w:trPr>
          <w:cantSplit/>
          <w:trHeight w:val="20"/>
        </w:trPr>
        <w:tc>
          <w:tcPr>
            <w:tcW w:w="1310" w:type="dxa"/>
          </w:tcPr>
          <w:p w14:paraId="5F1AD398" w14:textId="77777777" w:rsidR="00314F41" w:rsidRPr="00B344B6" w:rsidRDefault="00863FEE" w:rsidP="009D0810">
            <w:pPr>
              <w:rPr>
                <w:sz w:val="24"/>
                <w:szCs w:val="24"/>
                <w:rtl/>
              </w:rPr>
            </w:pPr>
            <w:r w:rsidRPr="00B344B6">
              <w:rPr>
                <w:noProof/>
              </w:rPr>
              <w:drawing>
                <wp:inline distT="0" distB="0" distL="0" distR="0" wp14:anchorId="41051B4A" wp14:editId="7BF4AE0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23346342"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2BD0AA2D"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7F1D59F5" w14:textId="77777777" w:rsidR="00314F41" w:rsidRPr="00B344B6" w:rsidRDefault="00314F41" w:rsidP="009D0810">
            <w:pPr>
              <w:rPr>
                <w:rtl/>
                <w:lang w:bidi="ar-EG"/>
              </w:rPr>
            </w:pPr>
            <w:r w:rsidRPr="00B344B6">
              <w:rPr>
                <w:noProof/>
                <w:lang w:eastAsia="zh-CN"/>
              </w:rPr>
              <w:drawing>
                <wp:inline distT="0" distB="0" distL="0" distR="0" wp14:anchorId="74C58C66" wp14:editId="59A80C1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6EF823AB" w14:textId="77777777" w:rsidTr="008077A5">
        <w:trPr>
          <w:cantSplit/>
          <w:trHeight w:val="20"/>
        </w:trPr>
        <w:tc>
          <w:tcPr>
            <w:tcW w:w="6456" w:type="dxa"/>
            <w:gridSpan w:val="2"/>
            <w:tcBorders>
              <w:bottom w:val="single" w:sz="12" w:space="0" w:color="auto"/>
            </w:tcBorders>
          </w:tcPr>
          <w:p w14:paraId="3E728EF7" w14:textId="77777777" w:rsidR="00280E04" w:rsidRPr="00B344B6" w:rsidRDefault="00280E04" w:rsidP="003309DA">
            <w:pPr>
              <w:spacing w:before="0" w:line="120" w:lineRule="auto"/>
              <w:rPr>
                <w:rtl/>
                <w:lang w:bidi="ar-EG"/>
              </w:rPr>
            </w:pPr>
          </w:p>
        </w:tc>
        <w:tc>
          <w:tcPr>
            <w:tcW w:w="3123" w:type="dxa"/>
            <w:gridSpan w:val="2"/>
            <w:tcBorders>
              <w:bottom w:val="single" w:sz="12" w:space="0" w:color="auto"/>
            </w:tcBorders>
          </w:tcPr>
          <w:p w14:paraId="4BE36DCD" w14:textId="77777777" w:rsidR="00280E04" w:rsidRPr="00B344B6" w:rsidRDefault="00280E04" w:rsidP="003309DA">
            <w:pPr>
              <w:spacing w:before="0" w:line="120" w:lineRule="auto"/>
              <w:rPr>
                <w:lang w:bidi="ar-EG"/>
              </w:rPr>
            </w:pPr>
          </w:p>
        </w:tc>
      </w:tr>
      <w:tr w:rsidR="00280E04" w:rsidRPr="00B344B6" w14:paraId="05649F7C" w14:textId="77777777" w:rsidTr="000B0891">
        <w:trPr>
          <w:cantSplit/>
          <w:trHeight w:val="240"/>
        </w:trPr>
        <w:tc>
          <w:tcPr>
            <w:tcW w:w="6456" w:type="dxa"/>
            <w:gridSpan w:val="2"/>
            <w:tcBorders>
              <w:top w:val="single" w:sz="12" w:space="0" w:color="auto"/>
            </w:tcBorders>
          </w:tcPr>
          <w:p w14:paraId="407D3AED" w14:textId="77777777" w:rsidR="00280E04" w:rsidRPr="000B0891" w:rsidRDefault="00280E04" w:rsidP="000B0891">
            <w:pPr>
              <w:spacing w:before="0" w:line="240" w:lineRule="exact"/>
              <w:rPr>
                <w:rFonts w:eastAsia="SimSun"/>
                <w:b/>
                <w:bCs/>
                <w:rtl/>
              </w:rPr>
            </w:pPr>
          </w:p>
        </w:tc>
        <w:tc>
          <w:tcPr>
            <w:tcW w:w="3123" w:type="dxa"/>
            <w:gridSpan w:val="2"/>
            <w:tcBorders>
              <w:top w:val="single" w:sz="12" w:space="0" w:color="auto"/>
            </w:tcBorders>
          </w:tcPr>
          <w:p w14:paraId="1F4A6DD7" w14:textId="77777777" w:rsidR="00280E04" w:rsidRPr="000B0891" w:rsidRDefault="00280E04" w:rsidP="000B0891">
            <w:pPr>
              <w:spacing w:before="0" w:line="240" w:lineRule="exact"/>
              <w:rPr>
                <w:rFonts w:eastAsia="SimSun"/>
                <w:b/>
                <w:bCs/>
              </w:rPr>
            </w:pPr>
          </w:p>
        </w:tc>
      </w:tr>
      <w:tr w:rsidR="00AD538E" w:rsidRPr="00B344B6" w14:paraId="5B8BB34E" w14:textId="77777777" w:rsidTr="008077A5">
        <w:trPr>
          <w:cantSplit/>
        </w:trPr>
        <w:tc>
          <w:tcPr>
            <w:tcW w:w="6456" w:type="dxa"/>
            <w:gridSpan w:val="2"/>
          </w:tcPr>
          <w:p w14:paraId="00470B61" w14:textId="77777777" w:rsidR="00AD538E" w:rsidRPr="00261BDE" w:rsidRDefault="00D21D8E" w:rsidP="00B60D68">
            <w:pPr>
              <w:pStyle w:val="Committee"/>
              <w:framePr w:hSpace="0" w:wrap="auto" w:hAnchor="text" w:yAlign="inline"/>
              <w:bidi/>
              <w:spacing w:before="40" w:after="40"/>
              <w:rPr>
                <w:rtl/>
              </w:rPr>
            </w:pPr>
            <w:r w:rsidRPr="00261BDE">
              <w:rPr>
                <w:rtl/>
              </w:rPr>
              <w:t>الجلسة العامة</w:t>
            </w:r>
          </w:p>
        </w:tc>
        <w:tc>
          <w:tcPr>
            <w:tcW w:w="3123" w:type="dxa"/>
            <w:gridSpan w:val="2"/>
          </w:tcPr>
          <w:p w14:paraId="408C259C" w14:textId="27B96B78" w:rsidR="00AD538E" w:rsidRPr="00261BDE" w:rsidRDefault="00D21D8E" w:rsidP="00B60D68">
            <w:pPr>
              <w:pStyle w:val="Docnumber"/>
              <w:bidi/>
              <w:spacing w:before="40" w:after="40" w:line="300" w:lineRule="exact"/>
              <w:rPr>
                <w:lang w:val="en-US"/>
              </w:rPr>
            </w:pPr>
            <w:r w:rsidRPr="00261BDE">
              <w:t>الإضافة</w:t>
            </w:r>
            <w:r w:rsidR="00261BDE" w:rsidRPr="00261BDE">
              <w:rPr>
                <w:rtl/>
              </w:rPr>
              <w:t xml:space="preserve"> </w:t>
            </w:r>
            <w:r w:rsidRPr="00261BDE">
              <w:t>9</w:t>
            </w:r>
            <w:r w:rsidRPr="00261BDE">
              <w:br/>
              <w:t>للوثيقة</w:t>
            </w:r>
            <w:r w:rsidR="00261BDE">
              <w:rPr>
                <w:rFonts w:hint="cs"/>
                <w:rtl/>
              </w:rPr>
              <w:t xml:space="preserve"> </w:t>
            </w:r>
            <w:r w:rsidR="00261BDE">
              <w:rPr>
                <w:lang w:val="en-US"/>
              </w:rPr>
              <w:t>40-A</w:t>
            </w:r>
          </w:p>
        </w:tc>
      </w:tr>
      <w:tr w:rsidR="006175E7" w:rsidRPr="00B344B6" w14:paraId="4AAEED41" w14:textId="77777777" w:rsidTr="008077A5">
        <w:trPr>
          <w:cantSplit/>
        </w:trPr>
        <w:tc>
          <w:tcPr>
            <w:tcW w:w="6456" w:type="dxa"/>
            <w:gridSpan w:val="2"/>
          </w:tcPr>
          <w:p w14:paraId="196A9333" w14:textId="77777777" w:rsidR="006175E7" w:rsidRPr="00261BDE" w:rsidRDefault="006175E7" w:rsidP="00B60D68">
            <w:pPr>
              <w:spacing w:before="40" w:after="40" w:line="300" w:lineRule="exact"/>
              <w:rPr>
                <w:b/>
                <w:bCs/>
                <w:rtl/>
              </w:rPr>
            </w:pPr>
          </w:p>
        </w:tc>
        <w:tc>
          <w:tcPr>
            <w:tcW w:w="3123" w:type="dxa"/>
            <w:gridSpan w:val="2"/>
          </w:tcPr>
          <w:p w14:paraId="289DD988" w14:textId="77777777" w:rsidR="006175E7" w:rsidRPr="00261BDE" w:rsidRDefault="00EC0AD3" w:rsidP="00B60D68">
            <w:pPr>
              <w:pStyle w:val="TopHeader"/>
              <w:bidi/>
              <w:spacing w:before="40" w:after="40" w:line="300" w:lineRule="exact"/>
              <w:rPr>
                <w:rFonts w:ascii="Dubai" w:hAnsi="Dubai" w:cs="Dubai"/>
                <w:sz w:val="22"/>
                <w:szCs w:val="22"/>
                <w:rtl/>
              </w:rPr>
            </w:pPr>
            <w:r w:rsidRPr="00261BDE">
              <w:rPr>
                <w:rFonts w:ascii="Dubai" w:eastAsia="SimSun" w:hAnsi="Dubai" w:cs="Dubai"/>
                <w:sz w:val="22"/>
                <w:szCs w:val="22"/>
              </w:rPr>
              <w:t>19</w:t>
            </w:r>
            <w:r w:rsidRPr="00261BDE">
              <w:rPr>
                <w:rFonts w:ascii="Dubai" w:eastAsia="SimSun" w:hAnsi="Dubai" w:cs="Dubai"/>
                <w:sz w:val="22"/>
                <w:szCs w:val="22"/>
                <w:rtl/>
              </w:rPr>
              <w:t xml:space="preserve"> سبتمبر </w:t>
            </w:r>
            <w:r w:rsidRPr="00261BDE">
              <w:rPr>
                <w:rFonts w:ascii="Dubai" w:eastAsia="SimSun" w:hAnsi="Dubai" w:cs="Dubai"/>
                <w:sz w:val="22"/>
                <w:szCs w:val="22"/>
              </w:rPr>
              <w:t>2024</w:t>
            </w:r>
          </w:p>
        </w:tc>
      </w:tr>
      <w:tr w:rsidR="006175E7" w:rsidRPr="00B344B6" w14:paraId="64007623" w14:textId="77777777" w:rsidTr="008077A5">
        <w:trPr>
          <w:cantSplit/>
        </w:trPr>
        <w:tc>
          <w:tcPr>
            <w:tcW w:w="6456" w:type="dxa"/>
            <w:gridSpan w:val="2"/>
          </w:tcPr>
          <w:p w14:paraId="33D0AEF4" w14:textId="77777777" w:rsidR="006175E7" w:rsidRPr="00261BDE" w:rsidRDefault="006175E7" w:rsidP="00B60D68">
            <w:pPr>
              <w:spacing w:before="40" w:after="40" w:line="300" w:lineRule="exact"/>
              <w:rPr>
                <w:b/>
                <w:bCs/>
                <w:rtl/>
              </w:rPr>
            </w:pPr>
          </w:p>
        </w:tc>
        <w:tc>
          <w:tcPr>
            <w:tcW w:w="3123" w:type="dxa"/>
            <w:gridSpan w:val="2"/>
          </w:tcPr>
          <w:p w14:paraId="67D4A666" w14:textId="77777777" w:rsidR="006175E7" w:rsidRPr="00261BDE" w:rsidRDefault="00EC0AD3" w:rsidP="00B60D68">
            <w:pPr>
              <w:pStyle w:val="TopHeader"/>
              <w:bidi/>
              <w:spacing w:before="40" w:after="40" w:line="300" w:lineRule="exact"/>
              <w:rPr>
                <w:rFonts w:ascii="Dubai" w:eastAsia="SimSun" w:hAnsi="Dubai" w:cs="Dubai"/>
                <w:sz w:val="22"/>
                <w:szCs w:val="22"/>
              </w:rPr>
            </w:pPr>
            <w:r w:rsidRPr="00261BDE">
              <w:rPr>
                <w:rFonts w:ascii="Dubai" w:hAnsi="Dubai" w:cs="Dubai"/>
                <w:sz w:val="22"/>
                <w:szCs w:val="22"/>
                <w:rtl/>
              </w:rPr>
              <w:t>الأصل: بالروسية</w:t>
            </w:r>
          </w:p>
        </w:tc>
      </w:tr>
      <w:tr w:rsidR="006175E7" w:rsidRPr="00B344B6" w14:paraId="08A23606" w14:textId="77777777" w:rsidTr="008077A5">
        <w:trPr>
          <w:cantSplit/>
        </w:trPr>
        <w:tc>
          <w:tcPr>
            <w:tcW w:w="9579" w:type="dxa"/>
            <w:gridSpan w:val="4"/>
          </w:tcPr>
          <w:p w14:paraId="00C109D1" w14:textId="77777777" w:rsidR="006175E7" w:rsidRPr="009D0810" w:rsidRDefault="006175E7" w:rsidP="000B0891">
            <w:pPr>
              <w:spacing w:before="0" w:line="240" w:lineRule="exact"/>
              <w:rPr>
                <w:rFonts w:eastAsia="SimSun"/>
                <w:b/>
                <w:bCs/>
              </w:rPr>
            </w:pPr>
          </w:p>
        </w:tc>
      </w:tr>
      <w:tr w:rsidR="006175E7" w:rsidRPr="00B344B6" w14:paraId="49378BFC" w14:textId="77777777" w:rsidTr="008077A5">
        <w:trPr>
          <w:cantSplit/>
        </w:trPr>
        <w:tc>
          <w:tcPr>
            <w:tcW w:w="9579" w:type="dxa"/>
            <w:gridSpan w:val="4"/>
          </w:tcPr>
          <w:p w14:paraId="51FF4644" w14:textId="2F394597" w:rsidR="006175E7" w:rsidRPr="00B344B6" w:rsidRDefault="00D21D8E" w:rsidP="006175E7">
            <w:pPr>
              <w:pStyle w:val="Source"/>
              <w:rPr>
                <w:rtl/>
              </w:rPr>
            </w:pPr>
            <w:r w:rsidRPr="00D21D8E">
              <w:rPr>
                <w:rtl/>
              </w:rPr>
              <w:t xml:space="preserve">الدول الأعضاء في الات‍حاد الدولي للاتصالات، الأعضاء في الكومنولث الإقليمي </w:t>
            </w:r>
            <w:r w:rsidR="00987520">
              <w:br/>
            </w:r>
            <w:r w:rsidRPr="00D21D8E">
              <w:rPr>
                <w:rtl/>
              </w:rPr>
              <w:t>في م‍جال الاتصالات (RCC)</w:t>
            </w:r>
          </w:p>
        </w:tc>
      </w:tr>
      <w:tr w:rsidR="006175E7" w:rsidRPr="00B344B6" w14:paraId="35779793" w14:textId="77777777" w:rsidTr="008077A5">
        <w:trPr>
          <w:cantSplit/>
        </w:trPr>
        <w:tc>
          <w:tcPr>
            <w:tcW w:w="9579" w:type="dxa"/>
            <w:gridSpan w:val="4"/>
          </w:tcPr>
          <w:p w14:paraId="73022CA4" w14:textId="6DC66AAE" w:rsidR="006175E7" w:rsidRPr="00261BDE" w:rsidRDefault="00261BDE" w:rsidP="00261BDE">
            <w:pPr>
              <w:pStyle w:val="Title1"/>
              <w:spacing w:before="240"/>
              <w:rPr>
                <w:lang w:val="en-GB"/>
              </w:rPr>
            </w:pPr>
            <w:r w:rsidRPr="00261BDE">
              <w:rPr>
                <w:rtl/>
                <w:lang w:bidi="ar-SA"/>
              </w:rPr>
              <w:t xml:space="preserve">مشروع القرار الجديد </w:t>
            </w:r>
            <w:r w:rsidRPr="00261BDE">
              <w:rPr>
                <w:rtl/>
              </w:rPr>
              <w:t>[</w:t>
            </w:r>
            <w:r w:rsidRPr="00261BDE">
              <w:t>RCC-AI</w:t>
            </w:r>
            <w:r w:rsidRPr="00261BDE">
              <w:rPr>
                <w:rtl/>
              </w:rPr>
              <w:t>]</w:t>
            </w:r>
            <w:r w:rsidR="00D21D8E" w:rsidRPr="00D21D8E">
              <w:rPr>
                <w:rtl/>
              </w:rPr>
              <w:t xml:space="preserve"> </w:t>
            </w:r>
            <w:r>
              <w:rPr>
                <w:rFonts w:hint="cs"/>
                <w:rtl/>
                <w:lang w:val="en-GB"/>
              </w:rPr>
              <w:t xml:space="preserve">(نيودلهي، </w:t>
            </w:r>
            <w:r>
              <w:rPr>
                <w:lang w:val="en-GB"/>
              </w:rPr>
              <w:t>(</w:t>
            </w:r>
            <w:r>
              <w:t>2024</w:t>
            </w:r>
          </w:p>
        </w:tc>
      </w:tr>
      <w:tr w:rsidR="006175E7" w:rsidRPr="00B344B6" w14:paraId="10B0FD68" w14:textId="77777777" w:rsidTr="008077A5">
        <w:trPr>
          <w:cantSplit/>
          <w:trHeight w:hRule="exact" w:val="240"/>
        </w:trPr>
        <w:tc>
          <w:tcPr>
            <w:tcW w:w="9579" w:type="dxa"/>
            <w:gridSpan w:val="4"/>
          </w:tcPr>
          <w:p w14:paraId="47FEAFF4" w14:textId="77777777" w:rsidR="006175E7" w:rsidRPr="00B344B6" w:rsidRDefault="006175E7" w:rsidP="006175E7">
            <w:pPr>
              <w:pStyle w:val="Title2"/>
              <w:spacing w:before="240"/>
            </w:pPr>
          </w:p>
        </w:tc>
      </w:tr>
      <w:tr w:rsidR="006175E7" w:rsidRPr="00B344B6" w14:paraId="336DF78F" w14:textId="77777777" w:rsidTr="008077A5">
        <w:trPr>
          <w:cantSplit/>
          <w:trHeight w:hRule="exact" w:val="240"/>
        </w:trPr>
        <w:tc>
          <w:tcPr>
            <w:tcW w:w="9579" w:type="dxa"/>
            <w:gridSpan w:val="4"/>
          </w:tcPr>
          <w:p w14:paraId="70F6497B" w14:textId="77777777" w:rsidR="006175E7" w:rsidRPr="00B344B6" w:rsidRDefault="006175E7" w:rsidP="006175E7">
            <w:pPr>
              <w:pStyle w:val="Agendaitem"/>
              <w:spacing w:before="0" w:after="0"/>
              <w:rPr>
                <w:rtl/>
              </w:rPr>
            </w:pPr>
          </w:p>
        </w:tc>
      </w:tr>
    </w:tbl>
    <w:p w14:paraId="1CBEF6CD" w14:textId="77777777" w:rsidR="00FC7FD8" w:rsidRPr="00B344B6" w:rsidRDefault="00FC7FD8" w:rsidP="00790154">
      <w:pPr>
        <w:rPr>
          <w:rtl/>
        </w:rPr>
      </w:pPr>
    </w:p>
    <w:tbl>
      <w:tblPr>
        <w:bidiVisual/>
        <w:tblW w:w="5056" w:type="pct"/>
        <w:tblInd w:w="-108" w:type="dxa"/>
        <w:tblLook w:val="04A0" w:firstRow="1" w:lastRow="0" w:firstColumn="1" w:lastColumn="0" w:noHBand="0" w:noVBand="1"/>
        <w:tblCaption w:val="اسم الشخص الذي يمكن الاتصال به بشأن الوثيقة وبيانات الاتصال الخاصة به"/>
      </w:tblPr>
      <w:tblGrid>
        <w:gridCol w:w="108"/>
        <w:gridCol w:w="1355"/>
        <w:gridCol w:w="4034"/>
        <w:gridCol w:w="4250"/>
      </w:tblGrid>
      <w:tr w:rsidR="00314F41" w:rsidRPr="00B344B6" w14:paraId="54E1F91A" w14:textId="77777777" w:rsidTr="00261BDE">
        <w:trPr>
          <w:gridBefore w:val="1"/>
          <w:wBefore w:w="108" w:type="dxa"/>
        </w:trPr>
        <w:tc>
          <w:tcPr>
            <w:tcW w:w="1355" w:type="dxa"/>
            <w:shd w:val="clear" w:color="auto" w:fill="FFFFFF"/>
          </w:tcPr>
          <w:p w14:paraId="650EE5BF" w14:textId="77777777" w:rsidR="00314F41" w:rsidRPr="00B344B6" w:rsidRDefault="00314F41" w:rsidP="00261BDE">
            <w:pPr>
              <w:rPr>
                <w:rFonts w:eastAsia="SimSun"/>
                <w:b/>
                <w:bCs/>
                <w:position w:val="2"/>
                <w:rtl/>
                <w:lang w:val="fr-FR" w:eastAsia="zh-CN" w:bidi="ar-EG"/>
              </w:rPr>
            </w:pPr>
            <w:r w:rsidRPr="00B344B6">
              <w:rPr>
                <w:b/>
                <w:bCs/>
                <w:rtl/>
              </w:rPr>
              <w:t>ملخص:</w:t>
            </w:r>
          </w:p>
        </w:tc>
        <w:tc>
          <w:tcPr>
            <w:tcW w:w="8284" w:type="dxa"/>
            <w:gridSpan w:val="2"/>
            <w:shd w:val="clear" w:color="auto" w:fill="FFFFFF"/>
          </w:tcPr>
          <w:p w14:paraId="0790B0F9" w14:textId="07B030B3" w:rsidR="00314F41" w:rsidRPr="003A26A2" w:rsidRDefault="00B60D68" w:rsidP="00B60D68">
            <w:pPr>
              <w:rPr>
                <w:rFonts w:eastAsia="SimSun"/>
                <w:spacing w:val="-2"/>
                <w:rtl/>
                <w:lang w:val="fr-FR" w:eastAsia="zh-CN"/>
              </w:rPr>
            </w:pPr>
            <w:r w:rsidRPr="003A26A2">
              <w:rPr>
                <w:rFonts w:eastAsia="SimSun"/>
                <w:spacing w:val="-2"/>
                <w:rtl/>
                <w:lang w:val="fr-FR"/>
              </w:rPr>
              <w:t>يقترح الكومنولث الإقليمي في مجال الاتصالات وضع قرار جديد للجمعية العالمية لتقييس الاتصالات لعام</w:t>
            </w:r>
            <w:r w:rsidR="00987520" w:rsidRPr="003A26A2">
              <w:rPr>
                <w:rFonts w:eastAsia="SimSun" w:hint="cs"/>
                <w:spacing w:val="-2"/>
                <w:rtl/>
                <w:lang w:val="fr-FR"/>
              </w:rPr>
              <w:t> </w:t>
            </w:r>
            <w:r w:rsidRPr="003A26A2">
              <w:rPr>
                <w:rFonts w:eastAsia="SimSun"/>
                <w:spacing w:val="-2"/>
                <w:rtl/>
                <w:lang w:val="fr-FR"/>
              </w:rPr>
              <w:t>2024 (</w:t>
            </w:r>
            <w:r w:rsidRPr="003A26A2">
              <w:rPr>
                <w:rFonts w:eastAsia="SimSun"/>
                <w:spacing w:val="-2"/>
                <w:lang w:val="fr-FR"/>
              </w:rPr>
              <w:t>WTSA-24</w:t>
            </w:r>
            <w:r w:rsidRPr="003A26A2">
              <w:rPr>
                <w:rFonts w:eastAsia="SimSun"/>
                <w:spacing w:val="-2"/>
                <w:rtl/>
                <w:lang w:val="fr-FR"/>
              </w:rPr>
              <w:t xml:space="preserve">) بشأن </w:t>
            </w:r>
            <w:r w:rsidRPr="003A26A2">
              <w:rPr>
                <w:rFonts w:eastAsia="SimSun" w:hint="cs"/>
                <w:spacing w:val="-2"/>
                <w:rtl/>
                <w:lang w:val="fr-FR"/>
              </w:rPr>
              <w:t>تطوير</w:t>
            </w:r>
            <w:r w:rsidRPr="003A26A2">
              <w:rPr>
                <w:rFonts w:eastAsia="SimSun"/>
                <w:spacing w:val="-2"/>
                <w:rtl/>
                <w:lang w:val="fr-FR"/>
              </w:rPr>
              <w:t xml:space="preserve"> نظام إيكولوجي لتكنولوجيا المعلومات والاتصالات (</w:t>
            </w:r>
            <w:r w:rsidRPr="003A26A2">
              <w:rPr>
                <w:rFonts w:eastAsia="SimSun"/>
                <w:spacing w:val="-2"/>
                <w:lang w:val="fr-FR"/>
              </w:rPr>
              <w:t>ICT</w:t>
            </w:r>
            <w:r w:rsidRPr="003A26A2">
              <w:rPr>
                <w:rFonts w:eastAsia="SimSun"/>
                <w:spacing w:val="-2"/>
                <w:rtl/>
                <w:lang w:val="fr-FR"/>
              </w:rPr>
              <w:t>) بغية دعم تكنولوجيات الذكاء الاصطناعي</w:t>
            </w:r>
            <w:r w:rsidR="00987520" w:rsidRPr="003A26A2">
              <w:rPr>
                <w:rFonts w:eastAsia="SimSun" w:hint="cs"/>
                <w:spacing w:val="-2"/>
                <w:rtl/>
                <w:lang w:val="fr-FR"/>
              </w:rPr>
              <w:t xml:space="preserve"> </w:t>
            </w:r>
            <w:r w:rsidR="00987520" w:rsidRPr="003A26A2">
              <w:rPr>
                <w:rFonts w:eastAsia="SimSun"/>
                <w:spacing w:val="-2"/>
              </w:rPr>
              <w:t>(AI)</w:t>
            </w:r>
            <w:r w:rsidRPr="003A26A2">
              <w:rPr>
                <w:rFonts w:eastAsia="SimSun"/>
                <w:spacing w:val="-2"/>
                <w:rtl/>
                <w:lang w:val="fr-FR"/>
              </w:rPr>
              <w:t>. وبالنظر إلى ارتفاع مستوى الاهتمام والخطوات المُتَّخَذة على مستوى الجمعية العامة للأمم المتحدة وهيئات الأمم المتحدة الأخرى، بما في ذلك من خلال القرار 214 (بوخارست، 2022) لمؤتمر المندوبين المفوضين، بشأن تكنولوجيات الذكاء الاصطناعي والاتصالات/تكنولوجيا المعلومات والاتصالات، وبالنظر إلى أن الذكاء الاصطناعي يضطلع بدور حاسم في مختلف المجالات، بما</w:t>
            </w:r>
            <w:r w:rsidR="00987520" w:rsidRPr="003A26A2">
              <w:rPr>
                <w:rFonts w:eastAsia="SimSun" w:hint="cs"/>
                <w:spacing w:val="-2"/>
                <w:rtl/>
                <w:lang w:val="fr-FR"/>
              </w:rPr>
              <w:t> </w:t>
            </w:r>
            <w:r w:rsidRPr="003A26A2">
              <w:rPr>
                <w:rFonts w:eastAsia="SimSun"/>
                <w:spacing w:val="-2"/>
                <w:rtl/>
                <w:lang w:val="fr-FR"/>
              </w:rPr>
              <w:t>في</w:t>
            </w:r>
            <w:r w:rsidR="00987520" w:rsidRPr="003A26A2">
              <w:rPr>
                <w:rFonts w:eastAsia="SimSun" w:hint="cs"/>
                <w:spacing w:val="-2"/>
                <w:rtl/>
                <w:lang w:val="fr-FR"/>
              </w:rPr>
              <w:t> </w:t>
            </w:r>
            <w:r w:rsidRPr="003A26A2">
              <w:rPr>
                <w:rFonts w:eastAsia="SimSun"/>
                <w:spacing w:val="-2"/>
                <w:rtl/>
                <w:lang w:val="fr-FR"/>
              </w:rPr>
              <w:t>ذلك الطاقة والنقل والرعاية الصحية والتعليم والتوظيف والإدارة في المناطق الحضرية والزراعة، وبالنظر إلى أن الذكاء الاصطناعي يعود بالفائدة على البلدان النامية والمتقدمة على حد سواء، يرى الكومنولث الإقليمي في</w:t>
            </w:r>
            <w:r w:rsidR="00891229">
              <w:rPr>
                <w:rFonts w:eastAsia="SimSun" w:hint="cs"/>
                <w:spacing w:val="-2"/>
                <w:rtl/>
                <w:lang w:val="fr-FR"/>
              </w:rPr>
              <w:t> </w:t>
            </w:r>
            <w:r w:rsidRPr="003A26A2">
              <w:rPr>
                <w:rFonts w:eastAsia="SimSun"/>
                <w:spacing w:val="-2"/>
                <w:rtl/>
                <w:lang w:val="fr-FR"/>
              </w:rPr>
              <w:t xml:space="preserve">مجال الاتصالات أن من الضروري توجيه العمل بشأن الذكاء الاصطناعي داخل قطاع تقييس الاتصالات، من حيث الجوانب المحددة القائمة والتطورات المستقبلية، بواسطة قرار مخصص. ونعتقد أن تطوير الذكاء الاصطناعي وتقييسه سيدعمان مجموعة واسعة من حالات الاستعمال التي تشمل مختلف أصحاب المصلحة ويمكن أن يكون عاملاً </w:t>
            </w:r>
            <w:proofErr w:type="spellStart"/>
            <w:r w:rsidRPr="003A26A2">
              <w:rPr>
                <w:rFonts w:eastAsia="SimSun"/>
                <w:spacing w:val="-2"/>
                <w:rtl/>
                <w:lang w:val="fr-FR"/>
              </w:rPr>
              <w:t>تمكينياً</w:t>
            </w:r>
            <w:proofErr w:type="spellEnd"/>
            <w:r w:rsidRPr="003A26A2">
              <w:rPr>
                <w:rFonts w:eastAsia="SimSun"/>
                <w:spacing w:val="-2"/>
                <w:rtl/>
                <w:lang w:val="fr-FR"/>
              </w:rPr>
              <w:t xml:space="preserve"> رئيسياً للتكنولوجيات التقليدية والناشئة.</w:t>
            </w:r>
          </w:p>
        </w:tc>
      </w:tr>
      <w:tr w:rsidR="00261BDE" w:rsidRPr="00B344B6" w14:paraId="262999BA" w14:textId="77777777" w:rsidTr="00261BDE">
        <w:tc>
          <w:tcPr>
            <w:tcW w:w="1463" w:type="dxa"/>
            <w:gridSpan w:val="2"/>
            <w:shd w:val="clear" w:color="auto" w:fill="FFFFFF"/>
            <w:hideMark/>
          </w:tcPr>
          <w:p w14:paraId="451A7085" w14:textId="77777777" w:rsidR="00261BDE" w:rsidRPr="00987520" w:rsidRDefault="00261BDE" w:rsidP="00261BDE">
            <w:pPr>
              <w:rPr>
                <w:rFonts w:eastAsia="SimSun"/>
                <w:b/>
                <w:bCs/>
                <w:position w:val="2"/>
                <w:lang w:val="en-GB" w:eastAsia="zh-CN"/>
              </w:rPr>
            </w:pPr>
            <w:r w:rsidRPr="00987520">
              <w:rPr>
                <w:rFonts w:eastAsia="SimSun"/>
                <w:b/>
                <w:bCs/>
                <w:position w:val="2"/>
                <w:rtl/>
                <w:lang w:val="fr-FR" w:eastAsia="zh-CN" w:bidi="ar-EG"/>
              </w:rPr>
              <w:t>للاتصال:</w:t>
            </w:r>
          </w:p>
        </w:tc>
        <w:tc>
          <w:tcPr>
            <w:tcW w:w="4034" w:type="dxa"/>
            <w:shd w:val="clear" w:color="auto" w:fill="FFFFFF"/>
          </w:tcPr>
          <w:p w14:paraId="225B655A" w14:textId="77777777" w:rsidR="00261BDE" w:rsidRPr="00987520" w:rsidRDefault="00261BDE" w:rsidP="00261BDE">
            <w:pPr>
              <w:jc w:val="left"/>
              <w:rPr>
                <w:rFonts w:eastAsia="SimSun"/>
                <w:position w:val="2"/>
                <w:lang w:val="en-GB" w:eastAsia="zh-CN"/>
              </w:rPr>
            </w:pPr>
            <w:r w:rsidRPr="00987520">
              <w:rPr>
                <w:lang w:val="en-GB"/>
              </w:rPr>
              <w:t>Alexey Borodin</w:t>
            </w:r>
            <w:r w:rsidRPr="00987520">
              <w:br/>
            </w:r>
            <w:r w:rsidRPr="00987520">
              <w:rPr>
                <w:rtl/>
              </w:rPr>
              <w:t>الكومنولث الإقليمي في مجال الاتصالات (</w:t>
            </w:r>
            <w:r w:rsidRPr="00987520">
              <w:t>RCC</w:t>
            </w:r>
            <w:r w:rsidRPr="00987520">
              <w:rPr>
                <w:rtl/>
              </w:rPr>
              <w:t>)</w:t>
            </w:r>
          </w:p>
        </w:tc>
        <w:tc>
          <w:tcPr>
            <w:tcW w:w="4250" w:type="dxa"/>
            <w:shd w:val="clear" w:color="auto" w:fill="FFFFFF"/>
          </w:tcPr>
          <w:p w14:paraId="274BE8AA" w14:textId="77777777" w:rsidR="00261BDE" w:rsidRPr="00B344B6" w:rsidRDefault="00261BDE" w:rsidP="005C706E">
            <w:pPr>
              <w:tabs>
                <w:tab w:val="clear" w:pos="1588"/>
                <w:tab w:val="clear" w:pos="1985"/>
                <w:tab w:val="center" w:pos="2017"/>
              </w:tabs>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Pr="009D24D0">
                <w:rPr>
                  <w:rStyle w:val="Hyperlink"/>
                  <w:rFonts w:eastAsia="SimSun"/>
                  <w:position w:val="2"/>
                  <w:lang w:val="fr-CH" w:eastAsia="zh-CN" w:bidi="ar-EG"/>
                </w:rPr>
                <w:t>ecrcc@rcc.org.ru</w:t>
              </w:r>
            </w:hyperlink>
          </w:p>
        </w:tc>
      </w:tr>
      <w:tr w:rsidR="00261BDE" w:rsidRPr="00B344B6" w14:paraId="77D1DD61" w14:textId="77777777" w:rsidTr="00261BDE">
        <w:tc>
          <w:tcPr>
            <w:tcW w:w="1463" w:type="dxa"/>
            <w:gridSpan w:val="2"/>
            <w:shd w:val="clear" w:color="auto" w:fill="FFFFFF"/>
          </w:tcPr>
          <w:p w14:paraId="24FB317D" w14:textId="77777777" w:rsidR="00261BDE" w:rsidRPr="00987520" w:rsidRDefault="00261BDE" w:rsidP="00261BDE">
            <w:pPr>
              <w:rPr>
                <w:rFonts w:eastAsia="SimSun"/>
                <w:b/>
                <w:bCs/>
                <w:position w:val="2"/>
                <w:rtl/>
                <w:lang w:val="fr-FR" w:eastAsia="zh-CN" w:bidi="ar-EG"/>
              </w:rPr>
            </w:pPr>
            <w:r w:rsidRPr="00987520">
              <w:rPr>
                <w:rFonts w:eastAsia="SimSun"/>
                <w:b/>
                <w:bCs/>
                <w:position w:val="2"/>
                <w:rtl/>
                <w:lang w:val="fr-FR" w:eastAsia="zh-CN" w:bidi="ar-EG"/>
              </w:rPr>
              <w:t>للاتصال:</w:t>
            </w:r>
          </w:p>
        </w:tc>
        <w:tc>
          <w:tcPr>
            <w:tcW w:w="4034" w:type="dxa"/>
            <w:shd w:val="clear" w:color="auto" w:fill="FFFFFF"/>
          </w:tcPr>
          <w:p w14:paraId="53A655BC" w14:textId="77777777" w:rsidR="00261BDE" w:rsidRPr="00987520" w:rsidRDefault="00261BDE" w:rsidP="00261BDE">
            <w:pPr>
              <w:jc w:val="left"/>
              <w:rPr>
                <w:lang w:val="en-GB"/>
              </w:rPr>
            </w:pPr>
            <w:proofErr w:type="spellStart"/>
            <w:r w:rsidRPr="00987520">
              <w:rPr>
                <w:lang w:val="en-GB"/>
              </w:rPr>
              <w:t>Evgeny</w:t>
            </w:r>
            <w:proofErr w:type="spellEnd"/>
            <w:r w:rsidRPr="00987520">
              <w:rPr>
                <w:lang w:val="en-GB"/>
              </w:rPr>
              <w:t xml:space="preserve"> </w:t>
            </w:r>
            <w:proofErr w:type="spellStart"/>
            <w:r w:rsidRPr="00987520">
              <w:rPr>
                <w:lang w:val="en-GB"/>
              </w:rPr>
              <w:t>Tonkikh</w:t>
            </w:r>
            <w:proofErr w:type="spellEnd"/>
            <w:r w:rsidRPr="00987520">
              <w:rPr>
                <w:rtl/>
                <w:lang w:val="en-GB"/>
              </w:rPr>
              <w:br/>
              <w:t xml:space="preserve">منسق </w:t>
            </w:r>
            <w:r w:rsidRPr="00987520">
              <w:rPr>
                <w:lang w:val="en-GB"/>
              </w:rPr>
              <w:t>RCC</w:t>
            </w:r>
            <w:r w:rsidRPr="00987520">
              <w:rPr>
                <w:rtl/>
                <w:lang w:val="en-GB"/>
              </w:rPr>
              <w:t xml:space="preserve"> بشأن التحضير للجمعية العالمية لتقييس الاتصالات</w:t>
            </w:r>
            <w:r w:rsidRPr="00987520">
              <w:rPr>
                <w:rtl/>
                <w:lang w:val="en-GB"/>
              </w:rPr>
              <w:br/>
            </w:r>
            <w:r w:rsidRPr="00987520">
              <w:rPr>
                <w:rFonts w:hint="cs"/>
                <w:rtl/>
              </w:rPr>
              <w:t>الاتحاد الروسي</w:t>
            </w:r>
          </w:p>
        </w:tc>
        <w:tc>
          <w:tcPr>
            <w:tcW w:w="4250" w:type="dxa"/>
            <w:shd w:val="clear" w:color="auto" w:fill="FFFFFF"/>
          </w:tcPr>
          <w:p w14:paraId="2F33F885" w14:textId="77777777" w:rsidR="00261BDE" w:rsidRPr="00B344B6" w:rsidRDefault="00261BDE" w:rsidP="005C706E">
            <w:pPr>
              <w:tabs>
                <w:tab w:val="clear" w:pos="1588"/>
                <w:tab w:val="clear" w:pos="1985"/>
                <w:tab w:val="center" w:pos="2017"/>
              </w:tabs>
              <w:rPr>
                <w:rFonts w:eastAsia="SimSun"/>
                <w:position w:val="2"/>
                <w:rtl/>
                <w:lang w:val="fr-FR" w:eastAsia="zh-CN" w:bidi="ar-EG"/>
              </w:rPr>
            </w:pPr>
            <w:r w:rsidRPr="00B344B6">
              <w:rPr>
                <w:rFonts w:eastAsia="SimSun"/>
                <w:position w:val="2"/>
                <w:rtl/>
                <w:lang w:val="fr-FR" w:eastAsia="zh-CN" w:bidi="ar-EG"/>
              </w:rPr>
              <w:t xml:space="preserve">البريد الإلكتروني: </w:t>
            </w:r>
            <w:hyperlink r:id="rId15" w:history="1">
              <w:r w:rsidRPr="00041F81">
                <w:rPr>
                  <w:rStyle w:val="Hyperlink"/>
                  <w:rFonts w:eastAsia="SimSun"/>
                  <w:position w:val="2"/>
                  <w:lang w:val="fr-CH" w:eastAsia="zh-CN" w:bidi="ar-EG"/>
                </w:rPr>
                <w:t>et@niir.ru</w:t>
              </w:r>
            </w:hyperlink>
          </w:p>
        </w:tc>
      </w:tr>
    </w:tbl>
    <w:p w14:paraId="11BE1B51" w14:textId="77777777" w:rsidR="0012545F" w:rsidRPr="00B344B6" w:rsidRDefault="0012545F" w:rsidP="00506118">
      <w:pPr>
        <w:rPr>
          <w:rtl/>
        </w:rPr>
      </w:pPr>
      <w:r w:rsidRPr="00B344B6">
        <w:rPr>
          <w:rtl/>
        </w:rPr>
        <w:br w:type="page"/>
      </w:r>
    </w:p>
    <w:p w14:paraId="452AB57D" w14:textId="77777777" w:rsidR="00756C50" w:rsidRDefault="00EF2333">
      <w:pPr>
        <w:pStyle w:val="Proposal"/>
      </w:pPr>
      <w:r>
        <w:lastRenderedPageBreak/>
        <w:t>ADD</w:t>
      </w:r>
      <w:r>
        <w:tab/>
        <w:t>RCC/40A9/1</w:t>
      </w:r>
    </w:p>
    <w:p w14:paraId="128145B1" w14:textId="175ECEFE" w:rsidR="00EF2333" w:rsidRPr="00363D21" w:rsidRDefault="00261BDE" w:rsidP="00363D21">
      <w:pPr>
        <w:pStyle w:val="ResNo"/>
        <w:rPr>
          <w:rtl/>
        </w:rPr>
      </w:pPr>
      <w:r w:rsidRPr="00363D21">
        <w:rPr>
          <w:rtl/>
        </w:rPr>
        <w:t>مشروع القرار الجديد [</w:t>
      </w:r>
      <w:r w:rsidRPr="00363D21">
        <w:t>RCC-AI</w:t>
      </w:r>
      <w:r w:rsidRPr="00363D21">
        <w:rPr>
          <w:rtl/>
        </w:rPr>
        <w:t xml:space="preserve">] </w:t>
      </w:r>
      <w:r w:rsidRPr="00363D21">
        <w:rPr>
          <w:rFonts w:hint="cs"/>
          <w:rtl/>
        </w:rPr>
        <w:t xml:space="preserve">(نيودلهي، </w:t>
      </w:r>
      <w:r w:rsidRPr="00363D21">
        <w:t>(2024</w:t>
      </w:r>
    </w:p>
    <w:p w14:paraId="03674F8A" w14:textId="55CED277" w:rsidR="00261BDE" w:rsidRPr="00363D21" w:rsidRDefault="00B60D68" w:rsidP="00363D21">
      <w:pPr>
        <w:pStyle w:val="Restitle"/>
        <w:rPr>
          <w:rtl/>
        </w:rPr>
      </w:pPr>
      <w:r w:rsidRPr="00363D21">
        <w:rPr>
          <w:rFonts w:hint="cs"/>
          <w:rtl/>
        </w:rPr>
        <w:t>تطوير</w:t>
      </w:r>
      <w:r w:rsidRPr="00363D21">
        <w:rPr>
          <w:rtl/>
        </w:rPr>
        <w:t xml:space="preserve"> نظام إيكولوجي لتكنولوجيا المعلومات والاتصالات من أجل </w:t>
      </w:r>
      <w:r w:rsidR="00363D21" w:rsidRPr="00363D21">
        <w:br/>
      </w:r>
      <w:r w:rsidRPr="00363D21">
        <w:rPr>
          <w:rtl/>
        </w:rPr>
        <w:t>دعم تكنولوجيات الذكاء الاصطناعي</w:t>
      </w:r>
    </w:p>
    <w:p w14:paraId="59749E1E" w14:textId="4EA62494" w:rsidR="00261BDE" w:rsidRPr="00363D21" w:rsidRDefault="00261BDE" w:rsidP="00363D21">
      <w:pPr>
        <w:pStyle w:val="Resref"/>
      </w:pPr>
      <w:r w:rsidRPr="00363D21">
        <w:rPr>
          <w:rFonts w:hint="cs"/>
          <w:rtl/>
        </w:rPr>
        <w:t xml:space="preserve">(نيودلهي، </w:t>
      </w:r>
      <w:r w:rsidRPr="00363D21">
        <w:t>(2024</w:t>
      </w:r>
    </w:p>
    <w:p w14:paraId="1B7A0D03" w14:textId="2014AD96" w:rsidR="00FA2304" w:rsidRPr="00363D21" w:rsidRDefault="00FA2304" w:rsidP="00FA2304">
      <w:pPr>
        <w:pStyle w:val="Normalaftertitle"/>
        <w:rPr>
          <w:rtl/>
          <w:lang w:bidi="ar-EG"/>
        </w:rPr>
      </w:pPr>
      <w:r w:rsidRPr="00363D21">
        <w:rPr>
          <w:rFonts w:hint="cs"/>
          <w:rtl/>
          <w:lang w:bidi="ar-EG"/>
        </w:rPr>
        <w:t xml:space="preserve">إن الجمعية العالمية لتقييس الاتصالات (نيودلهي، </w:t>
      </w:r>
      <w:r w:rsidRPr="00363D21">
        <w:rPr>
          <w:rFonts w:hint="cs"/>
          <w:lang w:bidi="ar-EG"/>
        </w:rPr>
        <w:t>2024</w:t>
      </w:r>
      <w:r w:rsidRPr="00363D21">
        <w:rPr>
          <w:rFonts w:hint="cs"/>
          <w:rtl/>
          <w:lang w:bidi="ar-EG"/>
        </w:rPr>
        <w:t>)،</w:t>
      </w:r>
    </w:p>
    <w:p w14:paraId="3451F260" w14:textId="77777777" w:rsidR="00FA2304" w:rsidRPr="00FC0F14" w:rsidRDefault="00FA2304" w:rsidP="00FA2304">
      <w:pPr>
        <w:pStyle w:val="Call"/>
        <w:rPr>
          <w:rtl/>
          <w:lang w:bidi="ar-EG"/>
        </w:rPr>
      </w:pPr>
      <w:r w:rsidRPr="00363D21">
        <w:rPr>
          <w:rFonts w:hint="cs"/>
          <w:rtl/>
          <w:lang w:bidi="ar-EG"/>
        </w:rPr>
        <w:t>إذ تذكِّر</w:t>
      </w:r>
    </w:p>
    <w:p w14:paraId="555F0A59" w14:textId="77777777" w:rsidR="00B60D68" w:rsidRPr="00FC0F14" w:rsidRDefault="00B60D68" w:rsidP="00B60D68">
      <w:pPr>
        <w:rPr>
          <w:lang w:bidi="ar-EG"/>
        </w:rPr>
      </w:pPr>
      <w:r w:rsidRPr="00FC0F14">
        <w:rPr>
          <w:rFonts w:hint="cs"/>
          <w:i/>
          <w:iCs/>
          <w:rtl/>
          <w:lang w:bidi="ar-EG"/>
        </w:rPr>
        <w:t> أ )</w:t>
      </w:r>
      <w:r w:rsidRPr="00FC0F14">
        <w:rPr>
          <w:rtl/>
          <w:lang w:bidi="ar-EG"/>
        </w:rPr>
        <w:tab/>
      </w:r>
      <w:r w:rsidRPr="00966549">
        <w:rPr>
          <w:rtl/>
          <w:lang w:bidi="ar-EG"/>
        </w:rPr>
        <w:t>بالقرار 200 (المراجَع في بوخارست، 2022) لمؤتمر المندوبين المفوضين، بشأن برنامج التوصيل في 2030 من أجل التنمية العالمية للاتصالات/تكنولوجيا المعلومات والاتصالات (</w:t>
      </w:r>
      <w:r w:rsidRPr="00966549">
        <w:rPr>
          <w:lang w:bidi="ar-EG"/>
        </w:rPr>
        <w:t>ICT</w:t>
      </w:r>
      <w:r w:rsidRPr="00966549">
        <w:rPr>
          <w:rtl/>
          <w:lang w:bidi="ar-EG"/>
        </w:rPr>
        <w:t>)، بما في ذلك النطاق العريض، لصالح التنمية المستدامة</w:t>
      </w:r>
      <w:r w:rsidRPr="00FC0F14">
        <w:rPr>
          <w:rFonts w:hint="cs"/>
          <w:rtl/>
          <w:lang w:bidi="ar-EG"/>
        </w:rPr>
        <w:t>؛</w:t>
      </w:r>
    </w:p>
    <w:p w14:paraId="3A1CDB03" w14:textId="77777777" w:rsidR="00B60D68" w:rsidRDefault="00B60D68" w:rsidP="00B60D68">
      <w:pPr>
        <w:rPr>
          <w:rtl/>
          <w:lang w:bidi="ar-EG"/>
        </w:rPr>
      </w:pPr>
      <w:r w:rsidRPr="00FC0F14">
        <w:rPr>
          <w:rFonts w:hint="cs"/>
          <w:i/>
          <w:iCs/>
          <w:rtl/>
          <w:lang w:bidi="ar-EG"/>
        </w:rPr>
        <w:t>ب)</w:t>
      </w:r>
      <w:r w:rsidRPr="00FC0F14">
        <w:rPr>
          <w:rtl/>
          <w:lang w:bidi="ar-EG"/>
        </w:rPr>
        <w:tab/>
      </w:r>
      <w:r w:rsidRPr="00966549">
        <w:rPr>
          <w:rtl/>
          <w:lang w:bidi="ar-EG"/>
        </w:rPr>
        <w:t>بالقرار 140 (المراجَع في بوخارست، 2022) الصادر عن مؤتمر المندوبين المفوضين، بشأن دور الاتحاد في تنفيذ نتائج القمة العالمية لمجتمع المعلومات (</w:t>
      </w:r>
      <w:r w:rsidRPr="00966549">
        <w:rPr>
          <w:lang w:bidi="ar-EG"/>
        </w:rPr>
        <w:t>WSIS</w:t>
      </w:r>
      <w:r w:rsidRPr="00966549">
        <w:rPr>
          <w:rtl/>
          <w:lang w:bidi="ar-EG"/>
        </w:rPr>
        <w:t>) وخطة التنمية المستدامة لعام 2030</w:t>
      </w:r>
      <w:r w:rsidRPr="00FC0F14">
        <w:rPr>
          <w:rFonts w:hint="cs"/>
          <w:rtl/>
          <w:lang w:bidi="ar-EG"/>
        </w:rPr>
        <w:t>؛</w:t>
      </w:r>
    </w:p>
    <w:p w14:paraId="000AE466" w14:textId="49368C0B" w:rsidR="00B60D68" w:rsidRPr="00FC0F14" w:rsidRDefault="00B60D68" w:rsidP="00B60D68">
      <w:pPr>
        <w:rPr>
          <w:rtl/>
          <w:lang w:val="en-GB"/>
        </w:rPr>
      </w:pPr>
      <w:r w:rsidRPr="00FC0F14">
        <w:rPr>
          <w:rFonts w:hint="cs"/>
          <w:i/>
          <w:iCs/>
          <w:rtl/>
        </w:rPr>
        <w:t>ج</w:t>
      </w:r>
      <w:r w:rsidRPr="00FC0F14">
        <w:rPr>
          <w:i/>
          <w:iCs/>
          <w:rtl/>
        </w:rPr>
        <w:t>)</w:t>
      </w:r>
      <w:r w:rsidRPr="00FC0F14">
        <w:rPr>
          <w:rtl/>
        </w:rPr>
        <w:tab/>
      </w:r>
      <w:r w:rsidRPr="00966549">
        <w:rPr>
          <w:rtl/>
          <w:lang w:bidi="ar-EG"/>
        </w:rPr>
        <w:t>بالقرار</w:t>
      </w:r>
      <w:r w:rsidR="004F79DA">
        <w:rPr>
          <w:rFonts w:hint="cs"/>
          <w:rtl/>
          <w:lang w:bidi="ar-EG"/>
        </w:rPr>
        <w:t xml:space="preserve"> </w:t>
      </w:r>
      <w:r w:rsidR="004F79DA">
        <w:rPr>
          <w:lang w:bidi="ar-EG"/>
        </w:rPr>
        <w:t>256</w:t>
      </w:r>
      <w:r w:rsidRPr="00966549">
        <w:rPr>
          <w:rtl/>
          <w:lang w:bidi="ar-EG"/>
        </w:rPr>
        <w:t>/</w:t>
      </w:r>
      <w:r w:rsidR="004F79DA">
        <w:rPr>
          <w:lang w:bidi="ar-EG"/>
        </w:rPr>
        <w:t>78</w:t>
      </w:r>
      <w:r w:rsidRPr="00966549">
        <w:rPr>
          <w:rtl/>
          <w:lang w:bidi="ar-EG"/>
        </w:rPr>
        <w:t xml:space="preserve"> للجمعية العامة للأمم المتحدة المؤرخ 21 مارس 2024، بشأن اغتنام الفرص التي تتيحها نظم الذكاء الاصطناعي</w:t>
      </w:r>
      <w:r w:rsidR="004F79DA">
        <w:rPr>
          <w:rFonts w:hint="cs"/>
          <w:rtl/>
          <w:lang w:bidi="ar-EG"/>
        </w:rPr>
        <w:t xml:space="preserve"> </w:t>
      </w:r>
      <w:r w:rsidR="004F79DA">
        <w:rPr>
          <w:lang w:bidi="ar-EG"/>
        </w:rPr>
        <w:t>(AI)</w:t>
      </w:r>
      <w:r w:rsidRPr="00966549">
        <w:rPr>
          <w:rtl/>
          <w:lang w:bidi="ar-EG"/>
        </w:rPr>
        <w:t xml:space="preserve"> المأمونة والمؤمَّنة والموثوقة لأغراض التنمية المستدامة، والذي يدعو الوكالات المتخصصة إلى اغتنام الفرص والتصدي للتحديات التي تطرحها أنظمة الذكاء الاصطناعي بطريقة تعاونية ومنسقة وشاملة، بما في ذلك عن طريق إجراء البحوث، ورسم الخرائط وإعداد التحليلات التي تفيد جميع الأطراف بشأن الآثار المحتملة للذكاء الاصطناعي وتطبيقاته، ويقرّ بوجود فجوات قائمة في مجال الذكاء الاصطناعي وغيره من الفجوات الرقمية ومستويات متفاوتة من التطور التكنولوجي بين البلدان وداخلها، وبأن البلدان النامية تواجه تحديات فريدة في مواكبة هذا التسارع السريع، مما يخلق عقبات أمام التنمية المستدامة، ومما يؤكد بالنتيجة على الحاجة الملحة إلى بناء القدرات وتعزيزها من خلال مساعدة المنظمات الدولية</w:t>
      </w:r>
      <w:r w:rsidRPr="00FC0F14">
        <w:rPr>
          <w:rFonts w:hint="cs"/>
          <w:rtl/>
          <w:lang w:bidi="ar-EG"/>
        </w:rPr>
        <w:t>؛</w:t>
      </w:r>
    </w:p>
    <w:p w14:paraId="3CE8DC85" w14:textId="163A7AF7" w:rsidR="00B60D68" w:rsidRPr="006A3EB3" w:rsidRDefault="00B60D68" w:rsidP="00B60D68">
      <w:pPr>
        <w:rPr>
          <w:spacing w:val="-2"/>
          <w:rtl/>
          <w:lang w:bidi="ar-EG"/>
        </w:rPr>
      </w:pPr>
      <w:proofErr w:type="gramStart"/>
      <w:r w:rsidRPr="006A3EB3">
        <w:rPr>
          <w:rFonts w:hint="cs"/>
          <w:i/>
          <w:iCs/>
          <w:spacing w:val="-2"/>
          <w:rtl/>
          <w:lang w:val="en-GB"/>
        </w:rPr>
        <w:t>د )</w:t>
      </w:r>
      <w:proofErr w:type="gramEnd"/>
      <w:r w:rsidRPr="006A3EB3">
        <w:rPr>
          <w:spacing w:val="-2"/>
          <w:rtl/>
          <w:lang w:val="en-GB"/>
        </w:rPr>
        <w:tab/>
      </w:r>
      <w:r w:rsidRPr="006A3EB3">
        <w:rPr>
          <w:spacing w:val="-2"/>
          <w:rtl/>
          <w:lang w:bidi="ar-EG"/>
        </w:rPr>
        <w:t>بخطوط عمل القمة العالمية لمجتمع المعلومات (</w:t>
      </w:r>
      <w:r w:rsidRPr="006A3EB3">
        <w:rPr>
          <w:spacing w:val="-2"/>
          <w:lang w:bidi="ar-EG"/>
        </w:rPr>
        <w:t>WSIS</w:t>
      </w:r>
      <w:r w:rsidRPr="006A3EB3">
        <w:rPr>
          <w:spacing w:val="-2"/>
          <w:rtl/>
          <w:lang w:bidi="ar-EG"/>
        </w:rPr>
        <w:t>) ذات الصلة والأهداف ذات الصلة من خطة التنمية المستدامة لعام</w:t>
      </w:r>
      <w:r w:rsidR="006A3EB3">
        <w:rPr>
          <w:rFonts w:hint="cs"/>
          <w:spacing w:val="-2"/>
          <w:rtl/>
          <w:lang w:bidi="ar-EG"/>
        </w:rPr>
        <w:t> </w:t>
      </w:r>
      <w:r w:rsidRPr="006A3EB3">
        <w:rPr>
          <w:spacing w:val="-2"/>
          <w:rtl/>
          <w:lang w:bidi="ar-EG"/>
        </w:rPr>
        <w:t>2030 للأمم المتحدة ولا</w:t>
      </w:r>
      <w:r w:rsidR="004F79DA" w:rsidRPr="006A3EB3">
        <w:rPr>
          <w:rFonts w:hint="cs"/>
          <w:spacing w:val="-2"/>
          <w:rtl/>
          <w:lang w:bidi="ar-EG"/>
        </w:rPr>
        <w:t> </w:t>
      </w:r>
      <w:r w:rsidRPr="006A3EB3">
        <w:rPr>
          <w:spacing w:val="-2"/>
          <w:rtl/>
          <w:lang w:bidi="ar-EG"/>
        </w:rPr>
        <w:t>سيما الهدف</w:t>
      </w:r>
      <w:r w:rsidR="004F79DA" w:rsidRPr="006A3EB3">
        <w:rPr>
          <w:rFonts w:hint="cs"/>
          <w:spacing w:val="-2"/>
          <w:rtl/>
          <w:lang w:bidi="ar-EG"/>
        </w:rPr>
        <w:t> </w:t>
      </w:r>
      <w:r w:rsidRPr="006A3EB3">
        <w:rPr>
          <w:spacing w:val="-2"/>
          <w:rtl/>
          <w:lang w:bidi="ar-EG"/>
        </w:rPr>
        <w:t>9 والهدف</w:t>
      </w:r>
      <w:r w:rsidR="004F79DA" w:rsidRPr="006A3EB3">
        <w:rPr>
          <w:rFonts w:hint="cs"/>
          <w:spacing w:val="-2"/>
          <w:rtl/>
          <w:lang w:bidi="ar-EG"/>
        </w:rPr>
        <w:t> </w:t>
      </w:r>
      <w:r w:rsidRPr="006A3EB3">
        <w:rPr>
          <w:spacing w:val="-2"/>
          <w:rtl/>
          <w:lang w:bidi="ar-EG"/>
        </w:rPr>
        <w:t>11 من أهداف التنمية المستدامة (</w:t>
      </w:r>
      <w:r w:rsidRPr="006A3EB3">
        <w:rPr>
          <w:spacing w:val="-2"/>
          <w:lang w:bidi="ar-EG"/>
        </w:rPr>
        <w:t>SDG</w:t>
      </w:r>
      <w:r w:rsidRPr="006A3EB3">
        <w:rPr>
          <w:spacing w:val="-2"/>
          <w:rtl/>
          <w:lang w:bidi="ar-EG"/>
        </w:rPr>
        <w:t>)</w:t>
      </w:r>
      <w:r w:rsidRPr="006A3EB3">
        <w:rPr>
          <w:rFonts w:hint="cs"/>
          <w:spacing w:val="-2"/>
          <w:rtl/>
          <w:lang w:bidi="ar-EG"/>
        </w:rPr>
        <w:t>؛</w:t>
      </w:r>
    </w:p>
    <w:p w14:paraId="4C60AE63" w14:textId="13BDFB5E" w:rsidR="00B60D68" w:rsidRDefault="00B60D68" w:rsidP="00B60D68">
      <w:pPr>
        <w:rPr>
          <w:rtl/>
          <w:lang w:bidi="ar-EG"/>
        </w:rPr>
      </w:pPr>
      <w:proofErr w:type="gramStart"/>
      <w:r w:rsidRPr="00FC0F14">
        <w:rPr>
          <w:rFonts w:hint="cs"/>
          <w:i/>
          <w:iCs/>
          <w:rtl/>
          <w:lang w:val="en-GB"/>
        </w:rPr>
        <w:t>ه</w:t>
      </w:r>
      <w:r>
        <w:rPr>
          <w:rFonts w:hint="cs"/>
          <w:i/>
          <w:iCs/>
          <w:rtl/>
          <w:lang w:val="en-GB"/>
        </w:rPr>
        <w:t>ـ</w:t>
      </w:r>
      <w:r>
        <w:rPr>
          <w:rFonts w:hint="eastAsia"/>
          <w:i/>
          <w:iCs/>
          <w:rtl/>
          <w:lang w:val="en-GB"/>
        </w:rPr>
        <w:t> </w:t>
      </w:r>
      <w:r w:rsidRPr="00FC0F14">
        <w:rPr>
          <w:rFonts w:hint="cs"/>
          <w:i/>
          <w:iCs/>
          <w:rtl/>
          <w:lang w:val="en-GB"/>
        </w:rPr>
        <w:t>)</w:t>
      </w:r>
      <w:proofErr w:type="gramEnd"/>
      <w:r w:rsidRPr="00FC0F14">
        <w:rPr>
          <w:rtl/>
          <w:lang w:val="en-GB"/>
        </w:rPr>
        <w:tab/>
      </w:r>
      <w:r w:rsidRPr="00966549">
        <w:rPr>
          <w:rtl/>
          <w:lang w:bidi="ar-EG"/>
        </w:rPr>
        <w:t>بالقرار 214 (المراجَع في بوخارست، 2022) لمؤتمر المندوبين المفوضين، بشأن تكنولوجيات الذكاء الاصطناعي</w:t>
      </w:r>
      <w:r w:rsidR="00380F40">
        <w:rPr>
          <w:rFonts w:hint="cs"/>
          <w:rtl/>
          <w:lang w:bidi="ar-EG"/>
        </w:rPr>
        <w:t> </w:t>
      </w:r>
      <w:r w:rsidRPr="00966549">
        <w:rPr>
          <w:rtl/>
          <w:lang w:bidi="ar-EG"/>
        </w:rPr>
        <w:t>(</w:t>
      </w:r>
      <w:r w:rsidRPr="00966549">
        <w:rPr>
          <w:lang w:bidi="ar-EG"/>
        </w:rPr>
        <w:t>AI</w:t>
      </w:r>
      <w:r w:rsidRPr="00966549">
        <w:rPr>
          <w:rtl/>
          <w:lang w:bidi="ar-EG"/>
        </w:rPr>
        <w:t>) والاتصالات/تكنولوجيا المعلومات والاتصالات</w:t>
      </w:r>
      <w:r w:rsidRPr="00FC0F14">
        <w:rPr>
          <w:rFonts w:hint="cs"/>
          <w:rtl/>
          <w:lang w:bidi="ar-EG"/>
        </w:rPr>
        <w:t>؛</w:t>
      </w:r>
    </w:p>
    <w:p w14:paraId="340EEBCD" w14:textId="56284E5F" w:rsidR="00B60D68" w:rsidRPr="00FA2304" w:rsidRDefault="00B60D68" w:rsidP="00B60D68">
      <w:pPr>
        <w:rPr>
          <w:rtl/>
          <w:lang w:bidi="ar-EG"/>
        </w:rPr>
      </w:pPr>
      <w:proofErr w:type="gramStart"/>
      <w:r w:rsidRPr="00FA2304">
        <w:rPr>
          <w:rFonts w:hint="cs"/>
          <w:i/>
          <w:iCs/>
          <w:rtl/>
          <w:lang w:bidi="ar-EG"/>
        </w:rPr>
        <w:t>و )</w:t>
      </w:r>
      <w:proofErr w:type="gramEnd"/>
      <w:r>
        <w:rPr>
          <w:i/>
          <w:iCs/>
          <w:rtl/>
          <w:lang w:bidi="ar-EG"/>
        </w:rPr>
        <w:tab/>
      </w:r>
      <w:r w:rsidRPr="00966549">
        <w:rPr>
          <w:rtl/>
          <w:lang w:bidi="ar-EG"/>
        </w:rPr>
        <w:t>بأعمال ودراسات ونتائج الفريق المتخصص المعني الذكاء الاصطناعي التابع للجنة الدراسات</w:t>
      </w:r>
      <w:r w:rsidR="004F79DA">
        <w:rPr>
          <w:rFonts w:hint="cs"/>
          <w:rtl/>
          <w:lang w:bidi="ar-EG"/>
        </w:rPr>
        <w:t> </w:t>
      </w:r>
      <w:r w:rsidRPr="00966549">
        <w:rPr>
          <w:rtl/>
          <w:lang w:bidi="ar-EG"/>
        </w:rPr>
        <w:t>20 لقطاع تقييس الاتصالات</w:t>
      </w:r>
      <w:r w:rsidR="00380F40">
        <w:rPr>
          <w:rFonts w:hint="cs"/>
          <w:rtl/>
          <w:lang w:bidi="ar-EG"/>
        </w:rPr>
        <w:t> </w:t>
      </w:r>
      <w:r w:rsidRPr="00966549">
        <w:rPr>
          <w:rtl/>
          <w:lang w:bidi="ar-EG"/>
        </w:rPr>
        <w:t>(</w:t>
      </w:r>
      <w:r w:rsidRPr="00966549">
        <w:rPr>
          <w:lang w:bidi="ar-EG"/>
        </w:rPr>
        <w:t>ITU-T</w:t>
      </w:r>
      <w:r w:rsidRPr="00966549">
        <w:rPr>
          <w:rtl/>
          <w:lang w:bidi="ar-EG"/>
        </w:rPr>
        <w:t>)</w:t>
      </w:r>
      <w:r w:rsidRPr="00FC0F14">
        <w:rPr>
          <w:rFonts w:hint="cs"/>
          <w:rtl/>
          <w:lang w:bidi="ar-EG"/>
        </w:rPr>
        <w:t>؛</w:t>
      </w:r>
    </w:p>
    <w:p w14:paraId="3B78D72A" w14:textId="77777777" w:rsidR="00B60D68" w:rsidRPr="00FA2304" w:rsidRDefault="00B60D68" w:rsidP="00B60D68">
      <w:pPr>
        <w:rPr>
          <w:rtl/>
          <w:lang w:bidi="ar-EG"/>
        </w:rPr>
      </w:pPr>
      <w:proofErr w:type="gramStart"/>
      <w:r w:rsidRPr="00FA2304">
        <w:rPr>
          <w:rFonts w:hint="cs"/>
          <w:i/>
          <w:iCs/>
          <w:rtl/>
          <w:lang w:bidi="ar-EG"/>
        </w:rPr>
        <w:t>ز )</w:t>
      </w:r>
      <w:proofErr w:type="gramEnd"/>
      <w:r>
        <w:rPr>
          <w:i/>
          <w:iCs/>
          <w:rtl/>
          <w:lang w:bidi="ar-EG"/>
        </w:rPr>
        <w:tab/>
      </w:r>
      <w:r w:rsidRPr="00966549">
        <w:rPr>
          <w:rtl/>
          <w:lang w:bidi="ar-EG"/>
        </w:rPr>
        <w:t xml:space="preserve">بالخبرة المنبثقة عن التعاون الجاري بين لجان الدراسات المعنية لقطاع تقييس الاتصالات ومع المنظمات الأخرى ذات الصلة ومنظمات وضع المعايير، بما في ذلك فريق المهام المشترك المعني بالمدن الذكية الذي أنشأته اللجنة </w:t>
      </w:r>
      <w:proofErr w:type="spellStart"/>
      <w:r w:rsidRPr="00966549">
        <w:rPr>
          <w:rtl/>
          <w:lang w:bidi="ar-EG"/>
        </w:rPr>
        <w:t>الكهرتقنية</w:t>
      </w:r>
      <w:proofErr w:type="spellEnd"/>
      <w:r w:rsidRPr="00966549">
        <w:rPr>
          <w:rtl/>
          <w:lang w:bidi="ar-EG"/>
        </w:rPr>
        <w:t xml:space="preserve"> الدولية (</w:t>
      </w:r>
      <w:r w:rsidRPr="00966549">
        <w:rPr>
          <w:lang w:bidi="ar-EG"/>
        </w:rPr>
        <w:t>IEC</w:t>
      </w:r>
      <w:r w:rsidRPr="00966549">
        <w:rPr>
          <w:rtl/>
          <w:lang w:bidi="ar-EG"/>
        </w:rPr>
        <w:t>) والمنظمة الدولية للتوحيد القياسي (</w:t>
      </w:r>
      <w:r w:rsidRPr="00966549">
        <w:rPr>
          <w:lang w:bidi="ar-EG"/>
        </w:rPr>
        <w:t>ISO</w:t>
      </w:r>
      <w:r w:rsidRPr="00966549">
        <w:rPr>
          <w:rtl/>
          <w:lang w:bidi="ar-EG"/>
        </w:rPr>
        <w:t xml:space="preserve">) والاتحاد الدولي للاتصالات، بغرض بناء أوجه التآزر وتبادل المعلومات بين اللجنة </w:t>
      </w:r>
      <w:proofErr w:type="spellStart"/>
      <w:r w:rsidRPr="00966549">
        <w:rPr>
          <w:rtl/>
          <w:lang w:bidi="ar-EG"/>
        </w:rPr>
        <w:t>الكهرتقنية</w:t>
      </w:r>
      <w:proofErr w:type="spellEnd"/>
      <w:r w:rsidRPr="00966549">
        <w:rPr>
          <w:rtl/>
          <w:lang w:bidi="ar-EG"/>
        </w:rPr>
        <w:t xml:space="preserve"> الدولية والمنظمة الدولية للتوحيد القياسي وقطاع تقييس الاتصالات بالاتحاد</w:t>
      </w:r>
      <w:r w:rsidRPr="00FA2304">
        <w:rPr>
          <w:rFonts w:hint="cs"/>
          <w:rtl/>
          <w:lang w:bidi="ar-EG"/>
        </w:rPr>
        <w:t>،</w:t>
      </w:r>
    </w:p>
    <w:p w14:paraId="25E328DF" w14:textId="77777777" w:rsidR="00B60D68" w:rsidRPr="00FC0F14" w:rsidRDefault="00B60D68" w:rsidP="00B60D68">
      <w:pPr>
        <w:pStyle w:val="Call"/>
        <w:rPr>
          <w:rtl/>
          <w:lang w:bidi="ar-EG"/>
        </w:rPr>
      </w:pPr>
      <w:r w:rsidRPr="004F79DA">
        <w:rPr>
          <w:rFonts w:hint="cs"/>
          <w:rtl/>
          <w:lang w:bidi="ar-EG"/>
        </w:rPr>
        <w:t>وإذ تضع في اعتبارها</w:t>
      </w:r>
    </w:p>
    <w:p w14:paraId="16A3B8D9" w14:textId="77777777" w:rsidR="00B60D68" w:rsidRPr="00FC0F14" w:rsidRDefault="00B60D68" w:rsidP="00B60D68">
      <w:pPr>
        <w:rPr>
          <w:lang w:bidi="ar-EG"/>
        </w:rPr>
      </w:pPr>
      <w:r w:rsidRPr="00FC0F14">
        <w:rPr>
          <w:rFonts w:hint="cs"/>
          <w:i/>
          <w:iCs/>
          <w:rtl/>
          <w:lang w:bidi="ar-EG"/>
        </w:rPr>
        <w:t> </w:t>
      </w:r>
      <w:proofErr w:type="gramStart"/>
      <w:r w:rsidRPr="00FC0F14">
        <w:rPr>
          <w:rFonts w:hint="cs"/>
          <w:i/>
          <w:iCs/>
          <w:rtl/>
          <w:lang w:bidi="ar-EG"/>
        </w:rPr>
        <w:t>أ )</w:t>
      </w:r>
      <w:proofErr w:type="gramEnd"/>
      <w:r w:rsidRPr="00FC0F14">
        <w:rPr>
          <w:rtl/>
          <w:lang w:bidi="ar-EG"/>
        </w:rPr>
        <w:tab/>
      </w:r>
      <w:r w:rsidRPr="00FD3D96">
        <w:rPr>
          <w:rtl/>
          <w:lang w:bidi="ar-EG"/>
        </w:rPr>
        <w:t>أن الذكاء الاصطناعي ينبغي أن يفيد البشرية جمعاء</w:t>
      </w:r>
      <w:r w:rsidRPr="00FC0F14">
        <w:rPr>
          <w:rFonts w:hint="cs"/>
          <w:rtl/>
          <w:lang w:bidi="ar-EG"/>
        </w:rPr>
        <w:t>؛</w:t>
      </w:r>
    </w:p>
    <w:p w14:paraId="21F71B66" w14:textId="77777777" w:rsidR="00B60D68" w:rsidRPr="00C71C27" w:rsidRDefault="00B60D68" w:rsidP="00B60D68">
      <w:pPr>
        <w:rPr>
          <w:spacing w:val="-2"/>
          <w:rtl/>
          <w:lang w:bidi="ar-EG"/>
        </w:rPr>
      </w:pPr>
      <w:r w:rsidRPr="00C71C27">
        <w:rPr>
          <w:rFonts w:hint="cs"/>
          <w:i/>
          <w:iCs/>
          <w:spacing w:val="-2"/>
          <w:rtl/>
          <w:lang w:bidi="ar-EG"/>
        </w:rPr>
        <w:t>ب)</w:t>
      </w:r>
      <w:r w:rsidRPr="00C71C27">
        <w:rPr>
          <w:spacing w:val="-2"/>
          <w:rtl/>
          <w:lang w:bidi="ar-EG"/>
        </w:rPr>
        <w:tab/>
        <w:t>أن المبادئ الأخلاقية العامة ترتكز على نهج إنساني محوره الإنسان يرى أنه ينبغي استعمال تكنولوجيات الذكاء الاصطناعي لمنفعة البشرية، مما يدفع دولاً كثيرة وشركات كبرى معنية بالذكاء الاصطناعي إلى إعداد مدونات لقواعد السلوك بشأن تطوير تكنولوجيا الذكاء الاصطناعي و/أو استعمالها</w:t>
      </w:r>
      <w:r w:rsidRPr="00C71C27">
        <w:rPr>
          <w:rFonts w:hint="cs"/>
          <w:spacing w:val="-2"/>
          <w:rtl/>
          <w:lang w:bidi="ar-EG"/>
        </w:rPr>
        <w:t>؛</w:t>
      </w:r>
    </w:p>
    <w:p w14:paraId="1FE2E53C" w14:textId="6519292E" w:rsidR="00B60D68" w:rsidRPr="00FC0F14" w:rsidRDefault="00B60D68" w:rsidP="00B60D68">
      <w:pPr>
        <w:rPr>
          <w:rtl/>
          <w:lang w:val="en-GB"/>
        </w:rPr>
      </w:pPr>
      <w:r w:rsidRPr="0045737C">
        <w:rPr>
          <w:rFonts w:hint="cs"/>
          <w:i/>
          <w:iCs/>
          <w:rtl/>
        </w:rPr>
        <w:t>ج</w:t>
      </w:r>
      <w:r w:rsidRPr="0045737C">
        <w:rPr>
          <w:i/>
          <w:iCs/>
          <w:rtl/>
        </w:rPr>
        <w:t>)</w:t>
      </w:r>
      <w:r w:rsidRPr="0045737C">
        <w:rPr>
          <w:rtl/>
        </w:rPr>
        <w:tab/>
      </w:r>
      <w:r w:rsidRPr="0045737C">
        <w:rPr>
          <w:rtl/>
          <w:lang w:bidi="ar-EG"/>
        </w:rPr>
        <w:t>المبادئ والإطار بشأن استعمال الذكاء الاصطناعي والتي وُضعت في قمة الاتحاد العالمية</w:t>
      </w:r>
      <w:r w:rsidR="0088275D" w:rsidRPr="0045737C">
        <w:rPr>
          <w:rFonts w:hint="cs"/>
          <w:rtl/>
          <w:lang w:bidi="ar-EG"/>
        </w:rPr>
        <w:t xml:space="preserve"> </w:t>
      </w:r>
      <w:r w:rsidRPr="0045737C">
        <w:rPr>
          <w:rtl/>
          <w:lang w:bidi="ar-EG"/>
        </w:rPr>
        <w:t xml:space="preserve">بشأن الذكاء الاصطناعي من أجل </w:t>
      </w:r>
      <w:r w:rsidR="008A750E">
        <w:rPr>
          <w:rFonts w:hint="cs"/>
          <w:rtl/>
          <w:lang w:bidi="ar-EG"/>
        </w:rPr>
        <w:t>المصلحة</w:t>
      </w:r>
      <w:r w:rsidRPr="0045737C">
        <w:rPr>
          <w:rtl/>
          <w:lang w:bidi="ar-EG"/>
        </w:rPr>
        <w:t xml:space="preserve"> العام</w:t>
      </w:r>
      <w:r w:rsidR="008A750E">
        <w:rPr>
          <w:rFonts w:hint="cs"/>
          <w:rtl/>
          <w:lang w:bidi="ar-EG"/>
        </w:rPr>
        <w:t>ة</w:t>
      </w:r>
      <w:r w:rsidRPr="0045737C">
        <w:rPr>
          <w:rtl/>
          <w:lang w:bidi="ar-EG"/>
        </w:rPr>
        <w:t xml:space="preserve"> في يونيو 2024</w:t>
      </w:r>
      <w:r w:rsidRPr="0045737C">
        <w:rPr>
          <w:rFonts w:hint="cs"/>
          <w:rtl/>
          <w:lang w:bidi="ar-EG"/>
        </w:rPr>
        <w:t>؛</w:t>
      </w:r>
    </w:p>
    <w:p w14:paraId="5E80E5B8" w14:textId="77777777" w:rsidR="00B60D68" w:rsidRPr="00FC0F14" w:rsidRDefault="00B60D68" w:rsidP="00B60D68">
      <w:pPr>
        <w:rPr>
          <w:rtl/>
          <w:lang w:bidi="ar-EG"/>
        </w:rPr>
      </w:pPr>
      <w:proofErr w:type="gramStart"/>
      <w:r w:rsidRPr="00FC0F14">
        <w:rPr>
          <w:rFonts w:hint="cs"/>
          <w:i/>
          <w:iCs/>
          <w:rtl/>
          <w:lang w:val="en-GB"/>
        </w:rPr>
        <w:t>د )</w:t>
      </w:r>
      <w:proofErr w:type="gramEnd"/>
      <w:r w:rsidRPr="00FC0F14">
        <w:rPr>
          <w:rtl/>
          <w:lang w:val="en-GB"/>
        </w:rPr>
        <w:tab/>
      </w:r>
      <w:r w:rsidRPr="00FD3D96">
        <w:rPr>
          <w:rtl/>
          <w:lang w:bidi="ar-EG"/>
        </w:rPr>
        <w:t>أنه بالنظر إلى التطور السريع لتكنولوجيا الذكاء الاصطناعي التي تتسم بالعالمية ومظاهر عدم اليقين المتأصل، سيتطلب تنفيذ القرار 214 (المراجَع في بوخارست، 2022) نهجاً شاملاً ومرناً يحشد كل موارد الاتحاد</w:t>
      </w:r>
      <w:r w:rsidRPr="00FC0F14">
        <w:rPr>
          <w:rFonts w:hint="cs"/>
          <w:rtl/>
          <w:lang w:bidi="ar-EG"/>
        </w:rPr>
        <w:t>؛</w:t>
      </w:r>
    </w:p>
    <w:p w14:paraId="11F9A328" w14:textId="77777777" w:rsidR="00B60D68" w:rsidRDefault="00B60D68" w:rsidP="00B60D68">
      <w:pPr>
        <w:rPr>
          <w:rtl/>
          <w:lang w:bidi="ar-EG"/>
        </w:rPr>
      </w:pPr>
      <w:proofErr w:type="gramStart"/>
      <w:r w:rsidRPr="00FC0F14">
        <w:rPr>
          <w:rFonts w:hint="cs"/>
          <w:i/>
          <w:iCs/>
          <w:rtl/>
          <w:lang w:val="en-GB"/>
        </w:rPr>
        <w:lastRenderedPageBreak/>
        <w:t>ه</w:t>
      </w:r>
      <w:r>
        <w:rPr>
          <w:rFonts w:hint="cs"/>
          <w:i/>
          <w:iCs/>
          <w:rtl/>
          <w:lang w:val="en-GB"/>
        </w:rPr>
        <w:t>ـ</w:t>
      </w:r>
      <w:r>
        <w:rPr>
          <w:rFonts w:hint="eastAsia"/>
          <w:i/>
          <w:iCs/>
          <w:rtl/>
          <w:lang w:val="en-GB"/>
        </w:rPr>
        <w:t> </w:t>
      </w:r>
      <w:r w:rsidRPr="00FC0F14">
        <w:rPr>
          <w:rFonts w:hint="cs"/>
          <w:i/>
          <w:iCs/>
          <w:rtl/>
          <w:lang w:val="en-GB"/>
        </w:rPr>
        <w:t>)</w:t>
      </w:r>
      <w:proofErr w:type="gramEnd"/>
      <w:r w:rsidRPr="00FC0F14">
        <w:rPr>
          <w:rtl/>
          <w:lang w:val="en-GB"/>
        </w:rPr>
        <w:tab/>
      </w:r>
      <w:r w:rsidRPr="00FD3D96">
        <w:rPr>
          <w:rtl/>
          <w:lang w:bidi="ar-EG"/>
        </w:rPr>
        <w:t>أن النمو السريع في المعايير والبرامج والمبادرات المتعلقة الذكاء الاصطناعي يجعل من المهم مراجعة وتقييم الأعمال المتصلة بالذكاء الاصطناعي في الوقت المناسب لمساعدة الاتحاد على مواصلة تحسين الأعمال ذات الصلة وتعزيزها؛ وأن المناقشات بشأن التقدم المحرز في الأعمال المتعلقة بالذكاء الاصطناعي وخطط العمل المستقبلية والآثار الاستراتيجية المحتملة ستسمح للاتحاد بصقل مجالات العمل وتعبئة الموارد وتيسير التنسيق</w:t>
      </w:r>
      <w:r w:rsidRPr="00FC0F14">
        <w:rPr>
          <w:rFonts w:hint="cs"/>
          <w:rtl/>
          <w:lang w:bidi="ar-EG"/>
        </w:rPr>
        <w:t>؛</w:t>
      </w:r>
    </w:p>
    <w:p w14:paraId="30F4EACE" w14:textId="50419A2C" w:rsidR="00B60D68" w:rsidRPr="00FA2304" w:rsidRDefault="00B60D68" w:rsidP="00B60D68">
      <w:pPr>
        <w:rPr>
          <w:rtl/>
          <w:lang w:bidi="ar-EG"/>
        </w:rPr>
      </w:pPr>
      <w:proofErr w:type="gramStart"/>
      <w:r w:rsidRPr="00FA2304">
        <w:rPr>
          <w:rFonts w:hint="cs"/>
          <w:i/>
          <w:iCs/>
          <w:rtl/>
          <w:lang w:bidi="ar-EG"/>
        </w:rPr>
        <w:t>و )</w:t>
      </w:r>
      <w:proofErr w:type="gramEnd"/>
      <w:r>
        <w:rPr>
          <w:i/>
          <w:iCs/>
          <w:rtl/>
          <w:lang w:bidi="ar-EG"/>
        </w:rPr>
        <w:tab/>
      </w:r>
      <w:r w:rsidRPr="00FD3D96">
        <w:rPr>
          <w:rtl/>
          <w:lang w:bidi="ar-EG"/>
        </w:rPr>
        <w:t>أن العالم الموصل بالكامل سيتطلب أيضاً تحسيناً كبيراً في سرعة الإرسال وتوصيل الأجهزة وكفاءة استهلاك الطاقة لاستيعاب الكم الكبير من البيانات المتبادلة بين عدد هائل من الأجهزة</w:t>
      </w:r>
      <w:r w:rsidRPr="00FC0F14">
        <w:rPr>
          <w:rFonts w:hint="cs"/>
          <w:rtl/>
          <w:lang w:bidi="ar-EG"/>
        </w:rPr>
        <w:t>؛</w:t>
      </w:r>
    </w:p>
    <w:p w14:paraId="3EE0C04C" w14:textId="2C58E5C6" w:rsidR="00B60D68" w:rsidRDefault="00B60D68" w:rsidP="00B60D68">
      <w:pPr>
        <w:rPr>
          <w:rtl/>
          <w:lang w:bidi="ar-EG"/>
        </w:rPr>
      </w:pPr>
      <w:proofErr w:type="gramStart"/>
      <w:r w:rsidRPr="00FA2304">
        <w:rPr>
          <w:rFonts w:hint="cs"/>
          <w:i/>
          <w:iCs/>
          <w:rtl/>
          <w:lang w:bidi="ar-EG"/>
        </w:rPr>
        <w:t>ز )</w:t>
      </w:r>
      <w:proofErr w:type="gramEnd"/>
      <w:r>
        <w:rPr>
          <w:i/>
          <w:iCs/>
          <w:rtl/>
          <w:lang w:bidi="ar-EG"/>
        </w:rPr>
        <w:tab/>
      </w:r>
      <w:r w:rsidRPr="00FD3D96">
        <w:rPr>
          <w:rtl/>
          <w:lang w:bidi="ar-EG"/>
        </w:rPr>
        <w:t>أن التطور السريع للذكاء الاصطناعي والتكنولوجيات الناشئة قد يسه</w:t>
      </w:r>
      <w:r w:rsidR="0088275D">
        <w:rPr>
          <w:rFonts w:hint="cs"/>
          <w:rtl/>
          <w:lang w:bidi="ar-EG"/>
        </w:rPr>
        <w:t>ِّ</w:t>
      </w:r>
      <w:r w:rsidRPr="00FD3D96">
        <w:rPr>
          <w:rtl/>
          <w:lang w:bidi="ar-EG"/>
        </w:rPr>
        <w:t>ل التطور الإيجابي للبشرية وظهور تهديدات وتحديات جديدة للعالم الموصول</w:t>
      </w:r>
      <w:r w:rsidRPr="00FC0F14">
        <w:rPr>
          <w:rFonts w:hint="cs"/>
          <w:rtl/>
          <w:lang w:bidi="ar-EG"/>
        </w:rPr>
        <w:t>؛</w:t>
      </w:r>
    </w:p>
    <w:p w14:paraId="4F3DE6D2" w14:textId="77777777" w:rsidR="00B60D68" w:rsidRDefault="00B60D68" w:rsidP="00B60D68">
      <w:pPr>
        <w:rPr>
          <w:rtl/>
          <w:lang w:bidi="ar-EG"/>
        </w:rPr>
      </w:pPr>
      <w:r w:rsidRPr="00FA2304">
        <w:rPr>
          <w:rFonts w:hint="cs"/>
          <w:i/>
          <w:iCs/>
          <w:rtl/>
          <w:lang w:bidi="ar-EG"/>
        </w:rPr>
        <w:t>ح)</w:t>
      </w:r>
      <w:r>
        <w:rPr>
          <w:rtl/>
          <w:lang w:bidi="ar-EG"/>
        </w:rPr>
        <w:tab/>
      </w:r>
      <w:r w:rsidRPr="00FD3D96">
        <w:rPr>
          <w:rtl/>
          <w:lang w:bidi="ar-EG"/>
        </w:rPr>
        <w:t>أن الذكاء الاصطناعي يضطلع تدريجياً بدور حيوي في مختلف الميادين، بما في ذلك الطاقة والنقل والرعاية الصحية والتعليم والتوظيف والإدارة في المناطق الحضرية والزراعة، ويعود بالنفع على البلدان النامية والمتقدمة</w:t>
      </w:r>
      <w:r w:rsidRPr="00FC0F14">
        <w:rPr>
          <w:rFonts w:hint="cs"/>
          <w:rtl/>
          <w:lang w:bidi="ar-EG"/>
        </w:rPr>
        <w:t>؛</w:t>
      </w:r>
    </w:p>
    <w:p w14:paraId="14CCDD82" w14:textId="77777777" w:rsidR="00B60D68" w:rsidRPr="00FA2304" w:rsidRDefault="00B60D68" w:rsidP="00B60D68">
      <w:pPr>
        <w:rPr>
          <w:rtl/>
          <w:lang w:bidi="ar-EG"/>
        </w:rPr>
      </w:pPr>
      <w:r w:rsidRPr="00FA2304">
        <w:rPr>
          <w:rFonts w:hint="cs"/>
          <w:i/>
          <w:iCs/>
          <w:rtl/>
          <w:lang w:bidi="ar-EG"/>
        </w:rPr>
        <w:t>ط)</w:t>
      </w:r>
      <w:r>
        <w:rPr>
          <w:rtl/>
          <w:lang w:bidi="ar-EG"/>
        </w:rPr>
        <w:tab/>
      </w:r>
      <w:r w:rsidRPr="00FD3D96">
        <w:rPr>
          <w:rtl/>
          <w:lang w:bidi="ar-EG"/>
        </w:rPr>
        <w:t xml:space="preserve">أن تطوير الذكاء الاصطناعي يدعم مجموعة واسعة من حالات الاستعمال التي تشمل مختلف أصحاب المصلحة ويمكن أن يكون عاملاً </w:t>
      </w:r>
      <w:proofErr w:type="spellStart"/>
      <w:r w:rsidRPr="00FD3D96">
        <w:rPr>
          <w:rtl/>
          <w:lang w:bidi="ar-EG"/>
        </w:rPr>
        <w:t>تمكينياً</w:t>
      </w:r>
      <w:proofErr w:type="spellEnd"/>
      <w:r w:rsidRPr="00FD3D96">
        <w:rPr>
          <w:rtl/>
          <w:lang w:bidi="ar-EG"/>
        </w:rPr>
        <w:t xml:space="preserve"> رئيسياً للاتصالات/تكنولوجيا المعلومات والاتصالات التقليدية والناشئة</w:t>
      </w:r>
      <w:r>
        <w:rPr>
          <w:rFonts w:hint="cs"/>
          <w:rtl/>
          <w:lang w:bidi="ar-EG"/>
        </w:rPr>
        <w:t>،</w:t>
      </w:r>
    </w:p>
    <w:p w14:paraId="125A8831" w14:textId="77777777" w:rsidR="00B60D68" w:rsidRPr="00FC0F14" w:rsidRDefault="00B60D68" w:rsidP="00B60D68">
      <w:pPr>
        <w:pStyle w:val="Call"/>
        <w:spacing w:before="160"/>
        <w:rPr>
          <w:rtl/>
        </w:rPr>
      </w:pPr>
      <w:r w:rsidRPr="0088275D">
        <w:rPr>
          <w:rFonts w:hint="cs"/>
          <w:rtl/>
        </w:rPr>
        <w:t>تُكلّف مدير مكتب تقييس الاتصالات، بالتعاون مع مديري مكتب الاتصالات الراديوية ومكتب تنمية الاتصالات</w:t>
      </w:r>
    </w:p>
    <w:p w14:paraId="3627699D" w14:textId="686C2916" w:rsidR="00B60D68" w:rsidRPr="006F2F29" w:rsidRDefault="00B60D68" w:rsidP="00B60D68">
      <w:pPr>
        <w:rPr>
          <w:rtl/>
          <w:lang w:bidi="ar-EG"/>
        </w:rPr>
      </w:pPr>
      <w:r w:rsidRPr="006F2F29">
        <w:rPr>
          <w:rFonts w:hint="cs"/>
          <w:lang w:bidi="ar-EG"/>
        </w:rPr>
        <w:t>1</w:t>
      </w:r>
      <w:r w:rsidRPr="006F2F29">
        <w:rPr>
          <w:lang w:bidi="ar-EG"/>
        </w:rPr>
        <w:tab/>
      </w:r>
      <w:r w:rsidRPr="006F2F29">
        <w:rPr>
          <w:rtl/>
          <w:lang w:bidi="ar-EG"/>
        </w:rPr>
        <w:t>بمواصلة دعم عمل قطاعاتهم في مجال استعمال تكنولوجيات الذكاء الاصطناعي دعماً للاتصالات/تكنولوجيا المعلومات</w:t>
      </w:r>
      <w:r w:rsidR="006F2F29">
        <w:rPr>
          <w:rFonts w:hint="cs"/>
          <w:rtl/>
          <w:lang w:bidi="ar-EG"/>
        </w:rPr>
        <w:t> </w:t>
      </w:r>
      <w:proofErr w:type="gramStart"/>
      <w:r w:rsidRPr="006F2F29">
        <w:rPr>
          <w:rtl/>
          <w:lang w:bidi="ar-EG"/>
        </w:rPr>
        <w:t>والاتصالات</w:t>
      </w:r>
      <w:r w:rsidRPr="006F2F29">
        <w:rPr>
          <w:rFonts w:hint="cs"/>
          <w:rtl/>
          <w:lang w:bidi="ar-EG"/>
        </w:rPr>
        <w:t>؛</w:t>
      </w:r>
      <w:proofErr w:type="gramEnd"/>
    </w:p>
    <w:p w14:paraId="210B6D26" w14:textId="47DE0F54" w:rsidR="00B60D68" w:rsidRPr="00FC0F14" w:rsidRDefault="00B60D68" w:rsidP="00B60D68">
      <w:pPr>
        <w:rPr>
          <w:rtl/>
          <w:lang w:bidi="ar-EG"/>
        </w:rPr>
      </w:pPr>
      <w:r w:rsidRPr="00FC0F14">
        <w:rPr>
          <w:rFonts w:hint="cs"/>
          <w:lang w:bidi="ar-EG"/>
        </w:rPr>
        <w:t>2</w:t>
      </w:r>
      <w:r w:rsidRPr="00FC0F14">
        <w:rPr>
          <w:lang w:bidi="ar-EG"/>
        </w:rPr>
        <w:tab/>
      </w:r>
      <w:r w:rsidRPr="003F423E">
        <w:rPr>
          <w:rtl/>
          <w:lang w:bidi="ar-EG"/>
        </w:rPr>
        <w:t>بتعزيز الشراكات مع المنظمات الدولية والشراكات العالمية التي تُعِد سياسات ومعايير وأطراً بشأن استعمال الذكاء</w:t>
      </w:r>
      <w:r w:rsidR="006F2F29">
        <w:rPr>
          <w:rFonts w:hint="cs"/>
          <w:rtl/>
          <w:lang w:bidi="ar-EG"/>
        </w:rPr>
        <w:t> </w:t>
      </w:r>
      <w:proofErr w:type="gramStart"/>
      <w:r w:rsidRPr="003F423E">
        <w:rPr>
          <w:rtl/>
          <w:lang w:bidi="ar-EG"/>
        </w:rPr>
        <w:t>الاصطناعي</w:t>
      </w:r>
      <w:r w:rsidRPr="00FC0F14">
        <w:rPr>
          <w:rFonts w:hint="cs"/>
          <w:rtl/>
          <w:lang w:bidi="ar-EG"/>
        </w:rPr>
        <w:t>؛</w:t>
      </w:r>
      <w:proofErr w:type="gramEnd"/>
    </w:p>
    <w:p w14:paraId="4E671EB9" w14:textId="5A678174" w:rsidR="00B60D68" w:rsidRDefault="00B60D68" w:rsidP="00B60D68">
      <w:pPr>
        <w:rPr>
          <w:rtl/>
        </w:rPr>
      </w:pPr>
      <w:r w:rsidRPr="00FC0F14">
        <w:rPr>
          <w:lang w:bidi="ar-EG"/>
        </w:rPr>
        <w:t>3</w:t>
      </w:r>
      <w:r w:rsidRPr="00FC0F14">
        <w:rPr>
          <w:rtl/>
          <w:lang w:bidi="ar-EG"/>
        </w:rPr>
        <w:tab/>
      </w:r>
      <w:r w:rsidRPr="003F423E">
        <w:rPr>
          <w:rtl/>
          <w:lang w:bidi="ar-EG"/>
        </w:rPr>
        <w:t>بمساعدة الدول الأعضاء، ولا</w:t>
      </w:r>
      <w:r w:rsidR="0088275D">
        <w:rPr>
          <w:rFonts w:hint="cs"/>
          <w:rtl/>
          <w:lang w:bidi="ar-EG"/>
        </w:rPr>
        <w:t> </w:t>
      </w:r>
      <w:r w:rsidRPr="003F423E">
        <w:rPr>
          <w:rtl/>
          <w:lang w:bidi="ar-EG"/>
        </w:rPr>
        <w:t>سيما البلدان النامية، في تنظيم منتديات وحلقات دراسية وورش عمل بشأن استعمال الذكاء الاصطناعي</w:t>
      </w:r>
      <w:r w:rsidRPr="00FC0F14">
        <w:rPr>
          <w:rFonts w:hint="cs"/>
          <w:rtl/>
          <w:lang w:bidi="ar-EG"/>
        </w:rPr>
        <w:t>؛</w:t>
      </w:r>
    </w:p>
    <w:p w14:paraId="651289D4" w14:textId="70B9FD9D" w:rsidR="00B60D68" w:rsidRDefault="00B60D68" w:rsidP="00B60D68">
      <w:pPr>
        <w:rPr>
          <w:rtl/>
        </w:rPr>
      </w:pPr>
      <w:r w:rsidRPr="00667959">
        <w:rPr>
          <w:rFonts w:hint="cs"/>
          <w:rtl/>
        </w:rPr>
        <w:t>4</w:t>
      </w:r>
      <w:r w:rsidRPr="00667959">
        <w:rPr>
          <w:rtl/>
        </w:rPr>
        <w:tab/>
      </w:r>
      <w:r w:rsidRPr="00667959">
        <w:rPr>
          <w:rtl/>
          <w:lang w:bidi="ar-EG"/>
        </w:rPr>
        <w:t>بتشجيع الدول الأعضاء على وضع إطار تمكيني للذكاء الاصطناعي، مثل عبر تصميم استراتيجيات لتطوير النظم الإيكولوجية لتكنولوجيا المعلومات والاتصالات من أجل الذكاء الاصطناعي</w:t>
      </w:r>
      <w:r w:rsidRPr="00667959">
        <w:rPr>
          <w:rFonts w:hint="cs"/>
          <w:rtl/>
          <w:lang w:bidi="ar-EG"/>
        </w:rPr>
        <w:t>؛</w:t>
      </w:r>
    </w:p>
    <w:p w14:paraId="133E7611" w14:textId="7939A13A" w:rsidR="00B60D68" w:rsidRDefault="00B60D68" w:rsidP="00B60D68">
      <w:pPr>
        <w:rPr>
          <w:rtl/>
        </w:rPr>
      </w:pPr>
      <w:r>
        <w:rPr>
          <w:rFonts w:hint="cs"/>
          <w:rtl/>
        </w:rPr>
        <w:t>5</w:t>
      </w:r>
      <w:r>
        <w:rPr>
          <w:rtl/>
        </w:rPr>
        <w:tab/>
      </w:r>
      <w:r w:rsidRPr="001926EE">
        <w:rPr>
          <w:rtl/>
        </w:rPr>
        <w:t>بمدّ البلدان النامية بفرص لبناء القدرات في مجال الذكاء الاصطناعي</w:t>
      </w:r>
      <w:r w:rsidRPr="00FC0F14">
        <w:rPr>
          <w:rFonts w:hint="cs"/>
          <w:rtl/>
        </w:rPr>
        <w:t>،</w:t>
      </w:r>
    </w:p>
    <w:p w14:paraId="5E441ACD" w14:textId="77777777" w:rsidR="00B60D68" w:rsidRDefault="00B60D68" w:rsidP="00B60D68">
      <w:pPr>
        <w:pStyle w:val="Call"/>
        <w:rPr>
          <w:rtl/>
        </w:rPr>
      </w:pPr>
      <w:r w:rsidRPr="0088275D">
        <w:rPr>
          <w:rtl/>
        </w:rPr>
        <w:t>تدعو فريق العمل التابع لمجلس الاتحاد</w:t>
      </w:r>
    </w:p>
    <w:p w14:paraId="75C52640" w14:textId="77777777" w:rsidR="00B60D68" w:rsidRPr="00EF2333" w:rsidRDefault="00B60D68" w:rsidP="00B60D68">
      <w:pPr>
        <w:rPr>
          <w:rtl/>
        </w:rPr>
      </w:pPr>
      <w:r w:rsidRPr="00E43C5B">
        <w:rPr>
          <w:rtl/>
        </w:rPr>
        <w:t>إنشاء فريق عمل معني بالذكاء الاصطناعي يتبع المجلس واتخاذ التدابير اللازمة لتسهيل تحقيق أهداف هذا القرار</w:t>
      </w:r>
      <w:r>
        <w:rPr>
          <w:rFonts w:hint="cs"/>
          <w:rtl/>
        </w:rPr>
        <w:t>،</w:t>
      </w:r>
    </w:p>
    <w:p w14:paraId="27596827" w14:textId="77777777" w:rsidR="00B60D68" w:rsidRPr="00FC0F14" w:rsidRDefault="00B60D68" w:rsidP="00B60D68">
      <w:pPr>
        <w:pStyle w:val="Call"/>
        <w:spacing w:before="160"/>
        <w:rPr>
          <w:rtl/>
        </w:rPr>
      </w:pPr>
      <w:r w:rsidRPr="0088275D">
        <w:rPr>
          <w:rFonts w:hint="cs"/>
          <w:rtl/>
        </w:rPr>
        <w:t>تدعو الدول الأعضاء</w:t>
      </w:r>
    </w:p>
    <w:p w14:paraId="2BFD603C" w14:textId="4007F2FB" w:rsidR="00B60D68" w:rsidRPr="00FC0F14" w:rsidRDefault="00B60D68" w:rsidP="00B60D68">
      <w:pPr>
        <w:rPr>
          <w:rtl/>
          <w:lang w:bidi="ar-EG"/>
        </w:rPr>
      </w:pPr>
      <w:r w:rsidRPr="00FC0F14">
        <w:rPr>
          <w:rFonts w:hint="cs"/>
          <w:lang w:bidi="ar-EG"/>
        </w:rPr>
        <w:t>1</w:t>
      </w:r>
      <w:r w:rsidRPr="00FC0F14">
        <w:rPr>
          <w:lang w:bidi="ar-EG"/>
        </w:rPr>
        <w:tab/>
      </w:r>
      <w:r w:rsidRPr="00E43C5B">
        <w:rPr>
          <w:rtl/>
          <w:lang w:bidi="ar-EG"/>
        </w:rPr>
        <w:t xml:space="preserve">تشجيع وضع مبادئ توجيهية وتحديد </w:t>
      </w:r>
      <w:r w:rsidR="0088275D">
        <w:rPr>
          <w:rFonts w:hint="cs"/>
          <w:rtl/>
          <w:lang w:bidi="ar-EG"/>
        </w:rPr>
        <w:t>الممارسات الفُضلى</w:t>
      </w:r>
      <w:r w:rsidRPr="00E43C5B">
        <w:rPr>
          <w:rtl/>
          <w:lang w:bidi="ar-EG"/>
        </w:rPr>
        <w:t xml:space="preserve"> للنشر والتخطيط وبناء القدرات في مجال الذكاء الاصطناعي</w:t>
      </w:r>
      <w:r w:rsidRPr="00FC0F14">
        <w:rPr>
          <w:rFonts w:hint="cs"/>
          <w:rtl/>
          <w:lang w:bidi="ar-EG"/>
        </w:rPr>
        <w:t>؛</w:t>
      </w:r>
    </w:p>
    <w:p w14:paraId="32619CE3" w14:textId="77777777" w:rsidR="00B60D68" w:rsidRPr="00FC0F14" w:rsidRDefault="00B60D68" w:rsidP="00B60D68">
      <w:pPr>
        <w:rPr>
          <w:rtl/>
          <w:lang w:bidi="ar-EG"/>
        </w:rPr>
      </w:pPr>
      <w:r w:rsidRPr="00FC0F14">
        <w:rPr>
          <w:rFonts w:hint="cs"/>
          <w:lang w:bidi="ar-EG"/>
        </w:rPr>
        <w:t>2</w:t>
      </w:r>
      <w:r w:rsidRPr="00FC0F14">
        <w:rPr>
          <w:lang w:bidi="ar-EG"/>
        </w:rPr>
        <w:tab/>
      </w:r>
      <w:r w:rsidRPr="00E43C5B">
        <w:rPr>
          <w:rtl/>
          <w:lang w:bidi="ar-EG"/>
        </w:rPr>
        <w:t>إشراك جميع أصحاب المصلحة من خلال تشجيع مشاركتهم النشطة وتبادل المعلومات ذات الصلة بالموضوع</w:t>
      </w:r>
      <w:r w:rsidRPr="00FC0F14">
        <w:rPr>
          <w:rFonts w:hint="cs"/>
          <w:rtl/>
          <w:lang w:bidi="ar-EG"/>
        </w:rPr>
        <w:t>؛</w:t>
      </w:r>
    </w:p>
    <w:p w14:paraId="65CC880E" w14:textId="66E203B5" w:rsidR="00B60D68" w:rsidRDefault="00B60D68" w:rsidP="00B60D68">
      <w:pPr>
        <w:rPr>
          <w:rtl/>
        </w:rPr>
      </w:pPr>
      <w:r w:rsidRPr="00FC0F14">
        <w:rPr>
          <w:lang w:bidi="ar-EG"/>
        </w:rPr>
        <w:t>3</w:t>
      </w:r>
      <w:r w:rsidRPr="00FC0F14">
        <w:rPr>
          <w:rtl/>
          <w:lang w:bidi="ar-EG"/>
        </w:rPr>
        <w:tab/>
      </w:r>
      <w:r w:rsidRPr="00E43C5B">
        <w:rPr>
          <w:rtl/>
          <w:lang w:bidi="ar-EG"/>
        </w:rPr>
        <w:t>التعاون وتبادل</w:t>
      </w:r>
      <w:r>
        <w:rPr>
          <w:rFonts w:hint="cs"/>
          <w:rtl/>
          <w:lang w:bidi="ar-EG"/>
        </w:rPr>
        <w:t xml:space="preserve"> </w:t>
      </w:r>
      <w:r w:rsidRPr="00E43C5B">
        <w:rPr>
          <w:rtl/>
          <w:lang w:bidi="ar-EG"/>
        </w:rPr>
        <w:t xml:space="preserve">المعارف والخبرات </w:t>
      </w:r>
      <w:r w:rsidR="0088275D">
        <w:rPr>
          <w:rFonts w:hint="cs"/>
          <w:rtl/>
          <w:lang w:bidi="ar-EG"/>
        </w:rPr>
        <w:t>والممارسات الفُضلى</w:t>
      </w:r>
      <w:r w:rsidRPr="00E43C5B">
        <w:rPr>
          <w:rtl/>
          <w:lang w:bidi="ar-EG"/>
        </w:rPr>
        <w:t xml:space="preserve"> في مجال الذكاء الاصطناعي</w:t>
      </w:r>
      <w:r w:rsidRPr="00FC0F14">
        <w:rPr>
          <w:rFonts w:hint="cs"/>
          <w:rtl/>
          <w:lang w:bidi="ar-EG"/>
        </w:rPr>
        <w:t>؛</w:t>
      </w:r>
    </w:p>
    <w:p w14:paraId="728C67E3" w14:textId="77777777" w:rsidR="00B60D68" w:rsidRDefault="00B60D68" w:rsidP="00B60D68">
      <w:pPr>
        <w:rPr>
          <w:rtl/>
        </w:rPr>
      </w:pPr>
      <w:r>
        <w:rPr>
          <w:rFonts w:hint="cs"/>
          <w:rtl/>
        </w:rPr>
        <w:t>4</w:t>
      </w:r>
      <w:r>
        <w:rPr>
          <w:rtl/>
        </w:rPr>
        <w:tab/>
      </w:r>
      <w:r w:rsidRPr="00E43C5B">
        <w:rPr>
          <w:rtl/>
          <w:lang w:bidi="ar-EG"/>
        </w:rPr>
        <w:t>تشجيع المشاورات مع أصحاب المصلحة المعنيين بشأن تنفيذ السياسات والاستراتيجيات وخطط العمل الوطنية في مجال الذكاء الاصطناعي وأنشطة بناء القدرات وتبادل المعارف، للقطاعين العام والخاص على السواء</w:t>
      </w:r>
      <w:r>
        <w:rPr>
          <w:rFonts w:hint="cs"/>
          <w:rtl/>
          <w:lang w:bidi="ar-EG"/>
        </w:rPr>
        <w:t>،</w:t>
      </w:r>
    </w:p>
    <w:p w14:paraId="0F7A5166" w14:textId="77777777" w:rsidR="00B60D68" w:rsidRPr="00AC7DD7" w:rsidRDefault="00B60D68" w:rsidP="00B60D68">
      <w:pPr>
        <w:pStyle w:val="Call"/>
        <w:rPr>
          <w:rtl/>
        </w:rPr>
      </w:pPr>
      <w:r w:rsidRPr="0088275D">
        <w:rPr>
          <w:rtl/>
        </w:rPr>
        <w:t>تدعو أعضاء الاتحاد الدولي للاتصالات</w:t>
      </w:r>
    </w:p>
    <w:p w14:paraId="6291791D" w14:textId="7A61CC51" w:rsidR="00B60D68" w:rsidRPr="00BA74A8" w:rsidRDefault="00B60D68" w:rsidP="00B60D68">
      <w:pPr>
        <w:rPr>
          <w:spacing w:val="-2"/>
          <w:rtl/>
          <w:lang w:bidi="ar-EG"/>
        </w:rPr>
      </w:pPr>
      <w:r w:rsidRPr="00BA74A8">
        <w:rPr>
          <w:rFonts w:hint="cs"/>
          <w:spacing w:val="-2"/>
          <w:lang w:bidi="ar-EG"/>
        </w:rPr>
        <w:t>1</w:t>
      </w:r>
      <w:r w:rsidRPr="00BA74A8">
        <w:rPr>
          <w:spacing w:val="-2"/>
          <w:lang w:bidi="ar-EG"/>
        </w:rPr>
        <w:tab/>
      </w:r>
      <w:r w:rsidRPr="00BA74A8">
        <w:rPr>
          <w:spacing w:val="-2"/>
          <w:rtl/>
          <w:lang w:bidi="ar-EG"/>
        </w:rPr>
        <w:t xml:space="preserve">النظر في مسألة تحديد </w:t>
      </w:r>
      <w:r w:rsidR="0088275D" w:rsidRPr="00BA74A8">
        <w:rPr>
          <w:rFonts w:hint="cs"/>
          <w:spacing w:val="-2"/>
          <w:rtl/>
          <w:lang w:bidi="ar-EG"/>
        </w:rPr>
        <w:t>الممارسات الفُضلى</w:t>
      </w:r>
      <w:r w:rsidRPr="00BA74A8">
        <w:rPr>
          <w:spacing w:val="-2"/>
          <w:rtl/>
          <w:lang w:bidi="ar-EG"/>
        </w:rPr>
        <w:t xml:space="preserve"> والتعاون وتبادل الخبرات والتجارب من أجل تعزيز تنمية الذكاء الاصطناعي</w:t>
      </w:r>
      <w:r w:rsidRPr="00BA74A8">
        <w:rPr>
          <w:rFonts w:hint="cs"/>
          <w:spacing w:val="-2"/>
          <w:rtl/>
          <w:lang w:bidi="ar-EG"/>
        </w:rPr>
        <w:t>؛</w:t>
      </w:r>
    </w:p>
    <w:p w14:paraId="01E03D2F" w14:textId="77777777" w:rsidR="00B60D68" w:rsidRPr="00FC0F14" w:rsidRDefault="00B60D68" w:rsidP="00B60D68">
      <w:pPr>
        <w:rPr>
          <w:rtl/>
          <w:lang w:bidi="ar-EG"/>
        </w:rPr>
      </w:pPr>
      <w:r w:rsidRPr="00FC0F14">
        <w:rPr>
          <w:rFonts w:hint="cs"/>
          <w:lang w:bidi="ar-EG"/>
        </w:rPr>
        <w:t>2</w:t>
      </w:r>
      <w:r w:rsidRPr="00FC0F14">
        <w:rPr>
          <w:lang w:bidi="ar-EG"/>
        </w:rPr>
        <w:tab/>
      </w:r>
      <w:r w:rsidRPr="00E43C5B">
        <w:rPr>
          <w:rtl/>
          <w:lang w:bidi="ar-EG"/>
        </w:rPr>
        <w:t>المساهمة في تنفيذ</w:t>
      </w:r>
      <w:r>
        <w:rPr>
          <w:rFonts w:hint="cs"/>
          <w:rtl/>
          <w:lang w:bidi="ar-EG"/>
        </w:rPr>
        <w:t xml:space="preserve"> </w:t>
      </w:r>
      <w:r w:rsidRPr="00E43C5B">
        <w:rPr>
          <w:rtl/>
          <w:lang w:bidi="ar-EG"/>
        </w:rPr>
        <w:t>هذا</w:t>
      </w:r>
      <w:r>
        <w:rPr>
          <w:rFonts w:hint="cs"/>
          <w:rtl/>
          <w:lang w:bidi="ar-EG"/>
        </w:rPr>
        <w:t xml:space="preserve"> </w:t>
      </w:r>
      <w:r w:rsidRPr="00E43C5B">
        <w:rPr>
          <w:rtl/>
          <w:lang w:bidi="ar-EG"/>
        </w:rPr>
        <w:t>القرار</w:t>
      </w:r>
      <w:r w:rsidRPr="00FC0F14">
        <w:rPr>
          <w:rFonts w:hint="cs"/>
          <w:rtl/>
          <w:lang w:bidi="ar-EG"/>
        </w:rPr>
        <w:t>؛</w:t>
      </w:r>
    </w:p>
    <w:p w14:paraId="1297D9EB" w14:textId="09C54DB1" w:rsidR="00B60D68" w:rsidRPr="00BA74A8" w:rsidRDefault="00B60D68" w:rsidP="00B60D68">
      <w:pPr>
        <w:rPr>
          <w:spacing w:val="-2"/>
          <w:rtl/>
        </w:rPr>
      </w:pPr>
      <w:r w:rsidRPr="00BA74A8">
        <w:rPr>
          <w:spacing w:val="-2"/>
          <w:lang w:bidi="ar-EG"/>
        </w:rPr>
        <w:t>3</w:t>
      </w:r>
      <w:r w:rsidRPr="00BA74A8">
        <w:rPr>
          <w:spacing w:val="-2"/>
          <w:rtl/>
          <w:lang w:bidi="ar-EG"/>
        </w:rPr>
        <w:tab/>
        <w:t xml:space="preserve">التعاون من خلال تشجيع المشاركة النشطة لأصحاب المصلحة المعنيين في أعمال الاتحاد وتبادل المعلومات والمعارف </w:t>
      </w:r>
      <w:r w:rsidR="0088275D" w:rsidRPr="00BA74A8">
        <w:rPr>
          <w:rFonts w:hint="cs"/>
          <w:spacing w:val="-2"/>
          <w:rtl/>
          <w:lang w:bidi="ar-EG"/>
        </w:rPr>
        <w:t>والممارسات الفُضلى</w:t>
      </w:r>
      <w:r w:rsidRPr="00BA74A8">
        <w:rPr>
          <w:spacing w:val="-2"/>
          <w:rtl/>
          <w:lang w:bidi="ar-EG"/>
        </w:rPr>
        <w:t xml:space="preserve"> بشأن هذا الموضوع</w:t>
      </w:r>
      <w:r w:rsidRPr="00BA74A8">
        <w:rPr>
          <w:rFonts w:hint="cs"/>
          <w:spacing w:val="-2"/>
          <w:rtl/>
          <w:lang w:bidi="ar-EG"/>
        </w:rPr>
        <w:t>؛</w:t>
      </w:r>
    </w:p>
    <w:p w14:paraId="668FB56F" w14:textId="77777777" w:rsidR="00B60D68" w:rsidRDefault="00B60D68" w:rsidP="00B60D68">
      <w:pPr>
        <w:rPr>
          <w:rtl/>
        </w:rPr>
      </w:pPr>
      <w:r>
        <w:rPr>
          <w:rFonts w:hint="cs"/>
          <w:rtl/>
        </w:rPr>
        <w:t>4</w:t>
      </w:r>
      <w:r>
        <w:rPr>
          <w:rtl/>
        </w:rPr>
        <w:tab/>
      </w:r>
      <w:r w:rsidRPr="00E43C5B">
        <w:rPr>
          <w:rtl/>
          <w:lang w:bidi="ar-EG"/>
        </w:rPr>
        <w:t>المشاركة بنشاط في البحوث المتعلقة باستعمال الذكاء الاصطناعي في مختلف مجالات الاقتصاد والمجتمع</w:t>
      </w:r>
      <w:r w:rsidRPr="00FC0F14">
        <w:rPr>
          <w:rFonts w:hint="cs"/>
          <w:rtl/>
          <w:lang w:bidi="ar-EG"/>
        </w:rPr>
        <w:t>؛</w:t>
      </w:r>
    </w:p>
    <w:p w14:paraId="3230427C" w14:textId="77777777" w:rsidR="00B60D68" w:rsidRPr="00FC0F14" w:rsidRDefault="00B60D68" w:rsidP="00B60D68">
      <w:pPr>
        <w:rPr>
          <w:rtl/>
        </w:rPr>
      </w:pPr>
      <w:r>
        <w:rPr>
          <w:rFonts w:hint="cs"/>
          <w:rtl/>
        </w:rPr>
        <w:t>5</w:t>
      </w:r>
      <w:r>
        <w:rPr>
          <w:rtl/>
        </w:rPr>
        <w:tab/>
      </w:r>
      <w:r w:rsidRPr="00E43C5B">
        <w:rPr>
          <w:rtl/>
        </w:rPr>
        <w:t>بتشجيع المؤسسات من مختلف دوائر الصناعة على المشاركة في أنشطة الاتحاد المتعلقة الذكاء الاصطناعي</w:t>
      </w:r>
      <w:r w:rsidRPr="00FC0F14">
        <w:rPr>
          <w:rFonts w:hint="cs"/>
          <w:rtl/>
        </w:rPr>
        <w:t>،</w:t>
      </w:r>
    </w:p>
    <w:p w14:paraId="00735CC0" w14:textId="3A46A5EB" w:rsidR="00B60D68" w:rsidRPr="009D1B16" w:rsidRDefault="00B60D68" w:rsidP="00B60D68">
      <w:pPr>
        <w:pStyle w:val="Reasons"/>
        <w:rPr>
          <w:b w:val="0"/>
          <w:bCs w:val="0"/>
        </w:rPr>
      </w:pPr>
      <w:r>
        <w:rPr>
          <w:rFonts w:hint="cs"/>
          <w:rtl/>
        </w:rPr>
        <w:lastRenderedPageBreak/>
        <w:t>الأسباب:</w:t>
      </w:r>
      <w:r>
        <w:rPr>
          <w:rtl/>
        </w:rPr>
        <w:tab/>
      </w:r>
      <w:r w:rsidRPr="00E43C5B">
        <w:rPr>
          <w:b w:val="0"/>
          <w:bCs w:val="0"/>
          <w:rtl/>
        </w:rPr>
        <w:t xml:space="preserve">سيدعم تطوير الذكاء الاصطناعي وتقييسه مجموعة واسعة من حالات الاستعمال التي تشمل مختلف أصحاب المصلحة ويمكن أن يكون عاملاً </w:t>
      </w:r>
      <w:proofErr w:type="spellStart"/>
      <w:r w:rsidRPr="00E43C5B">
        <w:rPr>
          <w:b w:val="0"/>
          <w:bCs w:val="0"/>
          <w:rtl/>
        </w:rPr>
        <w:t>تمكينياً</w:t>
      </w:r>
      <w:proofErr w:type="spellEnd"/>
      <w:r w:rsidRPr="00E43C5B">
        <w:rPr>
          <w:b w:val="0"/>
          <w:bCs w:val="0"/>
          <w:rtl/>
        </w:rPr>
        <w:t xml:space="preserve"> رئيسياً للتكنولوجيات التقليدية والناشئة. وبالنظر إلى ارتفاع مستوى الاهتمام والخطوات المُتَّخَذة على مستوى مختلف هيئات الأمم المتحدة الأخرى، وبالنظر إلى أن الذكاء الاصطناعي يضطلع بدور حاسم في</w:t>
      </w:r>
      <w:r w:rsidR="00010B4C">
        <w:rPr>
          <w:rFonts w:hint="cs"/>
          <w:b w:val="0"/>
          <w:bCs w:val="0"/>
          <w:rtl/>
        </w:rPr>
        <w:t> </w:t>
      </w:r>
      <w:r w:rsidRPr="00E43C5B">
        <w:rPr>
          <w:b w:val="0"/>
          <w:bCs w:val="0"/>
          <w:rtl/>
        </w:rPr>
        <w:t>مختلف المجالات ويعود بالفائدة على البلدان النامية والمتقدمة على حد سواء، من المهم توجيه عمل قطاع تقييس الاتصالات بشأن الذكاء الاصطناعي، من حيث الجوانب المحددة القائمة والتطورات المستقبلية.</w:t>
      </w:r>
    </w:p>
    <w:sectPr w:rsidR="00B60D68" w:rsidRPr="009D1B16">
      <w:headerReference w:type="even" r:id="rId16"/>
      <w:headerReference w:type="defaul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0FBE" w14:textId="77777777" w:rsidR="00DA4259" w:rsidRDefault="00DA4259" w:rsidP="002919E1">
      <w:r>
        <w:separator/>
      </w:r>
    </w:p>
    <w:p w14:paraId="4237D3CD" w14:textId="77777777" w:rsidR="00DA4259" w:rsidRDefault="00DA4259" w:rsidP="002919E1"/>
    <w:p w14:paraId="72C528F9" w14:textId="77777777" w:rsidR="00DA4259" w:rsidRDefault="00DA4259" w:rsidP="002919E1"/>
    <w:p w14:paraId="10C1DFEE" w14:textId="77777777" w:rsidR="00DA4259" w:rsidRDefault="00DA4259"/>
  </w:endnote>
  <w:endnote w:type="continuationSeparator" w:id="0">
    <w:p w14:paraId="56C18DF5" w14:textId="77777777" w:rsidR="00DA4259" w:rsidRDefault="00DA4259" w:rsidP="002919E1">
      <w:r>
        <w:continuationSeparator/>
      </w:r>
    </w:p>
    <w:p w14:paraId="5A6FE2B8" w14:textId="77777777" w:rsidR="00DA4259" w:rsidRDefault="00DA4259" w:rsidP="002919E1"/>
    <w:p w14:paraId="11598A35" w14:textId="77777777" w:rsidR="00DA4259" w:rsidRDefault="00DA4259" w:rsidP="002919E1"/>
    <w:p w14:paraId="3317D32B"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6C4E" w14:textId="77777777" w:rsidR="00DA4259" w:rsidRDefault="00DA4259" w:rsidP="002919E1">
      <w:r>
        <w:t>___________________</w:t>
      </w:r>
    </w:p>
  </w:footnote>
  <w:footnote w:type="continuationSeparator" w:id="0">
    <w:p w14:paraId="4309EBCD" w14:textId="77777777" w:rsidR="00DA4259" w:rsidRDefault="00DA4259" w:rsidP="002919E1">
      <w:r>
        <w:continuationSeparator/>
      </w:r>
    </w:p>
    <w:p w14:paraId="6EA7F1E9" w14:textId="77777777" w:rsidR="00DA4259" w:rsidRDefault="00DA4259" w:rsidP="002919E1"/>
    <w:p w14:paraId="3BF85AB3" w14:textId="77777777" w:rsidR="00DA4259" w:rsidRDefault="00DA4259" w:rsidP="002919E1"/>
    <w:p w14:paraId="41BC63F6"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4E8C" w14:textId="77777777" w:rsidR="00281F5F" w:rsidRDefault="00281F5F" w:rsidP="002919E1"/>
  <w:p w14:paraId="1C8336EA" w14:textId="77777777" w:rsidR="00281F5F" w:rsidRDefault="00281F5F" w:rsidP="002919E1"/>
  <w:p w14:paraId="70DE71C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CE13" w14:textId="77777777" w:rsidR="00654230" w:rsidRPr="00EF2333" w:rsidRDefault="006175E7" w:rsidP="00EB52D8">
    <w:pPr>
      <w:pStyle w:val="Header"/>
      <w:rPr>
        <w:sz w:val="18"/>
        <w:szCs w:val="18"/>
      </w:rPr>
    </w:pPr>
    <w:r w:rsidRPr="00EF2333">
      <w:rPr>
        <w:sz w:val="18"/>
        <w:szCs w:val="18"/>
      </w:rPr>
      <w:fldChar w:fldCharType="begin"/>
    </w:r>
    <w:r w:rsidRPr="00EF2333">
      <w:rPr>
        <w:sz w:val="18"/>
        <w:szCs w:val="18"/>
      </w:rPr>
      <w:instrText xml:space="preserve"> PAGE  \* MERGEFORMAT </w:instrText>
    </w:r>
    <w:r w:rsidRPr="00EF2333">
      <w:rPr>
        <w:sz w:val="18"/>
        <w:szCs w:val="18"/>
      </w:rPr>
      <w:fldChar w:fldCharType="separate"/>
    </w:r>
    <w:r w:rsidRPr="00EF2333">
      <w:rPr>
        <w:sz w:val="18"/>
        <w:szCs w:val="18"/>
      </w:rPr>
      <w:t>2</w:t>
    </w:r>
    <w:r w:rsidRPr="00EF2333">
      <w:rPr>
        <w:sz w:val="18"/>
        <w:szCs w:val="18"/>
      </w:rPr>
      <w:fldChar w:fldCharType="end"/>
    </w:r>
    <w:r w:rsidR="00EB52D8" w:rsidRPr="00EF2333">
      <w:rPr>
        <w:sz w:val="18"/>
        <w:szCs w:val="18"/>
      </w:rPr>
      <w:br/>
    </w:r>
    <w:r w:rsidR="00966FA2" w:rsidRPr="00EF2333">
      <w:rPr>
        <w:sz w:val="18"/>
        <w:szCs w:val="18"/>
      </w:rPr>
      <w:t>WTSA-24/40(Add.9)-A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246577234">
    <w:abstractNumId w:val="9"/>
  </w:num>
  <w:num w:numId="2" w16cid:durableId="1091928036">
    <w:abstractNumId w:val="13"/>
  </w:num>
  <w:num w:numId="3" w16cid:durableId="668869209">
    <w:abstractNumId w:val="10"/>
  </w:num>
  <w:num w:numId="4" w16cid:durableId="1250432141">
    <w:abstractNumId w:val="14"/>
  </w:num>
  <w:num w:numId="5" w16cid:durableId="387649693">
    <w:abstractNumId w:val="7"/>
  </w:num>
  <w:num w:numId="6" w16cid:durableId="1948417140">
    <w:abstractNumId w:val="6"/>
  </w:num>
  <w:num w:numId="7" w16cid:durableId="837963733">
    <w:abstractNumId w:val="5"/>
  </w:num>
  <w:num w:numId="8" w16cid:durableId="387530786">
    <w:abstractNumId w:val="4"/>
  </w:num>
  <w:num w:numId="9" w16cid:durableId="1516192838">
    <w:abstractNumId w:val="8"/>
  </w:num>
  <w:num w:numId="10" w16cid:durableId="557864249">
    <w:abstractNumId w:val="3"/>
  </w:num>
  <w:num w:numId="11" w16cid:durableId="1098140717">
    <w:abstractNumId w:val="2"/>
  </w:num>
  <w:num w:numId="12" w16cid:durableId="699629159">
    <w:abstractNumId w:val="1"/>
  </w:num>
  <w:num w:numId="13" w16cid:durableId="1585870264">
    <w:abstractNumId w:val="0"/>
  </w:num>
  <w:num w:numId="14" w16cid:durableId="1941522256">
    <w:abstractNumId w:val="11"/>
  </w:num>
  <w:num w:numId="15" w16cid:durableId="4670922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0B4C"/>
    <w:rsid w:val="00011021"/>
    <w:rsid w:val="000114EC"/>
    <w:rsid w:val="00011F8C"/>
    <w:rsid w:val="000203EA"/>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41F6"/>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BDE"/>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63D21"/>
    <w:rsid w:val="00366CC2"/>
    <w:rsid w:val="003725C1"/>
    <w:rsid w:val="003736B2"/>
    <w:rsid w:val="00380F40"/>
    <w:rsid w:val="003815E2"/>
    <w:rsid w:val="00381FAD"/>
    <w:rsid w:val="00382A66"/>
    <w:rsid w:val="00384AE2"/>
    <w:rsid w:val="00386C79"/>
    <w:rsid w:val="0039238C"/>
    <w:rsid w:val="003923B1"/>
    <w:rsid w:val="003965FE"/>
    <w:rsid w:val="00397C17"/>
    <w:rsid w:val="003A26A2"/>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5737C"/>
    <w:rsid w:val="004606D0"/>
    <w:rsid w:val="004636E2"/>
    <w:rsid w:val="00470CBD"/>
    <w:rsid w:val="0047407D"/>
    <w:rsid w:val="00485F9E"/>
    <w:rsid w:val="00486B2B"/>
    <w:rsid w:val="004909DD"/>
    <w:rsid w:val="00497297"/>
    <w:rsid w:val="004A05E6"/>
    <w:rsid w:val="004A6230"/>
    <w:rsid w:val="004A6C66"/>
    <w:rsid w:val="004A7AA0"/>
    <w:rsid w:val="004C11BC"/>
    <w:rsid w:val="004C5C04"/>
    <w:rsid w:val="004D0448"/>
    <w:rsid w:val="004D4AE6"/>
    <w:rsid w:val="004E2A5D"/>
    <w:rsid w:val="004F79DA"/>
    <w:rsid w:val="00500DC2"/>
    <w:rsid w:val="00505AA6"/>
    <w:rsid w:val="00505FCA"/>
    <w:rsid w:val="00506118"/>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629A3"/>
    <w:rsid w:val="00667959"/>
    <w:rsid w:val="00670C11"/>
    <w:rsid w:val="006779A4"/>
    <w:rsid w:val="00680A38"/>
    <w:rsid w:val="00680A66"/>
    <w:rsid w:val="00681391"/>
    <w:rsid w:val="00694690"/>
    <w:rsid w:val="0069526C"/>
    <w:rsid w:val="006A12AC"/>
    <w:rsid w:val="006A2162"/>
    <w:rsid w:val="006A3EB3"/>
    <w:rsid w:val="006B4B90"/>
    <w:rsid w:val="006B600C"/>
    <w:rsid w:val="006B658C"/>
    <w:rsid w:val="006D2674"/>
    <w:rsid w:val="006E38D0"/>
    <w:rsid w:val="006E465B"/>
    <w:rsid w:val="006F2F29"/>
    <w:rsid w:val="006F70BF"/>
    <w:rsid w:val="007028CB"/>
    <w:rsid w:val="00716B1D"/>
    <w:rsid w:val="007246AF"/>
    <w:rsid w:val="007248EC"/>
    <w:rsid w:val="007263B4"/>
    <w:rsid w:val="00726744"/>
    <w:rsid w:val="00731150"/>
    <w:rsid w:val="00734E41"/>
    <w:rsid w:val="00734FA0"/>
    <w:rsid w:val="00736DCC"/>
    <w:rsid w:val="00741855"/>
    <w:rsid w:val="00742B73"/>
    <w:rsid w:val="00751251"/>
    <w:rsid w:val="00756C50"/>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8275D"/>
    <w:rsid w:val="0088384B"/>
    <w:rsid w:val="00884282"/>
    <w:rsid w:val="008879AE"/>
    <w:rsid w:val="00891229"/>
    <w:rsid w:val="00893E53"/>
    <w:rsid w:val="008A1137"/>
    <w:rsid w:val="008A1788"/>
    <w:rsid w:val="008A1E64"/>
    <w:rsid w:val="008A3E57"/>
    <w:rsid w:val="008A4185"/>
    <w:rsid w:val="008A4847"/>
    <w:rsid w:val="008A6552"/>
    <w:rsid w:val="008A750E"/>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27AF4"/>
    <w:rsid w:val="0093046E"/>
    <w:rsid w:val="00941CDF"/>
    <w:rsid w:val="00951718"/>
    <w:rsid w:val="00960962"/>
    <w:rsid w:val="00966FA2"/>
    <w:rsid w:val="00972CE0"/>
    <w:rsid w:val="0097742C"/>
    <w:rsid w:val="00987520"/>
    <w:rsid w:val="009A3D30"/>
    <w:rsid w:val="009C13BE"/>
    <w:rsid w:val="009C4371"/>
    <w:rsid w:val="009D0810"/>
    <w:rsid w:val="009D1B16"/>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0D68"/>
    <w:rsid w:val="00B63EAC"/>
    <w:rsid w:val="00B66817"/>
    <w:rsid w:val="00B672BD"/>
    <w:rsid w:val="00B71E3B"/>
    <w:rsid w:val="00B721D5"/>
    <w:rsid w:val="00B775AF"/>
    <w:rsid w:val="00B81CB5"/>
    <w:rsid w:val="00B8351F"/>
    <w:rsid w:val="00B86C44"/>
    <w:rsid w:val="00B933AA"/>
    <w:rsid w:val="00B946B6"/>
    <w:rsid w:val="00B9727C"/>
    <w:rsid w:val="00BA74A8"/>
    <w:rsid w:val="00BA7D44"/>
    <w:rsid w:val="00BC4396"/>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71C27"/>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47291"/>
    <w:rsid w:val="00D51BB8"/>
    <w:rsid w:val="00D525F5"/>
    <w:rsid w:val="00D535D0"/>
    <w:rsid w:val="00D577D8"/>
    <w:rsid w:val="00D62C78"/>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621A3"/>
    <w:rsid w:val="00E833BC"/>
    <w:rsid w:val="00E8580E"/>
    <w:rsid w:val="00E97E21"/>
    <w:rsid w:val="00EA1B76"/>
    <w:rsid w:val="00EA77D7"/>
    <w:rsid w:val="00EB52D8"/>
    <w:rsid w:val="00EC09B9"/>
    <w:rsid w:val="00EC0AD3"/>
    <w:rsid w:val="00ED048C"/>
    <w:rsid w:val="00EE60E9"/>
    <w:rsid w:val="00EF2333"/>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900C9"/>
    <w:rsid w:val="00F92C96"/>
    <w:rsid w:val="00F97D1C"/>
    <w:rsid w:val="00FA0D4E"/>
    <w:rsid w:val="00FA2304"/>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63499"/>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334e0b5-257b-4437-8589-c3bf823a2db3">DPM</DPM_x0020_Author>
    <DPM_x0020_File_x0020_name xmlns="3334e0b5-257b-4437-8589-c3bf823a2db3">T22-WTSA.24-C-0040!A9!MSW-A</DPM_x0020_File_x0020_name>
    <DPM_x0020_Version xmlns="3334e0b5-257b-4437-8589-c3bf823a2db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34e0b5-257b-4437-8589-c3bf823a2db3" targetNamespace="http://schemas.microsoft.com/office/2006/metadata/properties" ma:root="true" ma:fieldsID="d41af5c836d734370eb92e7ee5f83852" ns2:_="" ns3:_="">
    <xsd:import namespace="996b2e75-67fd-4955-a3b0-5ab9934cb50b"/>
    <xsd:import namespace="3334e0b5-257b-4437-8589-c3bf823a2db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34e0b5-257b-4437-8589-c3bf823a2db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4e0b5-257b-4437-8589-c3bf823a2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34e0b5-257b-4437-8589-c3bf823a2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1193</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T22-WTSA.24-C-0040!A9!MSW-A</vt:lpstr>
    </vt:vector>
  </TitlesOfParts>
  <Manager>General Secretariat - Pool</Manager>
  <Company>International Telecommunication Union (ITU)</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T22-WTSA.24-C-0040!A9!MSW-A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3</cp:revision>
  <cp:lastPrinted>2019-06-26T10:10:00Z</cp:lastPrinted>
  <dcterms:created xsi:type="dcterms:W3CDTF">2024-10-07T08:26:00Z</dcterms:created>
  <dcterms:modified xsi:type="dcterms:W3CDTF">2024-10-07T09:15:00Z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