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C66A1B1" w14:textId="77777777" w:rsidTr="009C5178">
        <w:trPr>
          <w:cantSplit/>
          <w:trHeight w:val="20"/>
        </w:trPr>
        <w:tc>
          <w:tcPr>
            <w:tcW w:w="1318" w:type="dxa"/>
          </w:tcPr>
          <w:p w14:paraId="6CF1D401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9702F4B" wp14:editId="7FD3087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145F2C97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23E6B02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4F9BF083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5DF7B9BB" wp14:editId="039D1D5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3105CA77" w14:textId="77777777" w:rsidTr="009C5178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7855BD71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0C519675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280BE21D" w14:textId="77777777" w:rsidTr="009C5178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46350767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B69E1E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9C5178" w:rsidRPr="00B344B6" w14:paraId="05BA43E4" w14:textId="77777777" w:rsidTr="009C5178">
        <w:trPr>
          <w:cantSplit/>
        </w:trPr>
        <w:tc>
          <w:tcPr>
            <w:tcW w:w="6496" w:type="dxa"/>
            <w:gridSpan w:val="2"/>
          </w:tcPr>
          <w:p w14:paraId="6AEE36CB" w14:textId="77777777" w:rsidR="009C5178" w:rsidRPr="00D21D8E" w:rsidRDefault="009C5178" w:rsidP="009C5178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</w:p>
        </w:tc>
        <w:tc>
          <w:tcPr>
            <w:tcW w:w="3143" w:type="dxa"/>
            <w:gridSpan w:val="2"/>
          </w:tcPr>
          <w:p w14:paraId="4FB8F5CB" w14:textId="4C82F446" w:rsidR="009C5178" w:rsidRPr="00EC0AD3" w:rsidRDefault="009C5178" w:rsidP="009C5178">
            <w:pPr>
              <w:pStyle w:val="Docnumber"/>
              <w:bidi/>
            </w:pPr>
            <w:r>
              <w:rPr>
                <w:rFonts w:hint="cs"/>
                <w:rtl/>
              </w:rPr>
              <w:t xml:space="preserve">الإضافة </w:t>
            </w:r>
            <w:r w:rsidR="005E7A76">
              <w:rPr>
                <w:lang w:val="en-US"/>
              </w:rPr>
              <w:t>5</w:t>
            </w:r>
            <w:r w:rsidRPr="00F74B75">
              <w:br/>
            </w:r>
            <w:r>
              <w:rPr>
                <w:rFonts w:eastAsia="SimSun" w:hint="cs"/>
                <w:rtl/>
              </w:rPr>
              <w:t xml:space="preserve">للوثيقة </w:t>
            </w:r>
            <w:r w:rsidR="005E7A76">
              <w:rPr>
                <w:rFonts w:eastAsia="SimSun"/>
                <w:lang w:val="en-US"/>
              </w:rPr>
              <w:t>40</w:t>
            </w:r>
            <w:r>
              <w:rPr>
                <w:rFonts w:eastAsia="SimSun"/>
                <w:lang w:val="en-US"/>
              </w:rPr>
              <w:t>-A</w:t>
            </w:r>
          </w:p>
        </w:tc>
      </w:tr>
      <w:tr w:rsidR="009C5178" w:rsidRPr="00B344B6" w14:paraId="38DC853B" w14:textId="77777777" w:rsidTr="009C5178">
        <w:trPr>
          <w:cantSplit/>
        </w:trPr>
        <w:tc>
          <w:tcPr>
            <w:tcW w:w="6496" w:type="dxa"/>
            <w:gridSpan w:val="2"/>
          </w:tcPr>
          <w:p w14:paraId="55CB3ED2" w14:textId="77777777" w:rsidR="009C5178" w:rsidRPr="009D0810" w:rsidRDefault="009C5178" w:rsidP="009C5178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135D295" w14:textId="5A5E6CCE" w:rsidR="009C5178" w:rsidRPr="009D0810" w:rsidRDefault="005E7A76" w:rsidP="009C5178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eastAsia="SimSun" w:hAnsi="Dubai" w:cs="Dubai"/>
                <w:sz w:val="22"/>
                <w:szCs w:val="22"/>
              </w:rPr>
              <w:t>19</w:t>
            </w:r>
            <w:r w:rsidR="009C5178" w:rsidRPr="00F74B75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="009C5178" w:rsidRPr="00F74B75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9C5178" w:rsidRPr="00B344B6" w14:paraId="7960C77B" w14:textId="77777777" w:rsidTr="009C5178">
        <w:trPr>
          <w:cantSplit/>
        </w:trPr>
        <w:tc>
          <w:tcPr>
            <w:tcW w:w="6496" w:type="dxa"/>
            <w:gridSpan w:val="2"/>
          </w:tcPr>
          <w:p w14:paraId="7EEFFFDF" w14:textId="77777777" w:rsidR="009C5178" w:rsidRPr="009D0810" w:rsidRDefault="009C5178" w:rsidP="009C5178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8380D3D" w14:textId="017CC71D" w:rsidR="009C5178" w:rsidRPr="009D0810" w:rsidRDefault="009C5178" w:rsidP="009C5178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F74B75">
              <w:rPr>
                <w:rFonts w:ascii="Dubai" w:hAnsi="Dubai" w:cs="Dubai"/>
                <w:sz w:val="22"/>
                <w:szCs w:val="22"/>
                <w:rtl/>
              </w:rPr>
              <w:t xml:space="preserve">الأصل: </w:t>
            </w:r>
            <w:r w:rsidR="00557C95">
              <w:rPr>
                <w:rFonts w:ascii="Dubai" w:hAnsi="Dubai" w:cs="Dubai" w:hint="cs"/>
                <w:sz w:val="22"/>
                <w:szCs w:val="22"/>
                <w:rtl/>
              </w:rPr>
              <w:t>بالروسية</w:t>
            </w:r>
          </w:p>
        </w:tc>
      </w:tr>
      <w:tr w:rsidR="009C5178" w:rsidRPr="00B344B6" w14:paraId="57623BF8" w14:textId="77777777" w:rsidTr="009C5178">
        <w:trPr>
          <w:cantSplit/>
        </w:trPr>
        <w:tc>
          <w:tcPr>
            <w:tcW w:w="9639" w:type="dxa"/>
            <w:gridSpan w:val="4"/>
          </w:tcPr>
          <w:p w14:paraId="10D1B039" w14:textId="77777777" w:rsidR="009C5178" w:rsidRPr="009D0810" w:rsidRDefault="009C5178" w:rsidP="009C5178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9C5178" w:rsidRPr="00B344B6" w14:paraId="10B09EA9" w14:textId="77777777" w:rsidTr="009C5178">
        <w:trPr>
          <w:cantSplit/>
        </w:trPr>
        <w:tc>
          <w:tcPr>
            <w:tcW w:w="9639" w:type="dxa"/>
            <w:gridSpan w:val="4"/>
          </w:tcPr>
          <w:p w14:paraId="6EA37AF3" w14:textId="453E001B" w:rsidR="009C5178" w:rsidRPr="00156973" w:rsidRDefault="009C5178" w:rsidP="00156973">
            <w:pPr>
              <w:pStyle w:val="Source"/>
              <w:rPr>
                <w:rtl/>
              </w:rPr>
            </w:pPr>
            <w:r w:rsidRPr="00156973">
              <w:rPr>
                <w:rtl/>
              </w:rPr>
              <w:t>الدول الأعضاء في الاتحاد</w:t>
            </w:r>
            <w:r w:rsidR="00156973" w:rsidRPr="00156973">
              <w:rPr>
                <w:b w:val="0"/>
                <w:bCs w:val="0"/>
                <w:snapToGrid/>
                <w:sz w:val="22"/>
                <w:szCs w:val="22"/>
                <w:rtl/>
                <w:lang w:bidi="ar-SA"/>
              </w:rPr>
              <w:t xml:space="preserve"> </w:t>
            </w:r>
            <w:r w:rsidR="00156973" w:rsidRPr="00156973">
              <w:rPr>
                <w:rtl/>
                <w:lang w:bidi="ar-SA"/>
              </w:rPr>
              <w:t>الدولي للاتصالات</w:t>
            </w:r>
            <w:r w:rsidRPr="00156973">
              <w:rPr>
                <w:rtl/>
              </w:rPr>
              <w:t xml:space="preserve">، الأعضاء في الكومنولث الإقليمي </w:t>
            </w:r>
            <w:r w:rsidR="00551554">
              <w:rPr>
                <w:rtl/>
              </w:rPr>
              <w:br/>
            </w:r>
            <w:r w:rsidRPr="00156973">
              <w:rPr>
                <w:rtl/>
              </w:rPr>
              <w:t>في مجال الاتصالات (</w:t>
            </w:r>
            <w:r w:rsidRPr="00156973">
              <w:t>RCC</w:t>
            </w:r>
            <w:r w:rsidRPr="00156973">
              <w:rPr>
                <w:rtl/>
              </w:rPr>
              <w:t>)</w:t>
            </w:r>
          </w:p>
        </w:tc>
      </w:tr>
      <w:tr w:rsidR="009C5178" w:rsidRPr="00B344B6" w14:paraId="010E97D7" w14:textId="77777777" w:rsidTr="009C5178">
        <w:trPr>
          <w:cantSplit/>
        </w:trPr>
        <w:tc>
          <w:tcPr>
            <w:tcW w:w="9639" w:type="dxa"/>
            <w:gridSpan w:val="4"/>
          </w:tcPr>
          <w:p w14:paraId="62C37FE6" w14:textId="4A5D0C0C" w:rsidR="009C5178" w:rsidRPr="00156973" w:rsidRDefault="00156973" w:rsidP="009C5178">
            <w:pPr>
              <w:pStyle w:val="Title1"/>
              <w:spacing w:before="240"/>
              <w:rPr>
                <w:rtl/>
              </w:rPr>
            </w:pPr>
            <w:r w:rsidRPr="00156973">
              <w:rPr>
                <w:rFonts w:hint="cs"/>
                <w:rtl/>
              </w:rPr>
              <w:t>اقتراح الإبقاء على</w:t>
            </w:r>
            <w:r w:rsidR="009C5178" w:rsidRPr="00156973">
              <w:rPr>
                <w:rtl/>
              </w:rPr>
              <w:t xml:space="preserve"> القرار </w:t>
            </w:r>
            <w:r w:rsidR="009C5178" w:rsidRPr="00156973">
              <w:rPr>
                <w:rFonts w:hint="cs"/>
              </w:rPr>
              <w:t>48</w:t>
            </w:r>
          </w:p>
        </w:tc>
      </w:tr>
      <w:tr w:rsidR="009C5178" w:rsidRPr="00B344B6" w14:paraId="66912775" w14:textId="77777777" w:rsidTr="009C5178">
        <w:trPr>
          <w:cantSplit/>
          <w:trHeight w:hRule="exact" w:val="240"/>
        </w:trPr>
        <w:tc>
          <w:tcPr>
            <w:tcW w:w="9639" w:type="dxa"/>
            <w:gridSpan w:val="4"/>
          </w:tcPr>
          <w:p w14:paraId="27E3BB32" w14:textId="77777777" w:rsidR="009C5178" w:rsidRPr="00B344B6" w:rsidRDefault="009C5178" w:rsidP="009C5178">
            <w:pPr>
              <w:pStyle w:val="Title2"/>
              <w:spacing w:before="240"/>
            </w:pPr>
          </w:p>
        </w:tc>
      </w:tr>
      <w:tr w:rsidR="009C5178" w:rsidRPr="00B344B6" w14:paraId="45FD21E0" w14:textId="77777777" w:rsidTr="009C5178">
        <w:trPr>
          <w:cantSplit/>
          <w:trHeight w:hRule="exact" w:val="240"/>
        </w:trPr>
        <w:tc>
          <w:tcPr>
            <w:tcW w:w="9639" w:type="dxa"/>
            <w:gridSpan w:val="4"/>
          </w:tcPr>
          <w:p w14:paraId="69A3A4FB" w14:textId="77777777" w:rsidR="009C5178" w:rsidRPr="00B344B6" w:rsidRDefault="009C5178" w:rsidP="009C5178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1B096F69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6CBA5023" w14:textId="77777777" w:rsidTr="008077A5">
        <w:tc>
          <w:tcPr>
            <w:tcW w:w="1355" w:type="dxa"/>
            <w:shd w:val="clear" w:color="auto" w:fill="FFFFFF"/>
          </w:tcPr>
          <w:p w14:paraId="5403CB3C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3098B090" w14:textId="6F1ACAAE" w:rsidR="00314F41" w:rsidRPr="00F13484" w:rsidRDefault="00156973" w:rsidP="00F13484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spacing w:val="-2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F13484">
              <w:rPr>
                <w:rFonts w:ascii="Dubai" w:hAnsi="Dubai" w:cs="Dubai"/>
                <w:spacing w:val="-2"/>
                <w:sz w:val="22"/>
                <w:szCs w:val="22"/>
                <w:rtl/>
                <w:lang w:val="en-GB" w:bidi="ar-JO"/>
              </w:rPr>
              <w:t>‏يقترح</w:t>
            </w:r>
            <w:r w:rsidRPr="00F13484">
              <w:rPr>
                <w:rFonts w:ascii="Dubai" w:hAnsi="Dubai" w:cs="Dubai" w:hint="cs"/>
                <w:spacing w:val="-2"/>
                <w:sz w:val="22"/>
                <w:szCs w:val="22"/>
                <w:rtl/>
              </w:rPr>
              <w:t xml:space="preserve"> </w:t>
            </w:r>
            <w:r w:rsidRPr="00F13484">
              <w:rPr>
                <w:rFonts w:ascii="Dubai" w:hAnsi="Dubai" w:cs="Dubai" w:hint="cs"/>
                <w:spacing w:val="-2"/>
                <w:sz w:val="22"/>
                <w:szCs w:val="22"/>
                <w:rtl/>
                <w:lang w:val="en-GB"/>
              </w:rPr>
              <w:t xml:space="preserve">الكومنولث الإقليمي في مجال الاتصالات 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lang w:bidi="ar-JO"/>
              </w:rPr>
              <w:t>(RCC)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rtl/>
                <w:lang w:val="en-GB" w:bidi="ar-JO"/>
              </w:rPr>
              <w:t xml:space="preserve"> الإبقاء على القرار 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cs/>
                <w:lang w:val="en-GB" w:bidi="ar-JO"/>
              </w:rPr>
              <w:t>‎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lang w:val="en-GB" w:bidi="ar-JO"/>
              </w:rPr>
              <w:t>48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rtl/>
                <w:lang w:val="en-GB" w:bidi="ar-JO"/>
              </w:rPr>
              <w:t xml:space="preserve"> (‏المراجع في جنيف، 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cs/>
                <w:lang w:val="en-GB" w:bidi="ar-JO"/>
              </w:rPr>
              <w:t>‎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lang w:val="en-GB" w:bidi="ar-JO"/>
              </w:rPr>
              <w:t>2022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rtl/>
                <w:lang w:val="en-GB" w:bidi="ar-JO"/>
              </w:rPr>
              <w:t>) ‏بشأن أسماء الميادين الدولية (المتعددة اللغات). ونرى أن الضرور</w:t>
            </w:r>
            <w:r w:rsidRPr="00F13484">
              <w:rPr>
                <w:rFonts w:ascii="Dubai" w:hAnsi="Dubai" w:cs="Dubai" w:hint="cs"/>
                <w:spacing w:val="-2"/>
                <w:sz w:val="22"/>
                <w:szCs w:val="22"/>
                <w:rtl/>
                <w:lang w:val="en-GB" w:bidi="ar-JO"/>
              </w:rPr>
              <w:t>ة تقتضي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rtl/>
                <w:lang w:val="en-GB" w:bidi="ar-JO"/>
              </w:rPr>
              <w:t xml:space="preserve"> الإبقاء على الآليات القائمة وضمان الاتساق فيما يتعلق بأسماء الميادين الدولية (المتعددة اللغات).</w:t>
            </w:r>
            <w:r w:rsidRPr="00F13484">
              <w:rPr>
                <w:rFonts w:ascii="Dubai" w:hAnsi="Dubai" w:cs="Dubai"/>
                <w:spacing w:val="-2"/>
                <w:sz w:val="22"/>
                <w:szCs w:val="22"/>
                <w:cs/>
                <w:lang w:val="en-GB" w:bidi="ar-JO"/>
              </w:rPr>
              <w:t>‎</w:t>
            </w:r>
          </w:p>
        </w:tc>
      </w:tr>
      <w:tr w:rsidR="009C5178" w:rsidRPr="00B344B6" w14:paraId="7785F56C" w14:textId="77777777" w:rsidTr="008077A5">
        <w:tc>
          <w:tcPr>
            <w:tcW w:w="1355" w:type="dxa"/>
            <w:shd w:val="clear" w:color="auto" w:fill="FFFFFF"/>
            <w:hideMark/>
          </w:tcPr>
          <w:p w14:paraId="42A14806" w14:textId="77777777" w:rsidR="009C5178" w:rsidRPr="00B344B6" w:rsidRDefault="009C5178" w:rsidP="009C5178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4054EB04" w14:textId="60AE6317" w:rsidR="009C5178" w:rsidRPr="00156973" w:rsidRDefault="009C5178" w:rsidP="00551554">
            <w:pPr>
              <w:spacing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156973">
              <w:t>Alexey Borodin</w:t>
            </w:r>
            <w:r w:rsidRPr="00156973">
              <w:br/>
            </w:r>
            <w:r w:rsidR="00156973" w:rsidRPr="00156973">
              <w:rPr>
                <w:rFonts w:hint="cs"/>
                <w:rtl/>
              </w:rPr>
              <w:t xml:space="preserve">الكومنولث الإقليمي في مجال الاتصالات </w:t>
            </w:r>
            <w:r w:rsidR="00156973" w:rsidRPr="00156973">
              <w:rPr>
                <w:lang w:bidi="ar-JO"/>
              </w:rPr>
              <w:t>(RCC)</w:t>
            </w:r>
          </w:p>
        </w:tc>
        <w:tc>
          <w:tcPr>
            <w:tcW w:w="4250" w:type="dxa"/>
            <w:shd w:val="clear" w:color="auto" w:fill="FFFFFF"/>
          </w:tcPr>
          <w:p w14:paraId="14C8D451" w14:textId="3161543E" w:rsidR="009C5178" w:rsidRPr="00B344B6" w:rsidRDefault="009C5178" w:rsidP="009C5178">
            <w:pPr>
              <w:spacing w:before="240" w:after="40" w:line="260" w:lineRule="exac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B40391">
                <w:rPr>
                  <w:rStyle w:val="Hyperlink"/>
                </w:rPr>
                <w:t>ecrcc@rcc.org.ru</w:t>
              </w:r>
            </w:hyperlink>
          </w:p>
        </w:tc>
      </w:tr>
      <w:tr w:rsidR="009C5178" w:rsidRPr="00B344B6" w14:paraId="7638828B" w14:textId="77777777" w:rsidTr="008077A5">
        <w:tc>
          <w:tcPr>
            <w:tcW w:w="1355" w:type="dxa"/>
            <w:shd w:val="clear" w:color="auto" w:fill="FFFFFF"/>
          </w:tcPr>
          <w:p w14:paraId="02F0AB9A" w14:textId="61BF3AE6" w:rsidR="009C5178" w:rsidRPr="00B344B6" w:rsidRDefault="009C5178" w:rsidP="009C5178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65F3E106" w14:textId="1CC94C5E" w:rsidR="009C5178" w:rsidRPr="00156973" w:rsidRDefault="009C5178" w:rsidP="00551554">
            <w:pPr>
              <w:spacing w:after="40" w:line="260" w:lineRule="exact"/>
              <w:jc w:val="left"/>
              <w:rPr>
                <w:rtl/>
              </w:rPr>
            </w:pPr>
            <w:proofErr w:type="spellStart"/>
            <w:r w:rsidRPr="00156973">
              <w:t>Evgeny</w:t>
            </w:r>
            <w:proofErr w:type="spellEnd"/>
            <w:r w:rsidRPr="00156973">
              <w:t xml:space="preserve"> </w:t>
            </w:r>
            <w:proofErr w:type="spellStart"/>
            <w:r w:rsidRPr="00156973">
              <w:t>Tonkikh</w:t>
            </w:r>
            <w:proofErr w:type="spellEnd"/>
            <w:r w:rsidRPr="00156973">
              <w:br/>
            </w:r>
            <w:r w:rsidR="00156973" w:rsidRPr="00156973">
              <w:rPr>
                <w:rFonts w:hint="cs"/>
                <w:rtl/>
              </w:rPr>
              <w:t xml:space="preserve">منسق </w:t>
            </w:r>
            <w:r w:rsidR="00156973" w:rsidRPr="00156973">
              <w:rPr>
                <w:lang w:bidi="ar-JO"/>
              </w:rPr>
              <w:t>RCC</w:t>
            </w:r>
            <w:r w:rsidR="00156973" w:rsidRPr="00156973">
              <w:rPr>
                <w:rFonts w:hint="cs"/>
                <w:rtl/>
              </w:rPr>
              <w:t xml:space="preserve"> بشأن التحضير ل</w:t>
            </w:r>
            <w:r w:rsidR="00156973" w:rsidRPr="00156973">
              <w:rPr>
                <w:rtl/>
              </w:rPr>
              <w:t>لجمعية العالمية لتقييس الاتصالات</w:t>
            </w:r>
            <w:r w:rsidRPr="00156973">
              <w:rPr>
                <w:rtl/>
                <w:lang w:bidi="ar-JO"/>
              </w:rPr>
              <w:br/>
              <w:t>الاتحاد الروسي</w:t>
            </w:r>
          </w:p>
        </w:tc>
        <w:tc>
          <w:tcPr>
            <w:tcW w:w="4250" w:type="dxa"/>
            <w:shd w:val="clear" w:color="auto" w:fill="FFFFFF"/>
          </w:tcPr>
          <w:p w14:paraId="580C9838" w14:textId="07EA6CD4" w:rsidR="009C5178" w:rsidRPr="00B344B6" w:rsidRDefault="009C5178" w:rsidP="009C5178">
            <w:pPr>
              <w:spacing w:before="240" w:after="40" w:line="260" w:lineRule="exact"/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B40391">
                <w:rPr>
                  <w:rStyle w:val="Hyperlink"/>
                </w:rPr>
                <w:t>et@niir.ru</w:t>
              </w:r>
            </w:hyperlink>
          </w:p>
        </w:tc>
      </w:tr>
    </w:tbl>
    <w:p w14:paraId="0EBAE1E5" w14:textId="77777777" w:rsidR="0012545F" w:rsidRPr="00B344B6" w:rsidRDefault="0012545F" w:rsidP="009C5178">
      <w:pPr>
        <w:rPr>
          <w:rtl/>
        </w:rPr>
      </w:pPr>
      <w:r w:rsidRPr="00B344B6">
        <w:rPr>
          <w:rtl/>
        </w:rPr>
        <w:br w:type="page"/>
      </w:r>
    </w:p>
    <w:p w14:paraId="401D96F3" w14:textId="68FC7129" w:rsidR="00CA6E03" w:rsidRDefault="00CA6E03" w:rsidP="00BD0E0D">
      <w:pPr>
        <w:pStyle w:val="Proposal"/>
        <w:tabs>
          <w:tab w:val="center" w:pos="4819"/>
        </w:tabs>
        <w:rPr>
          <w:rtl/>
        </w:rPr>
      </w:pPr>
      <w:bookmarkStart w:id="0" w:name="_Toc111642720"/>
      <w:bookmarkStart w:id="1" w:name="_Toc111646788"/>
      <w:r w:rsidRPr="00B40391">
        <w:rPr>
          <w:u w:val="single"/>
        </w:rPr>
        <w:lastRenderedPageBreak/>
        <w:t>NOC</w:t>
      </w:r>
      <w:r w:rsidRPr="00B40391">
        <w:tab/>
        <w:t>RCC/40A5/1</w:t>
      </w:r>
    </w:p>
    <w:p w14:paraId="5F53291C" w14:textId="77777777" w:rsidR="00403290" w:rsidRPr="00FC0F14" w:rsidRDefault="00403290" w:rsidP="00403290">
      <w:pPr>
        <w:pStyle w:val="ResNo"/>
        <w:rPr>
          <w:rtl/>
        </w:rPr>
      </w:pPr>
      <w:bookmarkStart w:id="2" w:name="_Toc111642736"/>
      <w:bookmarkStart w:id="3" w:name="_Toc111646804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48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  <w:bookmarkEnd w:id="2"/>
      <w:bookmarkEnd w:id="3"/>
    </w:p>
    <w:p w14:paraId="145D089E" w14:textId="77777777" w:rsidR="00403290" w:rsidRPr="00551554" w:rsidRDefault="00403290" w:rsidP="00551554">
      <w:pPr>
        <w:pStyle w:val="Restitle"/>
        <w:rPr>
          <w:rtl/>
        </w:rPr>
      </w:pPr>
      <w:bookmarkStart w:id="4" w:name="_Toc111642737"/>
      <w:bookmarkStart w:id="5" w:name="_Toc111646805"/>
      <w:r w:rsidRPr="00551554">
        <w:rPr>
          <w:rFonts w:hint="cs"/>
          <w:rtl/>
        </w:rPr>
        <w:t>أسماء الميادين الدولية (المتعددة اللغات)</w:t>
      </w:r>
      <w:bookmarkEnd w:id="4"/>
      <w:bookmarkEnd w:id="5"/>
    </w:p>
    <w:p w14:paraId="50204906" w14:textId="77777777" w:rsidR="00403290" w:rsidRPr="00FC0F14" w:rsidRDefault="00403290" w:rsidP="00403290">
      <w:pPr>
        <w:pStyle w:val="Resref"/>
        <w:rPr>
          <w:rtl/>
        </w:rPr>
      </w:pPr>
      <w:r w:rsidRPr="00FC0F14">
        <w:rPr>
          <w:rFonts w:hint="cs"/>
          <w:rtl/>
        </w:rPr>
        <w:t>(</w:t>
      </w:r>
      <w:proofErr w:type="spellStart"/>
      <w:r w:rsidRPr="00FC0F14">
        <w:rPr>
          <w:rFonts w:hint="cs"/>
          <w:rtl/>
        </w:rPr>
        <w:t>فلوريانوبوليس</w:t>
      </w:r>
      <w:proofErr w:type="spellEnd"/>
      <w:r w:rsidRPr="00FC0F14">
        <w:rPr>
          <w:rFonts w:hint="cs"/>
          <w:rtl/>
        </w:rPr>
        <w:t xml:space="preserve">، </w:t>
      </w:r>
      <w:r w:rsidRPr="00FC0F14">
        <w:t>2004</w:t>
      </w:r>
      <w:r w:rsidRPr="00FC0F14">
        <w:rPr>
          <w:rFonts w:hint="cs"/>
          <w:rtl/>
        </w:rPr>
        <w:t xml:space="preserve">؛ 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t>2012</w:t>
      </w:r>
      <w:r w:rsidRPr="00FC0F14">
        <w:rPr>
          <w:rFonts w:hint="cs"/>
          <w:rtl/>
        </w:rPr>
        <w:t>؛ جنيف،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2022</w:t>
      </w:r>
      <w:r w:rsidRPr="00FC0F14">
        <w:rPr>
          <w:rFonts w:hint="cs"/>
          <w:rtl/>
        </w:rPr>
        <w:t>)</w:t>
      </w:r>
    </w:p>
    <w:p w14:paraId="019E4ACB" w14:textId="77777777" w:rsidR="00403290" w:rsidRPr="00FC0F14" w:rsidRDefault="00403290" w:rsidP="00403290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(جنيف،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lang w:bidi="ar-EG"/>
        </w:rPr>
        <w:t>2022</w:t>
      </w:r>
      <w:r w:rsidRPr="00FC0F14">
        <w:rPr>
          <w:rFonts w:hint="cs"/>
          <w:rtl/>
        </w:rPr>
        <w:t>)،</w:t>
      </w:r>
    </w:p>
    <w:p w14:paraId="1106CD82" w14:textId="4CB7F0F5" w:rsidR="00CA6E03" w:rsidRPr="00F13484" w:rsidRDefault="00403290" w:rsidP="00156973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rtl/>
          <w:lang w:bidi="ar-EG"/>
        </w:rPr>
        <w:t>الأسباب:</w:t>
      </w:r>
      <w:r>
        <w:rPr>
          <w:rtl/>
          <w:lang w:bidi="ar-EG"/>
        </w:rPr>
        <w:tab/>
      </w:r>
      <w:r w:rsidR="00156973">
        <w:rPr>
          <w:rFonts w:hint="cs"/>
          <w:b w:val="0"/>
          <w:bCs w:val="0"/>
          <w:rtl/>
          <w:lang w:bidi="ar-JO"/>
        </w:rPr>
        <w:t>الحاجة</w:t>
      </w:r>
      <w:r w:rsidR="00156973" w:rsidRPr="00156973">
        <w:rPr>
          <w:b w:val="0"/>
          <w:bCs w:val="0"/>
          <w:rtl/>
          <w:lang w:val="en-GB" w:bidi="ar-JO"/>
        </w:rPr>
        <w:t xml:space="preserve"> </w:t>
      </w:r>
      <w:r w:rsidR="00156973">
        <w:rPr>
          <w:rFonts w:hint="cs"/>
          <w:b w:val="0"/>
          <w:bCs w:val="0"/>
          <w:rtl/>
          <w:lang w:val="en-GB" w:bidi="ar-JO"/>
        </w:rPr>
        <w:t>ل</w:t>
      </w:r>
      <w:r w:rsidR="00156973" w:rsidRPr="00156973">
        <w:rPr>
          <w:b w:val="0"/>
          <w:bCs w:val="0"/>
          <w:rtl/>
          <w:lang w:bidi="ar-JO"/>
        </w:rPr>
        <w:t>لإبقاء على الآليات القائمة وضمان الاتساق فيما يتعلق بأسماء الميادين الدولية (المتعددة اللغات).</w:t>
      </w:r>
      <w:r w:rsidR="00156973" w:rsidRPr="00156973">
        <w:rPr>
          <w:b w:val="0"/>
          <w:bCs w:val="0"/>
          <w:cs/>
          <w:lang w:bidi="ar-JO"/>
        </w:rPr>
        <w:t>‎</w:t>
      </w:r>
    </w:p>
    <w:bookmarkEnd w:id="0"/>
    <w:bookmarkEnd w:id="1"/>
    <w:p w14:paraId="4557B05F" w14:textId="059D8ED3" w:rsidR="00CA6E03" w:rsidRPr="00CA6E03" w:rsidRDefault="00CA6E03" w:rsidP="00CA6E0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A6E03" w:rsidRPr="00CA6E03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4965" w14:textId="77777777" w:rsidR="00D54FC4" w:rsidRDefault="00D54FC4" w:rsidP="002919E1">
      <w:r>
        <w:separator/>
      </w:r>
    </w:p>
    <w:p w14:paraId="30F39995" w14:textId="77777777" w:rsidR="00D54FC4" w:rsidRDefault="00D54FC4" w:rsidP="002919E1"/>
    <w:p w14:paraId="0C57C691" w14:textId="77777777" w:rsidR="00D54FC4" w:rsidRDefault="00D54FC4" w:rsidP="002919E1"/>
    <w:p w14:paraId="1E696F8F" w14:textId="77777777" w:rsidR="00D54FC4" w:rsidRDefault="00D54FC4"/>
  </w:endnote>
  <w:endnote w:type="continuationSeparator" w:id="0">
    <w:p w14:paraId="14ECD42E" w14:textId="77777777" w:rsidR="00D54FC4" w:rsidRDefault="00D54FC4" w:rsidP="002919E1">
      <w:r>
        <w:continuationSeparator/>
      </w:r>
    </w:p>
    <w:p w14:paraId="5C94A4E0" w14:textId="77777777" w:rsidR="00D54FC4" w:rsidRDefault="00D54FC4" w:rsidP="002919E1"/>
    <w:p w14:paraId="4D86201B" w14:textId="77777777" w:rsidR="00D54FC4" w:rsidRDefault="00D54FC4" w:rsidP="002919E1"/>
    <w:p w14:paraId="2D8A99E1" w14:textId="77777777" w:rsidR="00D54FC4" w:rsidRDefault="00D5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EE0E" w14:textId="77777777" w:rsidR="00D54FC4" w:rsidRDefault="00D54FC4" w:rsidP="002919E1">
      <w:r>
        <w:t>___________________</w:t>
      </w:r>
    </w:p>
  </w:footnote>
  <w:footnote w:type="continuationSeparator" w:id="0">
    <w:p w14:paraId="6C28AEF3" w14:textId="77777777" w:rsidR="00D54FC4" w:rsidRDefault="00D54FC4" w:rsidP="002919E1">
      <w:r>
        <w:continuationSeparator/>
      </w:r>
    </w:p>
    <w:p w14:paraId="6FCCA460" w14:textId="77777777" w:rsidR="00D54FC4" w:rsidRDefault="00D54FC4" w:rsidP="002919E1"/>
    <w:p w14:paraId="18CAD9B5" w14:textId="77777777" w:rsidR="00D54FC4" w:rsidRDefault="00D54FC4" w:rsidP="002919E1"/>
    <w:p w14:paraId="390EBEB5" w14:textId="77777777" w:rsidR="00D54FC4" w:rsidRDefault="00D54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0BD9" w14:textId="77777777" w:rsidR="00281F5F" w:rsidRDefault="00281F5F" w:rsidP="002919E1"/>
  <w:p w14:paraId="226B43E6" w14:textId="77777777" w:rsidR="00281F5F" w:rsidRDefault="00281F5F" w:rsidP="002919E1"/>
  <w:p w14:paraId="08188DA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AA35" w14:textId="77777777" w:rsidR="00654230" w:rsidRPr="00BD0E0D" w:rsidRDefault="006175E7" w:rsidP="00551554">
    <w:pPr>
      <w:pStyle w:val="Header"/>
      <w:rPr>
        <w:sz w:val="20"/>
        <w:szCs w:val="20"/>
      </w:rPr>
    </w:pPr>
    <w:r w:rsidRPr="00BD0E0D">
      <w:rPr>
        <w:sz w:val="20"/>
        <w:szCs w:val="20"/>
      </w:rPr>
      <w:fldChar w:fldCharType="begin"/>
    </w:r>
    <w:r w:rsidRPr="00BD0E0D">
      <w:rPr>
        <w:sz w:val="20"/>
        <w:szCs w:val="20"/>
      </w:rPr>
      <w:instrText xml:space="preserve"> PAGE  \* MERGEFORMAT </w:instrText>
    </w:r>
    <w:r w:rsidRPr="00BD0E0D">
      <w:rPr>
        <w:sz w:val="20"/>
        <w:szCs w:val="20"/>
      </w:rPr>
      <w:fldChar w:fldCharType="separate"/>
    </w:r>
    <w:r w:rsidRPr="00BD0E0D">
      <w:rPr>
        <w:sz w:val="20"/>
        <w:szCs w:val="20"/>
      </w:rPr>
      <w:t>2</w:t>
    </w:r>
    <w:r w:rsidRPr="00BD0E0D">
      <w:rPr>
        <w:sz w:val="20"/>
        <w:szCs w:val="20"/>
      </w:rPr>
      <w:fldChar w:fldCharType="end"/>
    </w:r>
    <w:r w:rsidR="00EB52D8" w:rsidRPr="00BD0E0D">
      <w:rPr>
        <w:sz w:val="20"/>
        <w:szCs w:val="20"/>
      </w:rPr>
      <w:br/>
    </w:r>
    <w:r w:rsidR="00966FA2" w:rsidRPr="00BD0E0D">
      <w:rPr>
        <w:sz w:val="20"/>
        <w:szCs w:val="20"/>
      </w:rPr>
      <w:t>WTSA-24/40(Add.5)-A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4A36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20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AD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865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5513153">
    <w:abstractNumId w:val="9"/>
  </w:num>
  <w:num w:numId="2" w16cid:durableId="1925533442">
    <w:abstractNumId w:val="13"/>
  </w:num>
  <w:num w:numId="3" w16cid:durableId="146560765">
    <w:abstractNumId w:val="10"/>
  </w:num>
  <w:num w:numId="4" w16cid:durableId="2114082468">
    <w:abstractNumId w:val="14"/>
  </w:num>
  <w:num w:numId="5" w16cid:durableId="1708142261">
    <w:abstractNumId w:val="7"/>
  </w:num>
  <w:num w:numId="6" w16cid:durableId="842429456">
    <w:abstractNumId w:val="6"/>
  </w:num>
  <w:num w:numId="7" w16cid:durableId="245965766">
    <w:abstractNumId w:val="5"/>
  </w:num>
  <w:num w:numId="8" w16cid:durableId="261306421">
    <w:abstractNumId w:val="4"/>
  </w:num>
  <w:num w:numId="9" w16cid:durableId="108016658">
    <w:abstractNumId w:val="8"/>
  </w:num>
  <w:num w:numId="10" w16cid:durableId="1254629713">
    <w:abstractNumId w:val="3"/>
  </w:num>
  <w:num w:numId="11" w16cid:durableId="1720784663">
    <w:abstractNumId w:val="2"/>
  </w:num>
  <w:num w:numId="12" w16cid:durableId="847209233">
    <w:abstractNumId w:val="1"/>
  </w:num>
  <w:num w:numId="13" w16cid:durableId="56057888">
    <w:abstractNumId w:val="0"/>
  </w:num>
  <w:num w:numId="14" w16cid:durableId="950162779">
    <w:abstractNumId w:val="11"/>
  </w:num>
  <w:num w:numId="15" w16cid:durableId="1023901274">
    <w:abstractNumId w:val="12"/>
  </w:num>
  <w:num w:numId="16" w16cid:durableId="536628193">
    <w:abstractNumId w:val="3"/>
  </w:num>
  <w:num w:numId="17" w16cid:durableId="693843894">
    <w:abstractNumId w:val="2"/>
  </w:num>
  <w:num w:numId="18" w16cid:durableId="2074699072">
    <w:abstractNumId w:val="3"/>
  </w:num>
  <w:num w:numId="19" w16cid:durableId="199125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56973"/>
    <w:rsid w:val="00167364"/>
    <w:rsid w:val="00184643"/>
    <w:rsid w:val="001903B2"/>
    <w:rsid w:val="001A452D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58AA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3F59A2"/>
    <w:rsid w:val="00400CD4"/>
    <w:rsid w:val="00403290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D7429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1554"/>
    <w:rsid w:val="00553150"/>
    <w:rsid w:val="00553411"/>
    <w:rsid w:val="00554AE7"/>
    <w:rsid w:val="00557C95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7A76"/>
    <w:rsid w:val="005F05CC"/>
    <w:rsid w:val="005F65DE"/>
    <w:rsid w:val="00611349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009E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40EA"/>
    <w:rsid w:val="009151F1"/>
    <w:rsid w:val="009234D3"/>
    <w:rsid w:val="0093046E"/>
    <w:rsid w:val="00941CDF"/>
    <w:rsid w:val="00951718"/>
    <w:rsid w:val="00960962"/>
    <w:rsid w:val="00966FA2"/>
    <w:rsid w:val="00971504"/>
    <w:rsid w:val="00972CE0"/>
    <w:rsid w:val="0097742C"/>
    <w:rsid w:val="0097746C"/>
    <w:rsid w:val="00993900"/>
    <w:rsid w:val="009A3D30"/>
    <w:rsid w:val="009C13BE"/>
    <w:rsid w:val="009C5178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97791"/>
    <w:rsid w:val="00BA7D44"/>
    <w:rsid w:val="00BD0E0D"/>
    <w:rsid w:val="00BD6291"/>
    <w:rsid w:val="00BD6EF3"/>
    <w:rsid w:val="00BE3AAE"/>
    <w:rsid w:val="00BE69C3"/>
    <w:rsid w:val="00BF56B1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A4566"/>
    <w:rsid w:val="00CA6E03"/>
    <w:rsid w:val="00CB2BF9"/>
    <w:rsid w:val="00CB33CC"/>
    <w:rsid w:val="00CB4300"/>
    <w:rsid w:val="00CB454E"/>
    <w:rsid w:val="00CC030E"/>
    <w:rsid w:val="00CC68C4"/>
    <w:rsid w:val="00CC79A4"/>
    <w:rsid w:val="00CD0FDE"/>
    <w:rsid w:val="00CD7C3B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4FC4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3484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0FF7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26E1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49f179-8f06-44ff-81d9-89215ffbc2ab" targetNamespace="http://schemas.microsoft.com/office/2006/metadata/properties" ma:root="true" ma:fieldsID="d41af5c836d734370eb92e7ee5f83852" ns2:_="" ns3:_="">
    <xsd:import namespace="996b2e75-67fd-4955-a3b0-5ab9934cb50b"/>
    <xsd:import namespace="7f49f179-8f06-44ff-81d9-89215ffbc2a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9f179-8f06-44ff-81d9-89215ffbc2a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49f179-8f06-44ff-81d9-89215ffbc2ab">DPM</DPM_x0020_Author>
    <DPM_x0020_File_x0020_name xmlns="7f49f179-8f06-44ff-81d9-89215ffbc2ab">T22-WTSA.24-C-0040!A5!MSW-A</DPM_x0020_File_x0020_name>
    <DPM_x0020_Version xmlns="7f49f179-8f06-44ff-81d9-89215ffbc2a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49f179-8f06-44ff-81d9-89215ffbc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f49f179-8f06-44ff-81d9-89215ffbc2ab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T22-WTSA.24-C-0040!A5!MSW-A</vt:lpstr>
    </vt:vector>
  </TitlesOfParts>
  <Manager>General Secretariat - Pool</Manager>
  <Company>International Telecommunication Union (ITU)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6</cp:revision>
  <cp:lastPrinted>2019-06-26T10:10:00Z</cp:lastPrinted>
  <dcterms:created xsi:type="dcterms:W3CDTF">2024-09-26T08:28:00Z</dcterms:created>
  <dcterms:modified xsi:type="dcterms:W3CDTF">2024-09-27T07:21:00Z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