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935275" w14:paraId="15B8A56C" w14:textId="77777777" w:rsidTr="00267BFB">
        <w:trPr>
          <w:cantSplit/>
          <w:trHeight w:val="1132"/>
        </w:trPr>
        <w:tc>
          <w:tcPr>
            <w:tcW w:w="1290" w:type="dxa"/>
            <w:vAlign w:val="center"/>
          </w:tcPr>
          <w:p w14:paraId="0EB75273" w14:textId="77777777" w:rsidR="00D2023F" w:rsidRPr="00935275" w:rsidRDefault="0018215C" w:rsidP="00935275">
            <w:pPr>
              <w:spacing w:before="0"/>
              <w:rPr>
                <w:lang w:val="fr-FR"/>
              </w:rPr>
            </w:pPr>
            <w:r w:rsidRPr="00935275">
              <w:rPr>
                <w:lang w:val="fr-FR"/>
              </w:rPr>
              <w:drawing>
                <wp:inline distT="0" distB="0" distL="0" distR="0" wp14:anchorId="48D34F21" wp14:editId="6D8F887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9E2CA0A" w14:textId="77777777" w:rsidR="00D2023F" w:rsidRPr="00935275" w:rsidRDefault="006F0DB7" w:rsidP="00935275">
            <w:pPr>
              <w:pStyle w:val="TopHeader"/>
              <w:rPr>
                <w:lang w:val="fr-FR"/>
              </w:rPr>
            </w:pPr>
            <w:r w:rsidRPr="00935275">
              <w:rPr>
                <w:lang w:val="fr-FR"/>
              </w:rPr>
              <w:t>Assemblée mondiale de normalisation des télécommunications (AMNT-24)</w:t>
            </w:r>
            <w:r w:rsidRPr="00935275">
              <w:rPr>
                <w:sz w:val="26"/>
                <w:szCs w:val="26"/>
                <w:lang w:val="fr-FR"/>
              </w:rPr>
              <w:br/>
            </w:r>
            <w:r w:rsidRPr="00935275">
              <w:rPr>
                <w:sz w:val="18"/>
                <w:szCs w:val="18"/>
                <w:lang w:val="fr-FR"/>
              </w:rPr>
              <w:t>New Delhi, 15</w:t>
            </w:r>
            <w:r w:rsidR="00BC053B" w:rsidRPr="00935275">
              <w:rPr>
                <w:sz w:val="18"/>
                <w:szCs w:val="18"/>
                <w:lang w:val="fr-FR"/>
              </w:rPr>
              <w:t>-</w:t>
            </w:r>
            <w:r w:rsidRPr="00935275">
              <w:rPr>
                <w:sz w:val="18"/>
                <w:szCs w:val="18"/>
                <w:lang w:val="fr-FR"/>
              </w:rPr>
              <w:t>24 octobre 2024</w:t>
            </w:r>
          </w:p>
        </w:tc>
        <w:tc>
          <w:tcPr>
            <w:tcW w:w="1306" w:type="dxa"/>
            <w:tcBorders>
              <w:left w:val="nil"/>
            </w:tcBorders>
            <w:vAlign w:val="center"/>
          </w:tcPr>
          <w:p w14:paraId="7C6DA750" w14:textId="77777777" w:rsidR="00D2023F" w:rsidRPr="00935275" w:rsidRDefault="00D2023F" w:rsidP="00935275">
            <w:pPr>
              <w:spacing w:before="0"/>
              <w:rPr>
                <w:lang w:val="fr-FR"/>
              </w:rPr>
            </w:pPr>
            <w:r w:rsidRPr="00935275">
              <w:rPr>
                <w:lang w:val="fr-FR" w:eastAsia="zh-CN"/>
              </w:rPr>
              <w:drawing>
                <wp:inline distT="0" distB="0" distL="0" distR="0" wp14:anchorId="36742C01" wp14:editId="21C9014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35275" w14:paraId="3856064A" w14:textId="77777777" w:rsidTr="00267BFB">
        <w:trPr>
          <w:cantSplit/>
        </w:trPr>
        <w:tc>
          <w:tcPr>
            <w:tcW w:w="9811" w:type="dxa"/>
            <w:gridSpan w:val="4"/>
            <w:tcBorders>
              <w:bottom w:val="single" w:sz="12" w:space="0" w:color="auto"/>
            </w:tcBorders>
          </w:tcPr>
          <w:p w14:paraId="67AECF5D" w14:textId="77777777" w:rsidR="00D2023F" w:rsidRPr="00935275" w:rsidRDefault="00D2023F" w:rsidP="00935275">
            <w:pPr>
              <w:spacing w:before="0"/>
              <w:rPr>
                <w:lang w:val="fr-FR"/>
              </w:rPr>
            </w:pPr>
          </w:p>
        </w:tc>
      </w:tr>
      <w:tr w:rsidR="00931298" w:rsidRPr="00935275" w14:paraId="7E8C94E1" w14:textId="77777777" w:rsidTr="00267BFB">
        <w:trPr>
          <w:cantSplit/>
        </w:trPr>
        <w:tc>
          <w:tcPr>
            <w:tcW w:w="6237" w:type="dxa"/>
            <w:gridSpan w:val="2"/>
            <w:tcBorders>
              <w:top w:val="single" w:sz="12" w:space="0" w:color="auto"/>
            </w:tcBorders>
          </w:tcPr>
          <w:p w14:paraId="573C271D" w14:textId="77777777" w:rsidR="00931298" w:rsidRPr="00935275" w:rsidRDefault="00931298" w:rsidP="00935275">
            <w:pPr>
              <w:spacing w:before="0"/>
              <w:rPr>
                <w:lang w:val="fr-FR"/>
              </w:rPr>
            </w:pPr>
          </w:p>
        </w:tc>
        <w:tc>
          <w:tcPr>
            <w:tcW w:w="3574" w:type="dxa"/>
            <w:gridSpan w:val="2"/>
          </w:tcPr>
          <w:p w14:paraId="39B56265" w14:textId="77777777" w:rsidR="00931298" w:rsidRPr="00935275" w:rsidRDefault="00931298" w:rsidP="00935275">
            <w:pPr>
              <w:spacing w:before="0"/>
              <w:rPr>
                <w:sz w:val="20"/>
                <w:szCs w:val="16"/>
                <w:lang w:val="fr-FR"/>
              </w:rPr>
            </w:pPr>
          </w:p>
        </w:tc>
      </w:tr>
      <w:tr w:rsidR="00752D4D" w:rsidRPr="00935275" w14:paraId="4E0F87DF" w14:textId="77777777" w:rsidTr="00267BFB">
        <w:trPr>
          <w:cantSplit/>
        </w:trPr>
        <w:tc>
          <w:tcPr>
            <w:tcW w:w="6237" w:type="dxa"/>
            <w:gridSpan w:val="2"/>
          </w:tcPr>
          <w:p w14:paraId="723873EC" w14:textId="77777777" w:rsidR="00752D4D" w:rsidRPr="00935275" w:rsidRDefault="007F4179" w:rsidP="00935275">
            <w:pPr>
              <w:pStyle w:val="Committee"/>
              <w:spacing w:line="240" w:lineRule="auto"/>
              <w:rPr>
                <w:lang w:val="fr-FR"/>
              </w:rPr>
            </w:pPr>
            <w:r w:rsidRPr="00935275">
              <w:rPr>
                <w:lang w:val="fr-FR"/>
              </w:rPr>
              <w:t>SÉANCE PLÉNIÈRE</w:t>
            </w:r>
          </w:p>
        </w:tc>
        <w:tc>
          <w:tcPr>
            <w:tcW w:w="3574" w:type="dxa"/>
            <w:gridSpan w:val="2"/>
          </w:tcPr>
          <w:p w14:paraId="7AC40C0F" w14:textId="091FF9C7" w:rsidR="00752D4D" w:rsidRPr="00935275" w:rsidRDefault="007F4179" w:rsidP="00935275">
            <w:pPr>
              <w:pStyle w:val="Docnumber"/>
              <w:rPr>
                <w:lang w:val="fr-FR"/>
              </w:rPr>
            </w:pPr>
            <w:r w:rsidRPr="00935275">
              <w:rPr>
                <w:lang w:val="fr-FR"/>
              </w:rPr>
              <w:t>Addendum 27 au</w:t>
            </w:r>
            <w:r w:rsidRPr="00935275">
              <w:rPr>
                <w:lang w:val="fr-FR"/>
              </w:rPr>
              <w:br/>
              <w:t>Document 40</w:t>
            </w:r>
            <w:r w:rsidR="00CA282B" w:rsidRPr="00935275">
              <w:rPr>
                <w:lang w:val="fr-FR"/>
              </w:rPr>
              <w:t>-F</w:t>
            </w:r>
          </w:p>
        </w:tc>
      </w:tr>
      <w:tr w:rsidR="00931298" w:rsidRPr="00935275" w14:paraId="344E7239" w14:textId="77777777" w:rsidTr="00267BFB">
        <w:trPr>
          <w:cantSplit/>
        </w:trPr>
        <w:tc>
          <w:tcPr>
            <w:tcW w:w="6237" w:type="dxa"/>
            <w:gridSpan w:val="2"/>
          </w:tcPr>
          <w:p w14:paraId="44DC498F" w14:textId="77777777" w:rsidR="00931298" w:rsidRPr="00935275" w:rsidRDefault="00931298" w:rsidP="00935275">
            <w:pPr>
              <w:spacing w:before="0"/>
              <w:rPr>
                <w:lang w:val="fr-FR"/>
              </w:rPr>
            </w:pPr>
          </w:p>
        </w:tc>
        <w:tc>
          <w:tcPr>
            <w:tcW w:w="3574" w:type="dxa"/>
            <w:gridSpan w:val="2"/>
          </w:tcPr>
          <w:p w14:paraId="51FEBABB" w14:textId="77777777" w:rsidR="00931298" w:rsidRPr="00935275" w:rsidRDefault="007F4179" w:rsidP="00935275">
            <w:pPr>
              <w:pStyle w:val="TopHeader"/>
              <w:spacing w:before="0"/>
              <w:rPr>
                <w:sz w:val="20"/>
                <w:szCs w:val="20"/>
                <w:lang w:val="fr-FR"/>
              </w:rPr>
            </w:pPr>
            <w:r w:rsidRPr="00935275">
              <w:rPr>
                <w:sz w:val="20"/>
                <w:szCs w:val="16"/>
                <w:lang w:val="fr-FR"/>
              </w:rPr>
              <w:t>23 septembre 2024</w:t>
            </w:r>
          </w:p>
        </w:tc>
      </w:tr>
      <w:tr w:rsidR="00931298" w:rsidRPr="00935275" w14:paraId="469405AF" w14:textId="77777777" w:rsidTr="00267BFB">
        <w:trPr>
          <w:cantSplit/>
        </w:trPr>
        <w:tc>
          <w:tcPr>
            <w:tcW w:w="6237" w:type="dxa"/>
            <w:gridSpan w:val="2"/>
          </w:tcPr>
          <w:p w14:paraId="4080C9D3" w14:textId="77777777" w:rsidR="00931298" w:rsidRPr="00935275" w:rsidRDefault="00931298" w:rsidP="00935275">
            <w:pPr>
              <w:spacing w:before="0"/>
              <w:rPr>
                <w:lang w:val="fr-FR"/>
              </w:rPr>
            </w:pPr>
          </w:p>
        </w:tc>
        <w:tc>
          <w:tcPr>
            <w:tcW w:w="3574" w:type="dxa"/>
            <w:gridSpan w:val="2"/>
          </w:tcPr>
          <w:p w14:paraId="27CB8AAE" w14:textId="77777777" w:rsidR="00931298" w:rsidRPr="00935275" w:rsidRDefault="007F4179" w:rsidP="00935275">
            <w:pPr>
              <w:pStyle w:val="TopHeader"/>
              <w:spacing w:before="0"/>
              <w:rPr>
                <w:sz w:val="20"/>
                <w:szCs w:val="20"/>
                <w:lang w:val="fr-FR"/>
              </w:rPr>
            </w:pPr>
            <w:r w:rsidRPr="00935275">
              <w:rPr>
                <w:sz w:val="20"/>
                <w:szCs w:val="16"/>
                <w:lang w:val="fr-FR"/>
              </w:rPr>
              <w:t>Original: russe</w:t>
            </w:r>
          </w:p>
        </w:tc>
      </w:tr>
      <w:tr w:rsidR="00931298" w:rsidRPr="00935275" w14:paraId="328242C0" w14:textId="77777777" w:rsidTr="00267BFB">
        <w:trPr>
          <w:cantSplit/>
        </w:trPr>
        <w:tc>
          <w:tcPr>
            <w:tcW w:w="9811" w:type="dxa"/>
            <w:gridSpan w:val="4"/>
          </w:tcPr>
          <w:p w14:paraId="37AAE790" w14:textId="77777777" w:rsidR="00931298" w:rsidRPr="00935275" w:rsidRDefault="00931298" w:rsidP="00935275">
            <w:pPr>
              <w:spacing w:before="0"/>
              <w:rPr>
                <w:sz w:val="20"/>
                <w:szCs w:val="16"/>
                <w:lang w:val="fr-FR"/>
              </w:rPr>
            </w:pPr>
          </w:p>
        </w:tc>
      </w:tr>
      <w:tr w:rsidR="007F4179" w:rsidRPr="00935275" w14:paraId="34D9AA30" w14:textId="77777777" w:rsidTr="00267BFB">
        <w:trPr>
          <w:cantSplit/>
        </w:trPr>
        <w:tc>
          <w:tcPr>
            <w:tcW w:w="9811" w:type="dxa"/>
            <w:gridSpan w:val="4"/>
          </w:tcPr>
          <w:p w14:paraId="4A478582" w14:textId="6595DD86" w:rsidR="007F4179" w:rsidRPr="00935275" w:rsidRDefault="007F4179" w:rsidP="00935275">
            <w:pPr>
              <w:pStyle w:val="Source"/>
              <w:rPr>
                <w:lang w:val="fr-FR"/>
              </w:rPr>
            </w:pPr>
            <w:r w:rsidRPr="00935275">
              <w:rPr>
                <w:lang w:val="fr-FR"/>
              </w:rPr>
              <w:t>États Membres de l'UIT, membres de la Communauté</w:t>
            </w:r>
            <w:r w:rsidR="00935275" w:rsidRPr="00935275">
              <w:rPr>
                <w:lang w:val="fr-FR"/>
              </w:rPr>
              <w:t xml:space="preserve"> </w:t>
            </w:r>
            <w:r w:rsidR="00CA282B" w:rsidRPr="00935275">
              <w:rPr>
                <w:lang w:val="fr-FR"/>
              </w:rPr>
              <w:br/>
            </w:r>
            <w:r w:rsidRPr="00935275">
              <w:rPr>
                <w:lang w:val="fr-FR"/>
              </w:rPr>
              <w:t>régionale des communications (RCC)</w:t>
            </w:r>
          </w:p>
        </w:tc>
      </w:tr>
      <w:tr w:rsidR="007F4179" w:rsidRPr="00935275" w14:paraId="71223D35" w14:textId="77777777" w:rsidTr="00267BFB">
        <w:trPr>
          <w:cantSplit/>
        </w:trPr>
        <w:tc>
          <w:tcPr>
            <w:tcW w:w="9811" w:type="dxa"/>
            <w:gridSpan w:val="4"/>
          </w:tcPr>
          <w:p w14:paraId="1D62C4BD" w14:textId="4C4AF6EC" w:rsidR="007F4179" w:rsidRPr="00935275" w:rsidRDefault="00CA282B" w:rsidP="00935275">
            <w:pPr>
              <w:pStyle w:val="Title1"/>
              <w:rPr>
                <w:lang w:val="fr-FR"/>
              </w:rPr>
            </w:pPr>
            <w:r w:rsidRPr="00935275">
              <w:rPr>
                <w:lang w:val="fr-FR"/>
              </w:rPr>
              <w:t>PROPOSITION DE MODIFICATION DE LA RÉSOLUTION</w:t>
            </w:r>
            <w:r w:rsidR="007F4179" w:rsidRPr="00935275">
              <w:rPr>
                <w:lang w:val="fr-FR"/>
              </w:rPr>
              <w:t xml:space="preserve"> 93</w:t>
            </w:r>
          </w:p>
        </w:tc>
      </w:tr>
      <w:tr w:rsidR="00657CDA" w:rsidRPr="00935275" w14:paraId="2703FEF3" w14:textId="77777777" w:rsidTr="00267BFB">
        <w:trPr>
          <w:cantSplit/>
          <w:trHeight w:hRule="exact" w:val="240"/>
        </w:trPr>
        <w:tc>
          <w:tcPr>
            <w:tcW w:w="9811" w:type="dxa"/>
            <w:gridSpan w:val="4"/>
          </w:tcPr>
          <w:p w14:paraId="4992FD16" w14:textId="77777777" w:rsidR="00657CDA" w:rsidRPr="00935275" w:rsidRDefault="00657CDA" w:rsidP="00935275">
            <w:pPr>
              <w:pStyle w:val="Title2"/>
              <w:spacing w:before="0"/>
              <w:rPr>
                <w:lang w:val="fr-FR"/>
              </w:rPr>
            </w:pPr>
          </w:p>
        </w:tc>
      </w:tr>
      <w:tr w:rsidR="00657CDA" w:rsidRPr="00935275" w14:paraId="5E92C24A" w14:textId="77777777" w:rsidTr="00267BFB">
        <w:trPr>
          <w:cantSplit/>
          <w:trHeight w:hRule="exact" w:val="240"/>
        </w:trPr>
        <w:tc>
          <w:tcPr>
            <w:tcW w:w="9811" w:type="dxa"/>
            <w:gridSpan w:val="4"/>
          </w:tcPr>
          <w:p w14:paraId="5F586E77" w14:textId="77777777" w:rsidR="00657CDA" w:rsidRPr="00935275" w:rsidRDefault="00657CDA" w:rsidP="00935275">
            <w:pPr>
              <w:pStyle w:val="Agendaitem"/>
              <w:spacing w:before="0"/>
              <w:rPr>
                <w:lang w:val="fr-FR"/>
              </w:rPr>
            </w:pPr>
          </w:p>
        </w:tc>
      </w:tr>
    </w:tbl>
    <w:p w14:paraId="3F3482C6" w14:textId="77777777" w:rsidR="00931298" w:rsidRPr="00935275" w:rsidRDefault="00931298" w:rsidP="00935275">
      <w:pPr>
        <w:rPr>
          <w:lang w:val="fr-FR"/>
        </w:rPr>
      </w:pPr>
    </w:p>
    <w:tbl>
      <w:tblPr>
        <w:tblW w:w="5000" w:type="pct"/>
        <w:tblLayout w:type="fixed"/>
        <w:tblLook w:val="0000" w:firstRow="0" w:lastRow="0" w:firstColumn="0" w:lastColumn="0" w:noHBand="0" w:noVBand="0"/>
      </w:tblPr>
      <w:tblGrid>
        <w:gridCol w:w="1885"/>
        <w:gridCol w:w="4211"/>
        <w:gridCol w:w="3543"/>
      </w:tblGrid>
      <w:tr w:rsidR="00931298" w:rsidRPr="00935275" w14:paraId="4ABF6A4D" w14:textId="77777777" w:rsidTr="00CA282B">
        <w:trPr>
          <w:cantSplit/>
        </w:trPr>
        <w:tc>
          <w:tcPr>
            <w:tcW w:w="1885" w:type="dxa"/>
          </w:tcPr>
          <w:p w14:paraId="5C89C35D" w14:textId="77777777" w:rsidR="00931298" w:rsidRPr="00935275" w:rsidRDefault="006F0DB7" w:rsidP="00935275">
            <w:pPr>
              <w:rPr>
                <w:lang w:val="fr-FR"/>
              </w:rPr>
            </w:pPr>
            <w:r w:rsidRPr="00935275">
              <w:rPr>
                <w:b/>
                <w:bCs/>
                <w:lang w:val="fr-FR"/>
              </w:rPr>
              <w:t>Résumé:</w:t>
            </w:r>
          </w:p>
        </w:tc>
        <w:tc>
          <w:tcPr>
            <w:tcW w:w="7754" w:type="dxa"/>
            <w:gridSpan w:val="2"/>
          </w:tcPr>
          <w:p w14:paraId="69A487E6" w14:textId="17B8C04A" w:rsidR="00F2159D" w:rsidRPr="00935275" w:rsidRDefault="00F2159D" w:rsidP="00935275">
            <w:pPr>
              <w:pStyle w:val="Abstract"/>
              <w:rPr>
                <w:lang w:val="fr-FR"/>
              </w:rPr>
            </w:pPr>
            <w:r w:rsidRPr="00935275">
              <w:rPr>
                <w:lang w:val="fr-FR"/>
              </w:rPr>
              <w:t>Le présent document contient une proposition</w:t>
            </w:r>
            <w:r w:rsidR="00FE13B4" w:rsidRPr="00935275">
              <w:rPr>
                <w:lang w:val="fr-FR"/>
              </w:rPr>
              <w:t xml:space="preserve"> de la RCC</w:t>
            </w:r>
            <w:r w:rsidRPr="00935275">
              <w:rPr>
                <w:lang w:val="fr-FR"/>
              </w:rPr>
              <w:t xml:space="preserve"> visant à modifier la Résolution 93 </w:t>
            </w:r>
            <w:r w:rsidR="00AE28C7" w:rsidRPr="00935275">
              <w:rPr>
                <w:lang w:val="fr-FR"/>
              </w:rPr>
              <w:t>sur l'interconnexion des réseaux de différentes générations appartenant à la famille IMT</w:t>
            </w:r>
            <w:r w:rsidRPr="00935275">
              <w:rPr>
                <w:lang w:val="fr-FR"/>
              </w:rPr>
              <w:t xml:space="preserve">, compte tenu de l'évolution des réseaux de télécommunication. Une attention particulière est accordée </w:t>
            </w:r>
            <w:r w:rsidR="007C3F79" w:rsidRPr="00935275">
              <w:rPr>
                <w:lang w:val="fr-FR"/>
              </w:rPr>
              <w:t xml:space="preserve">au passage de la commutation de circuits à la commutation de paquets, </w:t>
            </w:r>
            <w:r w:rsidR="00E416B1" w:rsidRPr="00935275">
              <w:rPr>
                <w:lang w:val="fr-FR"/>
              </w:rPr>
              <w:t xml:space="preserve">l'accent étant mis sur </w:t>
            </w:r>
            <w:r w:rsidR="00A77391" w:rsidRPr="00935275">
              <w:rPr>
                <w:lang w:val="fr-FR"/>
              </w:rPr>
              <w:t xml:space="preserve">les IMT évoluées, les IMT-2020 et les réseaux ultérieurs et l'objectif étant de remédier aux problèmes d'interconnexion entre les réseaux </w:t>
            </w:r>
            <w:r w:rsidR="00062507" w:rsidRPr="00935275">
              <w:rPr>
                <w:lang w:val="fr-FR"/>
              </w:rPr>
              <w:t xml:space="preserve">de générations différentes à l'échelle internationale. Le présent document traite du passage aux réseaux orientés </w:t>
            </w:r>
            <w:r w:rsidR="00DD1A26" w:rsidRPr="00935275">
              <w:rPr>
                <w:lang w:val="fr-FR"/>
              </w:rPr>
              <w:t>IP</w:t>
            </w:r>
            <w:r w:rsidR="00062507" w:rsidRPr="00935275">
              <w:rPr>
                <w:lang w:val="fr-FR"/>
              </w:rPr>
              <w:t xml:space="preserve"> et met l'accent sur la nécessité de disposer de normes </w:t>
            </w:r>
            <w:r w:rsidR="00314FDF" w:rsidRPr="00935275">
              <w:rPr>
                <w:lang w:val="fr-FR"/>
              </w:rPr>
              <w:t>sur</w:t>
            </w:r>
            <w:r w:rsidR="00037EE0" w:rsidRPr="00935275">
              <w:rPr>
                <w:lang w:val="fr-FR"/>
              </w:rPr>
              <w:t xml:space="preserve"> l'architecture </w:t>
            </w:r>
            <w:r w:rsidR="00314FDF" w:rsidRPr="00935275">
              <w:rPr>
                <w:lang w:val="fr-FR"/>
              </w:rPr>
              <w:t xml:space="preserve">de </w:t>
            </w:r>
            <w:r w:rsidR="00037EE0" w:rsidRPr="00935275">
              <w:rPr>
                <w:lang w:val="fr-FR"/>
              </w:rPr>
              <w:t xml:space="preserve">réseau, l'itinérance, </w:t>
            </w:r>
            <w:r w:rsidR="00314FDF" w:rsidRPr="00935275">
              <w:rPr>
                <w:lang w:val="fr-FR"/>
              </w:rPr>
              <w:t>le</w:t>
            </w:r>
            <w:r w:rsidR="00037EE0" w:rsidRPr="00935275">
              <w:rPr>
                <w:lang w:val="fr-FR"/>
              </w:rPr>
              <w:t xml:space="preserve"> numérotage, </w:t>
            </w:r>
            <w:r w:rsidR="00314FDF" w:rsidRPr="00935275">
              <w:rPr>
                <w:lang w:val="fr-FR"/>
              </w:rPr>
              <w:t>l</w:t>
            </w:r>
            <w:r w:rsidR="00037EE0" w:rsidRPr="00935275">
              <w:rPr>
                <w:lang w:val="fr-FR"/>
              </w:rPr>
              <w:t xml:space="preserve">a tarification, la sécurité et </w:t>
            </w:r>
            <w:r w:rsidR="00314FDF" w:rsidRPr="00935275">
              <w:rPr>
                <w:lang w:val="fr-FR"/>
              </w:rPr>
              <w:t>les</w:t>
            </w:r>
            <w:r w:rsidR="00037EE0" w:rsidRPr="00935275">
              <w:rPr>
                <w:lang w:val="fr-FR"/>
              </w:rPr>
              <w:t xml:space="preserve"> tests de compatibilité.</w:t>
            </w:r>
          </w:p>
          <w:p w14:paraId="2C18B408" w14:textId="63913359" w:rsidR="00CA282B" w:rsidRPr="00935275" w:rsidRDefault="00E50B79" w:rsidP="00935275">
            <w:pPr>
              <w:pStyle w:val="Abstract"/>
              <w:rPr>
                <w:lang w:val="fr-FR"/>
              </w:rPr>
            </w:pPr>
            <w:r w:rsidRPr="00935275">
              <w:rPr>
                <w:lang w:val="fr-FR"/>
              </w:rPr>
              <w:t>La RCC propose d'harmoniser la terminologie utilisée avec la terminologie et les décisions adoptées par l'UIT, et avec les Résolutions de l'UIT.</w:t>
            </w:r>
          </w:p>
        </w:tc>
      </w:tr>
      <w:tr w:rsidR="00931298" w:rsidRPr="00935275" w14:paraId="5253D9E6" w14:textId="77777777" w:rsidTr="00CA282B">
        <w:trPr>
          <w:cantSplit/>
        </w:trPr>
        <w:tc>
          <w:tcPr>
            <w:tcW w:w="1885" w:type="dxa"/>
          </w:tcPr>
          <w:p w14:paraId="2C5DEC2F" w14:textId="77777777" w:rsidR="00931298" w:rsidRPr="00935275" w:rsidRDefault="00931298" w:rsidP="00935275">
            <w:pPr>
              <w:rPr>
                <w:b/>
                <w:bCs/>
                <w:szCs w:val="24"/>
                <w:lang w:val="fr-FR"/>
              </w:rPr>
            </w:pPr>
            <w:r w:rsidRPr="00935275">
              <w:rPr>
                <w:b/>
                <w:bCs/>
                <w:szCs w:val="24"/>
                <w:lang w:val="fr-FR"/>
              </w:rPr>
              <w:t>Contact:</w:t>
            </w:r>
          </w:p>
        </w:tc>
        <w:tc>
          <w:tcPr>
            <w:tcW w:w="4211" w:type="dxa"/>
          </w:tcPr>
          <w:p w14:paraId="2A3A833E" w14:textId="0D35FAEA" w:rsidR="00CA282B" w:rsidRPr="00935275" w:rsidRDefault="00CA282B" w:rsidP="00935275">
            <w:pPr>
              <w:rPr>
                <w:lang w:val="fr-FR"/>
              </w:rPr>
            </w:pPr>
            <w:r w:rsidRPr="00935275">
              <w:rPr>
                <w:lang w:val="fr-FR"/>
              </w:rPr>
              <w:t>Alexey Borodin</w:t>
            </w:r>
            <w:r w:rsidRPr="00935275">
              <w:rPr>
                <w:lang w:val="fr-FR"/>
              </w:rPr>
              <w:br/>
              <w:t>Communauté régionale des communications</w:t>
            </w:r>
          </w:p>
        </w:tc>
        <w:tc>
          <w:tcPr>
            <w:tcW w:w="3543" w:type="dxa"/>
          </w:tcPr>
          <w:p w14:paraId="21C9B5E5" w14:textId="39C17B51" w:rsidR="00931298" w:rsidRPr="00935275" w:rsidRDefault="006F0DB7" w:rsidP="00935275">
            <w:pPr>
              <w:rPr>
                <w:lang w:val="fr-FR"/>
              </w:rPr>
            </w:pPr>
            <w:r w:rsidRPr="00935275">
              <w:rPr>
                <w:lang w:val="fr-FR"/>
              </w:rPr>
              <w:t>Courriel:</w:t>
            </w:r>
            <w:r w:rsidR="00CA282B" w:rsidRPr="00935275">
              <w:rPr>
                <w:lang w:val="fr-FR"/>
              </w:rPr>
              <w:tab/>
            </w:r>
            <w:hyperlink r:id="rId14" w:history="1">
              <w:r w:rsidR="00CA282B" w:rsidRPr="00935275">
                <w:rPr>
                  <w:rStyle w:val="Hyperlink"/>
                  <w:lang w:val="fr-FR"/>
                </w:rPr>
                <w:t>ecrcc@rcc.org.ru</w:t>
              </w:r>
            </w:hyperlink>
          </w:p>
        </w:tc>
      </w:tr>
      <w:tr w:rsidR="00CA282B" w:rsidRPr="00935275" w14:paraId="53B5B237" w14:textId="77777777" w:rsidTr="00CA282B">
        <w:trPr>
          <w:cantSplit/>
        </w:trPr>
        <w:tc>
          <w:tcPr>
            <w:tcW w:w="1885" w:type="dxa"/>
          </w:tcPr>
          <w:p w14:paraId="4406238F" w14:textId="3B0FD18C" w:rsidR="00CA282B" w:rsidRPr="00935275" w:rsidRDefault="00CA282B" w:rsidP="00935275">
            <w:pPr>
              <w:rPr>
                <w:b/>
                <w:bCs/>
                <w:szCs w:val="24"/>
                <w:lang w:val="fr-FR"/>
              </w:rPr>
            </w:pPr>
            <w:r w:rsidRPr="00935275">
              <w:rPr>
                <w:b/>
                <w:bCs/>
                <w:szCs w:val="24"/>
                <w:lang w:val="fr-FR"/>
              </w:rPr>
              <w:t>Contact:</w:t>
            </w:r>
          </w:p>
        </w:tc>
        <w:tc>
          <w:tcPr>
            <w:tcW w:w="4211" w:type="dxa"/>
          </w:tcPr>
          <w:p w14:paraId="3A8EEF34" w14:textId="41922DAE" w:rsidR="00CA282B" w:rsidRPr="00935275" w:rsidRDefault="00CA282B" w:rsidP="00935275">
            <w:pPr>
              <w:rPr>
                <w:lang w:val="fr-FR"/>
              </w:rPr>
            </w:pPr>
            <w:r w:rsidRPr="00935275">
              <w:rPr>
                <w:lang w:val="fr-FR"/>
              </w:rPr>
              <w:t>Evgeny Tonkikh</w:t>
            </w:r>
            <w:r w:rsidRPr="00935275">
              <w:rPr>
                <w:lang w:val="fr-FR"/>
              </w:rPr>
              <w:br/>
              <w:t>Coordonnateur de la RCC pour les travaux préparatoires en vue de l'AMNT</w:t>
            </w:r>
            <w:r w:rsidRPr="00935275">
              <w:rPr>
                <w:lang w:val="fr-FR"/>
              </w:rPr>
              <w:br/>
              <w:t>Fédération de Russie</w:t>
            </w:r>
          </w:p>
        </w:tc>
        <w:tc>
          <w:tcPr>
            <w:tcW w:w="3543" w:type="dxa"/>
          </w:tcPr>
          <w:p w14:paraId="187B77F5" w14:textId="250777C1" w:rsidR="00CA282B" w:rsidRPr="00935275" w:rsidRDefault="00CA282B" w:rsidP="00935275">
            <w:pPr>
              <w:rPr>
                <w:lang w:val="fr-FR"/>
              </w:rPr>
            </w:pPr>
            <w:r w:rsidRPr="00935275">
              <w:rPr>
                <w:lang w:val="fr-FR"/>
              </w:rPr>
              <w:t>Courriel:</w:t>
            </w:r>
            <w:r w:rsidRPr="00935275">
              <w:rPr>
                <w:lang w:val="fr-FR"/>
              </w:rPr>
              <w:tab/>
            </w:r>
            <w:hyperlink r:id="rId15" w:history="1">
              <w:r w:rsidRPr="00935275">
                <w:rPr>
                  <w:rStyle w:val="Hyperlink"/>
                  <w:lang w:val="fr-FR"/>
                </w:rPr>
                <w:t>et@niir.ru</w:t>
              </w:r>
            </w:hyperlink>
          </w:p>
        </w:tc>
      </w:tr>
    </w:tbl>
    <w:p w14:paraId="7262AD9D" w14:textId="77777777" w:rsidR="00931298" w:rsidRPr="00935275" w:rsidRDefault="009F4801" w:rsidP="00935275">
      <w:pPr>
        <w:tabs>
          <w:tab w:val="clear" w:pos="1134"/>
          <w:tab w:val="clear" w:pos="1871"/>
          <w:tab w:val="clear" w:pos="2268"/>
        </w:tabs>
        <w:overflowPunct/>
        <w:autoSpaceDE/>
        <w:autoSpaceDN/>
        <w:adjustRightInd/>
        <w:spacing w:before="0"/>
        <w:textAlignment w:val="auto"/>
        <w:rPr>
          <w:lang w:val="fr-FR"/>
        </w:rPr>
      </w:pPr>
      <w:r w:rsidRPr="00935275">
        <w:rPr>
          <w:lang w:val="fr-FR"/>
        </w:rPr>
        <w:br w:type="page"/>
      </w:r>
    </w:p>
    <w:p w14:paraId="4EAB46C3" w14:textId="77777777" w:rsidR="00864404" w:rsidRPr="00935275" w:rsidRDefault="006D783E" w:rsidP="00935275">
      <w:pPr>
        <w:pStyle w:val="Proposal"/>
        <w:rPr>
          <w:lang w:val="fr-FR"/>
        </w:rPr>
      </w:pPr>
      <w:r w:rsidRPr="00935275">
        <w:rPr>
          <w:lang w:val="fr-FR"/>
        </w:rPr>
        <w:lastRenderedPageBreak/>
        <w:t>MOD</w:t>
      </w:r>
      <w:r w:rsidRPr="00935275">
        <w:rPr>
          <w:lang w:val="fr-FR"/>
        </w:rPr>
        <w:tab/>
        <w:t>RCC/40A27/1</w:t>
      </w:r>
    </w:p>
    <w:p w14:paraId="1BC681E1" w14:textId="6B65905F" w:rsidR="006D783E" w:rsidRPr="00935275" w:rsidRDefault="006D783E" w:rsidP="00935275">
      <w:pPr>
        <w:pStyle w:val="ResNo"/>
        <w:rPr>
          <w:b/>
          <w:bCs/>
          <w:lang w:val="fr-FR"/>
        </w:rPr>
      </w:pPr>
      <w:bookmarkStart w:id="0" w:name="_Toc111647888"/>
      <w:bookmarkStart w:id="1" w:name="_Toc111648527"/>
      <w:r w:rsidRPr="00935275">
        <w:rPr>
          <w:bCs/>
          <w:lang w:val="fr-FR"/>
        </w:rPr>
        <w:t xml:space="preserve">RÉSOLUTION </w:t>
      </w:r>
      <w:r w:rsidRPr="00935275">
        <w:rPr>
          <w:rStyle w:val="href"/>
          <w:lang w:val="fr-FR"/>
        </w:rPr>
        <w:t>93</w:t>
      </w:r>
      <w:r w:rsidRPr="00935275">
        <w:rPr>
          <w:bCs/>
          <w:lang w:val="fr-FR"/>
        </w:rPr>
        <w:t xml:space="preserve"> (</w:t>
      </w:r>
      <w:del w:id="2" w:author="French" w:date="2024-10-07T11:16:00Z">
        <w:r w:rsidRPr="00935275" w:rsidDel="006038D2">
          <w:rPr>
            <w:bCs/>
            <w:caps w:val="0"/>
            <w:lang w:val="fr-FR"/>
          </w:rPr>
          <w:delText>Hammamet</w:delText>
        </w:r>
        <w:r w:rsidRPr="00935275" w:rsidDel="006038D2">
          <w:rPr>
            <w:bCs/>
            <w:lang w:val="fr-FR"/>
          </w:rPr>
          <w:delText>, 2016</w:delText>
        </w:r>
      </w:del>
      <w:ins w:id="3" w:author="French" w:date="2024-10-07T11:16:00Z">
        <w:r w:rsidR="006038D2" w:rsidRPr="00935275">
          <w:rPr>
            <w:bCs/>
            <w:lang w:val="fr-FR"/>
          </w:rPr>
          <w:t>R</w:t>
        </w:r>
        <w:r w:rsidR="006038D2" w:rsidRPr="00935275">
          <w:rPr>
            <w:bCs/>
            <w:caps w:val="0"/>
            <w:lang w:val="fr-FR"/>
          </w:rPr>
          <w:t>év</w:t>
        </w:r>
        <w:r w:rsidR="006038D2" w:rsidRPr="00935275">
          <w:rPr>
            <w:bCs/>
            <w:lang w:val="fr-FR"/>
          </w:rPr>
          <w:t>. n</w:t>
        </w:r>
        <w:r w:rsidR="006038D2" w:rsidRPr="00935275">
          <w:rPr>
            <w:bCs/>
            <w:caps w:val="0"/>
            <w:lang w:val="fr-FR"/>
          </w:rPr>
          <w:t>ew</w:t>
        </w:r>
        <w:r w:rsidR="006038D2" w:rsidRPr="00935275">
          <w:rPr>
            <w:bCs/>
            <w:lang w:val="fr-FR"/>
          </w:rPr>
          <w:t xml:space="preserve"> d</w:t>
        </w:r>
        <w:r w:rsidR="006038D2" w:rsidRPr="00935275">
          <w:rPr>
            <w:bCs/>
            <w:caps w:val="0"/>
            <w:lang w:val="fr-FR"/>
          </w:rPr>
          <w:t>elhi</w:t>
        </w:r>
        <w:r w:rsidR="006038D2" w:rsidRPr="00935275">
          <w:rPr>
            <w:bCs/>
            <w:lang w:val="fr-FR"/>
          </w:rPr>
          <w:t>, 2024</w:t>
        </w:r>
      </w:ins>
      <w:r w:rsidRPr="00935275">
        <w:rPr>
          <w:bCs/>
          <w:lang w:val="fr-FR"/>
        </w:rPr>
        <w:t>)</w:t>
      </w:r>
      <w:bookmarkEnd w:id="0"/>
      <w:bookmarkEnd w:id="1"/>
    </w:p>
    <w:p w14:paraId="297162D1" w14:textId="07CFD97B" w:rsidR="006D783E" w:rsidRPr="00935275" w:rsidRDefault="006D783E" w:rsidP="00935275">
      <w:pPr>
        <w:pStyle w:val="Restitle"/>
        <w:rPr>
          <w:lang w:val="fr-FR"/>
        </w:rPr>
      </w:pPr>
      <w:bookmarkStart w:id="4" w:name="_Toc111647889"/>
      <w:bookmarkStart w:id="5" w:name="_Toc111648528"/>
      <w:r w:rsidRPr="00935275">
        <w:rPr>
          <w:lang w:val="fr-FR"/>
        </w:rPr>
        <w:t xml:space="preserve">Interconnexion des réseaux </w:t>
      </w:r>
      <w:del w:id="6" w:author="French" w:date="2024-10-08T09:27:00Z">
        <w:r w:rsidRPr="00935275" w:rsidDel="00D71A57">
          <w:rPr>
            <w:lang w:val="fr-FR"/>
          </w:rPr>
          <w:delText>4G, des réseaux</w:delText>
        </w:r>
      </w:del>
      <w:ins w:id="7" w:author="French" w:date="2024-10-08T09:27:00Z">
        <w:r w:rsidR="00D71A57" w:rsidRPr="00935275">
          <w:rPr>
            <w:lang w:val="fr-FR"/>
          </w:rPr>
          <w:t>de nouvelle génération de la</w:t>
        </w:r>
      </w:ins>
      <w:ins w:id="8" w:author="French" w:date="2024-10-08T10:35:00Z">
        <w:r w:rsidR="00935275" w:rsidRPr="00935275">
          <w:rPr>
            <w:lang w:val="fr-FR"/>
          </w:rPr>
          <w:t xml:space="preserve"> </w:t>
        </w:r>
        <w:r w:rsidR="00935275" w:rsidRPr="00935275">
          <w:rPr>
            <w:lang w:val="fr-FR"/>
          </w:rPr>
          <w:br/>
        </w:r>
      </w:ins>
      <w:ins w:id="9" w:author="French" w:date="2024-10-08T09:27:00Z">
        <w:r w:rsidR="00D71A57" w:rsidRPr="00935275">
          <w:rPr>
            <w:lang w:val="fr-FR"/>
          </w:rPr>
          <w:t>famille des IMT (IMT évoluées</w:t>
        </w:r>
      </w:ins>
      <w:ins w:id="10" w:author="French" w:date="2024-10-08T09:28:00Z">
        <w:r w:rsidR="00D71A57" w:rsidRPr="00935275">
          <w:rPr>
            <w:lang w:val="fr-FR"/>
          </w:rPr>
          <w:t>,</w:t>
        </w:r>
      </w:ins>
      <w:r w:rsidRPr="00935275">
        <w:rPr>
          <w:lang w:val="fr-FR"/>
        </w:rPr>
        <w:t xml:space="preserve"> IMT-2020 et </w:t>
      </w:r>
      <w:del w:id="11" w:author="French" w:date="2024-10-08T09:28:00Z">
        <w:r w:rsidRPr="00935275" w:rsidDel="00D71A57">
          <w:rPr>
            <w:lang w:val="fr-FR"/>
          </w:rPr>
          <w:delText xml:space="preserve">des </w:delText>
        </w:r>
      </w:del>
      <w:r w:rsidRPr="00935275">
        <w:rPr>
          <w:lang w:val="fr-FR"/>
        </w:rPr>
        <w:t>réseaux ultérieurs</w:t>
      </w:r>
      <w:bookmarkEnd w:id="4"/>
      <w:bookmarkEnd w:id="5"/>
      <w:ins w:id="12" w:author="French" w:date="2024-10-08T09:28:00Z">
        <w:r w:rsidR="00D71A57" w:rsidRPr="00935275">
          <w:rPr>
            <w:lang w:val="fr-FR"/>
          </w:rPr>
          <w:t>)</w:t>
        </w:r>
      </w:ins>
    </w:p>
    <w:p w14:paraId="7DE8A9BD" w14:textId="6D8E08F6" w:rsidR="006D783E" w:rsidRPr="00935275" w:rsidRDefault="006D783E" w:rsidP="00935275">
      <w:pPr>
        <w:pStyle w:val="Resref"/>
        <w:rPr>
          <w:lang w:val="fr-FR"/>
        </w:rPr>
      </w:pPr>
      <w:r w:rsidRPr="00935275">
        <w:rPr>
          <w:lang w:val="fr-FR"/>
        </w:rPr>
        <w:t>(Hammamet, 2016</w:t>
      </w:r>
      <w:ins w:id="13" w:author="French" w:date="2024-10-07T11:17:00Z">
        <w:r w:rsidR="006038D2" w:rsidRPr="00935275">
          <w:rPr>
            <w:lang w:val="fr-FR"/>
          </w:rPr>
          <w:t>; New Delhi, 2024</w:t>
        </w:r>
      </w:ins>
      <w:r w:rsidRPr="00935275">
        <w:rPr>
          <w:lang w:val="fr-FR"/>
        </w:rPr>
        <w:t>)</w:t>
      </w:r>
    </w:p>
    <w:p w14:paraId="61C4B23E" w14:textId="0D8FA740" w:rsidR="006D783E" w:rsidRPr="00935275" w:rsidRDefault="006D783E" w:rsidP="00935275">
      <w:pPr>
        <w:pStyle w:val="Normalaftertitle0"/>
        <w:rPr>
          <w:szCs w:val="24"/>
          <w:lang w:val="fr-FR"/>
        </w:rPr>
      </w:pPr>
      <w:r w:rsidRPr="00935275">
        <w:rPr>
          <w:lang w:val="fr-FR"/>
        </w:rPr>
        <w:t xml:space="preserve">L'Assemblée mondiale de normalisation des télécommunications </w:t>
      </w:r>
      <w:r w:rsidRPr="00935275">
        <w:rPr>
          <w:szCs w:val="24"/>
          <w:lang w:val="fr-FR"/>
        </w:rPr>
        <w:t>(</w:t>
      </w:r>
      <w:del w:id="14" w:author="French" w:date="2024-10-07T11:17:00Z">
        <w:r w:rsidRPr="00935275" w:rsidDel="006038D2">
          <w:rPr>
            <w:szCs w:val="24"/>
            <w:lang w:val="fr-FR"/>
          </w:rPr>
          <w:delText>Hammamet, 2016</w:delText>
        </w:r>
      </w:del>
      <w:ins w:id="15" w:author="French" w:date="2024-10-07T11:17:00Z">
        <w:r w:rsidR="006038D2" w:rsidRPr="00935275">
          <w:rPr>
            <w:szCs w:val="24"/>
            <w:lang w:val="fr-FR"/>
          </w:rPr>
          <w:t>New Delhi,</w:t>
        </w:r>
      </w:ins>
      <w:ins w:id="16" w:author="French" w:date="2024-10-08T10:36:00Z">
        <w:r w:rsidR="00935275" w:rsidRPr="00935275">
          <w:rPr>
            <w:szCs w:val="24"/>
            <w:lang w:val="fr-FR"/>
          </w:rPr>
          <w:t xml:space="preserve"> </w:t>
        </w:r>
      </w:ins>
      <w:ins w:id="17" w:author="French" w:date="2024-10-07T11:17:00Z">
        <w:r w:rsidR="006038D2" w:rsidRPr="00935275">
          <w:rPr>
            <w:szCs w:val="24"/>
            <w:lang w:val="fr-FR"/>
          </w:rPr>
          <w:t>2024</w:t>
        </w:r>
      </w:ins>
      <w:r w:rsidRPr="00935275">
        <w:rPr>
          <w:szCs w:val="24"/>
          <w:lang w:val="fr-FR"/>
        </w:rPr>
        <w:t>),</w:t>
      </w:r>
    </w:p>
    <w:p w14:paraId="51F6D4A8" w14:textId="3CD6CA18" w:rsidR="006D783E" w:rsidRPr="00935275" w:rsidRDefault="006D783E" w:rsidP="00935275">
      <w:pPr>
        <w:pStyle w:val="Call"/>
        <w:rPr>
          <w:lang w:val="fr-FR"/>
        </w:rPr>
      </w:pPr>
      <w:r w:rsidRPr="00935275">
        <w:rPr>
          <w:lang w:val="fr-FR"/>
        </w:rPr>
        <w:t>reconnaissant</w:t>
      </w:r>
    </w:p>
    <w:p w14:paraId="34827CAC" w14:textId="670E164A" w:rsidR="006038D2" w:rsidRPr="00935275" w:rsidRDefault="006038D2" w:rsidP="00935275">
      <w:pPr>
        <w:rPr>
          <w:ins w:id="18" w:author="French" w:date="2024-10-07T11:18:00Z"/>
          <w:i/>
          <w:iCs/>
          <w:lang w:val="fr-FR"/>
        </w:rPr>
      </w:pPr>
      <w:ins w:id="19" w:author="French" w:date="2024-10-07T11:18:00Z">
        <w:r w:rsidRPr="00935275">
          <w:rPr>
            <w:i/>
            <w:iCs/>
            <w:lang w:val="fr-FR"/>
          </w:rPr>
          <w:t>a)</w:t>
        </w:r>
        <w:r w:rsidRPr="00935275">
          <w:rPr>
            <w:i/>
            <w:iCs/>
            <w:lang w:val="fr-FR"/>
          </w:rPr>
          <w:tab/>
        </w:r>
      </w:ins>
      <w:ins w:id="20" w:author="French" w:date="2024-10-07T14:48:00Z">
        <w:r w:rsidR="00314FDF" w:rsidRPr="00935275">
          <w:rPr>
            <w:lang w:val="fr-FR"/>
          </w:rPr>
          <w:t>que la Résolution UIT-</w:t>
        </w:r>
      </w:ins>
      <w:ins w:id="21" w:author="French" w:date="2024-10-07T16:16:00Z">
        <w:r w:rsidR="004577E8" w:rsidRPr="00935275">
          <w:rPr>
            <w:lang w:val="fr-FR"/>
          </w:rPr>
          <w:t>R</w:t>
        </w:r>
      </w:ins>
      <w:ins w:id="22" w:author="French" w:date="2024-10-07T14:48:00Z">
        <w:r w:rsidR="00314FDF" w:rsidRPr="00935275">
          <w:rPr>
            <w:lang w:val="fr-FR"/>
          </w:rPr>
          <w:t xml:space="preserve"> 57-2 </w:t>
        </w:r>
      </w:ins>
      <w:ins w:id="23" w:author="French" w:date="2024-10-07T14:49:00Z">
        <w:r w:rsidR="00314FDF" w:rsidRPr="00935275">
          <w:rPr>
            <w:lang w:val="fr-FR"/>
          </w:rPr>
          <w:t xml:space="preserve">intitulée "Principes applicables à l'élaboration des IMT évoluées" décrit les critères </w:t>
        </w:r>
      </w:ins>
      <w:ins w:id="24" w:author="French" w:date="2024-10-07T14:56:00Z">
        <w:r w:rsidR="00EC1C0A" w:rsidRPr="00935275">
          <w:rPr>
            <w:lang w:val="fr-FR"/>
          </w:rPr>
          <w:t>minimaux et les principes utilisés lors de l'élaboration des Recommandations et Rapports sur les IMT évoluées</w:t>
        </w:r>
      </w:ins>
      <w:ins w:id="25" w:author="French" w:date="2024-10-07T11:18:00Z">
        <w:r w:rsidRPr="00935275">
          <w:rPr>
            <w:lang w:val="fr-FR"/>
          </w:rPr>
          <w:t>;</w:t>
        </w:r>
      </w:ins>
    </w:p>
    <w:p w14:paraId="7C5523E2" w14:textId="08C250C4" w:rsidR="006038D2" w:rsidRPr="00935275" w:rsidRDefault="006038D2" w:rsidP="00935275">
      <w:pPr>
        <w:rPr>
          <w:ins w:id="26" w:author="French" w:date="2024-10-07T11:18:00Z"/>
          <w:lang w:val="fr-FR"/>
        </w:rPr>
      </w:pPr>
      <w:ins w:id="27" w:author="French" w:date="2024-10-07T11:18:00Z">
        <w:r w:rsidRPr="00935275">
          <w:rPr>
            <w:i/>
            <w:iCs/>
            <w:lang w:val="fr-FR"/>
          </w:rPr>
          <w:t>b)</w:t>
        </w:r>
        <w:r w:rsidRPr="00935275">
          <w:rPr>
            <w:i/>
            <w:iCs/>
            <w:lang w:val="fr-FR"/>
          </w:rPr>
          <w:tab/>
        </w:r>
        <w:r w:rsidRPr="00935275">
          <w:rPr>
            <w:lang w:val="fr-FR"/>
          </w:rPr>
          <w:t>que les systèmes IMT évolués sont entrés en service vers 2013, et que, depuis lors, les</w:t>
        </w:r>
      </w:ins>
      <w:ins w:id="28" w:author="French" w:date="2024-10-08T09:30:00Z">
        <w:r w:rsidR="00281040" w:rsidRPr="00935275">
          <w:rPr>
            <w:lang w:val="fr-FR"/>
          </w:rPr>
          <w:t> </w:t>
        </w:r>
      </w:ins>
      <w:ins w:id="29" w:author="French" w:date="2024-10-07T11:18:00Z">
        <w:r w:rsidRPr="00935275">
          <w:rPr>
            <w:lang w:val="fr-FR"/>
          </w:rPr>
          <w:t>IMT évoluées ont été constamment améliorées;</w:t>
        </w:r>
      </w:ins>
    </w:p>
    <w:p w14:paraId="7BD1C6F4" w14:textId="15E224D5" w:rsidR="006038D2" w:rsidRPr="00935275" w:rsidRDefault="006038D2" w:rsidP="00935275">
      <w:pPr>
        <w:rPr>
          <w:ins w:id="30" w:author="French" w:date="2024-10-07T11:19:00Z"/>
          <w:lang w:val="fr-FR"/>
        </w:rPr>
      </w:pPr>
      <w:ins w:id="31" w:author="French" w:date="2024-10-07T11:18:00Z">
        <w:r w:rsidRPr="00935275">
          <w:rPr>
            <w:i/>
            <w:iCs/>
            <w:lang w:val="fr-FR"/>
          </w:rPr>
          <w:t>c)</w:t>
        </w:r>
      </w:ins>
      <w:ins w:id="32" w:author="French" w:date="2024-10-07T11:19:00Z">
        <w:r w:rsidRPr="00935275">
          <w:rPr>
            <w:lang w:val="fr-FR"/>
          </w:rPr>
          <w:tab/>
          <w:t xml:space="preserve">que les systèmes IMT-2020 ont été conçus pour offrir des fonctionnalités supplémentaires qui vont au-delà </w:t>
        </w:r>
      </w:ins>
      <w:ins w:id="33" w:author="French" w:date="2024-10-07T14:59:00Z">
        <w:r w:rsidR="00AF2C72" w:rsidRPr="00935275">
          <w:rPr>
            <w:lang w:val="fr-FR"/>
          </w:rPr>
          <w:t>des capacités</w:t>
        </w:r>
      </w:ins>
      <w:ins w:id="34" w:author="French" w:date="2024-10-07T11:19:00Z">
        <w:r w:rsidRPr="00935275">
          <w:rPr>
            <w:lang w:val="fr-FR"/>
          </w:rPr>
          <w:t xml:space="preserve"> des IMT évoluées, telles que décrites dans la Recommandation UIT-R M.2083;</w:t>
        </w:r>
      </w:ins>
    </w:p>
    <w:p w14:paraId="539C2774" w14:textId="33A0CBF6" w:rsidR="006038D2" w:rsidRPr="00935275" w:rsidRDefault="006038D2" w:rsidP="00935275">
      <w:pPr>
        <w:rPr>
          <w:ins w:id="35" w:author="French" w:date="2024-10-08T10:37:00Z"/>
          <w:lang w:val="fr-FR"/>
        </w:rPr>
      </w:pPr>
      <w:ins w:id="36" w:author="French" w:date="2024-10-07T11:19:00Z">
        <w:r w:rsidRPr="00935275">
          <w:rPr>
            <w:i/>
            <w:iCs/>
            <w:lang w:val="fr-FR"/>
          </w:rPr>
          <w:t>d)</w:t>
        </w:r>
        <w:r w:rsidRPr="00935275">
          <w:rPr>
            <w:lang w:val="fr-FR"/>
          </w:rPr>
          <w:tab/>
        </w:r>
      </w:ins>
      <w:ins w:id="37" w:author="French" w:date="2024-10-07T15:00:00Z">
        <w:r w:rsidR="003136EF" w:rsidRPr="00935275">
          <w:rPr>
            <w:lang w:val="fr-FR"/>
          </w:rPr>
          <w:t xml:space="preserve">que </w:t>
        </w:r>
      </w:ins>
      <w:ins w:id="38" w:author="French" w:date="2024-10-07T15:01:00Z">
        <w:r w:rsidR="003136EF" w:rsidRPr="00935275">
          <w:rPr>
            <w:lang w:val="fr-FR"/>
          </w:rPr>
          <w:t xml:space="preserve">dans </w:t>
        </w:r>
      </w:ins>
      <w:ins w:id="39" w:author="French" w:date="2024-10-07T15:00:00Z">
        <w:r w:rsidR="003136EF" w:rsidRPr="00935275">
          <w:rPr>
            <w:lang w:val="fr-FR"/>
          </w:rPr>
          <w:t>la Résolution UIT-R 56-3 intitulée "</w:t>
        </w:r>
      </w:ins>
      <w:ins w:id="40" w:author="French" w:date="2024-10-07T15:01:00Z">
        <w:r w:rsidR="003136EF" w:rsidRPr="00935275">
          <w:rPr>
            <w:lang w:val="fr-FR"/>
          </w:rPr>
          <w:t>Appellations pour les Télécommunications mobiles internationales", il est reconnu que les termes existants "IMT-20</w:t>
        </w:r>
      </w:ins>
      <w:ins w:id="41" w:author="French" w:date="2024-10-07T16:19:00Z">
        <w:r w:rsidR="004577E8" w:rsidRPr="00935275">
          <w:rPr>
            <w:lang w:val="fr-FR"/>
          </w:rPr>
          <w:t>0</w:t>
        </w:r>
      </w:ins>
      <w:ins w:id="42" w:author="French" w:date="2024-10-07T15:01:00Z">
        <w:r w:rsidR="003136EF" w:rsidRPr="00935275">
          <w:rPr>
            <w:lang w:val="fr-FR"/>
          </w:rPr>
          <w:t xml:space="preserve">0", "IMT évoluées" et "IMT-2020" restent pertinents </w:t>
        </w:r>
      </w:ins>
      <w:ins w:id="43" w:author="French" w:date="2024-10-07T15:23:00Z">
        <w:r w:rsidR="003608D7" w:rsidRPr="00935275">
          <w:rPr>
            <w:lang w:val="fr-FR"/>
          </w:rPr>
          <w:t xml:space="preserve">et devraient continuer d'être </w:t>
        </w:r>
      </w:ins>
      <w:ins w:id="44" w:author="French" w:date="2024-10-07T15:24:00Z">
        <w:r w:rsidR="003608D7" w:rsidRPr="00935275">
          <w:rPr>
            <w:lang w:val="fr-FR"/>
          </w:rPr>
          <w:t>utilisés</w:t>
        </w:r>
      </w:ins>
      <w:ins w:id="45" w:author="French" w:date="2024-10-08T09:08:00Z">
        <w:r w:rsidR="000F3B4C" w:rsidRPr="00935275">
          <w:rPr>
            <w:lang w:val="fr-FR"/>
          </w:rPr>
          <w:t>,</w:t>
        </w:r>
      </w:ins>
      <w:ins w:id="46" w:author="French" w:date="2024-10-07T15:24:00Z">
        <w:r w:rsidR="00203A91" w:rsidRPr="00935275">
          <w:rPr>
            <w:lang w:val="fr-FR"/>
          </w:rPr>
          <w:t xml:space="preserve"> et il est décidé que le terme "IMT" est le nom qui englobe collectivement les "IMT-20</w:t>
        </w:r>
      </w:ins>
      <w:ins w:id="47" w:author="French" w:date="2024-10-07T15:25:00Z">
        <w:r w:rsidR="00203A91" w:rsidRPr="00935275">
          <w:rPr>
            <w:lang w:val="fr-FR"/>
          </w:rPr>
          <w:t>0</w:t>
        </w:r>
      </w:ins>
      <w:ins w:id="48" w:author="French" w:date="2024-10-07T15:24:00Z">
        <w:r w:rsidR="00203A91" w:rsidRPr="00935275">
          <w:rPr>
            <w:lang w:val="fr-FR"/>
          </w:rPr>
          <w:t>0", le</w:t>
        </w:r>
      </w:ins>
      <w:ins w:id="49" w:author="French" w:date="2024-10-07T15:25:00Z">
        <w:r w:rsidR="00203A91" w:rsidRPr="00935275">
          <w:rPr>
            <w:lang w:val="fr-FR"/>
          </w:rPr>
          <w:t>s "IMT</w:t>
        </w:r>
      </w:ins>
      <w:ins w:id="50" w:author="French" w:date="2024-10-08T10:36:00Z">
        <w:r w:rsidR="00935275" w:rsidRPr="00935275">
          <w:rPr>
            <w:lang w:val="fr-FR"/>
          </w:rPr>
          <w:t> </w:t>
        </w:r>
      </w:ins>
      <w:ins w:id="51" w:author="French" w:date="2024-10-07T15:25:00Z">
        <w:r w:rsidR="00203A91" w:rsidRPr="00935275">
          <w:rPr>
            <w:lang w:val="fr-FR"/>
          </w:rPr>
          <w:t>évoluées", les "IMT-2020" et les "IMT-2030"</w:t>
        </w:r>
      </w:ins>
      <w:ins w:id="52" w:author="French" w:date="2024-10-07T11:19:00Z">
        <w:r w:rsidRPr="00935275">
          <w:rPr>
            <w:lang w:val="fr-FR"/>
          </w:rPr>
          <w:t>;</w:t>
        </w:r>
      </w:ins>
    </w:p>
    <w:p w14:paraId="05490C99" w14:textId="78091807" w:rsidR="006D783E" w:rsidRPr="00935275" w:rsidRDefault="006D783E" w:rsidP="00935275">
      <w:pPr>
        <w:rPr>
          <w:lang w:val="fr-FR"/>
        </w:rPr>
      </w:pPr>
      <w:del w:id="53" w:author="French" w:date="2024-10-07T11:20:00Z">
        <w:r w:rsidRPr="00935275" w:rsidDel="006038D2">
          <w:rPr>
            <w:i/>
            <w:iCs/>
            <w:lang w:val="fr-FR"/>
          </w:rPr>
          <w:delText>a</w:delText>
        </w:r>
      </w:del>
      <w:ins w:id="54" w:author="French" w:date="2024-10-07T11:20:00Z">
        <w:r w:rsidR="006038D2" w:rsidRPr="00935275">
          <w:rPr>
            <w:i/>
            <w:iCs/>
            <w:lang w:val="fr-FR"/>
          </w:rPr>
          <w:t>e</w:t>
        </w:r>
      </w:ins>
      <w:r w:rsidRPr="00935275">
        <w:rPr>
          <w:i/>
          <w:iCs/>
          <w:lang w:val="fr-FR"/>
        </w:rPr>
        <w:t>)</w:t>
      </w:r>
      <w:r w:rsidRPr="00935275">
        <w:rPr>
          <w:lang w:val="fr-FR"/>
        </w:rPr>
        <w:tab/>
        <w:t>qu'actuellement, dans le monde, la plupart des opérateurs de télécommunication procèdent à la migration des réseaux à commutation de circuits vers les réseaux à commutation par paquets, et que la plupart d'entre eux ont déjà mis en place des réseaux fondés sur le protocole Internet (IP) pour fournir la plupart de leurs services au moyen d'un nouveau concept appelé "tout sur IP";</w:t>
      </w:r>
    </w:p>
    <w:p w14:paraId="0B9B4092" w14:textId="71E3A438" w:rsidR="006038D2" w:rsidRPr="00935275" w:rsidRDefault="006038D2" w:rsidP="00935275">
      <w:pPr>
        <w:rPr>
          <w:ins w:id="55" w:author="French" w:date="2024-10-07T11:20:00Z"/>
          <w:lang w:val="fr-FR"/>
        </w:rPr>
      </w:pPr>
      <w:ins w:id="56" w:author="French" w:date="2024-10-07T11:20:00Z">
        <w:r w:rsidRPr="00935275">
          <w:rPr>
            <w:i/>
            <w:iCs/>
            <w:lang w:val="fr-FR"/>
          </w:rPr>
          <w:t>f)</w:t>
        </w:r>
        <w:r w:rsidRPr="00935275">
          <w:rPr>
            <w:lang w:val="fr-FR"/>
          </w:rPr>
          <w:tab/>
          <w:t xml:space="preserve">que </w:t>
        </w:r>
      </w:ins>
      <w:ins w:id="57" w:author="French" w:date="2024-10-07T15:27:00Z">
        <w:r w:rsidR="0060542D" w:rsidRPr="00935275">
          <w:rPr>
            <w:lang w:val="fr-FR"/>
          </w:rPr>
          <w:t xml:space="preserve">dans </w:t>
        </w:r>
      </w:ins>
      <w:ins w:id="58" w:author="French" w:date="2024-10-07T11:20:00Z">
        <w:r w:rsidRPr="00935275">
          <w:rPr>
            <w:lang w:val="fr-FR"/>
          </w:rPr>
          <w:t>la Recommandation UIT-R M.2012</w:t>
        </w:r>
      </w:ins>
      <w:ins w:id="59" w:author="French" w:date="2024-10-07T15:25:00Z">
        <w:r w:rsidR="0060542D" w:rsidRPr="00935275">
          <w:rPr>
            <w:lang w:val="fr-FR"/>
          </w:rPr>
          <w:t>-6 (12/2023)</w:t>
        </w:r>
      </w:ins>
      <w:ins w:id="60" w:author="French" w:date="2024-10-07T11:20:00Z">
        <w:r w:rsidRPr="00935275">
          <w:rPr>
            <w:lang w:val="fr-FR"/>
          </w:rPr>
          <w:t xml:space="preserve"> </w:t>
        </w:r>
      </w:ins>
      <w:ins w:id="61" w:author="French" w:date="2024-10-07T15:26:00Z">
        <w:r w:rsidR="0060542D" w:rsidRPr="00935275">
          <w:rPr>
            <w:lang w:val="fr-FR"/>
          </w:rPr>
          <w:t>"</w:t>
        </w:r>
      </w:ins>
      <w:ins w:id="62" w:author="French" w:date="2024-10-07T11:20:00Z">
        <w:r w:rsidRPr="00935275">
          <w:rPr>
            <w:lang w:val="fr-FR"/>
          </w:rPr>
          <w:t>Spécifications détaillées des interfaces radioélectriques de Terre des télécommunications mobiles internationales évoluées (IMT</w:t>
        </w:r>
      </w:ins>
      <w:ins w:id="63" w:author="French" w:date="2024-10-08T09:30:00Z">
        <w:r w:rsidR="00281040" w:rsidRPr="00935275">
          <w:rPr>
            <w:lang w:val="fr-FR"/>
          </w:rPr>
          <w:t> </w:t>
        </w:r>
      </w:ins>
      <w:ins w:id="64" w:author="French" w:date="2024-10-07T11:20:00Z">
        <w:r w:rsidRPr="00935275">
          <w:rPr>
            <w:lang w:val="fr-FR"/>
          </w:rPr>
          <w:t>évoluées)</w:t>
        </w:r>
      </w:ins>
      <w:ins w:id="65" w:author="French" w:date="2024-10-07T15:26:00Z">
        <w:r w:rsidR="0060542D" w:rsidRPr="00935275">
          <w:rPr>
            <w:lang w:val="fr-FR"/>
          </w:rPr>
          <w:t>"</w:t>
        </w:r>
      </w:ins>
      <w:ins w:id="66" w:author="French" w:date="2024-10-07T15:27:00Z">
        <w:r w:rsidR="0060542D" w:rsidRPr="00935275">
          <w:rPr>
            <w:lang w:val="fr-FR"/>
          </w:rPr>
          <w:t xml:space="preserve">, il est préconisé </w:t>
        </w:r>
      </w:ins>
      <w:ins w:id="67" w:author="French" w:date="2024-10-07T15:28:00Z">
        <w:r w:rsidR="0060542D" w:rsidRPr="00935275">
          <w:rPr>
            <w:lang w:val="fr-FR"/>
          </w:rPr>
          <w:t>d'inclure</w:t>
        </w:r>
      </w:ins>
      <w:ins w:id="68" w:author="French" w:date="2024-10-07T15:29:00Z">
        <w:r w:rsidR="0060542D" w:rsidRPr="00935275">
          <w:rPr>
            <w:lang w:val="fr-FR"/>
          </w:rPr>
          <w:t xml:space="preserve"> </w:t>
        </w:r>
      </w:ins>
      <w:ins w:id="69" w:author="French" w:date="2024-10-07T15:28:00Z">
        <w:r w:rsidR="0060542D" w:rsidRPr="00935275">
          <w:rPr>
            <w:lang w:val="fr-FR"/>
          </w:rPr>
          <w:t xml:space="preserve">les normes </w:t>
        </w:r>
      </w:ins>
      <w:ins w:id="70" w:author="French" w:date="2024-10-07T15:29:00Z">
        <w:r w:rsidR="0060542D" w:rsidRPr="00935275">
          <w:rPr>
            <w:lang w:val="fr-FR"/>
          </w:rPr>
          <w:t>"LTE-Advanced" et "WirelessMAN</w:t>
        </w:r>
      </w:ins>
      <w:ins w:id="71" w:author="French" w:date="2024-10-08T09:30:00Z">
        <w:r w:rsidR="00281040" w:rsidRPr="00935275">
          <w:rPr>
            <w:lang w:val="fr-FR"/>
          </w:rPr>
          <w:noBreakHyphen/>
        </w:r>
      </w:ins>
      <w:ins w:id="72" w:author="French" w:date="2024-10-07T15:29:00Z">
        <w:r w:rsidR="0060542D" w:rsidRPr="00935275">
          <w:rPr>
            <w:lang w:val="fr-FR"/>
          </w:rPr>
          <w:t>Advanced" dans les IMT évoluées</w:t>
        </w:r>
      </w:ins>
      <w:ins w:id="73" w:author="French" w:date="2024-10-07T11:20:00Z">
        <w:r w:rsidRPr="00935275">
          <w:rPr>
            <w:lang w:val="fr-FR"/>
          </w:rPr>
          <w:t>;</w:t>
        </w:r>
      </w:ins>
    </w:p>
    <w:p w14:paraId="3E8A5F6E" w14:textId="15D561D6" w:rsidR="006038D2" w:rsidRPr="00935275" w:rsidRDefault="006038D2" w:rsidP="00935275">
      <w:pPr>
        <w:rPr>
          <w:ins w:id="74" w:author="French" w:date="2024-10-08T10:37:00Z"/>
          <w:lang w:val="fr-FR"/>
        </w:rPr>
      </w:pPr>
      <w:ins w:id="75" w:author="French" w:date="2024-10-07T11:20:00Z">
        <w:r w:rsidRPr="00935275">
          <w:rPr>
            <w:i/>
            <w:iCs/>
            <w:lang w:val="fr-FR"/>
          </w:rPr>
          <w:t>g)</w:t>
        </w:r>
        <w:r w:rsidRPr="00935275">
          <w:rPr>
            <w:lang w:val="fr-FR"/>
          </w:rPr>
          <w:tab/>
        </w:r>
      </w:ins>
      <w:ins w:id="76" w:author="French" w:date="2024-10-07T15:29:00Z">
        <w:r w:rsidR="0060542D" w:rsidRPr="00935275">
          <w:rPr>
            <w:lang w:val="fr-FR"/>
          </w:rPr>
          <w:t xml:space="preserve">que </w:t>
        </w:r>
      </w:ins>
      <w:ins w:id="77" w:author="French" w:date="2024-10-07T16:20:00Z">
        <w:r w:rsidR="00174520" w:rsidRPr="00935275">
          <w:rPr>
            <w:lang w:val="fr-FR"/>
          </w:rPr>
          <w:t xml:space="preserve">dans </w:t>
        </w:r>
      </w:ins>
      <w:ins w:id="78" w:author="French" w:date="2024-10-07T15:29:00Z">
        <w:r w:rsidR="0060542D" w:rsidRPr="00935275">
          <w:rPr>
            <w:lang w:val="fr-FR"/>
          </w:rPr>
          <w:t>la Recomm</w:t>
        </w:r>
      </w:ins>
      <w:ins w:id="79" w:author="French" w:date="2024-10-07T15:30:00Z">
        <w:r w:rsidR="0060542D" w:rsidRPr="00935275">
          <w:rPr>
            <w:lang w:val="fr-FR"/>
          </w:rPr>
          <w:t>andation UIT-R M.2150-2 (12/2023) "Spécifications détaillées des interfaces radioélectriques de Terre des Télécommunications mobiles internationales 2020 (IMT</w:t>
        </w:r>
      </w:ins>
      <w:ins w:id="80" w:author="French" w:date="2024-10-08T09:30:00Z">
        <w:r w:rsidR="00281040" w:rsidRPr="00935275">
          <w:rPr>
            <w:lang w:val="fr-FR"/>
          </w:rPr>
          <w:noBreakHyphen/>
        </w:r>
      </w:ins>
      <w:ins w:id="81" w:author="French" w:date="2024-10-07T15:30:00Z">
        <w:r w:rsidR="0060542D" w:rsidRPr="00935275">
          <w:rPr>
            <w:lang w:val="fr-FR"/>
          </w:rPr>
          <w:t xml:space="preserve">2020)", il est préconisé d'inclure, dans les IMT-2020, </w:t>
        </w:r>
      </w:ins>
      <w:ins w:id="82" w:author="French" w:date="2024-10-07T15:31:00Z">
        <w:r w:rsidR="002E0E9F" w:rsidRPr="00935275">
          <w:rPr>
            <w:lang w:val="fr-FR"/>
          </w:rPr>
          <w:t xml:space="preserve">les normes </w:t>
        </w:r>
      </w:ins>
      <w:ins w:id="83" w:author="French" w:date="2024-10-07T15:59:00Z">
        <w:r w:rsidR="00323B27" w:rsidRPr="00935275">
          <w:rPr>
            <w:lang w:val="fr-FR"/>
          </w:rPr>
          <w:t>3GPP 5G-RIT</w:t>
        </w:r>
      </w:ins>
      <w:ins w:id="84" w:author="French" w:date="2024-10-07T16:01:00Z">
        <w:r w:rsidR="00323B27" w:rsidRPr="00935275">
          <w:rPr>
            <w:lang w:val="fr-FR"/>
          </w:rPr>
          <w:t xml:space="preserve"> (également connue sous le nom "New Radio (NR)"), 3GPP 5G-SRIT (également connue sous le nom "LTE+NR"), 5Gi et DECT 5G-SRIT</w:t>
        </w:r>
      </w:ins>
      <w:ins w:id="85" w:author="French" w:date="2024-10-07T11:21:00Z">
        <w:r w:rsidRPr="00935275">
          <w:rPr>
            <w:lang w:val="fr-FR"/>
          </w:rPr>
          <w:t>;</w:t>
        </w:r>
      </w:ins>
    </w:p>
    <w:p w14:paraId="5E74FBB5" w14:textId="6E80D611" w:rsidR="006D783E" w:rsidRPr="00935275" w:rsidRDefault="006D783E" w:rsidP="00935275">
      <w:pPr>
        <w:rPr>
          <w:lang w:val="fr-FR"/>
        </w:rPr>
      </w:pPr>
      <w:del w:id="86" w:author="French" w:date="2024-10-07T11:21:00Z">
        <w:r w:rsidRPr="00935275" w:rsidDel="006038D2">
          <w:rPr>
            <w:i/>
            <w:iCs/>
            <w:lang w:val="fr-FR"/>
          </w:rPr>
          <w:delText>b</w:delText>
        </w:r>
      </w:del>
      <w:ins w:id="87" w:author="French" w:date="2024-10-07T11:21:00Z">
        <w:r w:rsidR="006038D2" w:rsidRPr="00935275">
          <w:rPr>
            <w:i/>
            <w:iCs/>
            <w:lang w:val="fr-FR"/>
          </w:rPr>
          <w:t>h</w:t>
        </w:r>
      </w:ins>
      <w:r w:rsidRPr="00935275">
        <w:rPr>
          <w:i/>
          <w:iCs/>
          <w:lang w:val="fr-FR"/>
        </w:rPr>
        <w:t>)</w:t>
      </w:r>
      <w:r w:rsidRPr="00935275">
        <w:rPr>
          <w:lang w:val="fr-FR"/>
        </w:rPr>
        <w:tab/>
        <w:t>qu'actuellement, la technologie LTE ("Evolution à long terme") est utilisée sur la strate accès des réseaux des opérateurs comme technologie permettant de fournir des services de téléphonie IP (VoLTE)</w:t>
      </w:r>
      <w:ins w:id="88" w:author="French" w:date="2024-10-07T11:21:00Z">
        <w:r w:rsidR="006038D2" w:rsidRPr="00935275">
          <w:rPr>
            <w:lang w:val="fr-FR"/>
          </w:rPr>
          <w:t xml:space="preserve"> </w:t>
        </w:r>
      </w:ins>
      <w:ins w:id="89" w:author="French" w:date="2024-10-07T16:02:00Z">
        <w:r w:rsidR="00411412" w:rsidRPr="00935275">
          <w:rPr>
            <w:lang w:val="fr-FR"/>
          </w:rPr>
          <w:t>et</w:t>
        </w:r>
      </w:ins>
      <w:ins w:id="90" w:author="French" w:date="2024-10-07T11:21:00Z">
        <w:r w:rsidR="006038D2" w:rsidRPr="00935275">
          <w:rPr>
            <w:lang w:val="fr-FR"/>
          </w:rPr>
          <w:t xml:space="preserve">, </w:t>
        </w:r>
      </w:ins>
      <w:ins w:id="91" w:author="French" w:date="2024-10-07T16:02:00Z">
        <w:r w:rsidR="00411412" w:rsidRPr="00935275">
          <w:rPr>
            <w:lang w:val="fr-FR"/>
          </w:rPr>
          <w:t>dans les nouveaux réseaux</w:t>
        </w:r>
      </w:ins>
      <w:ins w:id="92" w:author="French" w:date="2024-10-07T11:21:00Z">
        <w:r w:rsidR="006038D2" w:rsidRPr="00935275">
          <w:rPr>
            <w:lang w:val="fr-FR"/>
          </w:rPr>
          <w:t xml:space="preserve"> IMT-2020, </w:t>
        </w:r>
      </w:ins>
      <w:ins w:id="93" w:author="French" w:date="2024-10-07T16:02:00Z">
        <w:r w:rsidR="00411412" w:rsidRPr="00935275">
          <w:rPr>
            <w:lang w:val="fr-FR"/>
          </w:rPr>
          <w:t xml:space="preserve">des services </w:t>
        </w:r>
      </w:ins>
      <w:ins w:id="94" w:author="French" w:date="2024-10-07T16:03:00Z">
        <w:r w:rsidR="00411412" w:rsidRPr="00935275">
          <w:rPr>
            <w:lang w:val="fr-FR"/>
          </w:rPr>
          <w:t>de voix et de vidéo sur les nouvelles technologies radioélectriques</w:t>
        </w:r>
      </w:ins>
      <w:ins w:id="95" w:author="French" w:date="2024-10-07T11:21:00Z">
        <w:r w:rsidR="006038D2" w:rsidRPr="00935275">
          <w:rPr>
            <w:lang w:val="fr-FR"/>
          </w:rPr>
          <w:t xml:space="preserve"> (VoNR)</w:t>
        </w:r>
      </w:ins>
      <w:r w:rsidRPr="00935275">
        <w:rPr>
          <w:lang w:val="fr-FR"/>
        </w:rPr>
        <w:t>;</w:t>
      </w:r>
    </w:p>
    <w:p w14:paraId="48E93C73" w14:textId="33180AA3" w:rsidR="006D783E" w:rsidRPr="00935275" w:rsidRDefault="006D783E" w:rsidP="00935275">
      <w:pPr>
        <w:rPr>
          <w:lang w:val="fr-FR"/>
        </w:rPr>
      </w:pPr>
      <w:del w:id="96" w:author="French" w:date="2024-10-07T11:21:00Z">
        <w:r w:rsidRPr="00935275" w:rsidDel="006038D2">
          <w:rPr>
            <w:i/>
            <w:iCs/>
            <w:lang w:val="fr-FR"/>
          </w:rPr>
          <w:delText>c</w:delText>
        </w:r>
      </w:del>
      <w:ins w:id="97" w:author="French" w:date="2024-10-07T11:21:00Z">
        <w:r w:rsidR="006038D2" w:rsidRPr="00935275">
          <w:rPr>
            <w:i/>
            <w:iCs/>
            <w:lang w:val="fr-FR"/>
          </w:rPr>
          <w:t>i</w:t>
        </w:r>
      </w:ins>
      <w:r w:rsidRPr="00935275">
        <w:rPr>
          <w:i/>
          <w:iCs/>
          <w:lang w:val="fr-FR"/>
        </w:rPr>
        <w:t>)</w:t>
      </w:r>
      <w:r w:rsidRPr="00935275">
        <w:rPr>
          <w:lang w:val="fr-FR"/>
        </w:rPr>
        <w:tab/>
        <w:t xml:space="preserve">que, dans la plupart des cas, les architectures de réseau, les principes d'itinérance, les questions relatives au numérotage et les mécanismes de tarification et de sécurité actuellement utilisés dans les réseaux à commutation de circuits ne conviennent pas pour l'interconnexion des </w:t>
      </w:r>
      <w:r w:rsidRPr="00935275">
        <w:rPr>
          <w:lang w:val="fr-FR"/>
        </w:rPr>
        <w:lastRenderedPageBreak/>
        <w:t xml:space="preserve">réseaux IP (par exemple, les réseaux </w:t>
      </w:r>
      <w:del w:id="98" w:author="French" w:date="2024-10-07T16:03:00Z">
        <w:r w:rsidRPr="00935275" w:rsidDel="00445A76">
          <w:rPr>
            <w:lang w:val="fr-FR"/>
          </w:rPr>
          <w:delText>4G</w:delText>
        </w:r>
      </w:del>
      <w:ins w:id="99" w:author="French" w:date="2024-10-07T16:03:00Z">
        <w:r w:rsidR="00445A76" w:rsidRPr="00935275">
          <w:rPr>
            <w:lang w:val="fr-FR"/>
          </w:rPr>
          <w:t>IMT évolués</w:t>
        </w:r>
      </w:ins>
      <w:r w:rsidRPr="00935275">
        <w:rPr>
          <w:lang w:val="fr-FR"/>
        </w:rPr>
        <w:t>, les réseaux IMT-2020 et les réseaux ultérieurs) à utiliser pour fournir des services vocaux et vidéo;</w:t>
      </w:r>
    </w:p>
    <w:p w14:paraId="36C0DE9F" w14:textId="22E0CBA8" w:rsidR="006D783E" w:rsidRPr="00935275" w:rsidRDefault="006D783E" w:rsidP="00935275">
      <w:pPr>
        <w:rPr>
          <w:lang w:val="fr-FR"/>
        </w:rPr>
      </w:pPr>
      <w:del w:id="100" w:author="French" w:date="2024-10-07T11:22:00Z">
        <w:r w:rsidRPr="00935275" w:rsidDel="006038D2">
          <w:rPr>
            <w:i/>
            <w:iCs/>
            <w:lang w:val="fr-FR"/>
          </w:rPr>
          <w:delText>d</w:delText>
        </w:r>
      </w:del>
      <w:ins w:id="101" w:author="French" w:date="2024-10-07T11:22:00Z">
        <w:r w:rsidR="006038D2" w:rsidRPr="00935275">
          <w:rPr>
            <w:i/>
            <w:iCs/>
            <w:lang w:val="fr-FR"/>
          </w:rPr>
          <w:t>j</w:t>
        </w:r>
      </w:ins>
      <w:r w:rsidRPr="00935275">
        <w:rPr>
          <w:i/>
          <w:iCs/>
          <w:lang w:val="fr-FR"/>
        </w:rPr>
        <w:t>)</w:t>
      </w:r>
      <w:r w:rsidRPr="00935275">
        <w:rPr>
          <w:lang w:val="fr-FR"/>
        </w:rPr>
        <w:tab/>
        <w:t>que l'interconnexion des réseaux IP doit faire l'objet d'un accord entre tous les Etats Membres, afin d'éviter que de nouveaux problèmes ne se posent concernant le numérotage, l'itinérance, la tarification et la sécurité, pour ne citer que ceux-ci;</w:t>
      </w:r>
    </w:p>
    <w:p w14:paraId="2029413F" w14:textId="544FA814" w:rsidR="006D783E" w:rsidRPr="00935275" w:rsidRDefault="006D783E" w:rsidP="00935275">
      <w:pPr>
        <w:rPr>
          <w:lang w:val="fr-FR"/>
        </w:rPr>
      </w:pPr>
      <w:del w:id="102" w:author="French" w:date="2024-10-07T11:22:00Z">
        <w:r w:rsidRPr="00935275" w:rsidDel="006038D2">
          <w:rPr>
            <w:i/>
            <w:iCs/>
            <w:lang w:val="fr-FR"/>
          </w:rPr>
          <w:delText>e</w:delText>
        </w:r>
      </w:del>
      <w:ins w:id="103" w:author="French" w:date="2024-10-07T11:22:00Z">
        <w:r w:rsidR="006038D2" w:rsidRPr="00935275">
          <w:rPr>
            <w:i/>
            <w:iCs/>
            <w:lang w:val="fr-FR"/>
          </w:rPr>
          <w:t>k</w:t>
        </w:r>
      </w:ins>
      <w:r w:rsidRPr="00935275">
        <w:rPr>
          <w:i/>
          <w:iCs/>
          <w:lang w:val="fr-FR"/>
        </w:rPr>
        <w:t>)</w:t>
      </w:r>
      <w:r w:rsidRPr="00935275">
        <w:rPr>
          <w:lang w:val="fr-FR"/>
        </w:rPr>
        <w:tab/>
        <w:t>que l'interconnexion VoLTE</w:t>
      </w:r>
      <w:ins w:id="104" w:author="French" w:date="2024-10-07T11:22:00Z">
        <w:r w:rsidR="00225AD0" w:rsidRPr="00935275">
          <w:rPr>
            <w:lang w:val="fr-FR"/>
          </w:rPr>
          <w:t>/VoNR</w:t>
        </w:r>
      </w:ins>
      <w:r w:rsidRPr="00935275">
        <w:rPr>
          <w:lang w:val="fr-FR"/>
        </w:rPr>
        <w:t>, ainsi que d'autres types d'interconnexion de réseaux en mode paquet, nécessiteront la conversion du format des numéros UIT</w:t>
      </w:r>
      <w:r w:rsidRPr="00935275">
        <w:rPr>
          <w:lang w:val="fr-FR"/>
        </w:rPr>
        <w:noBreakHyphen/>
        <w:t>T E.164 vers le format de l'identificateur uniforme de ressources (URI), qui peut être considéré comme un identificateur commun des réseaux IP à utiliser pour les communications vocales et vidéo;</w:t>
      </w:r>
    </w:p>
    <w:p w14:paraId="69B8CC4D" w14:textId="30CAD4D1" w:rsidR="006D783E" w:rsidRPr="00935275" w:rsidRDefault="006D783E" w:rsidP="00935275">
      <w:pPr>
        <w:rPr>
          <w:lang w:val="fr-FR"/>
        </w:rPr>
      </w:pPr>
      <w:del w:id="105" w:author="French" w:date="2024-10-07T11:22:00Z">
        <w:r w:rsidRPr="00935275" w:rsidDel="006038D2">
          <w:rPr>
            <w:i/>
            <w:iCs/>
            <w:lang w:val="fr-FR"/>
          </w:rPr>
          <w:delText>f</w:delText>
        </w:r>
      </w:del>
      <w:ins w:id="106" w:author="French" w:date="2024-10-07T11:22:00Z">
        <w:r w:rsidR="006038D2" w:rsidRPr="00935275">
          <w:rPr>
            <w:i/>
            <w:iCs/>
            <w:lang w:val="fr-FR"/>
          </w:rPr>
          <w:t>l</w:t>
        </w:r>
      </w:ins>
      <w:r w:rsidRPr="00935275">
        <w:rPr>
          <w:i/>
          <w:iCs/>
          <w:lang w:val="fr-FR"/>
        </w:rPr>
        <w:t>)</w:t>
      </w:r>
      <w:r w:rsidRPr="00935275">
        <w:rPr>
          <w:lang w:val="fr-FR"/>
        </w:rPr>
        <w:tab/>
        <w:t>que le système ENUM constitue l'une des solutions possibles à utiliser pour la conversion du format E.164 vers le format URI pour ces interconnexions;</w:t>
      </w:r>
    </w:p>
    <w:p w14:paraId="71828B93" w14:textId="5E07941F" w:rsidR="006D783E" w:rsidRPr="00935275" w:rsidRDefault="006D783E" w:rsidP="00935275">
      <w:pPr>
        <w:rPr>
          <w:szCs w:val="24"/>
          <w:lang w:val="fr-FR"/>
        </w:rPr>
      </w:pPr>
      <w:del w:id="107" w:author="French" w:date="2024-10-07T11:22:00Z">
        <w:r w:rsidRPr="00935275" w:rsidDel="00225AD0">
          <w:rPr>
            <w:i/>
            <w:iCs/>
            <w:lang w:val="fr-FR"/>
          </w:rPr>
          <w:delText>g</w:delText>
        </w:r>
      </w:del>
      <w:ins w:id="108" w:author="French" w:date="2024-10-07T11:22:00Z">
        <w:r w:rsidR="00225AD0" w:rsidRPr="00935275">
          <w:rPr>
            <w:i/>
            <w:iCs/>
            <w:lang w:val="fr-FR"/>
          </w:rPr>
          <w:t>m</w:t>
        </w:r>
      </w:ins>
      <w:r w:rsidRPr="00935275">
        <w:rPr>
          <w:i/>
          <w:iCs/>
          <w:lang w:val="fr-FR"/>
        </w:rPr>
        <w:t>)</w:t>
      </w:r>
      <w:r w:rsidRPr="00935275">
        <w:rPr>
          <w:lang w:val="fr-FR"/>
        </w:rPr>
        <w:tab/>
        <w:t>qu'en vertu de la Résolution 49 (Rév. Hammamet, 2016) de la présente Assemblée, la Commission d'études 2 du Secteur de la normalisation des télécommunications de l'UIT (UIT</w:t>
      </w:r>
      <w:r w:rsidRPr="00935275">
        <w:rPr>
          <w:lang w:val="fr-FR"/>
        </w:rPr>
        <w:noBreakHyphen/>
        <w:t>T) est chargée d'étudier les modalités selon lesquelles l'UIT pourrait exercer la gestion administrative des modifications qui pourraient concerner les ressources internationales de télécommunication (y compris le nommage, le numérotage, l'adressage et le routage) utilisées pour le système ENUM;</w:t>
      </w:r>
    </w:p>
    <w:p w14:paraId="38316BEE" w14:textId="7B58BB74" w:rsidR="006D783E" w:rsidRPr="00935275" w:rsidRDefault="006D783E" w:rsidP="00935275">
      <w:pPr>
        <w:rPr>
          <w:lang w:val="fr-FR"/>
        </w:rPr>
      </w:pPr>
      <w:del w:id="109" w:author="French" w:date="2024-10-07T11:22:00Z">
        <w:r w:rsidRPr="00935275" w:rsidDel="00225AD0">
          <w:rPr>
            <w:i/>
            <w:iCs/>
            <w:szCs w:val="24"/>
            <w:lang w:val="fr-FR"/>
          </w:rPr>
          <w:delText>h</w:delText>
        </w:r>
      </w:del>
      <w:ins w:id="110" w:author="French" w:date="2024-10-07T11:22:00Z">
        <w:r w:rsidR="00225AD0" w:rsidRPr="00935275">
          <w:rPr>
            <w:i/>
            <w:iCs/>
            <w:szCs w:val="24"/>
            <w:lang w:val="fr-FR"/>
          </w:rPr>
          <w:t>n</w:t>
        </w:r>
      </w:ins>
      <w:r w:rsidRPr="00935275">
        <w:rPr>
          <w:i/>
          <w:iCs/>
          <w:szCs w:val="24"/>
          <w:lang w:val="fr-FR"/>
        </w:rPr>
        <w:t>)</w:t>
      </w:r>
      <w:r w:rsidRPr="00935275">
        <w:rPr>
          <w:szCs w:val="24"/>
          <w:lang w:val="fr-FR"/>
        </w:rPr>
        <w:tab/>
        <w:t>que, conformément à la Résolution 133 (Rév. </w:t>
      </w:r>
      <w:del w:id="111" w:author="French" w:date="2024-10-07T11:22:00Z">
        <w:r w:rsidRPr="00935275" w:rsidDel="00225AD0">
          <w:rPr>
            <w:szCs w:val="24"/>
            <w:lang w:val="fr-FR"/>
          </w:rPr>
          <w:delText>Busan, 2014</w:delText>
        </w:r>
      </w:del>
      <w:ins w:id="112" w:author="French" w:date="2024-10-07T11:22:00Z">
        <w:r w:rsidR="00225AD0" w:rsidRPr="00935275">
          <w:rPr>
            <w:szCs w:val="24"/>
            <w:lang w:val="fr-FR"/>
          </w:rPr>
          <w:t>Bucarest, 2022</w:t>
        </w:r>
      </w:ins>
      <w:r w:rsidRPr="00935275">
        <w:rPr>
          <w:szCs w:val="24"/>
          <w:lang w:val="fr-FR"/>
        </w:rPr>
        <w:t xml:space="preserve">) de la Conférence de plénipotentiaires, </w:t>
      </w:r>
      <w:r w:rsidRPr="00935275">
        <w:rPr>
          <w:lang w:val="fr-FR"/>
        </w:rPr>
        <w:t>le Secrétaire général et les Directeurs des Bureaux sont chargés de prendre les mesures nécessaires pour assurer la souveraineté des Etats Membres de l'UIT en ce qui concerne les plans de numérotage prévus dans la Recommandation UIT-T E.164, quelle que soit l'application dans laquelle ces plans sont utilisés;</w:t>
      </w:r>
    </w:p>
    <w:p w14:paraId="5B066818" w14:textId="06C59F53" w:rsidR="006D783E" w:rsidRPr="00935275" w:rsidRDefault="006D783E" w:rsidP="00935275">
      <w:pPr>
        <w:keepLines/>
        <w:rPr>
          <w:lang w:val="fr-FR"/>
        </w:rPr>
      </w:pPr>
      <w:del w:id="113" w:author="French" w:date="2024-10-07T11:23:00Z">
        <w:r w:rsidRPr="00935275" w:rsidDel="00225AD0">
          <w:rPr>
            <w:i/>
            <w:iCs/>
            <w:lang w:val="fr-FR"/>
          </w:rPr>
          <w:delText>i</w:delText>
        </w:r>
      </w:del>
      <w:ins w:id="114" w:author="French" w:date="2024-10-07T11:23:00Z">
        <w:r w:rsidR="00225AD0" w:rsidRPr="00935275">
          <w:rPr>
            <w:i/>
            <w:iCs/>
            <w:lang w:val="fr-FR"/>
          </w:rPr>
          <w:t>o</w:t>
        </w:r>
      </w:ins>
      <w:r w:rsidRPr="00935275">
        <w:rPr>
          <w:i/>
          <w:iCs/>
          <w:lang w:val="fr-FR"/>
        </w:rPr>
        <w:t>)</w:t>
      </w:r>
      <w:r w:rsidRPr="00935275">
        <w:rPr>
          <w:lang w:val="fr-FR"/>
        </w:rPr>
        <w:tab/>
        <w:t>qu'aux termes de la Résolution 76 (Rév. Hammamet, 2016) de la présente Assemblée, le Directeur du Bureau de la normalisation des télécommunications est chargé de poursuivre, selon qu'il conviendra, les activités préliminaires nécessaires dans chaque région, pour identifier les problèmes auxquels sont confrontés les pays en développement</w:t>
      </w:r>
      <w:r w:rsidRPr="00935275">
        <w:rPr>
          <w:rStyle w:val="FootnoteReference"/>
          <w:lang w:val="fr-FR"/>
        </w:rPr>
        <w:footnoteReference w:customMarkFollows="1" w:id="1"/>
        <w:t>1</w:t>
      </w:r>
      <w:r w:rsidRPr="00935275">
        <w:rPr>
          <w:lang w:val="fr-FR"/>
        </w:rPr>
        <w:t xml:space="preserve"> afin d'assurer l'interopérabilité des équipements et services de télécommunication/TIC et pour établir un ordre de priorité entre ces problèmes,</w:t>
      </w:r>
    </w:p>
    <w:p w14:paraId="1FD44A5F" w14:textId="77777777" w:rsidR="006D783E" w:rsidRPr="00935275" w:rsidRDefault="006D783E" w:rsidP="00935275">
      <w:pPr>
        <w:pStyle w:val="Call"/>
        <w:rPr>
          <w:lang w:val="fr-FR"/>
        </w:rPr>
      </w:pPr>
      <w:r w:rsidRPr="00935275">
        <w:rPr>
          <w:lang w:val="fr-FR"/>
        </w:rPr>
        <w:t>considérant</w:t>
      </w:r>
    </w:p>
    <w:p w14:paraId="2E35D656" w14:textId="77777777" w:rsidR="006D783E" w:rsidRPr="00935275" w:rsidRDefault="006D783E" w:rsidP="00935275">
      <w:pPr>
        <w:rPr>
          <w:lang w:val="fr-FR"/>
        </w:rPr>
      </w:pPr>
      <w:r w:rsidRPr="00935275">
        <w:rPr>
          <w:i/>
          <w:iCs/>
          <w:lang w:val="fr-FR"/>
        </w:rPr>
        <w:t>a)</w:t>
      </w:r>
      <w:r w:rsidRPr="00935275">
        <w:rPr>
          <w:lang w:val="fr-FR"/>
        </w:rPr>
        <w:tab/>
        <w:t>que le système ENUM n'est pas couramment utilisé dans le monde pour le passage du format UIT</w:t>
      </w:r>
      <w:r w:rsidRPr="00935275">
        <w:rPr>
          <w:lang w:val="fr-FR"/>
        </w:rPr>
        <w:noBreakHyphen/>
        <w:t>T E.164 au format URI et que certains opérateurs disposent de leurs propres solutions;</w:t>
      </w:r>
    </w:p>
    <w:p w14:paraId="626C6114" w14:textId="69C50466" w:rsidR="006D783E" w:rsidRPr="00935275" w:rsidRDefault="006D783E" w:rsidP="00935275">
      <w:pPr>
        <w:rPr>
          <w:lang w:val="fr-FR"/>
        </w:rPr>
      </w:pPr>
      <w:r w:rsidRPr="00935275">
        <w:rPr>
          <w:i/>
          <w:iCs/>
          <w:lang w:val="fr-FR"/>
        </w:rPr>
        <w:t>b)</w:t>
      </w:r>
      <w:r w:rsidRPr="00935275">
        <w:rPr>
          <w:lang w:val="fr-FR"/>
        </w:rPr>
        <w:tab/>
        <w:t>que certaines alliances d'opérateurs élaborent des lignes directrices relatives à l'interconnexion des réseaux VoLTE</w:t>
      </w:r>
      <w:ins w:id="115" w:author="French" w:date="2024-10-07T11:23:00Z">
        <w:r w:rsidR="00225AD0" w:rsidRPr="00935275">
          <w:rPr>
            <w:lang w:val="fr-FR"/>
          </w:rPr>
          <w:t>/VoNR</w:t>
        </w:r>
      </w:ins>
      <w:r w:rsidRPr="00935275">
        <w:rPr>
          <w:lang w:val="fr-FR"/>
        </w:rPr>
        <w:t>, mais qu'il n'existe aucune option approuvée à utiliser pour assurer cette interconnexion;</w:t>
      </w:r>
    </w:p>
    <w:p w14:paraId="72D5332D" w14:textId="77777777" w:rsidR="006D783E" w:rsidRPr="00935275" w:rsidRDefault="006D783E" w:rsidP="00935275">
      <w:pPr>
        <w:rPr>
          <w:lang w:val="fr-FR"/>
        </w:rPr>
      </w:pPr>
      <w:r w:rsidRPr="00935275">
        <w:rPr>
          <w:i/>
          <w:iCs/>
          <w:lang w:val="fr-FR"/>
        </w:rPr>
        <w:t>c)</w:t>
      </w:r>
      <w:r w:rsidRPr="00935275">
        <w:rPr>
          <w:lang w:val="fr-FR"/>
        </w:rPr>
        <w:tab/>
        <w:t>que l'élaboration de procédures d'interconnexion pour les réseaux IP à utiliser afin de fournir des services vocaux et vidéo doit se faire au niveau international;</w:t>
      </w:r>
    </w:p>
    <w:p w14:paraId="7819294D" w14:textId="77777777" w:rsidR="006D783E" w:rsidRPr="00935275" w:rsidRDefault="006D783E" w:rsidP="00935275">
      <w:pPr>
        <w:rPr>
          <w:lang w:val="fr-FR"/>
        </w:rPr>
      </w:pPr>
      <w:r w:rsidRPr="00935275">
        <w:rPr>
          <w:i/>
          <w:iCs/>
          <w:lang w:val="fr-FR"/>
        </w:rPr>
        <w:t>d)</w:t>
      </w:r>
      <w:r w:rsidRPr="00935275">
        <w:rPr>
          <w:lang w:val="fr-FR"/>
        </w:rPr>
        <w:tab/>
        <w:t>que la définition des exigences de conformité et d'interopérabilité nécessaires pour permettre les tests des protocoles et des technologies utilisés pour cette interconnexion est un élément essentiel pour la mise au point d'équipements interopérables fondés sur les Recommandations UIT</w:t>
      </w:r>
      <w:r w:rsidRPr="00935275">
        <w:rPr>
          <w:lang w:val="fr-FR"/>
        </w:rPr>
        <w:noBreakHyphen/>
        <w:t>T,</w:t>
      </w:r>
    </w:p>
    <w:p w14:paraId="785254CC" w14:textId="77777777" w:rsidR="006D783E" w:rsidRPr="00935275" w:rsidRDefault="006D783E" w:rsidP="00935275">
      <w:pPr>
        <w:pStyle w:val="Call"/>
        <w:rPr>
          <w:lang w:val="fr-FR"/>
        </w:rPr>
      </w:pPr>
      <w:r w:rsidRPr="00935275">
        <w:rPr>
          <w:lang w:val="fr-FR"/>
        </w:rPr>
        <w:t>compte tenu de ce que</w:t>
      </w:r>
    </w:p>
    <w:p w14:paraId="098C109F" w14:textId="77777777" w:rsidR="006D783E" w:rsidRPr="00935275" w:rsidRDefault="006D783E" w:rsidP="00935275">
      <w:pPr>
        <w:rPr>
          <w:lang w:val="fr-FR"/>
        </w:rPr>
      </w:pPr>
      <w:r w:rsidRPr="00935275">
        <w:rPr>
          <w:i/>
          <w:iCs/>
          <w:lang w:val="fr-FR"/>
        </w:rPr>
        <w:t>a)</w:t>
      </w:r>
      <w:r w:rsidRPr="00935275">
        <w:rPr>
          <w:lang w:val="fr-FR"/>
        </w:rPr>
        <w:tab/>
        <w:t>comme indiqué dans le communiqué de la réunion des directeurs techniques que l'UIT</w:t>
      </w:r>
      <w:r w:rsidRPr="00935275">
        <w:rPr>
          <w:lang w:val="fr-FR"/>
        </w:rPr>
        <w:noBreakHyphen/>
        <w:t>T a organisée à Budapest en octobre 2015, "</w:t>
      </w:r>
      <w:r w:rsidRPr="00935275">
        <w:rPr>
          <w:i/>
          <w:iCs/>
          <w:lang w:val="fr-FR"/>
        </w:rPr>
        <w:t>les directeurs techniques ont encouragé l'UIT</w:t>
      </w:r>
      <w:r w:rsidRPr="00935275">
        <w:rPr>
          <w:i/>
          <w:iCs/>
          <w:lang w:val="fr-FR"/>
        </w:rPr>
        <w:noBreakHyphen/>
        <w:t xml:space="preserve">T à entreprendre des études – y compris des études sur l'accessibilité, les formats de données et les </w:t>
      </w:r>
      <w:r w:rsidRPr="00935275">
        <w:rPr>
          <w:i/>
          <w:iCs/>
          <w:lang w:val="fr-FR"/>
        </w:rPr>
        <w:lastRenderedPageBreak/>
        <w:t>aspects liés au contrôle et à la gestion – dans le but de permettre l'interopérabilité à l'échelle mondiale de ces services de haute qualité, en invitant les opérateurs et les experts concernés du secteur ainsi que les organismes de normalisation concernés à contribuer à ces études</w:t>
      </w:r>
      <w:r w:rsidRPr="00935275">
        <w:rPr>
          <w:lang w:val="fr-FR"/>
        </w:rPr>
        <w:t>";</w:t>
      </w:r>
    </w:p>
    <w:p w14:paraId="5D6656A3" w14:textId="77777777" w:rsidR="006D783E" w:rsidRPr="00935275" w:rsidRDefault="006D783E" w:rsidP="00935275">
      <w:pPr>
        <w:rPr>
          <w:szCs w:val="24"/>
          <w:lang w:val="fr-FR"/>
        </w:rPr>
      </w:pPr>
      <w:r w:rsidRPr="00935275">
        <w:rPr>
          <w:i/>
          <w:iCs/>
          <w:lang w:val="fr-FR"/>
        </w:rPr>
        <w:t>b)</w:t>
      </w:r>
      <w:r w:rsidRPr="00935275">
        <w:rPr>
          <w:lang w:val="fr-FR"/>
        </w:rPr>
        <w:tab/>
        <w:t>comme indiqué dans le compte rendu de l'atelier de l'UIT sur le thème "Interopérabilité des services vocaux et vidéo dans des environnements hybrides fixe-mobile, y compris les IMT évoluées (LTE)" (Genève, décembre 2015),</w:t>
      </w:r>
      <w:r w:rsidRPr="00935275">
        <w:rPr>
          <w:szCs w:val="24"/>
          <w:lang w:val="fr-FR"/>
        </w:rPr>
        <w:t xml:space="preserve"> "</w:t>
      </w:r>
      <w:r w:rsidRPr="00935275">
        <w:rPr>
          <w:i/>
          <w:iCs/>
          <w:szCs w:val="24"/>
          <w:lang w:val="fr-FR"/>
        </w:rPr>
        <w:t>les futures activités de normalisation de l'UIT devraient être axées sur le déploiement de protocoles de signalisation pour l'interconnexion VoLTE, les appels d'urgence sur les réseaux VoLTE et les questions relatives au numérotage</w:t>
      </w:r>
      <w:r w:rsidRPr="00935275">
        <w:rPr>
          <w:szCs w:val="24"/>
          <w:lang w:val="fr-FR"/>
        </w:rPr>
        <w:t>";</w:t>
      </w:r>
    </w:p>
    <w:p w14:paraId="3A1691DE" w14:textId="77777777" w:rsidR="006D783E" w:rsidRPr="00935275" w:rsidRDefault="006D783E" w:rsidP="00935275">
      <w:pPr>
        <w:rPr>
          <w:szCs w:val="24"/>
          <w:lang w:val="fr-FR"/>
        </w:rPr>
      </w:pPr>
      <w:r w:rsidRPr="00935275">
        <w:rPr>
          <w:i/>
          <w:iCs/>
          <w:lang w:val="fr-FR"/>
        </w:rPr>
        <w:t>c)</w:t>
      </w:r>
      <w:r w:rsidRPr="00935275">
        <w:rPr>
          <w:lang w:val="fr-FR"/>
        </w:rPr>
        <w:tab/>
        <w:t>les travaux de la Commission d'études 11 de l'UIT</w:t>
      </w:r>
      <w:r w:rsidRPr="00935275">
        <w:rPr>
          <w:lang w:val="fr-FR"/>
        </w:rPr>
        <w:noBreakHyphen/>
        <w:t>T relatifs à un</w:t>
      </w:r>
      <w:r w:rsidRPr="00935275">
        <w:rPr>
          <w:szCs w:val="24"/>
          <w:lang w:val="fr-FR"/>
        </w:rPr>
        <w:t xml:space="preserve"> "</w:t>
      </w:r>
      <w:r w:rsidRPr="00935275">
        <w:rPr>
          <w:i/>
          <w:iCs/>
          <w:lang w:val="fr-FR"/>
        </w:rPr>
        <w:t>Cadre pour l'interconnexion des réseaux VoLTE/ViLTE</w:t>
      </w:r>
      <w:r w:rsidRPr="00935275">
        <w:rPr>
          <w:lang w:val="fr-FR"/>
        </w:rPr>
        <w:t>", qui vise à définir des exigences communes concernant l'interconnexion des réseaux VoLTE/ViLTE;</w:t>
      </w:r>
    </w:p>
    <w:p w14:paraId="0EE6C5A5" w14:textId="77777777" w:rsidR="006D783E" w:rsidRPr="00935275" w:rsidRDefault="006D783E" w:rsidP="00935275">
      <w:pPr>
        <w:rPr>
          <w:lang w:val="fr-FR"/>
        </w:rPr>
      </w:pPr>
      <w:r w:rsidRPr="00935275">
        <w:rPr>
          <w:i/>
          <w:iCs/>
          <w:lang w:val="fr-FR"/>
        </w:rPr>
        <w:t>d)</w:t>
      </w:r>
      <w:r w:rsidRPr="00935275">
        <w:rPr>
          <w:lang w:val="fr-FR"/>
        </w:rPr>
        <w:tab/>
        <w:t>l'élaboration de normes portant sur un cadre pour l'interconnexion entre les réseaux VoLTE/ViLTE figure au nombre des thèmes de l'accord de collaboration conclu entre la Commission d'études 11 de l'UIT</w:t>
      </w:r>
      <w:r w:rsidRPr="00935275">
        <w:rPr>
          <w:lang w:val="fr-FR"/>
        </w:rPr>
        <w:noBreakHyphen/>
        <w:t>T et le Comité technique de l'ETSI sur les réseaux centraux et l'interopérabilité (ETSI TC INT);</w:t>
      </w:r>
    </w:p>
    <w:p w14:paraId="1714578D" w14:textId="29B292D8" w:rsidR="006D783E" w:rsidRPr="00935275" w:rsidRDefault="006D783E" w:rsidP="00935275">
      <w:pPr>
        <w:rPr>
          <w:lang w:val="fr-FR"/>
        </w:rPr>
      </w:pPr>
      <w:r w:rsidRPr="00935275">
        <w:rPr>
          <w:i/>
          <w:iCs/>
          <w:szCs w:val="24"/>
          <w:lang w:val="fr-FR"/>
        </w:rPr>
        <w:t>e)</w:t>
      </w:r>
      <w:r w:rsidRPr="00935275">
        <w:rPr>
          <w:szCs w:val="24"/>
          <w:lang w:val="fr-FR"/>
        </w:rPr>
        <w:tab/>
        <w:t xml:space="preserve">les travaux fructueux </w:t>
      </w:r>
      <w:del w:id="116" w:author="French" w:date="2024-10-07T16:04:00Z">
        <w:r w:rsidRPr="00935275" w:rsidDel="006E59A9">
          <w:rPr>
            <w:szCs w:val="24"/>
            <w:lang w:val="fr-FR"/>
          </w:rPr>
          <w:delText>du</w:delText>
        </w:r>
      </w:del>
      <w:ins w:id="117" w:author="French" w:date="2024-10-07T16:04:00Z">
        <w:r w:rsidR="006E59A9" w:rsidRPr="00935275">
          <w:rPr>
            <w:szCs w:val="24"/>
            <w:lang w:val="fr-FR"/>
          </w:rPr>
          <w:t>des</w:t>
        </w:r>
      </w:ins>
      <w:r w:rsidR="006E59A9" w:rsidRPr="00935275">
        <w:rPr>
          <w:szCs w:val="24"/>
          <w:lang w:val="fr-FR"/>
        </w:rPr>
        <w:t xml:space="preserve"> </w:t>
      </w:r>
      <w:r w:rsidRPr="00935275">
        <w:rPr>
          <w:lang w:val="fr-FR"/>
        </w:rPr>
        <w:t>Groupe</w:t>
      </w:r>
      <w:ins w:id="118" w:author="French" w:date="2024-10-07T16:05:00Z">
        <w:r w:rsidR="006E59A9" w:rsidRPr="00935275">
          <w:rPr>
            <w:lang w:val="fr-FR"/>
          </w:rPr>
          <w:t>s</w:t>
        </w:r>
      </w:ins>
      <w:r w:rsidRPr="00935275">
        <w:rPr>
          <w:lang w:val="fr-FR"/>
        </w:rPr>
        <w:t xml:space="preserve"> spécialisé</w:t>
      </w:r>
      <w:ins w:id="119" w:author="French" w:date="2024-10-07T16:05:00Z">
        <w:r w:rsidR="006E59A9" w:rsidRPr="00935275">
          <w:rPr>
            <w:lang w:val="fr-FR"/>
          </w:rPr>
          <w:t>s</w:t>
        </w:r>
      </w:ins>
      <w:r w:rsidRPr="00935275">
        <w:rPr>
          <w:lang w:val="fr-FR"/>
        </w:rPr>
        <w:t xml:space="preserve"> de l'UIT-T sur les IMT</w:t>
      </w:r>
      <w:r w:rsidRPr="00935275">
        <w:rPr>
          <w:lang w:val="fr-FR"/>
        </w:rPr>
        <w:noBreakHyphen/>
        <w:t>2020</w:t>
      </w:r>
      <w:ins w:id="120" w:author="LING-E" w:date="2024-10-01T09:54:00Z">
        <w:r w:rsidR="00225AD0" w:rsidRPr="00935275">
          <w:rPr>
            <w:lang w:val="fr-FR"/>
          </w:rPr>
          <w:t xml:space="preserve"> </w:t>
        </w:r>
      </w:ins>
      <w:ins w:id="121" w:author="French" w:date="2024-10-07T16:05:00Z">
        <w:r w:rsidR="006E59A9" w:rsidRPr="00935275">
          <w:rPr>
            <w:lang w:val="fr-FR"/>
          </w:rPr>
          <w:t>et sur les fédérations de bancs d'essai pour les IMT-2020 et les systèmes ultérieurs</w:t>
        </w:r>
      </w:ins>
      <w:r w:rsidRPr="00935275">
        <w:rPr>
          <w:lang w:val="fr-FR"/>
        </w:rPr>
        <w:t>,</w:t>
      </w:r>
    </w:p>
    <w:p w14:paraId="026F6D3B" w14:textId="77777777" w:rsidR="006D783E" w:rsidRPr="00935275" w:rsidRDefault="006D783E" w:rsidP="00935275">
      <w:pPr>
        <w:pStyle w:val="Call"/>
        <w:rPr>
          <w:lang w:val="fr-FR"/>
        </w:rPr>
      </w:pPr>
      <w:r w:rsidRPr="00935275">
        <w:rPr>
          <w:lang w:val="fr-FR"/>
        </w:rPr>
        <w:t>décide</w:t>
      </w:r>
    </w:p>
    <w:p w14:paraId="07BE1BF8" w14:textId="376445EE" w:rsidR="006D783E" w:rsidRPr="00935275" w:rsidRDefault="006D783E" w:rsidP="00935275">
      <w:pPr>
        <w:rPr>
          <w:lang w:val="fr-FR"/>
        </w:rPr>
      </w:pPr>
      <w:r w:rsidRPr="00935275">
        <w:rPr>
          <w:lang w:val="fr-FR"/>
        </w:rPr>
        <w:t>que des Recommandations UIT</w:t>
      </w:r>
      <w:r w:rsidRPr="00935275">
        <w:rPr>
          <w:lang w:val="fr-FR"/>
        </w:rPr>
        <w:noBreakHyphen/>
        <w:t xml:space="preserve">T visant à traiter les architectures de réseau, les principes d'itinérance, les méthodes de numérotage, les mécanismes de tarification et de sécurité, ainsi que les tests de conformité et d'interopérabilité pour l'interconnexion des réseaux </w:t>
      </w:r>
      <w:del w:id="122" w:author="French" w:date="2024-10-07T16:05:00Z">
        <w:r w:rsidRPr="00935275" w:rsidDel="00F8617B">
          <w:rPr>
            <w:lang w:val="fr-FR"/>
          </w:rPr>
          <w:delText>4G</w:delText>
        </w:r>
      </w:del>
      <w:ins w:id="123" w:author="French" w:date="2024-10-07T16:05:00Z">
        <w:r w:rsidR="00F8617B" w:rsidRPr="00935275">
          <w:rPr>
            <w:lang w:val="fr-FR"/>
          </w:rPr>
          <w:t>IMT évolués</w:t>
        </w:r>
      </w:ins>
      <w:r w:rsidRPr="00935275">
        <w:rPr>
          <w:lang w:val="fr-FR"/>
        </w:rPr>
        <w:t>, des réseaux IMT</w:t>
      </w:r>
      <w:r w:rsidRPr="00935275">
        <w:rPr>
          <w:lang w:val="fr-FR"/>
        </w:rPr>
        <w:noBreakHyphen/>
        <w:t xml:space="preserve">2020 et des réseaux </w:t>
      </w:r>
      <w:del w:id="124" w:author="French" w:date="2024-10-07T16:05:00Z">
        <w:r w:rsidRPr="00935275" w:rsidDel="00F8617B">
          <w:rPr>
            <w:lang w:val="fr-FR"/>
          </w:rPr>
          <w:delText>ultérieurs</w:delText>
        </w:r>
      </w:del>
      <w:ins w:id="125" w:author="French" w:date="2024-10-07T16:05:00Z">
        <w:r w:rsidR="00F8617B" w:rsidRPr="00935275">
          <w:rPr>
            <w:lang w:val="fr-FR"/>
          </w:rPr>
          <w:t>IMT-2030</w:t>
        </w:r>
      </w:ins>
      <w:r w:rsidR="00F8617B" w:rsidRPr="00935275">
        <w:rPr>
          <w:lang w:val="fr-FR"/>
        </w:rPr>
        <w:t xml:space="preserve"> </w:t>
      </w:r>
      <w:r w:rsidRPr="00935275">
        <w:rPr>
          <w:lang w:val="fr-FR"/>
        </w:rPr>
        <w:t>doivent être élaborées le plus rapidement possible,</w:t>
      </w:r>
    </w:p>
    <w:p w14:paraId="2343C108" w14:textId="77777777" w:rsidR="006D783E" w:rsidRPr="00935275" w:rsidRDefault="006D783E" w:rsidP="00935275">
      <w:pPr>
        <w:pStyle w:val="Call"/>
        <w:rPr>
          <w:lang w:val="fr-FR"/>
        </w:rPr>
      </w:pPr>
      <w:r w:rsidRPr="00935275">
        <w:rPr>
          <w:lang w:val="fr-FR"/>
        </w:rPr>
        <w:t>charge le Directeur du Bureau de la normalisation des télécommunications</w:t>
      </w:r>
    </w:p>
    <w:p w14:paraId="79510265" w14:textId="7354267F" w:rsidR="006D783E" w:rsidRPr="00935275" w:rsidRDefault="006D783E" w:rsidP="00935275">
      <w:pPr>
        <w:rPr>
          <w:lang w:val="fr-FR"/>
        </w:rPr>
      </w:pPr>
      <w:r w:rsidRPr="00935275">
        <w:rPr>
          <w:lang w:val="fr-FR"/>
        </w:rPr>
        <w:t>1</w:t>
      </w:r>
      <w:r w:rsidRPr="00935275">
        <w:rPr>
          <w:lang w:val="fr-FR"/>
        </w:rPr>
        <w:tab/>
        <w:t xml:space="preserve">de continuer d'organiser les activités préliminaires nécessaires entre les opérateurs de télécommunication, pour identifier les problèmes rencontrés en vue d'assurer l'interconnexion des réseaux IP, par exemple les réseaux </w:t>
      </w:r>
      <w:del w:id="126" w:author="French" w:date="2024-10-07T16:06:00Z">
        <w:r w:rsidRPr="00935275" w:rsidDel="00F8617B">
          <w:rPr>
            <w:lang w:val="fr-FR"/>
          </w:rPr>
          <w:delText>4G</w:delText>
        </w:r>
      </w:del>
      <w:ins w:id="127" w:author="French" w:date="2024-10-07T16:06:00Z">
        <w:r w:rsidR="00F8617B" w:rsidRPr="00935275">
          <w:rPr>
            <w:lang w:val="fr-FR"/>
          </w:rPr>
          <w:t>IMT évolués</w:t>
        </w:r>
      </w:ins>
      <w:r w:rsidRPr="00935275">
        <w:rPr>
          <w:lang w:val="fr-FR"/>
        </w:rPr>
        <w:t>, les réseaux IMT-2020 et les réseaux ultérieurs, et établir un ordre de priorité entre ces problèmes;</w:t>
      </w:r>
    </w:p>
    <w:p w14:paraId="33D5DDFB" w14:textId="77777777" w:rsidR="006D783E" w:rsidRPr="00935275" w:rsidRDefault="006D783E" w:rsidP="00935275">
      <w:pPr>
        <w:rPr>
          <w:lang w:val="fr-FR"/>
        </w:rPr>
      </w:pPr>
      <w:r w:rsidRPr="00935275">
        <w:rPr>
          <w:lang w:val="fr-FR"/>
        </w:rPr>
        <w:t>2</w:t>
      </w:r>
      <w:r w:rsidRPr="00935275">
        <w:rPr>
          <w:lang w:val="fr-FR"/>
        </w:rPr>
        <w:tab/>
        <w:t>de soumettre les résultats de ces activités au Conseil de l'UIT pour examen et suite à donner,</w:t>
      </w:r>
    </w:p>
    <w:p w14:paraId="2EB1BD07" w14:textId="77777777" w:rsidR="006D783E" w:rsidRPr="00935275" w:rsidRDefault="006D783E" w:rsidP="00935275">
      <w:pPr>
        <w:pStyle w:val="Call"/>
        <w:rPr>
          <w:lang w:val="fr-FR"/>
        </w:rPr>
      </w:pPr>
      <w:r w:rsidRPr="00935275">
        <w:rPr>
          <w:lang w:val="fr-FR"/>
        </w:rPr>
        <w:t>charge les commissions d'études de l'UIT</w:t>
      </w:r>
      <w:r w:rsidRPr="00935275">
        <w:rPr>
          <w:lang w:val="fr-FR"/>
        </w:rPr>
        <w:noBreakHyphen/>
        <w:t>T</w:t>
      </w:r>
    </w:p>
    <w:p w14:paraId="73AD7D06" w14:textId="588812C6" w:rsidR="006D783E" w:rsidRPr="00935275" w:rsidRDefault="006D783E" w:rsidP="00935275">
      <w:pPr>
        <w:rPr>
          <w:lang w:val="fr-FR"/>
        </w:rPr>
      </w:pPr>
      <w:r w:rsidRPr="00935275">
        <w:rPr>
          <w:lang w:val="fr-FR"/>
        </w:rPr>
        <w:t>1</w:t>
      </w:r>
      <w:r w:rsidRPr="00935275">
        <w:rPr>
          <w:lang w:val="fr-FR"/>
        </w:rPr>
        <w:tab/>
        <w:t>d'identifier dès que possible les futures Recommandations UIT</w:t>
      </w:r>
      <w:r w:rsidRPr="00935275">
        <w:rPr>
          <w:lang w:val="fr-FR"/>
        </w:rPr>
        <w:noBreakHyphen/>
        <w:t xml:space="preserve">T éventuelles qu'il faudra élaborer en ce qui concerne l'interconnexion des réseaux </w:t>
      </w:r>
      <w:del w:id="128" w:author="French" w:date="2024-10-07T16:06:00Z">
        <w:r w:rsidRPr="00935275" w:rsidDel="000E2430">
          <w:rPr>
            <w:lang w:val="fr-FR"/>
          </w:rPr>
          <w:delText>4G</w:delText>
        </w:r>
      </w:del>
      <w:ins w:id="129" w:author="French" w:date="2024-10-07T16:06:00Z">
        <w:r w:rsidR="000E2430" w:rsidRPr="00935275">
          <w:rPr>
            <w:lang w:val="fr-FR"/>
          </w:rPr>
          <w:t>IMT évolués</w:t>
        </w:r>
      </w:ins>
      <w:r w:rsidRPr="00935275">
        <w:rPr>
          <w:lang w:val="fr-FR"/>
        </w:rPr>
        <w:t>, des réseaux IMT</w:t>
      </w:r>
      <w:r w:rsidRPr="00935275">
        <w:rPr>
          <w:lang w:val="fr-FR"/>
        </w:rPr>
        <w:noBreakHyphen/>
        <w:t xml:space="preserve">2020 et des réseaux </w:t>
      </w:r>
      <w:del w:id="130" w:author="French" w:date="2024-10-07T16:07:00Z">
        <w:r w:rsidRPr="00935275" w:rsidDel="000E2430">
          <w:rPr>
            <w:lang w:val="fr-FR"/>
          </w:rPr>
          <w:delText>ultérieurs</w:delText>
        </w:r>
      </w:del>
      <w:ins w:id="131" w:author="French" w:date="2024-10-07T16:07:00Z">
        <w:r w:rsidR="000E2430" w:rsidRPr="00935275">
          <w:rPr>
            <w:lang w:val="fr-FR"/>
          </w:rPr>
          <w:t>IMT-2030</w:t>
        </w:r>
      </w:ins>
      <w:r w:rsidRPr="00935275">
        <w:rPr>
          <w:lang w:val="fr-FR"/>
        </w:rPr>
        <w:t>;</w:t>
      </w:r>
    </w:p>
    <w:p w14:paraId="61A233F5" w14:textId="773E379A" w:rsidR="006D783E" w:rsidRPr="00935275" w:rsidRDefault="006D783E" w:rsidP="00935275">
      <w:pPr>
        <w:rPr>
          <w:lang w:val="fr-FR"/>
        </w:rPr>
      </w:pPr>
      <w:r w:rsidRPr="00935275">
        <w:rPr>
          <w:lang w:val="fr-FR"/>
        </w:rPr>
        <w:t>2</w:t>
      </w:r>
      <w:r w:rsidRPr="00935275">
        <w:rPr>
          <w:lang w:val="fr-FR"/>
        </w:rPr>
        <w:tab/>
        <w:t>de coopérer, le cas échéant, avec les parties prenantes et les alliances intéressées, afin</w:t>
      </w:r>
      <w:r w:rsidR="00385149" w:rsidRPr="00935275">
        <w:rPr>
          <w:lang w:val="fr-FR"/>
        </w:rPr>
        <w:t> </w:t>
      </w:r>
      <w:r w:rsidRPr="00935275">
        <w:rPr>
          <w:lang w:val="fr-FR"/>
        </w:rPr>
        <w:t>d'optimiser les études sur ce sujet particulier,</w:t>
      </w:r>
    </w:p>
    <w:p w14:paraId="26B023AF" w14:textId="673D4896" w:rsidR="006D783E" w:rsidRPr="00935275" w:rsidRDefault="006D783E" w:rsidP="00935275">
      <w:pPr>
        <w:pStyle w:val="Call"/>
        <w:rPr>
          <w:lang w:val="fr-FR"/>
        </w:rPr>
      </w:pPr>
      <w:r w:rsidRPr="00935275">
        <w:rPr>
          <w:lang w:val="fr-FR"/>
        </w:rPr>
        <w:t>charge en outre la Commission d'études 11 de l'UIT</w:t>
      </w:r>
      <w:r w:rsidRPr="00935275">
        <w:rPr>
          <w:lang w:val="fr-FR"/>
        </w:rPr>
        <w:noBreakHyphen/>
        <w:t>T</w:t>
      </w:r>
    </w:p>
    <w:p w14:paraId="4E55B6B5" w14:textId="1966ACED" w:rsidR="006D783E" w:rsidRPr="00935275" w:rsidRDefault="006D783E" w:rsidP="00935275">
      <w:pPr>
        <w:rPr>
          <w:lang w:val="fr-FR"/>
        </w:rPr>
      </w:pPr>
      <w:r w:rsidRPr="00935275">
        <w:rPr>
          <w:lang w:val="fr-FR"/>
        </w:rPr>
        <w:t>d'élaborer des Recommandations UIT</w:t>
      </w:r>
      <w:r w:rsidRPr="00935275">
        <w:rPr>
          <w:lang w:val="fr-FR"/>
        </w:rPr>
        <w:noBreakHyphen/>
        <w:t xml:space="preserve">T indiquant le cadre et les architectures de signalisation à utiliser pour assurer l'interconnexion des réseaux </w:t>
      </w:r>
      <w:del w:id="132" w:author="French" w:date="2024-10-07T16:07:00Z">
        <w:r w:rsidRPr="00935275" w:rsidDel="003C6390">
          <w:rPr>
            <w:lang w:val="fr-FR"/>
          </w:rPr>
          <w:delText>4G</w:delText>
        </w:r>
      </w:del>
      <w:ins w:id="133" w:author="French" w:date="2024-10-07T16:07:00Z">
        <w:r w:rsidR="003C6390" w:rsidRPr="00935275">
          <w:rPr>
            <w:lang w:val="fr-FR"/>
          </w:rPr>
          <w:t>IMT évolués</w:t>
        </w:r>
      </w:ins>
      <w:r w:rsidRPr="00935275">
        <w:rPr>
          <w:lang w:val="fr-FR"/>
        </w:rPr>
        <w:t>, des réseaux IMT</w:t>
      </w:r>
      <w:r w:rsidRPr="00935275">
        <w:rPr>
          <w:lang w:val="fr-FR"/>
        </w:rPr>
        <w:noBreakHyphen/>
        <w:t xml:space="preserve">2020 et des réseaux </w:t>
      </w:r>
      <w:del w:id="134" w:author="French" w:date="2024-10-07T16:07:00Z">
        <w:r w:rsidRPr="00935275" w:rsidDel="003C6390">
          <w:rPr>
            <w:lang w:val="fr-FR"/>
          </w:rPr>
          <w:delText>ultérieurs</w:delText>
        </w:r>
      </w:del>
      <w:ins w:id="135" w:author="French" w:date="2024-10-07T16:07:00Z">
        <w:r w:rsidR="003C6390" w:rsidRPr="00935275">
          <w:rPr>
            <w:lang w:val="fr-FR"/>
          </w:rPr>
          <w:t>IMT-2030</w:t>
        </w:r>
      </w:ins>
      <w:r w:rsidRPr="00935275">
        <w:rPr>
          <w:lang w:val="fr-FR"/>
        </w:rPr>
        <w:t>, en vue de parvenir à l'interopérabilité à l'échelle mondiale,</w:t>
      </w:r>
    </w:p>
    <w:p w14:paraId="494F1831" w14:textId="35167FEE" w:rsidR="006D783E" w:rsidRPr="00935275" w:rsidRDefault="006D783E" w:rsidP="00935275">
      <w:pPr>
        <w:pStyle w:val="Call"/>
        <w:rPr>
          <w:lang w:val="fr-FR"/>
        </w:rPr>
      </w:pPr>
      <w:r w:rsidRPr="00935275">
        <w:rPr>
          <w:lang w:val="fr-FR"/>
        </w:rPr>
        <w:t>charge en outre la Commission d'études 2 de l'UIT</w:t>
      </w:r>
      <w:r w:rsidRPr="00935275">
        <w:rPr>
          <w:lang w:val="fr-FR"/>
        </w:rPr>
        <w:noBreakHyphen/>
        <w:t>T</w:t>
      </w:r>
    </w:p>
    <w:p w14:paraId="7A5FF2DA" w14:textId="57AE40F8" w:rsidR="006D783E" w:rsidRPr="00935275" w:rsidRDefault="006D783E" w:rsidP="00935275">
      <w:pPr>
        <w:rPr>
          <w:lang w:val="fr-FR"/>
        </w:rPr>
      </w:pPr>
      <w:r w:rsidRPr="00935275">
        <w:rPr>
          <w:lang w:val="fr-FR"/>
        </w:rPr>
        <w:t>d'élaborer des Recommandations UIT</w:t>
      </w:r>
      <w:r w:rsidRPr="00935275">
        <w:rPr>
          <w:lang w:val="fr-FR"/>
        </w:rPr>
        <w:noBreakHyphen/>
        <w:t xml:space="preserve">T indiquant l'architecture ENUM à utiliser pour l'interconnexion des réseaux </w:t>
      </w:r>
      <w:del w:id="136" w:author="French" w:date="2024-10-07T16:07:00Z">
        <w:r w:rsidRPr="00935275" w:rsidDel="00CC0A47">
          <w:rPr>
            <w:lang w:val="fr-FR"/>
          </w:rPr>
          <w:delText>4G</w:delText>
        </w:r>
      </w:del>
      <w:ins w:id="137" w:author="French" w:date="2024-10-07T16:07:00Z">
        <w:r w:rsidR="00CC0A47" w:rsidRPr="00935275">
          <w:rPr>
            <w:lang w:val="fr-FR"/>
          </w:rPr>
          <w:t>IMT évolués</w:t>
        </w:r>
      </w:ins>
      <w:r w:rsidRPr="00935275">
        <w:rPr>
          <w:lang w:val="fr-FR"/>
        </w:rPr>
        <w:t>, des réseaux IMT</w:t>
      </w:r>
      <w:r w:rsidRPr="00935275">
        <w:rPr>
          <w:lang w:val="fr-FR"/>
        </w:rPr>
        <w:noBreakHyphen/>
        <w:t xml:space="preserve">2020 et des réseaux </w:t>
      </w:r>
      <w:del w:id="138" w:author="French" w:date="2024-10-07T16:08:00Z">
        <w:r w:rsidRPr="00935275" w:rsidDel="00CC0A47">
          <w:rPr>
            <w:lang w:val="fr-FR"/>
          </w:rPr>
          <w:delText>ultérieurs</w:delText>
        </w:r>
      </w:del>
      <w:ins w:id="139" w:author="French" w:date="2024-10-07T16:08:00Z">
        <w:r w:rsidR="00CC0A47" w:rsidRPr="00935275">
          <w:rPr>
            <w:lang w:val="fr-FR"/>
          </w:rPr>
          <w:t>IMT</w:t>
        </w:r>
      </w:ins>
      <w:ins w:id="140" w:author="French" w:date="2024-10-08T09:29:00Z">
        <w:r w:rsidR="00F603A3" w:rsidRPr="00935275">
          <w:rPr>
            <w:lang w:val="fr-FR"/>
          </w:rPr>
          <w:noBreakHyphen/>
        </w:r>
      </w:ins>
      <w:ins w:id="141" w:author="French" w:date="2024-10-07T16:08:00Z">
        <w:r w:rsidR="00CC0A47" w:rsidRPr="00935275">
          <w:rPr>
            <w:lang w:val="fr-FR"/>
          </w:rPr>
          <w:t>2030</w:t>
        </w:r>
      </w:ins>
      <w:r w:rsidRPr="00935275">
        <w:rPr>
          <w:lang w:val="fr-FR"/>
        </w:rPr>
        <w:t xml:space="preserve">, notamment en ce qui concerne la gestion administrative qui pourrait concerner </w:t>
      </w:r>
      <w:r w:rsidRPr="00935275">
        <w:rPr>
          <w:lang w:val="fr-FR"/>
        </w:rPr>
        <w:lastRenderedPageBreak/>
        <w:t>les ressources internationales de télécommunication (y compris le nommage, le numérotage, l'adressage et le routage),</w:t>
      </w:r>
    </w:p>
    <w:p w14:paraId="4DF49A58" w14:textId="77777777" w:rsidR="006D783E" w:rsidRPr="00935275" w:rsidRDefault="006D783E" w:rsidP="00935275">
      <w:pPr>
        <w:pStyle w:val="Call"/>
        <w:rPr>
          <w:lang w:val="fr-FR"/>
        </w:rPr>
      </w:pPr>
      <w:r w:rsidRPr="00935275">
        <w:rPr>
          <w:lang w:val="fr-FR"/>
        </w:rPr>
        <w:t>invite les Etats Membres et les Membres de Secteur</w:t>
      </w:r>
    </w:p>
    <w:p w14:paraId="3BD1F344" w14:textId="77777777" w:rsidR="006D783E" w:rsidRPr="00935275" w:rsidRDefault="006D783E" w:rsidP="00935275">
      <w:pPr>
        <w:rPr>
          <w:szCs w:val="24"/>
          <w:lang w:val="fr-FR"/>
        </w:rPr>
      </w:pPr>
      <w:r w:rsidRPr="00935275">
        <w:rPr>
          <w:lang w:val="fr-FR"/>
        </w:rPr>
        <w:t>à contribuer à la mise en oeuvre de la présente Résolution</w:t>
      </w:r>
      <w:r w:rsidRPr="00935275">
        <w:rPr>
          <w:szCs w:val="24"/>
          <w:lang w:val="fr-FR"/>
        </w:rPr>
        <w:t>,</w:t>
      </w:r>
    </w:p>
    <w:p w14:paraId="006E549E" w14:textId="77777777" w:rsidR="006D783E" w:rsidRPr="00935275" w:rsidRDefault="006D783E" w:rsidP="00935275">
      <w:pPr>
        <w:pStyle w:val="Call"/>
        <w:rPr>
          <w:lang w:val="fr-FR"/>
        </w:rPr>
      </w:pPr>
      <w:r w:rsidRPr="00935275">
        <w:rPr>
          <w:lang w:val="fr-FR"/>
        </w:rPr>
        <w:t>invite les Etats Membres</w:t>
      </w:r>
    </w:p>
    <w:p w14:paraId="23B0EDDE" w14:textId="77777777" w:rsidR="006D783E" w:rsidRPr="00935275" w:rsidRDefault="006D783E" w:rsidP="00935275">
      <w:pPr>
        <w:rPr>
          <w:lang w:val="fr-FR"/>
        </w:rPr>
      </w:pPr>
      <w:r w:rsidRPr="00935275">
        <w:rPr>
          <w:lang w:val="fr-FR"/>
        </w:rPr>
        <w:t>à encourager les opérateurs de télécommunication à aider l'UIT</w:t>
      </w:r>
      <w:r w:rsidRPr="00935275">
        <w:rPr>
          <w:lang w:val="fr-FR"/>
        </w:rPr>
        <w:noBreakHyphen/>
        <w:t>T à mettre en oeuvre la présente Résolution.</w:t>
      </w:r>
    </w:p>
    <w:p w14:paraId="69F6C040" w14:textId="4B163DCC" w:rsidR="00FE13B4" w:rsidRPr="00935275" w:rsidRDefault="006D783E" w:rsidP="00935275">
      <w:pPr>
        <w:pStyle w:val="Reasons"/>
        <w:rPr>
          <w:lang w:val="fr-FR"/>
        </w:rPr>
      </w:pPr>
      <w:r w:rsidRPr="00935275">
        <w:rPr>
          <w:b/>
          <w:lang w:val="fr-FR"/>
        </w:rPr>
        <w:t>Motifs:</w:t>
      </w:r>
      <w:r w:rsidRPr="00935275">
        <w:rPr>
          <w:lang w:val="fr-FR"/>
        </w:rPr>
        <w:tab/>
      </w:r>
      <w:r w:rsidR="00FE13B4" w:rsidRPr="00935275">
        <w:rPr>
          <w:lang w:val="fr-FR"/>
        </w:rPr>
        <w:t>La terminologie relative à l'interconnexion entre les réseaux de générations différentes à l'échelle internationale doit être harmonisée avec la terminologie et les décisions adoptées par l'UIT et avec les Résolutions de l'UIT.</w:t>
      </w:r>
    </w:p>
    <w:p w14:paraId="0FC1D6B2" w14:textId="77777777" w:rsidR="00225AD0" w:rsidRPr="00935275" w:rsidRDefault="00225AD0" w:rsidP="00935275">
      <w:pPr>
        <w:jc w:val="center"/>
        <w:rPr>
          <w:lang w:val="fr-FR"/>
        </w:rPr>
      </w:pPr>
      <w:r w:rsidRPr="00935275">
        <w:rPr>
          <w:lang w:val="fr-FR"/>
        </w:rPr>
        <w:t>______________</w:t>
      </w:r>
    </w:p>
    <w:sectPr w:rsidR="00225AD0" w:rsidRPr="00935275">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D872" w14:textId="77777777" w:rsidR="00C362A7" w:rsidRDefault="00C362A7">
      <w:r>
        <w:separator/>
      </w:r>
    </w:p>
  </w:endnote>
  <w:endnote w:type="continuationSeparator" w:id="0">
    <w:p w14:paraId="1A9EAA66" w14:textId="77777777" w:rsidR="00C362A7" w:rsidRDefault="00C362A7">
      <w:r>
        <w:continuationSeparator/>
      </w:r>
    </w:p>
  </w:endnote>
  <w:endnote w:type="continuationNotice" w:id="1">
    <w:p w14:paraId="7B7E7C70"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D73D" w14:textId="77777777" w:rsidR="009D4900" w:rsidRDefault="009D4900">
    <w:pPr>
      <w:framePr w:wrap="around" w:vAnchor="text" w:hAnchor="margin" w:xAlign="right" w:y="1"/>
    </w:pPr>
    <w:r>
      <w:fldChar w:fldCharType="begin"/>
    </w:r>
    <w:r>
      <w:instrText xml:space="preserve">PAGE  </w:instrText>
    </w:r>
    <w:r>
      <w:fldChar w:fldCharType="end"/>
    </w:r>
  </w:p>
  <w:p w14:paraId="4A0FEFB7" w14:textId="6FC62A6C"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6D783E">
      <w:rPr>
        <w:noProof/>
        <w:lang w:val="en-US"/>
      </w:rPr>
      <w:t>P:\TRAD\F\gDoc\TSB\AMNT\24-02022FMontage.docx</w:t>
    </w:r>
    <w:r>
      <w:fldChar w:fldCharType="end"/>
    </w:r>
    <w:r w:rsidRPr="0041348E">
      <w:rPr>
        <w:lang w:val="en-US"/>
      </w:rPr>
      <w:tab/>
    </w:r>
    <w:r>
      <w:fldChar w:fldCharType="begin"/>
    </w:r>
    <w:r>
      <w:instrText xml:space="preserve"> SAVEDATE \@ DD.MM.YY </w:instrText>
    </w:r>
    <w:r>
      <w:fldChar w:fldCharType="separate"/>
    </w:r>
    <w:r w:rsidR="00935275">
      <w:rPr>
        <w:noProof/>
      </w:rPr>
      <w:t>08.10.24</w:t>
    </w:r>
    <w:r>
      <w:fldChar w:fldCharType="end"/>
    </w:r>
    <w:r w:rsidRPr="0041348E">
      <w:rPr>
        <w:lang w:val="en-US"/>
      </w:rPr>
      <w:tab/>
    </w:r>
    <w:r>
      <w:fldChar w:fldCharType="begin"/>
    </w:r>
    <w:r>
      <w:instrText xml:space="preserve"> PRINTDATE \@ DD.MM.YY </w:instrText>
    </w:r>
    <w:r>
      <w:fldChar w:fldCharType="separate"/>
    </w:r>
    <w:r w:rsidR="006D783E">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1668" w14:textId="77777777" w:rsidR="00C362A7" w:rsidRDefault="00C362A7">
      <w:r>
        <w:rPr>
          <w:b/>
        </w:rPr>
        <w:t>_______________</w:t>
      </w:r>
    </w:p>
  </w:footnote>
  <w:footnote w:type="continuationSeparator" w:id="0">
    <w:p w14:paraId="182566C9" w14:textId="77777777" w:rsidR="00C362A7" w:rsidRDefault="00C362A7">
      <w:r>
        <w:continuationSeparator/>
      </w:r>
    </w:p>
  </w:footnote>
  <w:footnote w:id="1">
    <w:p w14:paraId="5DC518E0" w14:textId="77777777" w:rsidR="006D783E" w:rsidRPr="00D04959" w:rsidRDefault="006D783E" w:rsidP="00C20B0B">
      <w:pPr>
        <w:pStyle w:val="FootnoteText"/>
        <w:rPr>
          <w:lang w:val="fr-CH"/>
        </w:rPr>
      </w:pPr>
      <w:r w:rsidRPr="00CA282B">
        <w:rPr>
          <w:rStyle w:val="FootnoteReference"/>
          <w:lang w:val="fr-FR"/>
        </w:rPr>
        <w:t>1</w:t>
      </w:r>
      <w:r w:rsidRPr="00CA282B">
        <w:rPr>
          <w:lang w:val="fr-FR"/>
        </w:rPr>
        <w:t xml:space="preserve"> </w:t>
      </w:r>
      <w:r w:rsidRPr="00CA282B">
        <w:rPr>
          <w:lang w:val="fr-FR"/>
        </w:rPr>
        <w:tab/>
      </w:r>
      <w:r w:rsidRPr="0018238E">
        <w:rPr>
          <w:lang w:val="fr-CH"/>
        </w:rPr>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0F0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-24/40(Add.27)-F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33161118">
    <w:abstractNumId w:val="8"/>
  </w:num>
  <w:num w:numId="2" w16cid:durableId="245263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17695917">
    <w:abstractNumId w:val="9"/>
  </w:num>
  <w:num w:numId="4" w16cid:durableId="441190800">
    <w:abstractNumId w:val="7"/>
  </w:num>
  <w:num w:numId="5" w16cid:durableId="1998219230">
    <w:abstractNumId w:val="6"/>
  </w:num>
  <w:num w:numId="6" w16cid:durableId="1435710556">
    <w:abstractNumId w:val="5"/>
  </w:num>
  <w:num w:numId="7" w16cid:durableId="1862357350">
    <w:abstractNumId w:val="4"/>
  </w:num>
  <w:num w:numId="8" w16cid:durableId="1598362353">
    <w:abstractNumId w:val="3"/>
  </w:num>
  <w:num w:numId="9" w16cid:durableId="449007692">
    <w:abstractNumId w:val="2"/>
  </w:num>
  <w:num w:numId="10" w16cid:durableId="2063207982">
    <w:abstractNumId w:val="1"/>
  </w:num>
  <w:num w:numId="11" w16cid:durableId="1356808514">
    <w:abstractNumId w:val="0"/>
  </w:num>
  <w:num w:numId="12" w16cid:durableId="1588542174">
    <w:abstractNumId w:val="12"/>
  </w:num>
  <w:num w:numId="13" w16cid:durableId="12577092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06A9"/>
    <w:rsid w:val="00003309"/>
    <w:rsid w:val="000041EA"/>
    <w:rsid w:val="0001425B"/>
    <w:rsid w:val="00022A29"/>
    <w:rsid w:val="00024294"/>
    <w:rsid w:val="00032E8D"/>
    <w:rsid w:val="00034F78"/>
    <w:rsid w:val="000355FD"/>
    <w:rsid w:val="00037EE0"/>
    <w:rsid w:val="00051E39"/>
    <w:rsid w:val="0005603E"/>
    <w:rsid w:val="000560D0"/>
    <w:rsid w:val="00062507"/>
    <w:rsid w:val="00062F05"/>
    <w:rsid w:val="00063D0B"/>
    <w:rsid w:val="00063EBE"/>
    <w:rsid w:val="0006471F"/>
    <w:rsid w:val="00077239"/>
    <w:rsid w:val="000807E9"/>
    <w:rsid w:val="00086491"/>
    <w:rsid w:val="00091346"/>
    <w:rsid w:val="0009706C"/>
    <w:rsid w:val="000A4F50"/>
    <w:rsid w:val="000B2B6C"/>
    <w:rsid w:val="000D0578"/>
    <w:rsid w:val="000D708A"/>
    <w:rsid w:val="000E2430"/>
    <w:rsid w:val="000F3B4C"/>
    <w:rsid w:val="000F57C3"/>
    <w:rsid w:val="000F73FF"/>
    <w:rsid w:val="001043FF"/>
    <w:rsid w:val="001059D5"/>
    <w:rsid w:val="00114CF7"/>
    <w:rsid w:val="00123B68"/>
    <w:rsid w:val="001243B8"/>
    <w:rsid w:val="00126F2E"/>
    <w:rsid w:val="001301F4"/>
    <w:rsid w:val="00130789"/>
    <w:rsid w:val="00137CF6"/>
    <w:rsid w:val="00146F6F"/>
    <w:rsid w:val="00154EBB"/>
    <w:rsid w:val="00161472"/>
    <w:rsid w:val="00163E58"/>
    <w:rsid w:val="0017074E"/>
    <w:rsid w:val="00170A46"/>
    <w:rsid w:val="00174520"/>
    <w:rsid w:val="00182117"/>
    <w:rsid w:val="0018215C"/>
    <w:rsid w:val="00187BD9"/>
    <w:rsid w:val="00190B55"/>
    <w:rsid w:val="001B0D3A"/>
    <w:rsid w:val="001C3B5F"/>
    <w:rsid w:val="001C43E6"/>
    <w:rsid w:val="001D058F"/>
    <w:rsid w:val="001E6F73"/>
    <w:rsid w:val="002009EA"/>
    <w:rsid w:val="00202CA0"/>
    <w:rsid w:val="00203A91"/>
    <w:rsid w:val="00216B6D"/>
    <w:rsid w:val="00225AD0"/>
    <w:rsid w:val="00227927"/>
    <w:rsid w:val="00236EBA"/>
    <w:rsid w:val="00245127"/>
    <w:rsid w:val="00246525"/>
    <w:rsid w:val="00250AF4"/>
    <w:rsid w:val="00260B50"/>
    <w:rsid w:val="00263BE8"/>
    <w:rsid w:val="00267BFB"/>
    <w:rsid w:val="0027050E"/>
    <w:rsid w:val="00271316"/>
    <w:rsid w:val="002729A5"/>
    <w:rsid w:val="00281040"/>
    <w:rsid w:val="00290F83"/>
    <w:rsid w:val="002931F4"/>
    <w:rsid w:val="00293F9A"/>
    <w:rsid w:val="002957A7"/>
    <w:rsid w:val="002A1D23"/>
    <w:rsid w:val="002A5392"/>
    <w:rsid w:val="002B100E"/>
    <w:rsid w:val="002C4DC4"/>
    <w:rsid w:val="002C6531"/>
    <w:rsid w:val="002D151C"/>
    <w:rsid w:val="002D58BE"/>
    <w:rsid w:val="002E0E9F"/>
    <w:rsid w:val="002E3AEE"/>
    <w:rsid w:val="002E561F"/>
    <w:rsid w:val="002E7D1F"/>
    <w:rsid w:val="002F2D0C"/>
    <w:rsid w:val="002F442D"/>
    <w:rsid w:val="003123FC"/>
    <w:rsid w:val="003136EF"/>
    <w:rsid w:val="00314FDF"/>
    <w:rsid w:val="00316351"/>
    <w:rsid w:val="00316B80"/>
    <w:rsid w:val="00323B27"/>
    <w:rsid w:val="003251EA"/>
    <w:rsid w:val="00336B4E"/>
    <w:rsid w:val="0034635C"/>
    <w:rsid w:val="003608D7"/>
    <w:rsid w:val="00365AB3"/>
    <w:rsid w:val="00377BD3"/>
    <w:rsid w:val="00384088"/>
    <w:rsid w:val="00385149"/>
    <w:rsid w:val="003879F0"/>
    <w:rsid w:val="0039169B"/>
    <w:rsid w:val="00394470"/>
    <w:rsid w:val="003A7F8C"/>
    <w:rsid w:val="003B09A1"/>
    <w:rsid w:val="003B532E"/>
    <w:rsid w:val="003C33B7"/>
    <w:rsid w:val="003C6390"/>
    <w:rsid w:val="003D0F8B"/>
    <w:rsid w:val="003F020A"/>
    <w:rsid w:val="00411412"/>
    <w:rsid w:val="0041348E"/>
    <w:rsid w:val="004142ED"/>
    <w:rsid w:val="00420EDB"/>
    <w:rsid w:val="004373CA"/>
    <w:rsid w:val="004420C9"/>
    <w:rsid w:val="00443CCE"/>
    <w:rsid w:val="00445A76"/>
    <w:rsid w:val="004577E8"/>
    <w:rsid w:val="00462D00"/>
    <w:rsid w:val="00465799"/>
    <w:rsid w:val="00471EF9"/>
    <w:rsid w:val="00492075"/>
    <w:rsid w:val="004969AD"/>
    <w:rsid w:val="004A26C4"/>
    <w:rsid w:val="004A2ECB"/>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038D2"/>
    <w:rsid w:val="0060542D"/>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783E"/>
    <w:rsid w:val="006E3D45"/>
    <w:rsid w:val="006E59A9"/>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869FF"/>
    <w:rsid w:val="00790D70"/>
    <w:rsid w:val="00797C4B"/>
    <w:rsid w:val="007C3F79"/>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404"/>
    <w:rsid w:val="00864CD2"/>
    <w:rsid w:val="00872FC8"/>
    <w:rsid w:val="00874789"/>
    <w:rsid w:val="008777B8"/>
    <w:rsid w:val="008845D0"/>
    <w:rsid w:val="008A186A"/>
    <w:rsid w:val="008A23B9"/>
    <w:rsid w:val="008B1AEA"/>
    <w:rsid w:val="008B43F2"/>
    <w:rsid w:val="008B6CFF"/>
    <w:rsid w:val="008E2A7A"/>
    <w:rsid w:val="008E2C30"/>
    <w:rsid w:val="008E4BBE"/>
    <w:rsid w:val="008E67E5"/>
    <w:rsid w:val="008F08A1"/>
    <w:rsid w:val="008F7D1E"/>
    <w:rsid w:val="0090488A"/>
    <w:rsid w:val="00905803"/>
    <w:rsid w:val="009163CF"/>
    <w:rsid w:val="00921DD4"/>
    <w:rsid w:val="0092425C"/>
    <w:rsid w:val="009274B4"/>
    <w:rsid w:val="00930EBD"/>
    <w:rsid w:val="00931298"/>
    <w:rsid w:val="00931323"/>
    <w:rsid w:val="009319F9"/>
    <w:rsid w:val="00934EA2"/>
    <w:rsid w:val="0093527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7391"/>
    <w:rsid w:val="00A82A73"/>
    <w:rsid w:val="00A87A0A"/>
    <w:rsid w:val="00A93B85"/>
    <w:rsid w:val="00A94576"/>
    <w:rsid w:val="00AA0B18"/>
    <w:rsid w:val="00AA6097"/>
    <w:rsid w:val="00AA666F"/>
    <w:rsid w:val="00AB416A"/>
    <w:rsid w:val="00AB6A82"/>
    <w:rsid w:val="00AB7C5F"/>
    <w:rsid w:val="00AC30A6"/>
    <w:rsid w:val="00AC5B55"/>
    <w:rsid w:val="00AE0E1B"/>
    <w:rsid w:val="00AE28C7"/>
    <w:rsid w:val="00AF2C72"/>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D29F1"/>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02F8"/>
    <w:rsid w:val="00C97C68"/>
    <w:rsid w:val="00CA1A47"/>
    <w:rsid w:val="00CA282B"/>
    <w:rsid w:val="00CC0A47"/>
    <w:rsid w:val="00CC247A"/>
    <w:rsid w:val="00CC7DAF"/>
    <w:rsid w:val="00CD70EF"/>
    <w:rsid w:val="00CD7CC4"/>
    <w:rsid w:val="00CE388F"/>
    <w:rsid w:val="00CE5E47"/>
    <w:rsid w:val="00CF020F"/>
    <w:rsid w:val="00CF1E9D"/>
    <w:rsid w:val="00CF2B5B"/>
    <w:rsid w:val="00D03078"/>
    <w:rsid w:val="00D055D3"/>
    <w:rsid w:val="00D14CE0"/>
    <w:rsid w:val="00D2023F"/>
    <w:rsid w:val="00D278AC"/>
    <w:rsid w:val="00D41719"/>
    <w:rsid w:val="00D449A9"/>
    <w:rsid w:val="00D54009"/>
    <w:rsid w:val="00D5651D"/>
    <w:rsid w:val="00D57A34"/>
    <w:rsid w:val="00D643B3"/>
    <w:rsid w:val="00D71A57"/>
    <w:rsid w:val="00D74898"/>
    <w:rsid w:val="00D801ED"/>
    <w:rsid w:val="00D936BC"/>
    <w:rsid w:val="00D96530"/>
    <w:rsid w:val="00D97F7C"/>
    <w:rsid w:val="00DA7E2F"/>
    <w:rsid w:val="00DD1A26"/>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335FD"/>
    <w:rsid w:val="00E416B1"/>
    <w:rsid w:val="00E45D05"/>
    <w:rsid w:val="00E50B79"/>
    <w:rsid w:val="00E55816"/>
    <w:rsid w:val="00E55AEF"/>
    <w:rsid w:val="00E6117A"/>
    <w:rsid w:val="00E765C9"/>
    <w:rsid w:val="00E808DD"/>
    <w:rsid w:val="00E82677"/>
    <w:rsid w:val="00E86488"/>
    <w:rsid w:val="00E870AC"/>
    <w:rsid w:val="00E94DBA"/>
    <w:rsid w:val="00E976C1"/>
    <w:rsid w:val="00EA12E5"/>
    <w:rsid w:val="00EB55C6"/>
    <w:rsid w:val="00EC1C0A"/>
    <w:rsid w:val="00EC7F04"/>
    <w:rsid w:val="00ED30BC"/>
    <w:rsid w:val="00F00DDC"/>
    <w:rsid w:val="00F01223"/>
    <w:rsid w:val="00F02766"/>
    <w:rsid w:val="00F05BD4"/>
    <w:rsid w:val="00F2159D"/>
    <w:rsid w:val="00F2404A"/>
    <w:rsid w:val="00F3630D"/>
    <w:rsid w:val="00F4677D"/>
    <w:rsid w:val="00F528B4"/>
    <w:rsid w:val="00F603A3"/>
    <w:rsid w:val="00F60D05"/>
    <w:rsid w:val="00F6155B"/>
    <w:rsid w:val="00F65C19"/>
    <w:rsid w:val="00F7356B"/>
    <w:rsid w:val="00F80977"/>
    <w:rsid w:val="00F83F75"/>
    <w:rsid w:val="00F8617B"/>
    <w:rsid w:val="00F972D2"/>
    <w:rsid w:val="00FC1DB9"/>
    <w:rsid w:val="00FD2546"/>
    <w:rsid w:val="00FD772E"/>
    <w:rsid w:val="00FE0144"/>
    <w:rsid w:val="00FE13B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EE9A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39dbe00-49db-45d5-ba0b-c0eefa0ea451" targetNamespace="http://schemas.microsoft.com/office/2006/metadata/properties" ma:root="true" ma:fieldsID="d41af5c836d734370eb92e7ee5f83852" ns2:_="" ns3:_="">
    <xsd:import namespace="996b2e75-67fd-4955-a3b0-5ab9934cb50b"/>
    <xsd:import namespace="539dbe00-49db-45d5-ba0b-c0eefa0ea4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39dbe00-49db-45d5-ba0b-c0eefa0ea4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539dbe00-49db-45d5-ba0b-c0eefa0ea451">DPM</DPM_x0020_Author>
    <DPM_x0020_File_x0020_name xmlns="539dbe00-49db-45d5-ba0b-c0eefa0ea451">T22-WTSA.24-C-0040!A27!MSW-F</DPM_x0020_File_x0020_name>
    <DPM_x0020_Version xmlns="539dbe00-49db-45d5-ba0b-c0eefa0ea451">DPM_2024.10.03.01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39dbe00-49db-45d5-ba0b-c0eefa0ea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dbe00-49db-45d5-ba0b-c0eefa0ea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1722</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T22-WTSA.24-C-0040!A27!MSW-F</vt:lpstr>
    </vt:vector>
  </TitlesOfParts>
  <Manager>General Secretariat - Pool</Manager>
  <Company>International Telecommunication Union (ITU)</Company>
  <LinksUpToDate>false</LinksUpToDate>
  <CharactersWithSpaces>12052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T22-WTSA.24-C-0040!A27!MSW-F</dc:title>
  <dc:subject>World Telecommunication Standardization Assembly</dc:subject>
  <dc:creator>Documents Proposals Manager (DPM)</dc:creator>
  <cp:keywords>DPM_v2024.10.3.1_prod</cp:keywords>
  <dc:description>Template used by DPM and CPI for the WTSA-24</dc:description>
  <cp:lastModifiedBy>French</cp:lastModifiedBy>
  <cp:revision>9</cp:revision>
  <cp:lastPrinted>2016-06-06T07:49:00Z</cp:lastPrinted>
  <dcterms:created xsi:type="dcterms:W3CDTF">2024-10-08T07:25:00Z</dcterms:created>
  <dcterms:modified xsi:type="dcterms:W3CDTF">2024-10-08T08:40:00Z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